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9"/>
        <w:ind w:left="290" w:right="629" w:firstLine="0"/>
        <w:jc w:val="center"/>
        <w:rPr>
          <w:b/>
          <w:sz w:val="24"/>
        </w:rPr>
      </w:pPr>
      <w:r>
        <w:rPr>
          <w:b/>
          <w:sz w:val="24"/>
        </w:rPr>
        <w:t>VOL</w:t>
      </w:r>
      <w:r>
        <w:rPr>
          <w:b/>
          <w:spacing w:val="-4"/>
          <w:sz w:val="24"/>
        </w:rPr>
        <w:t> </w:t>
      </w:r>
      <w:r>
        <w:rPr>
          <w:b/>
          <w:sz w:val="24"/>
        </w:rPr>
        <w:t>I:</w:t>
      </w:r>
      <w:r>
        <w:rPr>
          <w:b/>
          <w:spacing w:val="-4"/>
          <w:sz w:val="24"/>
        </w:rPr>
        <w:t> </w:t>
      </w:r>
      <w:r>
        <w:rPr>
          <w:b/>
          <w:sz w:val="24"/>
        </w:rPr>
        <w:t>GENERAL</w:t>
      </w:r>
      <w:r>
        <w:rPr>
          <w:b/>
          <w:spacing w:val="-4"/>
          <w:sz w:val="24"/>
        </w:rPr>
        <w:t> </w:t>
      </w:r>
      <w:r>
        <w:rPr>
          <w:b/>
          <w:spacing w:val="-2"/>
          <w:sz w:val="24"/>
        </w:rPr>
        <w:t>PROBLEMS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0"/>
        <w:ind w:left="3522" w:right="3860" w:firstLine="0"/>
        <w:jc w:val="center"/>
        <w:rPr>
          <w:b/>
          <w:sz w:val="24"/>
        </w:rPr>
      </w:pPr>
      <w:r>
        <w:rPr>
          <w:b/>
          <w:spacing w:val="-2"/>
          <w:sz w:val="24"/>
        </w:rPr>
        <w:t>EDUCATION </w:t>
      </w:r>
      <w:r>
        <w:rPr>
          <w:b/>
          <w:spacing w:val="-4"/>
          <w:sz w:val="24"/>
        </w:rPr>
        <w:t>AND</w:t>
      </w:r>
    </w:p>
    <w:p>
      <w:pPr>
        <w:spacing w:before="0"/>
        <w:ind w:left="350" w:right="629" w:firstLine="0"/>
        <w:jc w:val="center"/>
        <w:rPr>
          <w:b/>
          <w:sz w:val="24"/>
        </w:rPr>
      </w:pPr>
      <w:r>
        <w:rPr>
          <w:b/>
          <w:sz w:val="24"/>
        </w:rPr>
        <w:t>NATIONAL</w:t>
      </w:r>
      <w:r>
        <w:rPr>
          <w:b/>
          <w:spacing w:val="-8"/>
          <w:sz w:val="24"/>
        </w:rPr>
        <w:t> </w:t>
      </w:r>
      <w:r>
        <w:rPr>
          <w:b/>
          <w:spacing w:val="-2"/>
          <w:sz w:val="24"/>
        </w:rPr>
        <w:t>DEVELOPMENT</w:t>
      </w:r>
    </w:p>
    <w:p>
      <w:pPr>
        <w:pStyle w:val="BodyText"/>
        <w:rPr>
          <w:b/>
        </w:rPr>
      </w:pPr>
    </w:p>
    <w:p>
      <w:pPr>
        <w:pStyle w:val="BodyText"/>
        <w:rPr>
          <w:b/>
        </w:rPr>
      </w:pPr>
    </w:p>
    <w:p>
      <w:pPr>
        <w:pStyle w:val="BodyText"/>
        <w:rPr>
          <w:b/>
        </w:rPr>
      </w:pPr>
    </w:p>
    <w:p>
      <w:pPr>
        <w:pStyle w:val="BodyText"/>
        <w:rPr>
          <w:b/>
        </w:rPr>
      </w:pPr>
    </w:p>
    <w:p>
      <w:pPr>
        <w:spacing w:before="0"/>
        <w:ind w:left="2442" w:right="2563" w:firstLine="1057"/>
        <w:jc w:val="left"/>
        <w:rPr>
          <w:b/>
          <w:sz w:val="24"/>
        </w:rPr>
      </w:pPr>
      <w:r>
        <w:rPr>
          <w:b/>
          <w:sz w:val="24"/>
        </w:rPr>
        <w:t>REPORT OF THE EDUCATION</w:t>
      </w:r>
      <w:r>
        <w:rPr>
          <w:b/>
          <w:spacing w:val="-15"/>
          <w:sz w:val="24"/>
        </w:rPr>
        <w:t> </w:t>
      </w:r>
      <w:r>
        <w:rPr>
          <w:b/>
          <w:sz w:val="24"/>
        </w:rPr>
        <w:t>COMMISSION,</w:t>
      </w:r>
      <w:r>
        <w:rPr>
          <w:b/>
          <w:spacing w:val="-15"/>
          <w:sz w:val="24"/>
        </w:rPr>
        <w:t> </w:t>
      </w:r>
      <w:r>
        <w:rPr>
          <w:b/>
          <w:sz w:val="24"/>
        </w:rPr>
        <w:t>1964-66</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5"/>
        <w:rPr>
          <w:b/>
        </w:rPr>
      </w:pPr>
    </w:p>
    <w:p>
      <w:pPr>
        <w:spacing w:before="1"/>
        <w:ind w:left="290" w:right="629" w:firstLine="0"/>
        <w:jc w:val="center"/>
        <w:rPr>
          <w:b/>
          <w:sz w:val="24"/>
        </w:rPr>
      </w:pPr>
      <w:r>
        <w:rPr>
          <w:b/>
          <w:sz w:val="24"/>
        </w:rPr>
        <w:t>NATIONAL</w:t>
      </w:r>
      <w:r>
        <w:rPr>
          <w:b/>
          <w:spacing w:val="-8"/>
          <w:sz w:val="24"/>
        </w:rPr>
        <w:t> </w:t>
      </w:r>
      <w:r>
        <w:rPr>
          <w:b/>
          <w:sz w:val="24"/>
        </w:rPr>
        <w:t>COUNCIL</w:t>
      </w:r>
      <w:r>
        <w:rPr>
          <w:b/>
          <w:spacing w:val="-8"/>
          <w:sz w:val="24"/>
        </w:rPr>
        <w:t> </w:t>
      </w:r>
      <w:r>
        <w:rPr>
          <w:b/>
          <w:sz w:val="24"/>
        </w:rPr>
        <w:t>OF</w:t>
      </w:r>
      <w:r>
        <w:rPr>
          <w:b/>
          <w:spacing w:val="-8"/>
          <w:sz w:val="24"/>
        </w:rPr>
        <w:t> </w:t>
      </w:r>
      <w:r>
        <w:rPr>
          <w:b/>
          <w:sz w:val="24"/>
        </w:rPr>
        <w:t>EDUCATIONAL</w:t>
      </w:r>
      <w:r>
        <w:rPr>
          <w:b/>
          <w:spacing w:val="-7"/>
          <w:sz w:val="24"/>
        </w:rPr>
        <w:t> </w:t>
      </w:r>
      <w:r>
        <w:rPr>
          <w:b/>
          <w:sz w:val="24"/>
        </w:rPr>
        <w:t>RESEARCH</w:t>
      </w:r>
      <w:r>
        <w:rPr>
          <w:b/>
          <w:spacing w:val="-7"/>
          <w:sz w:val="24"/>
        </w:rPr>
        <w:t> </w:t>
      </w:r>
      <w:r>
        <w:rPr>
          <w:b/>
          <w:sz w:val="24"/>
        </w:rPr>
        <w:t>AND</w:t>
      </w:r>
      <w:r>
        <w:rPr>
          <w:b/>
          <w:spacing w:val="-7"/>
          <w:sz w:val="24"/>
        </w:rPr>
        <w:t> </w:t>
      </w:r>
      <w:r>
        <w:rPr>
          <w:b/>
          <w:sz w:val="24"/>
        </w:rPr>
        <w:t>TRAINING </w:t>
      </w:r>
      <w:r>
        <w:rPr>
          <w:b/>
          <w:spacing w:val="-4"/>
          <w:sz w:val="24"/>
        </w:rPr>
        <w:t>1970</w:t>
      </w:r>
    </w:p>
    <w:p>
      <w:pPr>
        <w:spacing w:after="0"/>
        <w:jc w:val="center"/>
        <w:rPr>
          <w:sz w:val="24"/>
        </w:rPr>
        <w:sectPr>
          <w:type w:val="continuous"/>
          <w:pgSz w:w="12240" w:h="15840"/>
          <w:pgMar w:top="1360" w:bottom="280" w:left="1640" w:right="1300"/>
        </w:sectPr>
      </w:pPr>
    </w:p>
    <w:p>
      <w:pPr>
        <w:pStyle w:val="BodyText"/>
        <w:spacing w:before="78"/>
        <w:ind w:left="160" w:right="6611"/>
      </w:pPr>
      <w:r>
        <w:rPr/>
        <w:t>First Edition 1966</w:t>
      </w:r>
      <w:r>
        <w:rPr>
          <w:spacing w:val="80"/>
        </w:rPr>
        <w:t> </w:t>
      </w:r>
      <w:r>
        <w:rPr/>
        <w:t>Reprint</w:t>
      </w:r>
      <w:r>
        <w:rPr>
          <w:spacing w:val="-13"/>
        </w:rPr>
        <w:t> </w:t>
      </w:r>
      <w:r>
        <w:rPr/>
        <w:t>Edition</w:t>
      </w:r>
      <w:r>
        <w:rPr>
          <w:spacing w:val="-13"/>
        </w:rPr>
        <w:t> </w:t>
      </w:r>
      <w:r>
        <w:rPr/>
        <w:t>May</w:t>
      </w:r>
      <w:r>
        <w:rPr>
          <w:spacing w:val="-13"/>
        </w:rPr>
        <w:t> </w:t>
      </w:r>
      <w:r>
        <w:rPr/>
        <w:t>1970</w:t>
      </w:r>
    </w:p>
    <w:p>
      <w:pPr>
        <w:pStyle w:val="BodyText"/>
        <w:ind w:left="1660"/>
      </w:pPr>
      <w:r>
        <w:rPr/>
        <w:t>Vaisakkha </w:t>
      </w:r>
      <w:r>
        <w:rPr>
          <w:spacing w:val="-4"/>
        </w:rPr>
        <w:t>1892</w:t>
      </w: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Heading2"/>
        <w:ind w:left="290" w:right="629"/>
        <w:jc w:val="center"/>
      </w:pPr>
      <w:r>
        <w:rPr/>
        <w:t>©</w:t>
      </w:r>
      <w:r>
        <w:rPr>
          <w:spacing w:val="-6"/>
        </w:rPr>
        <w:t> </w:t>
      </w:r>
      <w:r>
        <w:rPr/>
        <w:t>Ministry</w:t>
      </w:r>
      <w:r>
        <w:rPr>
          <w:spacing w:val="-5"/>
        </w:rPr>
        <w:t> </w:t>
      </w:r>
      <w:r>
        <w:rPr/>
        <w:t>of</w:t>
      </w:r>
      <w:r>
        <w:rPr>
          <w:spacing w:val="-5"/>
        </w:rPr>
        <w:t> </w:t>
      </w:r>
      <w:r>
        <w:rPr/>
        <w:t>Education,</w:t>
      </w:r>
      <w:r>
        <w:rPr>
          <w:spacing w:val="-5"/>
        </w:rPr>
        <w:t> </w:t>
      </w:r>
      <w:r>
        <w:rPr>
          <w:spacing w:val="-4"/>
        </w:rPr>
        <w:t>1966</w:t>
      </w:r>
    </w:p>
    <w:p>
      <w:pPr>
        <w:pStyle w:val="BodyText"/>
        <w:rPr>
          <w:b/>
        </w:rPr>
      </w:pPr>
    </w:p>
    <w:p>
      <w:pPr>
        <w:pStyle w:val="BodyText"/>
        <w:rPr>
          <w:b/>
        </w:rPr>
      </w:pPr>
    </w:p>
    <w:p>
      <w:pPr>
        <w:pStyle w:val="BodyText"/>
        <w:rPr>
          <w:b/>
        </w:rPr>
      </w:pPr>
    </w:p>
    <w:p>
      <w:pPr>
        <w:pStyle w:val="BodyText"/>
        <w:rPr>
          <w:b/>
        </w:rPr>
      </w:pPr>
    </w:p>
    <w:p>
      <w:pPr>
        <w:pStyle w:val="BodyText"/>
        <w:spacing w:before="8"/>
        <w:rPr>
          <w:b/>
        </w:rPr>
      </w:pPr>
    </w:p>
    <w:p>
      <w:pPr>
        <w:pStyle w:val="BodyText"/>
        <w:ind w:left="520" w:right="858" w:hanging="1"/>
        <w:jc w:val="center"/>
      </w:pPr>
      <w:r>
        <w:rPr/>
        <w:t>Reprinted by the National Council of Educational Research and Training with the permission</w:t>
      </w:r>
      <w:r>
        <w:rPr>
          <w:spacing w:val="-1"/>
        </w:rPr>
        <w:t> </w:t>
      </w:r>
      <w:r>
        <w:rPr/>
        <w:t>of the Ministry</w:t>
      </w:r>
      <w:r>
        <w:rPr>
          <w:spacing w:val="-1"/>
        </w:rPr>
        <w:t> </w:t>
      </w:r>
      <w:r>
        <w:rPr/>
        <w:t>of Education</w:t>
      </w:r>
      <w:r>
        <w:rPr>
          <w:spacing w:val="-1"/>
        </w:rPr>
        <w:t> </w:t>
      </w:r>
      <w:r>
        <w:rPr/>
        <w:t>and Youth</w:t>
      </w:r>
      <w:r>
        <w:rPr>
          <w:spacing w:val="-1"/>
        </w:rPr>
        <w:t> </w:t>
      </w:r>
      <w:r>
        <w:rPr/>
        <w:t>Services, Government of </w:t>
      </w:r>
      <w:r>
        <w:rPr>
          <w:spacing w:val="-2"/>
        </w:rPr>
        <w:t>India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tabs>
          <w:tab w:pos="1440" w:val="left" w:leader="none"/>
        </w:tabs>
        <w:ind w:right="337"/>
        <w:jc w:val="center"/>
      </w:pPr>
      <w:r>
        <w:rPr/>
        <w:t>Rs. </w:t>
      </w:r>
      <w:r>
        <w:rPr>
          <w:spacing w:val="-2"/>
        </w:rPr>
        <w:t>11.00</w:t>
      </w:r>
      <w:r>
        <w:rPr/>
        <w:tab/>
        <w:t>18</w:t>
      </w:r>
      <w:r>
        <w:rPr>
          <w:spacing w:val="60"/>
        </w:rPr>
        <w:t> </w:t>
      </w:r>
      <w:r>
        <w:rPr/>
        <w:t>s.</w:t>
      </w:r>
      <w:r>
        <w:rPr>
          <w:spacing w:val="60"/>
        </w:rPr>
        <w:t> </w:t>
      </w:r>
      <w:r>
        <w:rPr>
          <w:spacing w:val="-2"/>
        </w:rPr>
        <w:t>$2.20</w:t>
      </w:r>
    </w:p>
    <w:p>
      <w:pPr>
        <w:pStyle w:val="BodyText"/>
      </w:pPr>
    </w:p>
    <w:p>
      <w:pPr>
        <w:pStyle w:val="BodyText"/>
      </w:pPr>
    </w:p>
    <w:p>
      <w:pPr>
        <w:pStyle w:val="BodyText"/>
      </w:pPr>
    </w:p>
    <w:p>
      <w:pPr>
        <w:pStyle w:val="BodyText"/>
      </w:pPr>
    </w:p>
    <w:p>
      <w:pPr>
        <w:pStyle w:val="BodyText"/>
        <w:spacing w:before="12"/>
      </w:pPr>
    </w:p>
    <w:p>
      <w:pPr>
        <w:pStyle w:val="BodyText"/>
        <w:spacing w:line="482" w:lineRule="auto"/>
        <w:ind w:left="1677" w:right="2016"/>
        <w:jc w:val="center"/>
      </w:pPr>
      <w:r>
        <w:rPr/>
        <w:t>TEXT</w:t>
      </w:r>
      <w:r>
        <w:rPr>
          <w:spacing w:val="-5"/>
        </w:rPr>
        <w:t> </w:t>
      </w:r>
      <w:r>
        <w:rPr/>
        <w:t>SET</w:t>
      </w:r>
      <w:r>
        <w:rPr>
          <w:spacing w:val="-5"/>
        </w:rPr>
        <w:t> </w:t>
      </w:r>
      <w:r>
        <w:rPr/>
        <w:t>IN</w:t>
      </w:r>
      <w:r>
        <w:rPr>
          <w:spacing w:val="-5"/>
        </w:rPr>
        <w:t> </w:t>
      </w:r>
      <w:r>
        <w:rPr/>
        <w:t>12</w:t>
      </w:r>
      <w:r>
        <w:rPr>
          <w:spacing w:val="-5"/>
        </w:rPr>
        <w:t> </w:t>
      </w:r>
      <w:r>
        <w:rPr/>
        <w:t>PT.</w:t>
      </w:r>
      <w:r>
        <w:rPr>
          <w:spacing w:val="-5"/>
        </w:rPr>
        <w:t> </w:t>
      </w:r>
      <w:r>
        <w:rPr/>
        <w:t>BEMBO</w:t>
      </w:r>
      <w:r>
        <w:rPr>
          <w:spacing w:val="-5"/>
        </w:rPr>
        <w:t> </w:t>
      </w:r>
      <w:r>
        <w:rPr/>
        <w:t>TYPE</w:t>
      </w:r>
      <w:r>
        <w:rPr>
          <w:spacing w:val="-5"/>
        </w:rPr>
        <w:t> </w:t>
      </w:r>
      <w:r>
        <w:rPr/>
        <w:t>AND</w:t>
      </w:r>
      <w:r>
        <w:rPr>
          <w:spacing w:val="-5"/>
        </w:rPr>
        <w:t> </w:t>
      </w:r>
      <w:r>
        <w:rPr/>
        <w:t>PRINTED ON CREAM WOVE INDIAN PAPER 73 GSM</w:t>
      </w:r>
    </w:p>
    <w:p>
      <w:pPr>
        <w:pStyle w:val="BodyText"/>
      </w:pPr>
    </w:p>
    <w:p>
      <w:pPr>
        <w:pStyle w:val="BodyText"/>
      </w:pPr>
    </w:p>
    <w:p>
      <w:pPr>
        <w:pStyle w:val="BodyText"/>
      </w:pPr>
    </w:p>
    <w:p>
      <w:pPr>
        <w:pStyle w:val="BodyText"/>
      </w:pPr>
    </w:p>
    <w:p>
      <w:pPr>
        <w:pStyle w:val="BodyText"/>
      </w:pPr>
    </w:p>
    <w:p>
      <w:pPr>
        <w:pStyle w:val="BodyText"/>
        <w:spacing w:before="13"/>
      </w:pPr>
    </w:p>
    <w:p>
      <w:pPr>
        <w:pStyle w:val="BodyText"/>
        <w:ind w:left="290" w:right="629"/>
        <w:jc w:val="center"/>
      </w:pPr>
      <w:r>
        <w:rPr/>
        <w:t>Published at the Publication Unit by S.A. Abidin, Secretary, National Council of Educational</w:t>
      </w:r>
      <w:r>
        <w:rPr>
          <w:spacing w:val="-4"/>
        </w:rPr>
        <w:t> </w:t>
      </w:r>
      <w:r>
        <w:rPr/>
        <w:t>Research</w:t>
      </w:r>
      <w:r>
        <w:rPr>
          <w:spacing w:val="-4"/>
        </w:rPr>
        <w:t> </w:t>
      </w:r>
      <w:r>
        <w:rPr/>
        <w:t>and</w:t>
      </w:r>
      <w:r>
        <w:rPr>
          <w:spacing w:val="-4"/>
        </w:rPr>
        <w:t> </w:t>
      </w:r>
      <w:r>
        <w:rPr/>
        <w:t>Training,</w:t>
      </w:r>
      <w:r>
        <w:rPr>
          <w:spacing w:val="-4"/>
        </w:rPr>
        <w:t> </w:t>
      </w:r>
      <w:r>
        <w:rPr/>
        <w:t>NIE</w:t>
      </w:r>
      <w:r>
        <w:rPr>
          <w:spacing w:val="-4"/>
        </w:rPr>
        <w:t> </w:t>
      </w:r>
      <w:r>
        <w:rPr/>
        <w:t>Campus,</w:t>
      </w:r>
      <w:r>
        <w:rPr>
          <w:spacing w:val="-4"/>
        </w:rPr>
        <w:t> </w:t>
      </w:r>
      <w:r>
        <w:rPr/>
        <w:t>Sri</w:t>
      </w:r>
      <w:r>
        <w:rPr>
          <w:spacing w:val="-4"/>
        </w:rPr>
        <w:t> </w:t>
      </w:r>
      <w:r>
        <w:rPr/>
        <w:t>Aurobindo</w:t>
      </w:r>
      <w:r>
        <w:rPr>
          <w:spacing w:val="-4"/>
        </w:rPr>
        <w:t> </w:t>
      </w:r>
      <w:r>
        <w:rPr/>
        <w:t>Marg,</w:t>
      </w:r>
      <w:r>
        <w:rPr>
          <w:spacing w:val="-4"/>
        </w:rPr>
        <w:t> </w:t>
      </w:r>
      <w:r>
        <w:rPr/>
        <w:t>New</w:t>
      </w:r>
      <w:r>
        <w:rPr>
          <w:spacing w:val="-4"/>
        </w:rPr>
        <w:t> </w:t>
      </w:r>
      <w:r>
        <w:rPr/>
        <w:t>Delhi</w:t>
      </w:r>
      <w:r>
        <w:rPr>
          <w:spacing w:val="-4"/>
        </w:rPr>
        <w:t> </w:t>
      </w:r>
      <w:r>
        <w:rPr/>
        <w:t>16, and printed at Sree Saraswaty Press Ltd., Cacutta 9</w:t>
      </w:r>
    </w:p>
    <w:p>
      <w:pPr>
        <w:spacing w:after="0"/>
        <w:jc w:val="center"/>
        <w:sectPr>
          <w:footerReference w:type="default" r:id="rId5"/>
          <w:pgSz w:w="12240" w:h="15840"/>
          <w:pgMar w:header="0" w:footer="743" w:top="1360" w:bottom="940" w:left="1640" w:right="1300"/>
          <w:pgNumType w:start="2"/>
        </w:sectPr>
      </w:pPr>
    </w:p>
    <w:p>
      <w:pPr>
        <w:pStyle w:val="BodyText"/>
      </w:pPr>
    </w:p>
    <w:p>
      <w:pPr>
        <w:pStyle w:val="BodyText"/>
      </w:pPr>
    </w:p>
    <w:p>
      <w:pPr>
        <w:pStyle w:val="BodyText"/>
      </w:pPr>
    </w:p>
    <w:p>
      <w:pPr>
        <w:pStyle w:val="BodyText"/>
      </w:pPr>
    </w:p>
    <w:p>
      <w:pPr>
        <w:pStyle w:val="BodyText"/>
        <w:spacing w:before="136"/>
      </w:pPr>
    </w:p>
    <w:p>
      <w:pPr>
        <w:pStyle w:val="BodyText"/>
        <w:spacing w:line="484" w:lineRule="auto"/>
        <w:ind w:left="5920" w:right="2097"/>
      </w:pPr>
      <w:r>
        <w:rPr/>
        <w:t>New Delhi 29</w:t>
      </w:r>
      <w:r>
        <w:rPr>
          <w:spacing w:val="-15"/>
        </w:rPr>
        <w:t> </w:t>
      </w:r>
      <w:r>
        <w:rPr/>
        <w:t>June</w:t>
      </w:r>
      <w:r>
        <w:rPr>
          <w:spacing w:val="-15"/>
        </w:rPr>
        <w:t> </w:t>
      </w:r>
      <w:r>
        <w:rPr/>
        <w:t>1966</w:t>
      </w:r>
    </w:p>
    <w:p>
      <w:pPr>
        <w:pStyle w:val="BodyText"/>
        <w:spacing w:line="273" w:lineRule="exact"/>
        <w:ind w:left="5920"/>
      </w:pPr>
      <w:r>
        <w:rPr/>
        <w:t>Asadha 8, </w:t>
      </w:r>
      <w:r>
        <w:rPr>
          <w:spacing w:val="-4"/>
        </w:rPr>
        <w:t>1888</w:t>
      </w:r>
    </w:p>
    <w:p>
      <w:pPr>
        <w:pStyle w:val="BodyText"/>
      </w:pPr>
    </w:p>
    <w:p>
      <w:pPr>
        <w:pStyle w:val="BodyText"/>
      </w:pPr>
    </w:p>
    <w:p>
      <w:pPr>
        <w:pStyle w:val="BodyText"/>
        <w:spacing w:before="8"/>
      </w:pPr>
    </w:p>
    <w:p>
      <w:pPr>
        <w:pStyle w:val="BodyText"/>
        <w:spacing w:before="1"/>
        <w:ind w:left="160"/>
      </w:pPr>
      <w:r>
        <w:rPr/>
        <w:t>Dear Shri </w:t>
      </w:r>
      <w:r>
        <w:rPr>
          <w:spacing w:val="-2"/>
        </w:rPr>
        <w:t>Chagla,</w:t>
      </w:r>
    </w:p>
    <w:p>
      <w:pPr>
        <w:pStyle w:val="BodyText"/>
        <w:spacing w:before="3"/>
      </w:pPr>
    </w:p>
    <w:p>
      <w:pPr>
        <w:pStyle w:val="BodyText"/>
        <w:ind w:left="160"/>
      </w:pPr>
      <w:r>
        <w:rPr/>
        <w:t>I</w:t>
      </w:r>
      <w:r>
        <w:rPr>
          <w:spacing w:val="-1"/>
        </w:rPr>
        <w:t> </w:t>
      </w:r>
      <w:r>
        <w:rPr/>
        <w:t>have much</w:t>
      </w:r>
      <w:r>
        <w:rPr>
          <w:spacing w:val="-1"/>
        </w:rPr>
        <w:t> </w:t>
      </w:r>
      <w:r>
        <w:rPr/>
        <w:t>pleasure in submitting</w:t>
      </w:r>
      <w:r>
        <w:rPr>
          <w:spacing w:val="-1"/>
        </w:rPr>
        <w:t> </w:t>
      </w:r>
      <w:r>
        <w:rPr/>
        <w:t>the Report of</w:t>
      </w:r>
      <w:r>
        <w:rPr>
          <w:spacing w:val="-1"/>
        </w:rPr>
        <w:t> </w:t>
      </w:r>
      <w:r>
        <w:rPr/>
        <w:t>the Education </w:t>
      </w:r>
      <w:r>
        <w:rPr>
          <w:spacing w:val="-2"/>
        </w:rPr>
        <w:t>Commission.</w:t>
      </w:r>
    </w:p>
    <w:p>
      <w:pPr>
        <w:pStyle w:val="BodyText"/>
        <w:spacing w:before="3"/>
      </w:pPr>
    </w:p>
    <w:p>
      <w:pPr>
        <w:pStyle w:val="BodyText"/>
        <w:ind w:left="160" w:right="497"/>
        <w:jc w:val="both"/>
      </w:pPr>
      <w:r>
        <w:rPr/>
        <w:t>I would like to take this occasion to express to you my own and my colleagues' sincere gratitude for the support and encouragement you have always so generously extended to us in our work. The appointment of the Commission is largely due to your initiative and </w:t>
      </w:r>
      <w:r>
        <w:rPr>
          <w:spacing w:val="-2"/>
        </w:rPr>
        <w:t>vision.</w:t>
      </w:r>
    </w:p>
    <w:p>
      <w:pPr>
        <w:pStyle w:val="BodyText"/>
        <w:spacing w:before="4"/>
      </w:pPr>
    </w:p>
    <w:p>
      <w:pPr>
        <w:pStyle w:val="BodyText"/>
        <w:spacing w:before="1"/>
        <w:ind w:left="159" w:right="497"/>
        <w:jc w:val="both"/>
      </w:pPr>
      <w:r>
        <w:rPr/>
        <w:t>Education has always been important but perhaps never more so in man's history than today. In a science-based world, education and research are crucial to the entire developmental process of a country, its welfare, progress and security. It is characteristic of a world permeated by science that in some essential ways the future shape of things is unpredictable. This emphasizes all the more the need for an educational policy which contains a built-in flexibility so that it can adjust to changing circumstances. It underscores</w:t>
      </w:r>
      <w:r>
        <w:rPr>
          <w:spacing w:val="-1"/>
        </w:rPr>
        <w:t> </w:t>
      </w:r>
      <w:r>
        <w:rPr/>
        <w:t>the</w:t>
      </w:r>
      <w:r>
        <w:rPr>
          <w:spacing w:val="-1"/>
        </w:rPr>
        <w:t> </w:t>
      </w:r>
      <w:r>
        <w:rPr/>
        <w:t>importance</w:t>
      </w:r>
      <w:r>
        <w:rPr>
          <w:spacing w:val="-1"/>
        </w:rPr>
        <w:t> </w:t>
      </w:r>
      <w:r>
        <w:rPr/>
        <w:t>of</w:t>
      </w:r>
      <w:r>
        <w:rPr>
          <w:spacing w:val="-1"/>
        </w:rPr>
        <w:t> </w:t>
      </w:r>
      <w:r>
        <w:rPr/>
        <w:t>experimentation</w:t>
      </w:r>
      <w:r>
        <w:rPr>
          <w:spacing w:val="-1"/>
        </w:rPr>
        <w:t> </w:t>
      </w:r>
      <w:r>
        <w:rPr/>
        <w:t>and</w:t>
      </w:r>
      <w:r>
        <w:rPr>
          <w:spacing w:val="-1"/>
        </w:rPr>
        <w:t> </w:t>
      </w:r>
      <w:r>
        <w:rPr/>
        <w:t>innovation.</w:t>
      </w:r>
      <w:r>
        <w:rPr>
          <w:spacing w:val="-1"/>
        </w:rPr>
        <w:t> </w:t>
      </w:r>
      <w:r>
        <w:rPr/>
        <w:t>If</w:t>
      </w:r>
      <w:r>
        <w:rPr>
          <w:spacing w:val="-1"/>
        </w:rPr>
        <w:t> </w:t>
      </w:r>
      <w:r>
        <w:rPr/>
        <w:t>I</w:t>
      </w:r>
      <w:r>
        <w:rPr>
          <w:spacing w:val="-1"/>
        </w:rPr>
        <w:t> </w:t>
      </w:r>
      <w:r>
        <w:rPr/>
        <w:t>may</w:t>
      </w:r>
      <w:r>
        <w:rPr>
          <w:spacing w:val="-1"/>
        </w:rPr>
        <w:t> </w:t>
      </w:r>
      <w:r>
        <w:rPr/>
        <w:t>say</w:t>
      </w:r>
      <w:r>
        <w:rPr>
          <w:spacing w:val="-1"/>
        </w:rPr>
        <w:t> </w:t>
      </w:r>
      <w:r>
        <w:rPr/>
        <w:t>so,</w:t>
      </w:r>
      <w:r>
        <w:rPr>
          <w:spacing w:val="-1"/>
        </w:rPr>
        <w:t> </w:t>
      </w:r>
      <w:r>
        <w:rPr/>
        <w:t>the</w:t>
      </w:r>
      <w:r>
        <w:rPr>
          <w:spacing w:val="-1"/>
        </w:rPr>
        <w:t> </w:t>
      </w:r>
      <w:r>
        <w:rPr/>
        <w:t>single most important thing needed now is to get out of the rigidity of the present system. In the rapidly changing world of today, one thing is certain: yesterday's educational system will not meet today's, and even less so, the need of tomorrow.</w:t>
      </w:r>
    </w:p>
    <w:p>
      <w:pPr>
        <w:pStyle w:val="BodyText"/>
        <w:spacing w:before="3"/>
      </w:pPr>
    </w:p>
    <w:p>
      <w:pPr>
        <w:pStyle w:val="BodyText"/>
        <w:spacing w:before="1"/>
        <w:ind w:left="159" w:right="495"/>
        <w:jc w:val="both"/>
      </w:pPr>
      <w:r>
        <w:rPr/>
        <w:t>It is difficult, and it is certainly so for us, to say to what extent the Report will actually help in the reconstruction of the educational system which is so urgently necessary. We trust, however, that the Report will provide some basic thinking and framework for</w:t>
      </w:r>
      <w:r>
        <w:rPr>
          <w:spacing w:val="80"/>
        </w:rPr>
        <w:t> </w:t>
      </w:r>
      <w:r>
        <w:rPr/>
        <w:t>taking at least the first step towards bringing about what may be called an educational revolution in the country. The Report makes recommendations about various sectors and aspects of education. The main points that immediately come to my mind are:</w:t>
      </w:r>
    </w:p>
    <w:p>
      <w:pPr>
        <w:pStyle w:val="BodyText"/>
        <w:spacing w:before="3"/>
      </w:pPr>
    </w:p>
    <w:p>
      <w:pPr>
        <w:pStyle w:val="BodyText"/>
        <w:ind w:left="159" w:right="496"/>
        <w:jc w:val="both"/>
      </w:pPr>
      <w:r>
        <w:rPr/>
        <w:t>Introduction of work-experience (which includes manual work, production experience, etc.) and social service as integral parts of general education at more or less all levels of </w:t>
      </w:r>
      <w:r>
        <w:rPr>
          <w:spacing w:val="-2"/>
        </w:rPr>
        <w:t>education;</w:t>
      </w:r>
    </w:p>
    <w:p>
      <w:pPr>
        <w:spacing w:after="0"/>
        <w:jc w:val="both"/>
        <w:sectPr>
          <w:pgSz w:w="12240" w:h="15840"/>
          <w:pgMar w:header="0" w:footer="743" w:top="1820" w:bottom="940" w:left="1640" w:right="1300"/>
        </w:sectPr>
      </w:pPr>
    </w:p>
    <w:p>
      <w:pPr>
        <w:pStyle w:val="BodyText"/>
        <w:spacing w:before="76"/>
        <w:ind w:left="160" w:right="497"/>
        <w:jc w:val="both"/>
      </w:pPr>
      <w:r>
        <w:rPr/>
        <w:t>Stress on moral education and inculcation of a sense of social responsibility. Schools should recognize their responsibility in facilitating the transition of youth from the world of school to the world of work and life;</w:t>
      </w:r>
    </w:p>
    <w:p>
      <w:pPr>
        <w:pStyle w:val="BodyText"/>
        <w:spacing w:before="5"/>
      </w:pPr>
    </w:p>
    <w:p>
      <w:pPr>
        <w:pStyle w:val="BodyText"/>
        <w:ind w:left="160"/>
        <w:jc w:val="both"/>
      </w:pPr>
      <w:r>
        <w:rPr/>
        <w:t>Vocationalization of secondary </w:t>
      </w:r>
      <w:r>
        <w:rPr>
          <w:spacing w:val="-2"/>
        </w:rPr>
        <w:t>education;</w:t>
      </w:r>
    </w:p>
    <w:p>
      <w:pPr>
        <w:pStyle w:val="BodyText"/>
        <w:spacing w:before="4"/>
      </w:pPr>
    </w:p>
    <w:p>
      <w:pPr>
        <w:pStyle w:val="BodyText"/>
        <w:ind w:left="160" w:right="497"/>
        <w:jc w:val="both"/>
      </w:pPr>
      <w:r>
        <w:rPr/>
        <w:t>The strengthening of centres of advanced study and the setting up of a small number of major universities which would aim to achieve the highest international standards;</w:t>
      </w:r>
    </w:p>
    <w:p>
      <w:pPr>
        <w:pStyle w:val="BodyText"/>
        <w:spacing w:before="3"/>
      </w:pPr>
    </w:p>
    <w:p>
      <w:pPr>
        <w:pStyle w:val="BodyText"/>
        <w:spacing w:before="1"/>
        <w:ind w:left="160" w:right="497"/>
        <w:jc w:val="both"/>
      </w:pPr>
      <w:r>
        <w:rPr/>
        <w:t>Special emphasis on the training and quality of teachers for schools; Education for agriculture and research in agriculture and allied sciences should be given a high priority in the scheme of educational reconstruction. Energetic and imaginative steps are required to draw a reasonable proportion of talent to go in for advanced study and research in the agricultural sciences;</w:t>
      </w:r>
    </w:p>
    <w:p>
      <w:pPr>
        <w:pStyle w:val="BodyText"/>
        <w:spacing w:before="4"/>
      </w:pPr>
    </w:p>
    <w:p>
      <w:pPr>
        <w:pStyle w:val="BodyText"/>
        <w:spacing w:before="1"/>
        <w:ind w:left="160"/>
        <w:jc w:val="both"/>
      </w:pPr>
      <w:r>
        <w:rPr/>
        <w:t>Development</w:t>
      </w:r>
      <w:r>
        <w:rPr>
          <w:spacing w:val="-4"/>
        </w:rPr>
        <w:t> </w:t>
      </w:r>
      <w:r>
        <w:rPr/>
        <w:t>of</w:t>
      </w:r>
      <w:r>
        <w:rPr>
          <w:spacing w:val="-2"/>
        </w:rPr>
        <w:t> </w:t>
      </w:r>
      <w:r>
        <w:rPr/>
        <w:t>quality</w:t>
      </w:r>
      <w:r>
        <w:rPr>
          <w:spacing w:val="-2"/>
        </w:rPr>
        <w:t> </w:t>
      </w:r>
      <w:r>
        <w:rPr/>
        <w:t>or</w:t>
      </w:r>
      <w:r>
        <w:rPr>
          <w:spacing w:val="-2"/>
        </w:rPr>
        <w:t> </w:t>
      </w:r>
      <w:r>
        <w:rPr/>
        <w:t>pace-setting</w:t>
      </w:r>
      <w:r>
        <w:rPr>
          <w:spacing w:val="-2"/>
        </w:rPr>
        <w:t> </w:t>
      </w:r>
      <w:r>
        <w:rPr/>
        <w:t>institutions</w:t>
      </w:r>
      <w:r>
        <w:rPr>
          <w:spacing w:val="-1"/>
        </w:rPr>
        <w:t> </w:t>
      </w:r>
      <w:r>
        <w:rPr/>
        <w:t>at</w:t>
      </w:r>
      <w:r>
        <w:rPr>
          <w:spacing w:val="-1"/>
        </w:rPr>
        <w:t> </w:t>
      </w:r>
      <w:r>
        <w:rPr/>
        <w:t>all</w:t>
      </w:r>
      <w:r>
        <w:rPr>
          <w:spacing w:val="-1"/>
        </w:rPr>
        <w:t> </w:t>
      </w:r>
      <w:r>
        <w:rPr/>
        <w:t>stages</w:t>
      </w:r>
      <w:r>
        <w:rPr>
          <w:spacing w:val="-1"/>
        </w:rPr>
        <w:t> </w:t>
      </w:r>
      <w:r>
        <w:rPr/>
        <w:t>and</w:t>
      </w:r>
      <w:r>
        <w:rPr>
          <w:spacing w:val="-1"/>
        </w:rPr>
        <w:t> </w:t>
      </w:r>
      <w:r>
        <w:rPr/>
        <w:t>in</w:t>
      </w:r>
      <w:r>
        <w:rPr>
          <w:spacing w:val="-1"/>
        </w:rPr>
        <w:t> </w:t>
      </w:r>
      <w:r>
        <w:rPr/>
        <w:t>all </w:t>
      </w:r>
      <w:r>
        <w:rPr>
          <w:spacing w:val="-2"/>
        </w:rPr>
        <w:t>sectors.</w:t>
      </w:r>
    </w:p>
    <w:p>
      <w:pPr>
        <w:pStyle w:val="BodyText"/>
        <w:spacing w:before="2"/>
      </w:pPr>
    </w:p>
    <w:p>
      <w:pPr>
        <w:pStyle w:val="BodyText"/>
        <w:ind w:left="160" w:right="495"/>
        <w:jc w:val="both"/>
      </w:pPr>
      <w:r>
        <w:rPr/>
        <w:t>I apologize for the size of the Report. It could</w:t>
      </w:r>
      <w:r>
        <w:rPr>
          <w:spacing w:val="-1"/>
        </w:rPr>
        <w:t> </w:t>
      </w:r>
      <w:r>
        <w:rPr/>
        <w:t>have been shorter, but that would have cost more money and time, and delayed action. What the situation urgently calls for is action, and this is what you have always stressed.</w:t>
      </w:r>
    </w:p>
    <w:p>
      <w:pPr>
        <w:pStyle w:val="BodyText"/>
        <w:spacing w:before="6"/>
      </w:pPr>
    </w:p>
    <w:p>
      <w:pPr>
        <w:pStyle w:val="BodyText"/>
        <w:ind w:left="3522" w:right="3993"/>
        <w:jc w:val="center"/>
      </w:pPr>
      <w:r>
        <w:rPr/>
        <w:t>With</w:t>
      </w:r>
      <w:r>
        <w:rPr>
          <w:spacing w:val="-3"/>
        </w:rPr>
        <w:t> </w:t>
      </w:r>
      <w:r>
        <w:rPr>
          <w:spacing w:val="-2"/>
        </w:rPr>
        <w:t>regards,</w:t>
      </w:r>
    </w:p>
    <w:p>
      <w:pPr>
        <w:pStyle w:val="BodyText"/>
      </w:pPr>
    </w:p>
    <w:p>
      <w:pPr>
        <w:pStyle w:val="BodyText"/>
      </w:pPr>
    </w:p>
    <w:p>
      <w:pPr>
        <w:pStyle w:val="BodyText"/>
        <w:spacing w:before="7"/>
      </w:pPr>
    </w:p>
    <w:p>
      <w:pPr>
        <w:pStyle w:val="BodyText"/>
        <w:ind w:left="5980"/>
      </w:pPr>
      <w:r>
        <w:rPr/>
        <w:t>Yours </w:t>
      </w:r>
      <w:r>
        <w:rPr>
          <w:spacing w:val="-2"/>
        </w:rPr>
        <w:t>sincerely,</w:t>
      </w:r>
    </w:p>
    <w:p>
      <w:pPr>
        <w:pStyle w:val="BodyText"/>
        <w:spacing w:before="5"/>
      </w:pPr>
    </w:p>
    <w:p>
      <w:pPr>
        <w:pStyle w:val="BodyText"/>
        <w:ind w:left="5920"/>
      </w:pPr>
      <w:r>
        <w:rPr/>
        <w:t>D.</w:t>
      </w:r>
      <w:r>
        <w:rPr>
          <w:spacing w:val="-2"/>
        </w:rPr>
        <w:t> </w:t>
      </w:r>
      <w:r>
        <w:rPr/>
        <w:t>S.</w:t>
      </w:r>
      <w:r>
        <w:rPr>
          <w:spacing w:val="-2"/>
        </w:rPr>
        <w:t> KOTHARI</w:t>
      </w:r>
    </w:p>
    <w:p>
      <w:pPr>
        <w:pStyle w:val="BodyText"/>
      </w:pPr>
    </w:p>
    <w:p>
      <w:pPr>
        <w:pStyle w:val="BodyText"/>
      </w:pPr>
    </w:p>
    <w:p>
      <w:pPr>
        <w:pStyle w:val="BodyText"/>
      </w:pPr>
    </w:p>
    <w:p>
      <w:pPr>
        <w:pStyle w:val="BodyText"/>
      </w:pPr>
    </w:p>
    <w:p>
      <w:pPr>
        <w:pStyle w:val="BodyText"/>
        <w:spacing w:before="12"/>
      </w:pPr>
    </w:p>
    <w:p>
      <w:pPr>
        <w:pStyle w:val="BodyText"/>
        <w:ind w:left="160"/>
        <w:jc w:val="both"/>
      </w:pPr>
      <w:r>
        <w:rPr/>
        <w:t>SHRI</w:t>
      </w:r>
      <w:r>
        <w:rPr>
          <w:spacing w:val="-2"/>
        </w:rPr>
        <w:t> </w:t>
      </w:r>
      <w:r>
        <w:rPr/>
        <w:t>M.</w:t>
      </w:r>
      <w:r>
        <w:rPr>
          <w:spacing w:val="-2"/>
        </w:rPr>
        <w:t> </w:t>
      </w:r>
      <w:r>
        <w:rPr/>
        <w:t>C.</w:t>
      </w:r>
      <w:r>
        <w:rPr>
          <w:spacing w:val="-1"/>
        </w:rPr>
        <w:t> </w:t>
      </w:r>
      <w:r>
        <w:rPr>
          <w:spacing w:val="-2"/>
        </w:rPr>
        <w:t>CHAGLA</w:t>
      </w:r>
    </w:p>
    <w:p>
      <w:pPr>
        <w:pStyle w:val="BodyText"/>
        <w:spacing w:before="4"/>
      </w:pPr>
    </w:p>
    <w:p>
      <w:pPr>
        <w:pStyle w:val="BodyText"/>
        <w:spacing w:line="484" w:lineRule="auto"/>
        <w:ind w:left="160" w:right="6860"/>
      </w:pPr>
      <w:r>
        <w:rPr/>
        <w:t>Minister</w:t>
      </w:r>
      <w:r>
        <w:rPr>
          <w:spacing w:val="-15"/>
        </w:rPr>
        <w:t> </w:t>
      </w:r>
      <w:r>
        <w:rPr/>
        <w:t>for</w:t>
      </w:r>
      <w:r>
        <w:rPr>
          <w:spacing w:val="-15"/>
        </w:rPr>
        <w:t> </w:t>
      </w:r>
      <w:r>
        <w:rPr/>
        <w:t>Education Government of India New Delhi</w:t>
      </w:r>
    </w:p>
    <w:p>
      <w:pPr>
        <w:spacing w:after="0" w:line="484" w:lineRule="auto"/>
        <w:sectPr>
          <w:pgSz w:w="12240" w:h="15840"/>
          <w:pgMar w:header="0" w:footer="743" w:top="1360" w:bottom="940" w:left="1640" w:right="1300"/>
        </w:sectPr>
      </w:pPr>
    </w:p>
    <w:p>
      <w:pPr>
        <w:pStyle w:val="Heading1"/>
        <w:spacing w:before="79"/>
        <w:ind w:right="630"/>
      </w:pPr>
      <w:bookmarkStart w:name="_TOC_250028" w:id="1"/>
      <w:r>
        <w:rPr/>
        <w:t>MEMBERS</w:t>
      </w:r>
      <w:r>
        <w:rPr>
          <w:spacing w:val="-5"/>
        </w:rPr>
        <w:t> </w:t>
      </w:r>
      <w:r>
        <w:rPr/>
        <w:t>OF</w:t>
      </w:r>
      <w:r>
        <w:rPr>
          <w:spacing w:val="-4"/>
        </w:rPr>
        <w:t> </w:t>
      </w:r>
      <w:r>
        <w:rPr/>
        <w:t>THE</w:t>
      </w:r>
      <w:r>
        <w:rPr>
          <w:spacing w:val="-5"/>
        </w:rPr>
        <w:t> </w:t>
      </w:r>
      <w:r>
        <w:rPr/>
        <w:t>EDUCATION</w:t>
      </w:r>
      <w:r>
        <w:rPr>
          <w:spacing w:val="-4"/>
        </w:rPr>
        <w:t> </w:t>
      </w:r>
      <w:bookmarkEnd w:id="1"/>
      <w:r>
        <w:rPr>
          <w:spacing w:val="-2"/>
        </w:rPr>
        <w:t>COMMISSION</w:t>
      </w:r>
    </w:p>
    <w:p>
      <w:pPr>
        <w:pStyle w:val="BodyText"/>
        <w:rPr>
          <w:b/>
        </w:rPr>
      </w:pPr>
    </w:p>
    <w:p>
      <w:pPr>
        <w:pStyle w:val="Heading2"/>
        <w:ind w:left="3522" w:right="3860"/>
        <w:jc w:val="center"/>
      </w:pPr>
      <w:r>
        <w:rPr>
          <w:spacing w:val="-2"/>
        </w:rPr>
        <w:t>Chairman</w:t>
      </w:r>
    </w:p>
    <w:p>
      <w:pPr>
        <w:pStyle w:val="BodyText"/>
        <w:spacing w:before="2"/>
        <w:rPr>
          <w:b/>
        </w:rPr>
      </w:pPr>
    </w:p>
    <w:p>
      <w:pPr>
        <w:pStyle w:val="ListParagraph"/>
        <w:numPr>
          <w:ilvl w:val="0"/>
          <w:numId w:val="1"/>
        </w:numPr>
        <w:tabs>
          <w:tab w:pos="466" w:val="left" w:leader="none"/>
        </w:tabs>
        <w:spacing w:line="240" w:lineRule="auto" w:before="0" w:after="0"/>
        <w:ind w:left="159" w:right="497" w:firstLine="0"/>
        <w:jc w:val="left"/>
        <w:rPr>
          <w:sz w:val="24"/>
        </w:rPr>
      </w:pPr>
      <w:r>
        <w:rPr>
          <w:sz w:val="24"/>
        </w:rPr>
        <w:t>PROFESSOR</w:t>
      </w:r>
      <w:r>
        <w:rPr>
          <w:spacing w:val="40"/>
          <w:sz w:val="24"/>
        </w:rPr>
        <w:t> </w:t>
      </w:r>
      <w:r>
        <w:rPr>
          <w:sz w:val="24"/>
        </w:rPr>
        <w:t>D.</w:t>
      </w:r>
      <w:r>
        <w:rPr>
          <w:spacing w:val="40"/>
          <w:sz w:val="24"/>
        </w:rPr>
        <w:t> </w:t>
      </w:r>
      <w:r>
        <w:rPr>
          <w:sz w:val="24"/>
        </w:rPr>
        <w:t>S.</w:t>
      </w:r>
      <w:r>
        <w:rPr>
          <w:spacing w:val="40"/>
          <w:sz w:val="24"/>
        </w:rPr>
        <w:t> </w:t>
      </w:r>
      <w:r>
        <w:rPr>
          <w:sz w:val="24"/>
        </w:rPr>
        <w:t>KOTHARI,</w:t>
      </w:r>
      <w:r>
        <w:rPr>
          <w:spacing w:val="40"/>
          <w:sz w:val="24"/>
        </w:rPr>
        <w:t> </w:t>
      </w:r>
      <w:r>
        <w:rPr>
          <w:sz w:val="24"/>
        </w:rPr>
        <w:t>Chairman,</w:t>
      </w:r>
      <w:r>
        <w:rPr>
          <w:spacing w:val="40"/>
          <w:sz w:val="24"/>
        </w:rPr>
        <w:t> </w:t>
      </w:r>
      <w:r>
        <w:rPr>
          <w:sz w:val="24"/>
        </w:rPr>
        <w:t>University</w:t>
      </w:r>
      <w:r>
        <w:rPr>
          <w:spacing w:val="40"/>
          <w:sz w:val="24"/>
        </w:rPr>
        <w:t> </w:t>
      </w:r>
      <w:r>
        <w:rPr>
          <w:sz w:val="24"/>
        </w:rPr>
        <w:t>Grants</w:t>
      </w:r>
      <w:r>
        <w:rPr>
          <w:spacing w:val="40"/>
          <w:sz w:val="24"/>
        </w:rPr>
        <w:t> </w:t>
      </w:r>
      <w:r>
        <w:rPr>
          <w:sz w:val="24"/>
        </w:rPr>
        <w:t>Commission,</w:t>
      </w:r>
      <w:r>
        <w:rPr>
          <w:spacing w:val="40"/>
          <w:sz w:val="24"/>
        </w:rPr>
        <w:t> </w:t>
      </w:r>
      <w:r>
        <w:rPr>
          <w:sz w:val="24"/>
        </w:rPr>
        <w:t>New </w:t>
      </w:r>
      <w:r>
        <w:rPr>
          <w:spacing w:val="-2"/>
          <w:sz w:val="24"/>
        </w:rPr>
        <w:t>Delhi.</w:t>
      </w:r>
    </w:p>
    <w:p>
      <w:pPr>
        <w:pStyle w:val="BodyText"/>
        <w:spacing w:before="6"/>
      </w:pPr>
    </w:p>
    <w:p>
      <w:pPr>
        <w:pStyle w:val="Heading2"/>
        <w:ind w:left="290" w:right="629"/>
        <w:jc w:val="center"/>
      </w:pPr>
      <w:r>
        <w:rPr>
          <w:spacing w:val="-2"/>
        </w:rPr>
        <w:t>Members</w:t>
      </w:r>
    </w:p>
    <w:p>
      <w:pPr>
        <w:pStyle w:val="BodyText"/>
        <w:spacing w:before="3"/>
        <w:rPr>
          <w:b/>
        </w:rPr>
      </w:pPr>
    </w:p>
    <w:p>
      <w:pPr>
        <w:pStyle w:val="ListParagraph"/>
        <w:numPr>
          <w:ilvl w:val="0"/>
          <w:numId w:val="1"/>
        </w:numPr>
        <w:tabs>
          <w:tab w:pos="480" w:val="left" w:leader="none"/>
        </w:tabs>
        <w:spacing w:line="240" w:lineRule="auto" w:before="0" w:after="0"/>
        <w:ind w:left="159" w:right="497" w:firstLine="0"/>
        <w:jc w:val="left"/>
        <w:rPr>
          <w:sz w:val="24"/>
        </w:rPr>
      </w:pPr>
      <w:r>
        <w:rPr>
          <w:sz w:val="24"/>
        </w:rPr>
        <w:t>Sum</w:t>
      </w:r>
      <w:r>
        <w:rPr>
          <w:spacing w:val="40"/>
          <w:sz w:val="24"/>
        </w:rPr>
        <w:t> </w:t>
      </w:r>
      <w:r>
        <w:rPr>
          <w:sz w:val="24"/>
        </w:rPr>
        <w:t>A.</w:t>
      </w:r>
      <w:r>
        <w:rPr>
          <w:spacing w:val="80"/>
          <w:sz w:val="24"/>
        </w:rPr>
        <w:t> </w:t>
      </w:r>
      <w:r>
        <w:rPr>
          <w:sz w:val="24"/>
        </w:rPr>
        <w:t>R.</w:t>
      </w:r>
      <w:r>
        <w:rPr>
          <w:spacing w:val="78"/>
          <w:sz w:val="24"/>
        </w:rPr>
        <w:t> </w:t>
      </w:r>
      <w:r>
        <w:rPr>
          <w:sz w:val="24"/>
        </w:rPr>
        <w:t>DAWOOD,</w:t>
      </w:r>
      <w:r>
        <w:rPr>
          <w:spacing w:val="78"/>
          <w:sz w:val="24"/>
        </w:rPr>
        <w:t> </w:t>
      </w:r>
      <w:r>
        <w:rPr>
          <w:sz w:val="24"/>
        </w:rPr>
        <w:t>formerly</w:t>
      </w:r>
      <w:r>
        <w:rPr>
          <w:spacing w:val="78"/>
          <w:sz w:val="24"/>
        </w:rPr>
        <w:t> </w:t>
      </w:r>
      <w:r>
        <w:rPr>
          <w:sz w:val="24"/>
        </w:rPr>
        <w:t>Officiating</w:t>
      </w:r>
      <w:r>
        <w:rPr>
          <w:spacing w:val="78"/>
          <w:sz w:val="24"/>
        </w:rPr>
        <w:t> </w:t>
      </w:r>
      <w:r>
        <w:rPr>
          <w:sz w:val="24"/>
        </w:rPr>
        <w:t>Director,</w:t>
      </w:r>
      <w:r>
        <w:rPr>
          <w:spacing w:val="78"/>
          <w:sz w:val="24"/>
        </w:rPr>
        <w:t> </w:t>
      </w:r>
      <w:r>
        <w:rPr>
          <w:sz w:val="24"/>
        </w:rPr>
        <w:t>Directorate</w:t>
      </w:r>
      <w:r>
        <w:rPr>
          <w:spacing w:val="78"/>
          <w:sz w:val="24"/>
        </w:rPr>
        <w:t> </w:t>
      </w:r>
      <w:r>
        <w:rPr>
          <w:sz w:val="24"/>
        </w:rPr>
        <w:t>of</w:t>
      </w:r>
      <w:r>
        <w:rPr>
          <w:spacing w:val="78"/>
          <w:sz w:val="24"/>
        </w:rPr>
        <w:t> </w:t>
      </w:r>
      <w:r>
        <w:rPr>
          <w:sz w:val="24"/>
        </w:rPr>
        <w:t>Extension Programmes for Secondary Education, New Delhi.</w:t>
      </w:r>
    </w:p>
    <w:p>
      <w:pPr>
        <w:pStyle w:val="BodyText"/>
        <w:spacing w:before="3"/>
      </w:pPr>
    </w:p>
    <w:p>
      <w:pPr>
        <w:pStyle w:val="ListParagraph"/>
        <w:numPr>
          <w:ilvl w:val="0"/>
          <w:numId w:val="1"/>
        </w:numPr>
        <w:tabs>
          <w:tab w:pos="397" w:val="left" w:leader="none"/>
        </w:tabs>
        <w:spacing w:line="240" w:lineRule="auto" w:before="1" w:after="0"/>
        <w:ind w:left="397" w:right="0" w:hanging="238"/>
        <w:jc w:val="left"/>
        <w:rPr>
          <w:sz w:val="24"/>
        </w:rPr>
      </w:pPr>
      <w:r>
        <w:rPr>
          <w:sz w:val="24"/>
        </w:rPr>
        <w:t>MR.</w:t>
      </w:r>
      <w:r>
        <w:rPr>
          <w:spacing w:val="-8"/>
          <w:sz w:val="24"/>
        </w:rPr>
        <w:t> </w:t>
      </w:r>
      <w:r>
        <w:rPr>
          <w:sz w:val="24"/>
        </w:rPr>
        <w:t>H.</w:t>
      </w:r>
      <w:r>
        <w:rPr>
          <w:spacing w:val="-5"/>
          <w:sz w:val="24"/>
        </w:rPr>
        <w:t> </w:t>
      </w:r>
      <w:r>
        <w:rPr>
          <w:sz w:val="24"/>
        </w:rPr>
        <w:t>L.</w:t>
      </w:r>
      <w:r>
        <w:rPr>
          <w:spacing w:val="-6"/>
          <w:sz w:val="24"/>
        </w:rPr>
        <w:t> </w:t>
      </w:r>
      <w:r>
        <w:rPr>
          <w:sz w:val="24"/>
        </w:rPr>
        <w:t>ELVIN,</w:t>
      </w:r>
      <w:r>
        <w:rPr>
          <w:spacing w:val="-5"/>
          <w:sz w:val="24"/>
        </w:rPr>
        <w:t> </w:t>
      </w:r>
      <w:r>
        <w:rPr>
          <w:sz w:val="24"/>
        </w:rPr>
        <w:t>Director,</w:t>
      </w:r>
      <w:r>
        <w:rPr>
          <w:spacing w:val="-6"/>
          <w:sz w:val="24"/>
        </w:rPr>
        <w:t> </w:t>
      </w:r>
      <w:r>
        <w:rPr>
          <w:sz w:val="24"/>
        </w:rPr>
        <w:t>Institute</w:t>
      </w:r>
      <w:r>
        <w:rPr>
          <w:spacing w:val="-5"/>
          <w:sz w:val="24"/>
        </w:rPr>
        <w:t> </w:t>
      </w:r>
      <w:r>
        <w:rPr>
          <w:sz w:val="24"/>
        </w:rPr>
        <w:t>of</w:t>
      </w:r>
      <w:r>
        <w:rPr>
          <w:spacing w:val="-6"/>
          <w:sz w:val="24"/>
        </w:rPr>
        <w:t> </w:t>
      </w:r>
      <w:r>
        <w:rPr>
          <w:sz w:val="24"/>
        </w:rPr>
        <w:t>Education,</w:t>
      </w:r>
      <w:r>
        <w:rPr>
          <w:spacing w:val="-5"/>
          <w:sz w:val="24"/>
        </w:rPr>
        <w:t> </w:t>
      </w:r>
      <w:r>
        <w:rPr>
          <w:sz w:val="24"/>
        </w:rPr>
        <w:t>University</w:t>
      </w:r>
      <w:r>
        <w:rPr>
          <w:spacing w:val="-6"/>
          <w:sz w:val="24"/>
        </w:rPr>
        <w:t> </w:t>
      </w:r>
      <w:r>
        <w:rPr>
          <w:sz w:val="24"/>
        </w:rPr>
        <w:t>of</w:t>
      </w:r>
      <w:r>
        <w:rPr>
          <w:spacing w:val="-5"/>
          <w:sz w:val="24"/>
        </w:rPr>
        <w:t> </w:t>
      </w:r>
      <w:r>
        <w:rPr>
          <w:sz w:val="24"/>
        </w:rPr>
        <w:t>London,</w:t>
      </w:r>
      <w:r>
        <w:rPr>
          <w:spacing w:val="-5"/>
          <w:sz w:val="24"/>
        </w:rPr>
        <w:t> </w:t>
      </w:r>
      <w:r>
        <w:rPr>
          <w:spacing w:val="-2"/>
          <w:sz w:val="24"/>
        </w:rPr>
        <w:t>London.</w:t>
      </w:r>
    </w:p>
    <w:p>
      <w:pPr>
        <w:pStyle w:val="BodyText"/>
        <w:spacing w:before="2"/>
      </w:pPr>
    </w:p>
    <w:p>
      <w:pPr>
        <w:pStyle w:val="ListParagraph"/>
        <w:numPr>
          <w:ilvl w:val="0"/>
          <w:numId w:val="1"/>
        </w:numPr>
        <w:tabs>
          <w:tab w:pos="437" w:val="left" w:leader="none"/>
        </w:tabs>
        <w:spacing w:line="240" w:lineRule="auto" w:before="0" w:after="0"/>
        <w:ind w:left="159" w:right="497" w:firstLine="0"/>
        <w:jc w:val="left"/>
        <w:rPr>
          <w:sz w:val="24"/>
        </w:rPr>
      </w:pPr>
      <w:r>
        <w:rPr>
          <w:sz w:val="24"/>
        </w:rPr>
        <w:t>SHRI</w:t>
      </w:r>
      <w:r>
        <w:rPr>
          <w:spacing w:val="38"/>
          <w:sz w:val="24"/>
        </w:rPr>
        <w:t> </w:t>
      </w:r>
      <w:r>
        <w:rPr>
          <w:sz w:val="24"/>
        </w:rPr>
        <w:t>R.</w:t>
      </w:r>
      <w:r>
        <w:rPr>
          <w:spacing w:val="36"/>
          <w:sz w:val="24"/>
        </w:rPr>
        <w:t> </w:t>
      </w:r>
      <w:r>
        <w:rPr>
          <w:sz w:val="24"/>
        </w:rPr>
        <w:t>A.</w:t>
      </w:r>
      <w:r>
        <w:rPr>
          <w:spacing w:val="36"/>
          <w:sz w:val="24"/>
        </w:rPr>
        <w:t> </w:t>
      </w:r>
      <w:r>
        <w:rPr>
          <w:sz w:val="24"/>
        </w:rPr>
        <w:t>GOPALASWAMI,</w:t>
      </w:r>
      <w:r>
        <w:rPr>
          <w:spacing w:val="36"/>
          <w:sz w:val="24"/>
        </w:rPr>
        <w:t> </w:t>
      </w:r>
      <w:r>
        <w:rPr>
          <w:sz w:val="24"/>
        </w:rPr>
        <w:t>Director,</w:t>
      </w:r>
      <w:r>
        <w:rPr>
          <w:spacing w:val="36"/>
          <w:sz w:val="24"/>
        </w:rPr>
        <w:t> </w:t>
      </w:r>
      <w:r>
        <w:rPr>
          <w:sz w:val="24"/>
        </w:rPr>
        <w:t>Institute</w:t>
      </w:r>
      <w:r>
        <w:rPr>
          <w:spacing w:val="36"/>
          <w:sz w:val="24"/>
        </w:rPr>
        <w:t> </w:t>
      </w:r>
      <w:r>
        <w:rPr>
          <w:sz w:val="24"/>
        </w:rPr>
        <w:t>of</w:t>
      </w:r>
      <w:r>
        <w:rPr>
          <w:spacing w:val="36"/>
          <w:sz w:val="24"/>
        </w:rPr>
        <w:t> </w:t>
      </w:r>
      <w:r>
        <w:rPr>
          <w:sz w:val="24"/>
        </w:rPr>
        <w:t>Applied</w:t>
      </w:r>
      <w:r>
        <w:rPr>
          <w:spacing w:val="36"/>
          <w:sz w:val="24"/>
        </w:rPr>
        <w:t> </w:t>
      </w:r>
      <w:r>
        <w:rPr>
          <w:sz w:val="24"/>
        </w:rPr>
        <w:t>Manpower</w:t>
      </w:r>
      <w:r>
        <w:rPr>
          <w:spacing w:val="36"/>
          <w:sz w:val="24"/>
        </w:rPr>
        <w:t> </w:t>
      </w:r>
      <w:r>
        <w:rPr>
          <w:sz w:val="24"/>
        </w:rPr>
        <w:t>Research. New Delhi (since retired).</w:t>
      </w:r>
    </w:p>
    <w:p>
      <w:pPr>
        <w:pStyle w:val="BodyText"/>
        <w:spacing w:before="5"/>
      </w:pPr>
    </w:p>
    <w:p>
      <w:pPr>
        <w:pStyle w:val="ListParagraph"/>
        <w:numPr>
          <w:ilvl w:val="0"/>
          <w:numId w:val="1"/>
        </w:numPr>
        <w:tabs>
          <w:tab w:pos="447" w:val="left" w:leader="none"/>
        </w:tabs>
        <w:spacing w:line="240" w:lineRule="auto" w:before="0" w:after="0"/>
        <w:ind w:left="159" w:right="499" w:firstLine="0"/>
        <w:jc w:val="left"/>
        <w:rPr>
          <w:sz w:val="24"/>
        </w:rPr>
      </w:pPr>
      <w:r>
        <w:rPr>
          <w:sz w:val="24"/>
        </w:rPr>
        <w:t>PROFESSOR</w:t>
      </w:r>
      <w:r>
        <w:rPr>
          <w:spacing w:val="40"/>
          <w:sz w:val="24"/>
        </w:rPr>
        <w:t> </w:t>
      </w:r>
      <w:r>
        <w:rPr>
          <w:sz w:val="24"/>
        </w:rPr>
        <w:t>SADATOSHI</w:t>
      </w:r>
      <w:r>
        <w:rPr>
          <w:spacing w:val="40"/>
          <w:sz w:val="24"/>
        </w:rPr>
        <w:t> </w:t>
      </w:r>
      <w:r>
        <w:rPr>
          <w:sz w:val="24"/>
        </w:rPr>
        <w:t>IHARA,</w:t>
      </w:r>
      <w:r>
        <w:rPr>
          <w:spacing w:val="40"/>
          <w:sz w:val="24"/>
        </w:rPr>
        <w:t> </w:t>
      </w:r>
      <w:r>
        <w:rPr>
          <w:sz w:val="24"/>
        </w:rPr>
        <w:t>School</w:t>
      </w:r>
      <w:r>
        <w:rPr>
          <w:spacing w:val="40"/>
          <w:sz w:val="24"/>
        </w:rPr>
        <w:t> </w:t>
      </w:r>
      <w:r>
        <w:rPr>
          <w:sz w:val="24"/>
        </w:rPr>
        <w:t>of</w:t>
      </w:r>
      <w:r>
        <w:rPr>
          <w:spacing w:val="40"/>
          <w:sz w:val="24"/>
        </w:rPr>
        <w:t> </w:t>
      </w:r>
      <w:r>
        <w:rPr>
          <w:sz w:val="24"/>
        </w:rPr>
        <w:t>Science</w:t>
      </w:r>
      <w:r>
        <w:rPr>
          <w:spacing w:val="40"/>
          <w:sz w:val="24"/>
        </w:rPr>
        <w:t> </w:t>
      </w:r>
      <w:r>
        <w:rPr>
          <w:sz w:val="24"/>
        </w:rPr>
        <w:t>and</w:t>
      </w:r>
      <w:r>
        <w:rPr>
          <w:spacing w:val="40"/>
          <w:sz w:val="24"/>
        </w:rPr>
        <w:t> </w:t>
      </w:r>
      <w:r>
        <w:rPr>
          <w:sz w:val="24"/>
        </w:rPr>
        <w:t>Engineering,</w:t>
      </w:r>
      <w:r>
        <w:rPr>
          <w:spacing w:val="40"/>
          <w:sz w:val="24"/>
        </w:rPr>
        <w:t> </w:t>
      </w:r>
      <w:r>
        <w:rPr>
          <w:sz w:val="24"/>
        </w:rPr>
        <w:t>Waseda University, Tokyo.</w:t>
      </w:r>
    </w:p>
    <w:p>
      <w:pPr>
        <w:pStyle w:val="BodyText"/>
        <w:spacing w:before="3"/>
      </w:pPr>
    </w:p>
    <w:p>
      <w:pPr>
        <w:pStyle w:val="ListParagraph"/>
        <w:numPr>
          <w:ilvl w:val="0"/>
          <w:numId w:val="1"/>
        </w:numPr>
        <w:tabs>
          <w:tab w:pos="447" w:val="left" w:leader="none"/>
        </w:tabs>
        <w:spacing w:line="240" w:lineRule="auto" w:before="1" w:after="0"/>
        <w:ind w:left="159" w:right="498" w:firstLine="0"/>
        <w:jc w:val="left"/>
        <w:rPr>
          <w:sz w:val="24"/>
        </w:rPr>
      </w:pPr>
      <w:r>
        <w:rPr>
          <w:sz w:val="24"/>
        </w:rPr>
        <w:t>DR.</w:t>
      </w:r>
      <w:r>
        <w:rPr>
          <w:spacing w:val="40"/>
          <w:sz w:val="24"/>
        </w:rPr>
        <w:t> </w:t>
      </w:r>
      <w:r>
        <w:rPr>
          <w:sz w:val="24"/>
        </w:rPr>
        <w:t>V.</w:t>
      </w:r>
      <w:r>
        <w:rPr>
          <w:spacing w:val="40"/>
          <w:sz w:val="24"/>
        </w:rPr>
        <w:t> </w:t>
      </w:r>
      <w:r>
        <w:rPr>
          <w:sz w:val="24"/>
        </w:rPr>
        <w:t>S.</w:t>
      </w:r>
      <w:r>
        <w:rPr>
          <w:spacing w:val="40"/>
          <w:sz w:val="24"/>
        </w:rPr>
        <w:t> </w:t>
      </w:r>
      <w:r>
        <w:rPr>
          <w:sz w:val="24"/>
        </w:rPr>
        <w:t>JHA,</w:t>
      </w:r>
      <w:r>
        <w:rPr>
          <w:spacing w:val="40"/>
          <w:sz w:val="24"/>
        </w:rPr>
        <w:t> </w:t>
      </w:r>
      <w:r>
        <w:rPr>
          <w:sz w:val="24"/>
        </w:rPr>
        <w:t>formerly</w:t>
      </w:r>
      <w:r>
        <w:rPr>
          <w:spacing w:val="40"/>
          <w:sz w:val="24"/>
        </w:rPr>
        <w:t> </w:t>
      </w:r>
      <w:r>
        <w:rPr>
          <w:sz w:val="24"/>
        </w:rPr>
        <w:t>Director</w:t>
      </w:r>
      <w:r>
        <w:rPr>
          <w:spacing w:val="40"/>
          <w:sz w:val="24"/>
        </w:rPr>
        <w:t> </w:t>
      </w:r>
      <w:r>
        <w:rPr>
          <w:sz w:val="24"/>
        </w:rPr>
        <w:t>of</w:t>
      </w:r>
      <w:r>
        <w:rPr>
          <w:spacing w:val="40"/>
          <w:sz w:val="24"/>
        </w:rPr>
        <w:t> </w:t>
      </w:r>
      <w:r>
        <w:rPr>
          <w:sz w:val="24"/>
        </w:rPr>
        <w:t>the</w:t>
      </w:r>
      <w:r>
        <w:rPr>
          <w:spacing w:val="40"/>
          <w:sz w:val="24"/>
        </w:rPr>
        <w:t> </w:t>
      </w:r>
      <w:r>
        <w:rPr>
          <w:sz w:val="24"/>
        </w:rPr>
        <w:t>Commonwealth</w:t>
      </w:r>
      <w:r>
        <w:rPr>
          <w:spacing w:val="40"/>
          <w:sz w:val="24"/>
        </w:rPr>
        <w:t> </w:t>
      </w:r>
      <w:r>
        <w:rPr>
          <w:sz w:val="24"/>
        </w:rPr>
        <w:t>Education</w:t>
      </w:r>
      <w:r>
        <w:rPr>
          <w:spacing w:val="40"/>
          <w:sz w:val="24"/>
        </w:rPr>
        <w:t> </w:t>
      </w:r>
      <w:r>
        <w:rPr>
          <w:sz w:val="24"/>
        </w:rPr>
        <w:t>Liaison</w:t>
      </w:r>
      <w:r>
        <w:rPr>
          <w:spacing w:val="40"/>
          <w:sz w:val="24"/>
        </w:rPr>
        <w:t> </w:t>
      </w:r>
      <w:r>
        <w:rPr>
          <w:sz w:val="24"/>
        </w:rPr>
        <w:t>Unit, </w:t>
      </w:r>
      <w:r>
        <w:rPr>
          <w:spacing w:val="-2"/>
          <w:sz w:val="24"/>
        </w:rPr>
        <w:t>London.</w:t>
      </w:r>
    </w:p>
    <w:p>
      <w:pPr>
        <w:pStyle w:val="BodyText"/>
        <w:spacing w:before="3"/>
      </w:pPr>
    </w:p>
    <w:p>
      <w:pPr>
        <w:pStyle w:val="ListParagraph"/>
        <w:numPr>
          <w:ilvl w:val="0"/>
          <w:numId w:val="1"/>
        </w:numPr>
        <w:tabs>
          <w:tab w:pos="412" w:val="left" w:leader="none"/>
        </w:tabs>
        <w:spacing w:line="240" w:lineRule="auto" w:before="0" w:after="0"/>
        <w:ind w:left="159" w:right="497" w:firstLine="0"/>
        <w:jc w:val="left"/>
        <w:rPr>
          <w:sz w:val="24"/>
        </w:rPr>
      </w:pPr>
      <w:r>
        <w:rPr>
          <w:sz w:val="24"/>
        </w:rPr>
        <w:t>SHRI P. N. KIRPAL, Educational Adviser and Secretary to the Government of India, Ministry of Education, New Delhi.</w:t>
      </w:r>
    </w:p>
    <w:p>
      <w:pPr>
        <w:pStyle w:val="BodyText"/>
        <w:spacing w:before="5"/>
      </w:pPr>
    </w:p>
    <w:p>
      <w:pPr>
        <w:pStyle w:val="ListParagraph"/>
        <w:numPr>
          <w:ilvl w:val="0"/>
          <w:numId w:val="1"/>
        </w:numPr>
        <w:tabs>
          <w:tab w:pos="424" w:val="left" w:leader="none"/>
        </w:tabs>
        <w:spacing w:line="240" w:lineRule="auto" w:before="0" w:after="0"/>
        <w:ind w:left="159" w:right="497" w:firstLine="0"/>
        <w:jc w:val="both"/>
        <w:rPr>
          <w:sz w:val="24"/>
        </w:rPr>
      </w:pPr>
      <w:r>
        <w:rPr>
          <w:sz w:val="24"/>
        </w:rPr>
        <w:t>PROFESSOR M. V. MATHUR, Professor of Economics and Public Administration, University of Rajasthan, Jaipur (now Vice-Chancellor, Rajasthan University).</w:t>
      </w:r>
    </w:p>
    <w:p>
      <w:pPr>
        <w:pStyle w:val="BodyText"/>
        <w:spacing w:before="4"/>
      </w:pPr>
    </w:p>
    <w:p>
      <w:pPr>
        <w:pStyle w:val="ListParagraph"/>
        <w:numPr>
          <w:ilvl w:val="0"/>
          <w:numId w:val="1"/>
        </w:numPr>
        <w:tabs>
          <w:tab w:pos="446" w:val="left" w:leader="none"/>
        </w:tabs>
        <w:spacing w:line="240" w:lineRule="auto" w:before="0" w:after="0"/>
        <w:ind w:left="159" w:right="496" w:firstLine="0"/>
        <w:jc w:val="both"/>
        <w:rPr>
          <w:sz w:val="24"/>
        </w:rPr>
      </w:pPr>
      <w:r>
        <w:rPr>
          <w:sz w:val="24"/>
        </w:rPr>
        <w:t>DR. B. P. PAL, Director, Indian Agricultural Research Institute, New Delhi (now Director-General, and Vice-President, Indian Council of Agricultural Research and Additional Secretary to the Government of India, Ministry of Food and Agriculture).</w:t>
      </w:r>
    </w:p>
    <w:p>
      <w:pPr>
        <w:pStyle w:val="BodyText"/>
        <w:spacing w:before="3"/>
      </w:pPr>
    </w:p>
    <w:p>
      <w:pPr>
        <w:pStyle w:val="ListParagraph"/>
        <w:numPr>
          <w:ilvl w:val="0"/>
          <w:numId w:val="1"/>
        </w:numPr>
        <w:tabs>
          <w:tab w:pos="585" w:val="left" w:leader="none"/>
        </w:tabs>
        <w:spacing w:line="240" w:lineRule="auto" w:before="0" w:after="0"/>
        <w:ind w:left="159" w:right="497" w:firstLine="0"/>
        <w:jc w:val="both"/>
        <w:rPr>
          <w:sz w:val="24"/>
        </w:rPr>
      </w:pPr>
      <w:r>
        <w:rPr>
          <w:sz w:val="24"/>
        </w:rPr>
        <w:t>KUMARI S. PANANDIKAR, Head of the Department of Education, Karnatak 'University, Dharwar (since retired).</w:t>
      </w:r>
    </w:p>
    <w:p>
      <w:pPr>
        <w:pStyle w:val="BodyText"/>
        <w:spacing w:before="5"/>
      </w:pPr>
    </w:p>
    <w:p>
      <w:pPr>
        <w:pStyle w:val="ListParagraph"/>
        <w:numPr>
          <w:ilvl w:val="0"/>
          <w:numId w:val="1"/>
        </w:numPr>
        <w:tabs>
          <w:tab w:pos="532" w:val="left" w:leader="none"/>
        </w:tabs>
        <w:spacing w:line="240" w:lineRule="auto" w:before="0" w:after="0"/>
        <w:ind w:left="159" w:right="499" w:firstLine="0"/>
        <w:jc w:val="left"/>
        <w:rPr>
          <w:sz w:val="24"/>
        </w:rPr>
      </w:pPr>
      <w:r>
        <w:rPr>
          <w:sz w:val="24"/>
        </w:rPr>
        <w:t>PROFESSOR ROGER REVELLE, Director, Centre for Population Studies, Harvard School of Public Health, Harvard University, Cambridge, USA.</w:t>
      </w:r>
    </w:p>
    <w:p>
      <w:pPr>
        <w:pStyle w:val="BodyText"/>
        <w:spacing w:before="4"/>
      </w:pPr>
    </w:p>
    <w:p>
      <w:pPr>
        <w:pStyle w:val="ListParagraph"/>
        <w:numPr>
          <w:ilvl w:val="0"/>
          <w:numId w:val="1"/>
        </w:numPr>
        <w:tabs>
          <w:tab w:pos="561" w:val="left" w:leader="none"/>
        </w:tabs>
        <w:spacing w:line="240" w:lineRule="auto" w:before="0" w:after="0"/>
        <w:ind w:left="159" w:right="498" w:firstLine="0"/>
        <w:jc w:val="left"/>
        <w:rPr>
          <w:sz w:val="24"/>
        </w:rPr>
      </w:pPr>
      <w:r>
        <w:rPr>
          <w:sz w:val="24"/>
        </w:rPr>
        <w:t>DR.</w:t>
      </w:r>
      <w:r>
        <w:rPr>
          <w:spacing w:val="40"/>
          <w:sz w:val="24"/>
        </w:rPr>
        <w:t> </w:t>
      </w:r>
      <w:r>
        <w:rPr>
          <w:sz w:val="24"/>
        </w:rPr>
        <w:t>K.</w:t>
      </w:r>
      <w:r>
        <w:rPr>
          <w:spacing w:val="40"/>
          <w:sz w:val="24"/>
        </w:rPr>
        <w:t> </w:t>
      </w:r>
      <w:r>
        <w:rPr>
          <w:sz w:val="24"/>
        </w:rPr>
        <w:t>G.</w:t>
      </w:r>
      <w:r>
        <w:rPr>
          <w:spacing w:val="40"/>
          <w:sz w:val="24"/>
        </w:rPr>
        <w:t> </w:t>
      </w:r>
      <w:r>
        <w:rPr>
          <w:sz w:val="24"/>
        </w:rPr>
        <w:t>SAIYIDAIN,</w:t>
      </w:r>
      <w:r>
        <w:rPr>
          <w:spacing w:val="40"/>
          <w:sz w:val="24"/>
        </w:rPr>
        <w:t> </w:t>
      </w:r>
      <w:r>
        <w:rPr>
          <w:sz w:val="24"/>
        </w:rPr>
        <w:t>former</w:t>
      </w:r>
      <w:r>
        <w:rPr>
          <w:spacing w:val="40"/>
          <w:sz w:val="24"/>
        </w:rPr>
        <w:t> </w:t>
      </w:r>
      <w:r>
        <w:rPr>
          <w:sz w:val="24"/>
        </w:rPr>
        <w:t>Educational</w:t>
      </w:r>
      <w:r>
        <w:rPr>
          <w:spacing w:val="40"/>
          <w:sz w:val="24"/>
        </w:rPr>
        <w:t> </w:t>
      </w:r>
      <w:r>
        <w:rPr>
          <w:sz w:val="24"/>
        </w:rPr>
        <w:t>Adviser</w:t>
      </w:r>
      <w:r>
        <w:rPr>
          <w:spacing w:val="40"/>
          <w:sz w:val="24"/>
        </w:rPr>
        <w:t> </w:t>
      </w:r>
      <w:r>
        <w:rPr>
          <w:sz w:val="24"/>
        </w:rPr>
        <w:t>to</w:t>
      </w:r>
      <w:r>
        <w:rPr>
          <w:spacing w:val="40"/>
          <w:sz w:val="24"/>
        </w:rPr>
        <w:t> </w:t>
      </w:r>
      <w:r>
        <w:rPr>
          <w:sz w:val="24"/>
        </w:rPr>
        <w:t>the</w:t>
      </w:r>
      <w:r>
        <w:rPr>
          <w:spacing w:val="40"/>
          <w:sz w:val="24"/>
        </w:rPr>
        <w:t> </w:t>
      </w:r>
      <w:r>
        <w:rPr>
          <w:sz w:val="24"/>
        </w:rPr>
        <w:t>Government</w:t>
      </w:r>
      <w:r>
        <w:rPr>
          <w:spacing w:val="40"/>
          <w:sz w:val="24"/>
        </w:rPr>
        <w:t> </w:t>
      </w:r>
      <w:r>
        <w:rPr>
          <w:sz w:val="24"/>
        </w:rPr>
        <w:t>of</w:t>
      </w:r>
      <w:r>
        <w:rPr>
          <w:spacing w:val="40"/>
          <w:sz w:val="24"/>
        </w:rPr>
        <w:t> </w:t>
      </w:r>
      <w:r>
        <w:rPr>
          <w:sz w:val="24"/>
        </w:rPr>
        <w:t>India (now Director, Asian Institute of Educational Planning and Administration, New Delhi).</w:t>
      </w:r>
    </w:p>
    <w:p>
      <w:pPr>
        <w:pStyle w:val="BodyText"/>
        <w:spacing w:before="5"/>
      </w:pPr>
    </w:p>
    <w:p>
      <w:pPr>
        <w:pStyle w:val="ListParagraph"/>
        <w:numPr>
          <w:ilvl w:val="0"/>
          <w:numId w:val="1"/>
        </w:numPr>
        <w:tabs>
          <w:tab w:pos="519" w:val="left" w:leader="none"/>
        </w:tabs>
        <w:spacing w:line="240" w:lineRule="auto" w:before="0" w:after="0"/>
        <w:ind w:left="519" w:right="0" w:hanging="360"/>
        <w:jc w:val="left"/>
        <w:rPr>
          <w:sz w:val="24"/>
        </w:rPr>
      </w:pPr>
      <w:r>
        <w:rPr>
          <w:sz w:val="24"/>
        </w:rPr>
        <w:t>DR. T. SEN, Vice-Chancellor, Jadavpur University, </w:t>
      </w:r>
      <w:r>
        <w:rPr>
          <w:spacing w:val="-2"/>
          <w:sz w:val="24"/>
        </w:rPr>
        <w:t>Calcutta.</w:t>
      </w:r>
    </w:p>
    <w:p>
      <w:pPr>
        <w:spacing w:after="0" w:line="240" w:lineRule="auto"/>
        <w:jc w:val="left"/>
        <w:rPr>
          <w:sz w:val="24"/>
        </w:rPr>
        <w:sectPr>
          <w:pgSz w:w="12240" w:h="15840"/>
          <w:pgMar w:header="0" w:footer="743" w:top="1360" w:bottom="940" w:left="1640" w:right="1300"/>
        </w:sectPr>
      </w:pPr>
    </w:p>
    <w:p>
      <w:pPr>
        <w:pStyle w:val="ListParagraph"/>
        <w:numPr>
          <w:ilvl w:val="0"/>
          <w:numId w:val="1"/>
        </w:numPr>
        <w:tabs>
          <w:tab w:pos="536" w:val="left" w:leader="none"/>
        </w:tabs>
        <w:spacing w:line="240" w:lineRule="auto" w:before="76" w:after="0"/>
        <w:ind w:left="159" w:right="497" w:firstLine="0"/>
        <w:jc w:val="both"/>
        <w:rPr>
          <w:sz w:val="24"/>
        </w:rPr>
      </w:pPr>
      <w:r>
        <w:rPr>
          <w:sz w:val="24"/>
        </w:rPr>
        <w:t>PROFESSOR S. A. SHUMOVSKY, Director, Methodological Division, Ministry </w:t>
      </w:r>
      <w:r>
        <w:rPr>
          <w:sz w:val="24"/>
        </w:rPr>
        <w:t>of Higher and Special Secondary Education, RSFSR, and Professor of Physics, Moscow University, Moscow.</w:t>
      </w:r>
    </w:p>
    <w:p>
      <w:pPr>
        <w:pStyle w:val="BodyText"/>
        <w:spacing w:before="4"/>
      </w:pPr>
    </w:p>
    <w:p>
      <w:pPr>
        <w:pStyle w:val="ListParagraph"/>
        <w:numPr>
          <w:ilvl w:val="0"/>
          <w:numId w:val="1"/>
        </w:numPr>
        <w:tabs>
          <w:tab w:pos="525" w:val="left" w:leader="none"/>
        </w:tabs>
        <w:spacing w:line="240" w:lineRule="auto" w:before="0" w:after="0"/>
        <w:ind w:left="159" w:right="499" w:firstLine="0"/>
        <w:jc w:val="both"/>
        <w:rPr>
          <w:sz w:val="24"/>
        </w:rPr>
      </w:pPr>
      <w:r>
        <w:rPr>
          <w:sz w:val="24"/>
        </w:rPr>
        <w:t>M. JEAN THOMAS, Inspector-General of Education, France, and formerly </w:t>
      </w:r>
      <w:r>
        <w:rPr>
          <w:sz w:val="24"/>
        </w:rPr>
        <w:t>Assistant Director-General of UNESCO, Paris.</w:t>
      </w:r>
    </w:p>
    <w:p>
      <w:pPr>
        <w:pStyle w:val="BodyText"/>
        <w:spacing w:before="7"/>
      </w:pPr>
    </w:p>
    <w:p>
      <w:pPr>
        <w:pStyle w:val="Heading2"/>
        <w:ind w:left="292" w:right="629"/>
        <w:jc w:val="center"/>
      </w:pPr>
      <w:r>
        <w:rPr/>
        <w:t>Member-</w:t>
      </w:r>
      <w:r>
        <w:rPr>
          <w:spacing w:val="-2"/>
        </w:rPr>
        <w:t>Secretary</w:t>
      </w:r>
    </w:p>
    <w:p>
      <w:pPr>
        <w:pStyle w:val="BodyText"/>
        <w:spacing w:before="3"/>
        <w:rPr>
          <w:b/>
        </w:rPr>
      </w:pPr>
    </w:p>
    <w:p>
      <w:pPr>
        <w:pStyle w:val="ListParagraph"/>
        <w:numPr>
          <w:ilvl w:val="0"/>
          <w:numId w:val="1"/>
        </w:numPr>
        <w:tabs>
          <w:tab w:pos="537" w:val="left" w:leader="none"/>
        </w:tabs>
        <w:spacing w:line="240" w:lineRule="auto" w:before="0" w:after="0"/>
        <w:ind w:left="159" w:right="498" w:firstLine="0"/>
        <w:jc w:val="both"/>
        <w:rPr>
          <w:sz w:val="24"/>
        </w:rPr>
      </w:pPr>
      <w:r>
        <w:rPr>
          <w:sz w:val="24"/>
        </w:rPr>
        <w:t>SHRI J. P. NAIK, Head of the Department of Educational Planning, Administration and Finance, Gokhale Institute of Politics and Economics, Poona.</w:t>
      </w:r>
    </w:p>
    <w:p>
      <w:pPr>
        <w:pStyle w:val="BodyText"/>
        <w:spacing w:before="5"/>
      </w:pPr>
    </w:p>
    <w:p>
      <w:pPr>
        <w:pStyle w:val="Heading2"/>
        <w:ind w:left="291" w:right="629"/>
        <w:jc w:val="center"/>
      </w:pPr>
      <w:r>
        <w:rPr/>
        <w:t>Associate </w:t>
      </w:r>
      <w:r>
        <w:rPr>
          <w:spacing w:val="-2"/>
        </w:rPr>
        <w:t>Secretary</w:t>
      </w:r>
    </w:p>
    <w:p>
      <w:pPr>
        <w:pStyle w:val="BodyText"/>
        <w:spacing w:before="2"/>
        <w:rPr>
          <w:b/>
        </w:rPr>
      </w:pPr>
    </w:p>
    <w:p>
      <w:pPr>
        <w:pStyle w:val="ListParagraph"/>
        <w:numPr>
          <w:ilvl w:val="0"/>
          <w:numId w:val="1"/>
        </w:numPr>
        <w:tabs>
          <w:tab w:pos="568" w:val="left" w:leader="none"/>
        </w:tabs>
        <w:spacing w:line="240" w:lineRule="auto" w:before="0" w:after="0"/>
        <w:ind w:left="160" w:right="497" w:firstLine="0"/>
        <w:jc w:val="both"/>
        <w:rPr>
          <w:sz w:val="24"/>
        </w:rPr>
      </w:pPr>
      <w:r>
        <w:rPr>
          <w:sz w:val="24"/>
        </w:rPr>
        <w:t>MR. J. F. MCDOUGALL, Assistant Director, Department of School and Higher Education, UNESCO, Paris.</w:t>
      </w:r>
    </w:p>
    <w:p>
      <w:pPr>
        <w:spacing w:after="0" w:line="240" w:lineRule="auto"/>
        <w:jc w:val="both"/>
        <w:rPr>
          <w:sz w:val="24"/>
        </w:rPr>
        <w:sectPr>
          <w:pgSz w:w="12240" w:h="15840"/>
          <w:pgMar w:header="0" w:footer="743" w:top="1360" w:bottom="940" w:left="1640" w:right="1300"/>
        </w:sectPr>
      </w:pPr>
    </w:p>
    <w:p>
      <w:pPr>
        <w:pStyle w:val="Heading1"/>
        <w:spacing w:before="79"/>
      </w:pPr>
      <w:bookmarkStart w:name="_TOC_250027" w:id="2"/>
      <w:bookmarkEnd w:id="2"/>
      <w:r>
        <w:rPr>
          <w:spacing w:val="-2"/>
        </w:rPr>
        <w:t>FOREWORD</w:t>
      </w:r>
    </w:p>
    <w:p>
      <w:pPr>
        <w:pStyle w:val="BodyText"/>
        <w:rPr>
          <w:b/>
        </w:rPr>
      </w:pPr>
    </w:p>
    <w:p>
      <w:pPr>
        <w:pStyle w:val="BodyText"/>
        <w:spacing w:before="2"/>
        <w:rPr>
          <w:b/>
        </w:rPr>
      </w:pPr>
    </w:p>
    <w:p>
      <w:pPr>
        <w:pStyle w:val="BodyText"/>
        <w:ind w:left="160" w:right="496"/>
        <w:jc w:val="both"/>
      </w:pPr>
      <w:r>
        <w:rPr/>
        <w:t>The Education Commission was appointed by the Government of India by a Resolution, dated 14 July 1964, to advise the Government on the national pattern of education and on the general principles and policies for the development of education at all stages and in</w:t>
      </w:r>
      <w:r>
        <w:rPr>
          <w:spacing w:val="40"/>
        </w:rPr>
        <w:t> </w:t>
      </w:r>
      <w:r>
        <w:rPr/>
        <w:t>all aspects.*</w:t>
      </w:r>
    </w:p>
    <w:p>
      <w:pPr>
        <w:pStyle w:val="BodyText"/>
        <w:spacing w:before="4"/>
      </w:pPr>
    </w:p>
    <w:p>
      <w:pPr>
        <w:pStyle w:val="BodyText"/>
        <w:ind w:left="159" w:right="496"/>
        <w:jc w:val="both"/>
      </w:pPr>
      <w:r>
        <w:rPr/>
        <w:t>We began our task twenty-one months ago, on October 2, 1964, Mahatma Gandhi's birthday.</w:t>
      </w:r>
      <w:r>
        <w:rPr>
          <w:spacing w:val="-1"/>
        </w:rPr>
        <w:t> </w:t>
      </w:r>
      <w:r>
        <w:rPr/>
        <w:t>From</w:t>
      </w:r>
      <w:r>
        <w:rPr>
          <w:spacing w:val="-2"/>
        </w:rPr>
        <w:t> </w:t>
      </w:r>
      <w:r>
        <w:rPr/>
        <w:t>the</w:t>
      </w:r>
      <w:r>
        <w:rPr>
          <w:spacing w:val="-1"/>
        </w:rPr>
        <w:t> </w:t>
      </w:r>
      <w:r>
        <w:rPr/>
        <w:t>very</w:t>
      </w:r>
      <w:r>
        <w:rPr>
          <w:spacing w:val="-1"/>
        </w:rPr>
        <w:t> </w:t>
      </w:r>
      <w:r>
        <w:rPr/>
        <w:t>beginning</w:t>
      </w:r>
      <w:r>
        <w:rPr>
          <w:spacing w:val="-1"/>
        </w:rPr>
        <w:t> </w:t>
      </w:r>
      <w:r>
        <w:rPr/>
        <w:t>we</w:t>
      </w:r>
      <w:r>
        <w:rPr>
          <w:spacing w:val="-1"/>
        </w:rPr>
        <w:t> </w:t>
      </w:r>
      <w:r>
        <w:rPr/>
        <w:t>have</w:t>
      </w:r>
      <w:r>
        <w:rPr>
          <w:spacing w:val="-1"/>
        </w:rPr>
        <w:t> </w:t>
      </w:r>
      <w:r>
        <w:rPr/>
        <w:t>been</w:t>
      </w:r>
      <w:r>
        <w:rPr>
          <w:spacing w:val="-1"/>
        </w:rPr>
        <w:t> </w:t>
      </w:r>
      <w:r>
        <w:rPr/>
        <w:t>conscious</w:t>
      </w:r>
      <w:r>
        <w:rPr>
          <w:spacing w:val="-1"/>
        </w:rPr>
        <w:t> </w:t>
      </w:r>
      <w:r>
        <w:rPr/>
        <w:t>of</w:t>
      </w:r>
      <w:r>
        <w:rPr>
          <w:spacing w:val="-2"/>
        </w:rPr>
        <w:t> </w:t>
      </w:r>
      <w:r>
        <w:rPr/>
        <w:t>the</w:t>
      </w:r>
      <w:r>
        <w:rPr>
          <w:spacing w:val="-1"/>
        </w:rPr>
        <w:t> </w:t>
      </w:r>
      <w:r>
        <w:rPr/>
        <w:t>immensity</w:t>
      </w:r>
      <w:r>
        <w:rPr>
          <w:spacing w:val="-2"/>
        </w:rPr>
        <w:t> </w:t>
      </w:r>
      <w:r>
        <w:rPr/>
        <w:t>and</w:t>
      </w:r>
      <w:r>
        <w:rPr>
          <w:spacing w:val="-2"/>
        </w:rPr>
        <w:t> </w:t>
      </w:r>
      <w:r>
        <w:rPr/>
        <w:t>inherent difficulties of the task assigned to us. No task in our view could be more challenging, more vital and relevant to India's progress and development-economic, cultural and spiritual. In facing a task of such colossal magnitude and complexity, there is always a danger that the approach and recommendations may not be sufficiently radical. There is also the other possibility that the recommendations may go beyond the capacity and resources of the nation. The difficulties are greatly accentuated because educational plans are long-term plans, and long-term projections of needs and resources are beset with serious uncertainties. We hope our assumptions about the total resources of the nation over the next 20 years and the proportion to be invested in education are reasonable.</w:t>
      </w:r>
    </w:p>
    <w:p>
      <w:pPr>
        <w:pStyle w:val="BodyText"/>
        <w:spacing w:before="4"/>
      </w:pPr>
    </w:p>
    <w:p>
      <w:pPr>
        <w:pStyle w:val="BodyText"/>
        <w:ind w:left="160" w:right="494"/>
        <w:jc w:val="both"/>
      </w:pPr>
      <w:r>
        <w:rPr/>
        <w:t>It cannot be gainsaid that the recommendations are inevitably circumscribed by the limits of our knowledge and experience, and by our capacity for bold, constructive and imaginative thinking. We would not claim that the recommendations made by us in the Report are necessarily the best, nor can we be completely certain about the validity of every recommendation that we have made. Again, many of the proposals we make would require investigation and revision in the light of experience. We therefore, lay considerable emphasis on a built-in flexibility in the system of education to facilitate adjustment to changing situations and requirements. There is, of course, one thing about which we feel no doubt or hesitation: education, science-based and in coherence with Indian culture and values, can alone provide the foundation-as also the instrument-for the nation's progress, security and welfare.</w:t>
      </w:r>
    </w:p>
    <w:p>
      <w:pPr>
        <w:pStyle w:val="BodyText"/>
        <w:spacing w:before="4"/>
      </w:pPr>
    </w:p>
    <w:p>
      <w:pPr>
        <w:pStyle w:val="BodyText"/>
        <w:ind w:left="160" w:right="496"/>
        <w:jc w:val="both"/>
      </w:pPr>
      <w:r>
        <w:rPr/>
        <w:t>Indian education needs a drastic reconstruction, almost a revolution. We need to bring, about major improvement in the effectiveness of</w:t>
      </w:r>
      <w:r>
        <w:rPr>
          <w:spacing w:val="40"/>
        </w:rPr>
        <w:t> </w:t>
      </w:r>
      <w:r>
        <w:rPr/>
        <w:t>primary education; to introduce work experience as an integral element of general education; to vocationalize secondary education; to improve the quality of teachers at all levels and to provide teachers in sufficient strength; to liquidate illiteracy; to strengthen centres of advanced study and</w:t>
      </w:r>
    </w:p>
    <w:p>
      <w:pPr>
        <w:pStyle w:val="BodyText"/>
        <w:spacing w:before="3"/>
      </w:pPr>
    </w:p>
    <w:p>
      <w:pPr>
        <w:pStyle w:val="BodyText"/>
        <w:spacing w:before="1"/>
        <w:ind w:left="160" w:right="496"/>
        <w:jc w:val="both"/>
      </w:pPr>
      <w:r>
        <w:rPr/>
        <w:t>*Legal and medical education were excluded from the purview of the Commission, but it was authorized to look into "such aspects of these problems as are necessary for its comprehensive enquiries".</w:t>
      </w:r>
    </w:p>
    <w:p>
      <w:pPr>
        <w:spacing w:after="0"/>
        <w:jc w:val="both"/>
        <w:sectPr>
          <w:pgSz w:w="12240" w:h="15840"/>
          <w:pgMar w:header="0" w:footer="743" w:top="1360" w:bottom="940" w:left="1640" w:right="1300"/>
        </w:sectPr>
      </w:pPr>
    </w:p>
    <w:p>
      <w:pPr>
        <w:pStyle w:val="BodyText"/>
        <w:spacing w:before="76"/>
        <w:ind w:left="159" w:right="495"/>
        <w:jc w:val="both"/>
      </w:pPr>
      <w:r>
        <w:rPr/>
        <w:t>strive to attain, in some of our universities at least, higher international standards; to lay special emphasis on the combination of teaching and research; and to pay particular attention to education and research in agriculture and allied sciences. All this calls for a determined and large-scale action. Tinkering with the existing situation and moving forward with faltering steps and lack of faith can make things worse than before.</w:t>
      </w:r>
    </w:p>
    <w:p>
      <w:pPr>
        <w:pStyle w:val="BodyText"/>
        <w:spacing w:before="4"/>
      </w:pPr>
    </w:p>
    <w:p>
      <w:pPr>
        <w:pStyle w:val="BodyText"/>
        <w:ind w:left="160" w:right="495"/>
        <w:jc w:val="both"/>
      </w:pPr>
      <w:r>
        <w:rPr/>
        <w:t>In view of the urgency of the situation, we felt impelled to keep the time-table originally set for the submission of</w:t>
      </w:r>
      <w:r>
        <w:rPr>
          <w:spacing w:val="-1"/>
        </w:rPr>
        <w:t> </w:t>
      </w:r>
      <w:r>
        <w:rPr/>
        <w:t>the Report,</w:t>
      </w:r>
      <w:r>
        <w:rPr>
          <w:spacing w:val="-1"/>
        </w:rPr>
        <w:t> </w:t>
      </w:r>
      <w:r>
        <w:rPr/>
        <w:t>even if</w:t>
      </w:r>
      <w:r>
        <w:rPr>
          <w:spacing w:val="-1"/>
        </w:rPr>
        <w:t> </w:t>
      </w:r>
      <w:r>
        <w:rPr/>
        <w:t>it meant some limitations on</w:t>
      </w:r>
      <w:r>
        <w:rPr>
          <w:spacing w:val="-1"/>
        </w:rPr>
        <w:t> </w:t>
      </w:r>
      <w:r>
        <w:rPr/>
        <w:t>the scope of</w:t>
      </w:r>
      <w:r>
        <w:rPr>
          <w:spacing w:val="-2"/>
        </w:rPr>
        <w:t> </w:t>
      </w:r>
      <w:r>
        <w:rPr/>
        <w:t>our studies and on the depth and perspicacity of our presentation. If we had more time, the Report could have been shorter and more readable.</w:t>
      </w:r>
    </w:p>
    <w:p>
      <w:pPr>
        <w:pStyle w:val="BodyText"/>
        <w:spacing w:before="4"/>
      </w:pPr>
    </w:p>
    <w:p>
      <w:pPr>
        <w:pStyle w:val="BodyText"/>
        <w:ind w:left="159" w:right="497"/>
        <w:jc w:val="both"/>
      </w:pPr>
      <w:r>
        <w:rPr/>
        <w:t>The Commission set up twelve Task Forces on (1) School Education; (2) Higher Education; (3) Technical Education; (4) Agricultural Education; (5) Adult Education; (6) Science Education and Research; (7) Teacher Training and Teacher Status; (8) Student Welfare; (9) New Techniques and Methods; (10) Manpower; (11) Educational Administration; and (12) Educational Finance. In addition, it set up seven Working Groups on (1) Women's Education; (2) Education of Backward Classes; (3) School Buildings; (4) School-Community Relations; (5) Statistics; (6) Pre-Primary Education; and (7) School Curriculum. The Task Forces and the Working Groups made a detailed study of many specific problems. Some of these studies will be published separately. The Reports of the Task Forces and the Working Groups have been of great help to us in our work and have enabled us to examine some of the important issues in a depth and detail which would not have been possible otherwise.</w:t>
      </w:r>
    </w:p>
    <w:p>
      <w:pPr>
        <w:pStyle w:val="BodyText"/>
        <w:spacing w:before="5"/>
      </w:pPr>
    </w:p>
    <w:p>
      <w:pPr>
        <w:pStyle w:val="BodyText"/>
        <w:ind w:left="159" w:right="497"/>
        <w:jc w:val="both"/>
      </w:pPr>
      <w:r>
        <w:rPr/>
        <w:t>We spent about one hundred days in going round all the States and some </w:t>
      </w:r>
      <w:r>
        <w:rPr/>
        <w:t>Union Territories. We visited universities, Colleges and schools and held discussions with teachers, educationists, administrators and students. We convened two conferences of university students' representatives to have the advantage of personal discussion with them about student welfare and discipline. We found these conferences of real value.</w:t>
      </w:r>
    </w:p>
    <w:p>
      <w:pPr>
        <w:pStyle w:val="BodyText"/>
        <w:spacing w:before="4"/>
      </w:pPr>
    </w:p>
    <w:p>
      <w:pPr>
        <w:pStyle w:val="BodyText"/>
        <w:ind w:left="160" w:right="497"/>
        <w:jc w:val="both"/>
      </w:pPr>
      <w:r>
        <w:rPr/>
        <w:t>We interviewed men and women distinguished in public life, scientists, industrialists </w:t>
      </w:r>
      <w:r>
        <w:rPr/>
        <w:t>and scholars in different fields and others interested in education. Altogether we interviewed about 9,000 persons. We invited written evidence, memoranda and replies to our questionnaires, organized seminars and conferences, commissioned a number of special studies and also conducted a few special enquiries such as the socio- economic background of students admitted to educational institutions, and working days in schools and</w:t>
      </w:r>
      <w:r>
        <w:rPr>
          <w:spacing w:val="-2"/>
        </w:rPr>
        <w:t> </w:t>
      </w:r>
      <w:r>
        <w:rPr/>
        <w:t>colleges.</w:t>
      </w:r>
      <w:r>
        <w:rPr>
          <w:spacing w:val="-2"/>
        </w:rPr>
        <w:t> </w:t>
      </w:r>
      <w:r>
        <w:rPr/>
        <w:t>The</w:t>
      </w:r>
      <w:r>
        <w:rPr>
          <w:spacing w:val="-2"/>
        </w:rPr>
        <w:t> </w:t>
      </w:r>
      <w:r>
        <w:rPr/>
        <w:t>total</w:t>
      </w:r>
      <w:r>
        <w:rPr>
          <w:spacing w:val="-2"/>
        </w:rPr>
        <w:t> </w:t>
      </w:r>
      <w:r>
        <w:rPr/>
        <w:t>number</w:t>
      </w:r>
      <w:r>
        <w:rPr>
          <w:spacing w:val="-2"/>
        </w:rPr>
        <w:t> </w:t>
      </w:r>
      <w:r>
        <w:rPr/>
        <w:t>of</w:t>
      </w:r>
      <w:r>
        <w:rPr>
          <w:spacing w:val="-2"/>
        </w:rPr>
        <w:t> </w:t>
      </w:r>
      <w:r>
        <w:rPr/>
        <w:t>memoranda</w:t>
      </w:r>
      <w:r>
        <w:rPr>
          <w:spacing w:val="-5"/>
        </w:rPr>
        <w:t> </w:t>
      </w:r>
      <w:r>
        <w:rPr/>
        <w:t>and</w:t>
      </w:r>
      <w:r>
        <w:rPr>
          <w:spacing w:val="-2"/>
        </w:rPr>
        <w:t> </w:t>
      </w:r>
      <w:r>
        <w:rPr/>
        <w:t>notes</w:t>
      </w:r>
      <w:r>
        <w:rPr>
          <w:spacing w:val="-2"/>
        </w:rPr>
        <w:t> </w:t>
      </w:r>
      <w:r>
        <w:rPr/>
        <w:t>sent</w:t>
      </w:r>
      <w:r>
        <w:rPr>
          <w:spacing w:val="-2"/>
        </w:rPr>
        <w:t> </w:t>
      </w:r>
      <w:r>
        <w:rPr/>
        <w:t>to</w:t>
      </w:r>
      <w:r>
        <w:rPr>
          <w:spacing w:val="-5"/>
        </w:rPr>
        <w:t> </w:t>
      </w:r>
      <w:r>
        <w:rPr/>
        <w:t>the</w:t>
      </w:r>
      <w:r>
        <w:rPr>
          <w:spacing w:val="-2"/>
        </w:rPr>
        <w:t> </w:t>
      </w:r>
      <w:r>
        <w:rPr/>
        <w:t>Commission</w:t>
      </w:r>
      <w:r>
        <w:rPr>
          <w:spacing w:val="-2"/>
        </w:rPr>
        <w:t> </w:t>
      </w:r>
      <w:r>
        <w:rPr/>
        <w:t>was</w:t>
      </w:r>
      <w:r>
        <w:rPr>
          <w:spacing w:val="-2"/>
        </w:rPr>
        <w:t> </w:t>
      </w:r>
      <w:r>
        <w:rPr/>
        <w:t>over </w:t>
      </w:r>
      <w:r>
        <w:rPr>
          <w:spacing w:val="-2"/>
        </w:rPr>
        <w:t>2,400.</w:t>
      </w:r>
    </w:p>
    <w:p>
      <w:pPr>
        <w:pStyle w:val="BodyText"/>
        <w:spacing w:before="3"/>
      </w:pPr>
    </w:p>
    <w:p>
      <w:pPr>
        <w:pStyle w:val="BodyText"/>
        <w:spacing w:before="1"/>
        <w:ind w:left="160" w:right="495"/>
        <w:jc w:val="both"/>
      </w:pPr>
      <w:r>
        <w:rPr/>
        <w:t>We had the benefit of valuable consultations with a number of internationally well- known educationists and scientists. We are particularly grateful to Prof P. M. S. Blackett, President of the Royal Society, UK; Lord Robbins, Chairman of the Committee on</w:t>
      </w:r>
      <w:r>
        <w:rPr>
          <w:spacing w:val="40"/>
        </w:rPr>
        <w:t> </w:t>
      </w:r>
      <w:r>
        <w:rPr/>
        <w:t>Higher Education (1961-63), UK; Sir Christopher Cox, Educational Adviser, Ministry of Overseas Development, UK; Sir Willis Jackson, Professor of Electrical Engineering, Imperial College of Science and Technology, University of London; Professor C. A. Moser,</w:t>
      </w:r>
      <w:r>
        <w:rPr>
          <w:spacing w:val="56"/>
        </w:rPr>
        <w:t> </w:t>
      </w:r>
      <w:r>
        <w:rPr/>
        <w:t>London</w:t>
      </w:r>
      <w:r>
        <w:rPr>
          <w:spacing w:val="57"/>
        </w:rPr>
        <w:t> </w:t>
      </w:r>
      <w:r>
        <w:rPr/>
        <w:t>School</w:t>
      </w:r>
      <w:r>
        <w:rPr>
          <w:spacing w:val="57"/>
        </w:rPr>
        <w:t> </w:t>
      </w:r>
      <w:r>
        <w:rPr/>
        <w:t>of</w:t>
      </w:r>
      <w:r>
        <w:rPr>
          <w:spacing w:val="57"/>
        </w:rPr>
        <w:t> </w:t>
      </w:r>
      <w:r>
        <w:rPr/>
        <w:t>Economics;</w:t>
      </w:r>
      <w:r>
        <w:rPr>
          <w:spacing w:val="57"/>
        </w:rPr>
        <w:t> </w:t>
      </w:r>
      <w:r>
        <w:rPr/>
        <w:t>Professor</w:t>
      </w:r>
      <w:r>
        <w:rPr>
          <w:spacing w:val="57"/>
        </w:rPr>
        <w:t> </w:t>
      </w:r>
      <w:r>
        <w:rPr/>
        <w:t>Frederick</w:t>
      </w:r>
      <w:r>
        <w:rPr>
          <w:spacing w:val="57"/>
        </w:rPr>
        <w:t> </w:t>
      </w:r>
      <w:r>
        <w:rPr/>
        <w:t>Spitz,</w:t>
      </w:r>
      <w:r>
        <w:rPr>
          <w:spacing w:val="57"/>
        </w:rPr>
        <w:t> </w:t>
      </w:r>
      <w:r>
        <w:rPr/>
        <w:t>President,</w:t>
      </w:r>
      <w:r>
        <w:rPr>
          <w:spacing w:val="57"/>
        </w:rPr>
        <w:t> </w:t>
      </w:r>
      <w:r>
        <w:rPr>
          <w:spacing w:val="-2"/>
        </w:rPr>
        <w:t>National</w:t>
      </w:r>
    </w:p>
    <w:p>
      <w:pPr>
        <w:spacing w:after="0"/>
        <w:jc w:val="both"/>
        <w:sectPr>
          <w:pgSz w:w="12240" w:h="15840"/>
          <w:pgMar w:header="0" w:footer="743" w:top="1360" w:bottom="940" w:left="1640" w:right="1300"/>
        </w:sectPr>
      </w:pPr>
    </w:p>
    <w:p>
      <w:pPr>
        <w:pStyle w:val="BodyText"/>
        <w:spacing w:before="76"/>
        <w:ind w:left="160" w:right="496"/>
        <w:jc w:val="both"/>
      </w:pPr>
      <w:r>
        <w:rPr/>
        <w:t>Academy of Sciences, USA; Dr. James E. Allen Jr., Commissioner, State Education Department and President, University of the State of New York, USA; Professor Edward Shils, University of Chicago, USA; Professor S. Dedijer, University of Lund, </w:t>
      </w:r>
      <w:r>
        <w:rPr/>
        <w:t>Sweden; Recteur J. Capelle, formerly Director-General of Education in France; Professor C. E. Beeby, Harvard University; and Academician A. D. Alexandrov, Rector, University of Leningrad; and Academician O. A. Reutov, Academy of Sciences, USSR.</w:t>
      </w:r>
    </w:p>
    <w:p>
      <w:pPr>
        <w:pStyle w:val="BodyText"/>
        <w:spacing w:before="4"/>
      </w:pPr>
    </w:p>
    <w:p>
      <w:pPr>
        <w:pStyle w:val="BodyText"/>
        <w:ind w:left="160" w:right="496"/>
        <w:jc w:val="both"/>
      </w:pPr>
      <w:r>
        <w:rPr/>
        <w:t>We had the honour and privilege of meetings with the President, the Vice-President and the Prime Minister. We had most useful discussions with the Minister for Education and some of his Cabinet colleagues and with the Deputy Chairman, Member (Education) and some other members of the Planning Commission. During our visits to the States, the Chief Ministers and Education Ministers as also their colleagues gave us their time generously. Discussions with them were of great value and benefit to us. We had useful discussions with the Secretaries to State Governments concerned with Education, Local Government, Agriculture and Finance. We also had most useful meetings with a large number of educationists, scientists, the President of the Indian National Congress, Members of Parliament and State Legislatures, industrialists and journalists. To all of them, we are deeply grateful.</w:t>
      </w:r>
    </w:p>
    <w:p>
      <w:pPr>
        <w:pStyle w:val="BodyText"/>
        <w:spacing w:before="4"/>
      </w:pPr>
    </w:p>
    <w:p>
      <w:pPr>
        <w:pStyle w:val="BodyText"/>
        <w:ind w:left="160" w:right="497"/>
        <w:jc w:val="both"/>
      </w:pPr>
      <w:r>
        <w:rPr/>
        <w:t>In setting up the Commission, the Government of India decided to associate with it a number</w:t>
      </w:r>
      <w:r>
        <w:rPr>
          <w:spacing w:val="20"/>
        </w:rPr>
        <w:t> </w:t>
      </w:r>
      <w:r>
        <w:rPr/>
        <w:t>of</w:t>
      </w:r>
      <w:r>
        <w:rPr>
          <w:spacing w:val="21"/>
        </w:rPr>
        <w:t> </w:t>
      </w:r>
      <w:r>
        <w:rPr/>
        <w:t>distinguished</w:t>
      </w:r>
      <w:r>
        <w:rPr>
          <w:spacing w:val="21"/>
        </w:rPr>
        <w:t> </w:t>
      </w:r>
      <w:r>
        <w:rPr/>
        <w:t>educationists</w:t>
      </w:r>
      <w:r>
        <w:rPr>
          <w:spacing w:val="21"/>
        </w:rPr>
        <w:t> </w:t>
      </w:r>
      <w:r>
        <w:rPr/>
        <w:t>and</w:t>
      </w:r>
      <w:r>
        <w:rPr>
          <w:spacing w:val="21"/>
        </w:rPr>
        <w:t> </w:t>
      </w:r>
      <w:r>
        <w:rPr/>
        <w:t>scientists</w:t>
      </w:r>
      <w:r>
        <w:rPr>
          <w:spacing w:val="20"/>
        </w:rPr>
        <w:t> </w:t>
      </w:r>
      <w:r>
        <w:rPr/>
        <w:t>from</w:t>
      </w:r>
      <w:r>
        <w:rPr>
          <w:spacing w:val="19"/>
        </w:rPr>
        <w:t> </w:t>
      </w:r>
      <w:r>
        <w:rPr/>
        <w:t>other</w:t>
      </w:r>
      <w:r>
        <w:rPr>
          <w:spacing w:val="21"/>
        </w:rPr>
        <w:t> </w:t>
      </w:r>
      <w:r>
        <w:rPr/>
        <w:t>countries.</w:t>
      </w:r>
      <w:r>
        <w:rPr>
          <w:spacing w:val="21"/>
        </w:rPr>
        <w:t> </w:t>
      </w:r>
      <w:r>
        <w:rPr/>
        <w:t>Professors</w:t>
      </w:r>
      <w:r>
        <w:rPr>
          <w:spacing w:val="21"/>
        </w:rPr>
        <w:t> </w:t>
      </w:r>
      <w:r>
        <w:rPr>
          <w:spacing w:val="-5"/>
        </w:rPr>
        <w:t>H.</w:t>
      </w:r>
    </w:p>
    <w:p>
      <w:pPr>
        <w:pStyle w:val="BodyText"/>
        <w:ind w:left="160" w:right="496"/>
        <w:jc w:val="both"/>
      </w:pPr>
      <w:r>
        <w:rPr/>
        <w:t>L. Elvin (UK), jean Thomas (France), Roger Revelle (USA), S. A. Shumovsky (USSR) and Sadatoshi Ihara (Japan) served as full members of the Commission. Mr. J. F. McDougall (UNESCO Secretariat) served as Associate Secretary throughout the work of the Commission. The Indian members of the Commission would like to record their deep gratitude to the foreign members and to the Associate Secretary. It has enabled us to add considerably to our expertise and insight. While the foreign</w:t>
      </w:r>
      <w:r>
        <w:rPr>
          <w:spacing w:val="-1"/>
        </w:rPr>
        <w:t> </w:t>
      </w:r>
      <w:r>
        <w:rPr/>
        <w:t>members have been fully and wholeheartedly</w:t>
      </w:r>
      <w:r>
        <w:rPr>
          <w:spacing w:val="-2"/>
        </w:rPr>
        <w:t> </w:t>
      </w:r>
      <w:r>
        <w:rPr/>
        <w:t>associated</w:t>
      </w:r>
      <w:r>
        <w:rPr>
          <w:spacing w:val="-2"/>
        </w:rPr>
        <w:t> </w:t>
      </w:r>
      <w:r>
        <w:rPr/>
        <w:t>with</w:t>
      </w:r>
      <w:r>
        <w:rPr>
          <w:spacing w:val="-6"/>
        </w:rPr>
        <w:t> </w:t>
      </w:r>
      <w:r>
        <w:rPr/>
        <w:t>the</w:t>
      </w:r>
      <w:r>
        <w:rPr>
          <w:spacing w:val="-4"/>
        </w:rPr>
        <w:t> </w:t>
      </w:r>
      <w:r>
        <w:rPr/>
        <w:t>work</w:t>
      </w:r>
      <w:r>
        <w:rPr>
          <w:spacing w:val="-3"/>
        </w:rPr>
        <w:t> </w:t>
      </w:r>
      <w:r>
        <w:rPr/>
        <w:t>of</w:t>
      </w:r>
      <w:r>
        <w:rPr>
          <w:spacing w:val="-3"/>
        </w:rPr>
        <w:t> </w:t>
      </w:r>
      <w:r>
        <w:rPr/>
        <w:t>the</w:t>
      </w:r>
      <w:r>
        <w:rPr>
          <w:spacing w:val="-3"/>
        </w:rPr>
        <w:t> </w:t>
      </w:r>
      <w:r>
        <w:rPr/>
        <w:t>Commission</w:t>
      </w:r>
      <w:r>
        <w:rPr>
          <w:spacing w:val="-3"/>
        </w:rPr>
        <w:t> </w:t>
      </w:r>
      <w:r>
        <w:rPr/>
        <w:t>and</w:t>
      </w:r>
      <w:r>
        <w:rPr>
          <w:spacing w:val="-2"/>
        </w:rPr>
        <w:t> </w:t>
      </w:r>
      <w:r>
        <w:rPr/>
        <w:t>with</w:t>
      </w:r>
      <w:r>
        <w:rPr>
          <w:spacing w:val="-2"/>
        </w:rPr>
        <w:t> </w:t>
      </w:r>
      <w:r>
        <w:rPr/>
        <w:t>the</w:t>
      </w:r>
      <w:r>
        <w:rPr>
          <w:spacing w:val="-2"/>
        </w:rPr>
        <w:t> </w:t>
      </w:r>
      <w:r>
        <w:rPr/>
        <w:t>general</w:t>
      </w:r>
      <w:r>
        <w:rPr>
          <w:spacing w:val="-2"/>
        </w:rPr>
        <w:t> </w:t>
      </w:r>
      <w:r>
        <w:rPr/>
        <w:t>trend</w:t>
      </w:r>
      <w:r>
        <w:rPr>
          <w:spacing w:val="-2"/>
        </w:rPr>
        <w:t> </w:t>
      </w:r>
      <w:r>
        <w:rPr/>
        <w:t>of its conclusions, the responsibility rests primarily with the Indian members in cases where we make recommendations pertaining specifically to Indian problems.</w:t>
      </w:r>
    </w:p>
    <w:p>
      <w:pPr>
        <w:pStyle w:val="BodyText"/>
        <w:spacing w:before="5"/>
      </w:pPr>
    </w:p>
    <w:p>
      <w:pPr>
        <w:pStyle w:val="BodyText"/>
        <w:ind w:left="160"/>
        <w:jc w:val="both"/>
      </w:pPr>
      <w:r>
        <w:rPr/>
        <w:t>Our</w:t>
      </w:r>
      <w:r>
        <w:rPr>
          <w:spacing w:val="-1"/>
        </w:rPr>
        <w:t> </w:t>
      </w:r>
      <w:r>
        <w:rPr/>
        <w:t>Report</w:t>
      </w:r>
      <w:r>
        <w:rPr>
          <w:spacing w:val="-1"/>
        </w:rPr>
        <w:t> </w:t>
      </w:r>
      <w:r>
        <w:rPr/>
        <w:t>is</w:t>
      </w:r>
      <w:r>
        <w:rPr>
          <w:spacing w:val="-1"/>
        </w:rPr>
        <w:t> </w:t>
      </w:r>
      <w:r>
        <w:rPr/>
        <w:t>divided</w:t>
      </w:r>
      <w:r>
        <w:rPr>
          <w:spacing w:val="-1"/>
        </w:rPr>
        <w:t> </w:t>
      </w:r>
      <w:r>
        <w:rPr/>
        <w:t>into</w:t>
      </w:r>
      <w:r>
        <w:rPr>
          <w:spacing w:val="-1"/>
        </w:rPr>
        <w:t> </w:t>
      </w:r>
      <w:r>
        <w:rPr/>
        <w:t>three</w:t>
      </w:r>
      <w:r>
        <w:rPr>
          <w:spacing w:val="-1"/>
        </w:rPr>
        <w:t> </w:t>
      </w:r>
      <w:r>
        <w:rPr>
          <w:spacing w:val="-2"/>
        </w:rPr>
        <w:t>parts.</w:t>
      </w:r>
    </w:p>
    <w:p>
      <w:pPr>
        <w:pStyle w:val="BodyText"/>
        <w:spacing w:before="4"/>
      </w:pPr>
    </w:p>
    <w:p>
      <w:pPr>
        <w:pStyle w:val="BodyText"/>
        <w:ind w:left="160" w:right="497"/>
        <w:jc w:val="both"/>
      </w:pPr>
      <w:r>
        <w:rPr/>
        <w:t>The first part covers Chapters I-VI. It deals with general aspects of educational reconstruction common to all stages and sectors of education. These include reorientation of the educational system to national objectives, structural reorganization, improvement of teachers, enrolment policies and equalization of educational opportunity.</w:t>
      </w:r>
    </w:p>
    <w:p>
      <w:pPr>
        <w:pStyle w:val="BodyText"/>
        <w:spacing w:before="3"/>
      </w:pPr>
    </w:p>
    <w:p>
      <w:pPr>
        <w:pStyle w:val="BodyText"/>
        <w:spacing w:before="1"/>
        <w:ind w:left="160" w:right="496"/>
        <w:jc w:val="both"/>
      </w:pPr>
      <w:r>
        <w:rPr/>
        <w:t>The second part covers Chapters VII-XVII. It deals with the different stages and sectors of education. Chapters VII-X deal with some aspects of school education such as problems of expansion, curriculum, teaching methods, textbooks, guidance, evaluation, administration and supervision. Chapters XI-XIII deal with problems of higher education which include, amongst others, the establishment of major universities, programmes of qualitative improvement, enrolment and university governance. Chapters XIV and XV deal</w:t>
      </w:r>
      <w:r>
        <w:rPr>
          <w:spacing w:val="24"/>
        </w:rPr>
        <w:t> </w:t>
      </w:r>
      <w:r>
        <w:rPr/>
        <w:t>respectively</w:t>
      </w:r>
      <w:r>
        <w:rPr>
          <w:spacing w:val="24"/>
        </w:rPr>
        <w:t> </w:t>
      </w:r>
      <w:r>
        <w:rPr/>
        <w:t>with</w:t>
      </w:r>
      <w:r>
        <w:rPr>
          <w:spacing w:val="24"/>
        </w:rPr>
        <w:t> </w:t>
      </w:r>
      <w:r>
        <w:rPr/>
        <w:t>education</w:t>
      </w:r>
      <w:r>
        <w:rPr>
          <w:spacing w:val="24"/>
        </w:rPr>
        <w:t> </w:t>
      </w:r>
      <w:r>
        <w:rPr/>
        <w:t>for</w:t>
      </w:r>
      <w:r>
        <w:rPr>
          <w:spacing w:val="24"/>
        </w:rPr>
        <w:t> </w:t>
      </w:r>
      <w:r>
        <w:rPr/>
        <w:t>agriculture</w:t>
      </w:r>
      <w:r>
        <w:rPr>
          <w:spacing w:val="24"/>
        </w:rPr>
        <w:t> </w:t>
      </w:r>
      <w:r>
        <w:rPr/>
        <w:t>and</w:t>
      </w:r>
      <w:r>
        <w:rPr>
          <w:spacing w:val="25"/>
        </w:rPr>
        <w:t> </w:t>
      </w:r>
      <w:r>
        <w:rPr/>
        <w:t>technical</w:t>
      </w:r>
      <w:r>
        <w:rPr>
          <w:spacing w:val="24"/>
        </w:rPr>
        <w:t> </w:t>
      </w:r>
      <w:r>
        <w:rPr/>
        <w:t>and</w:t>
      </w:r>
      <w:r>
        <w:rPr>
          <w:spacing w:val="24"/>
        </w:rPr>
        <w:t> </w:t>
      </w:r>
      <w:r>
        <w:rPr/>
        <w:t>vocational</w:t>
      </w:r>
      <w:r>
        <w:rPr>
          <w:spacing w:val="24"/>
        </w:rPr>
        <w:t> </w:t>
      </w:r>
      <w:r>
        <w:rPr>
          <w:spacing w:val="-2"/>
        </w:rPr>
        <w:t>education.</w:t>
      </w:r>
    </w:p>
    <w:p>
      <w:pPr>
        <w:spacing w:after="0"/>
        <w:jc w:val="both"/>
        <w:sectPr>
          <w:pgSz w:w="12240" w:h="15840"/>
          <w:pgMar w:header="0" w:footer="743" w:top="1360" w:bottom="940" w:left="1640" w:right="1300"/>
        </w:sectPr>
      </w:pPr>
    </w:p>
    <w:p>
      <w:pPr>
        <w:pStyle w:val="BodyText"/>
        <w:spacing w:before="76"/>
        <w:ind w:left="160" w:right="497"/>
        <w:jc w:val="both"/>
      </w:pPr>
      <w:r>
        <w:rPr/>
        <w:t>Chapter XVI discusses programmes of science education and research. Chapter XVII deals with problems of adult education.</w:t>
      </w:r>
    </w:p>
    <w:p>
      <w:pPr>
        <w:pStyle w:val="BodyText"/>
        <w:spacing w:before="4"/>
      </w:pPr>
    </w:p>
    <w:p>
      <w:pPr>
        <w:pStyle w:val="BodyText"/>
        <w:ind w:left="159" w:right="497"/>
        <w:jc w:val="both"/>
      </w:pPr>
      <w:r>
        <w:rPr/>
        <w:t>The third part deals with problems of implementation. It covers two chapters-Chapter XVIII which deals with educational planning and administration and Chapter XIX which deals with educational finance. We realize that many of the things we say here have been said before, notably by the University Education Commission (1948-49). It is worth recalling, for instance, that the Commission laid great stress on education for agriculture and its improvement, yet nothing significant happened. The real need is action. The poignancy of the situation and the grim times we are passing through underscore this simple but vital fact.</w:t>
      </w:r>
    </w:p>
    <w:p>
      <w:pPr>
        <w:pStyle w:val="BodyText"/>
        <w:spacing w:before="4"/>
      </w:pPr>
    </w:p>
    <w:p>
      <w:pPr>
        <w:pStyle w:val="BodyText"/>
        <w:ind w:left="159" w:right="496"/>
        <w:jc w:val="both"/>
      </w:pPr>
      <w:r>
        <w:rPr/>
        <w:t>We record our gratitude to the State Governments for their generous cooperation in our work through organizing our visits, making the time of busy senior officials fully available to us, readily answering all our questions, preparing memoranda on their educational progress and problems, opening their institutions to our visits and for their hospitality in making our stay in their States useful and pleasant in every way.</w:t>
      </w:r>
    </w:p>
    <w:p>
      <w:pPr>
        <w:pStyle w:val="BodyText"/>
        <w:spacing w:before="5"/>
      </w:pPr>
    </w:p>
    <w:p>
      <w:pPr>
        <w:pStyle w:val="BodyText"/>
        <w:ind w:left="159" w:right="496"/>
        <w:jc w:val="both"/>
      </w:pPr>
      <w:r>
        <w:rPr/>
        <w:t>We thank the members of our Task Forces and Working Groups and the Secretary, UGC, for</w:t>
      </w:r>
      <w:r>
        <w:rPr>
          <w:spacing w:val="-2"/>
        </w:rPr>
        <w:t> </w:t>
      </w:r>
      <w:r>
        <w:rPr/>
        <w:t>their</w:t>
      </w:r>
      <w:r>
        <w:rPr>
          <w:spacing w:val="-2"/>
        </w:rPr>
        <w:t> </w:t>
      </w:r>
      <w:r>
        <w:rPr/>
        <w:t>most</w:t>
      </w:r>
      <w:r>
        <w:rPr>
          <w:spacing w:val="-2"/>
        </w:rPr>
        <w:t> </w:t>
      </w:r>
      <w:r>
        <w:rPr/>
        <w:t>willing</w:t>
      </w:r>
      <w:r>
        <w:rPr>
          <w:spacing w:val="-2"/>
        </w:rPr>
        <w:t> </w:t>
      </w:r>
      <w:r>
        <w:rPr/>
        <w:t>and</w:t>
      </w:r>
      <w:r>
        <w:rPr>
          <w:spacing w:val="-2"/>
        </w:rPr>
        <w:t> </w:t>
      </w:r>
      <w:r>
        <w:rPr/>
        <w:t>devoted</w:t>
      </w:r>
      <w:r>
        <w:rPr>
          <w:spacing w:val="-2"/>
        </w:rPr>
        <w:t> </w:t>
      </w:r>
      <w:r>
        <w:rPr/>
        <w:t>efforts</w:t>
      </w:r>
      <w:r>
        <w:rPr>
          <w:spacing w:val="-2"/>
        </w:rPr>
        <w:t> </w:t>
      </w:r>
      <w:r>
        <w:rPr/>
        <w:t>to</w:t>
      </w:r>
      <w:r>
        <w:rPr>
          <w:spacing w:val="-2"/>
        </w:rPr>
        <w:t> </w:t>
      </w:r>
      <w:r>
        <w:rPr/>
        <w:t>deal</w:t>
      </w:r>
      <w:r>
        <w:rPr>
          <w:spacing w:val="-2"/>
        </w:rPr>
        <w:t> </w:t>
      </w:r>
      <w:r>
        <w:rPr/>
        <w:t>with</w:t>
      </w:r>
      <w:r>
        <w:rPr>
          <w:spacing w:val="-2"/>
        </w:rPr>
        <w:t> </w:t>
      </w:r>
      <w:r>
        <w:rPr/>
        <w:t>complex</w:t>
      </w:r>
      <w:r>
        <w:rPr>
          <w:spacing w:val="-2"/>
        </w:rPr>
        <w:t> </w:t>
      </w:r>
      <w:r>
        <w:rPr/>
        <w:t>problems</w:t>
      </w:r>
      <w:r>
        <w:rPr>
          <w:spacing w:val="-2"/>
        </w:rPr>
        <w:t> </w:t>
      </w:r>
      <w:r>
        <w:rPr/>
        <w:t>in</w:t>
      </w:r>
      <w:r>
        <w:rPr>
          <w:spacing w:val="-2"/>
        </w:rPr>
        <w:t> </w:t>
      </w:r>
      <w:r>
        <w:rPr/>
        <w:t>a</w:t>
      </w:r>
      <w:r>
        <w:rPr>
          <w:spacing w:val="-2"/>
        </w:rPr>
        <w:t> </w:t>
      </w:r>
      <w:r>
        <w:rPr/>
        <w:t>realistic</w:t>
      </w:r>
      <w:r>
        <w:rPr>
          <w:spacing w:val="-2"/>
        </w:rPr>
        <w:t> </w:t>
      </w:r>
      <w:r>
        <w:rPr/>
        <w:t>and professional manner. Theirs has been a contribution of inestimable value. We are equally grateful to all those who have given evidence, sent memoranda, replied to the questionnaires, and discussion papers and participated in seminars and conferences and given us the privilege of visiting their institutions.</w:t>
      </w:r>
    </w:p>
    <w:p>
      <w:pPr>
        <w:pStyle w:val="BodyText"/>
        <w:spacing w:before="3"/>
      </w:pPr>
    </w:p>
    <w:p>
      <w:pPr>
        <w:pStyle w:val="BodyText"/>
        <w:spacing w:before="1"/>
        <w:ind w:left="160" w:right="495"/>
        <w:jc w:val="both"/>
      </w:pPr>
      <w:r>
        <w:rPr/>
        <w:t>We thank the agencies which carried out special studies and enquiries for us and in particular the National Council of Educational Research and Training, the Institute of Applied Manpower Research, the Indian Law Institute, the State Institutes of Education, and the several Teachers' Associations. These added background to our enquiries which we otherwise would have lacked.</w:t>
      </w:r>
    </w:p>
    <w:p>
      <w:pPr>
        <w:pStyle w:val="BodyText"/>
        <w:spacing w:before="3"/>
      </w:pPr>
    </w:p>
    <w:p>
      <w:pPr>
        <w:pStyle w:val="BodyText"/>
        <w:ind w:left="160" w:right="497"/>
        <w:jc w:val="both"/>
      </w:pPr>
      <w:r>
        <w:rPr/>
        <w:t>Many educational institutions collaborated in a number of special enquiries which the Secretariat of the Commission carried out. Many more opened their doors to our visits and provided the time and experience of their staff to our discussions. We express our gratitude to all of them.</w:t>
      </w:r>
    </w:p>
    <w:p>
      <w:pPr>
        <w:pStyle w:val="BodyText"/>
        <w:spacing w:before="4"/>
      </w:pPr>
    </w:p>
    <w:p>
      <w:pPr>
        <w:pStyle w:val="BodyText"/>
        <w:ind w:left="160" w:right="497"/>
        <w:jc w:val="both"/>
      </w:pPr>
      <w:r>
        <w:rPr/>
        <w:t>We owe a special debt to the UGC and the Indian Institute of Public Administration who, at considerable inconvenience to themselves, provided us with the necessary </w:t>
      </w:r>
      <w:r>
        <w:rPr>
          <w:spacing w:val="-2"/>
        </w:rPr>
        <w:t>accommodation.</w:t>
      </w:r>
    </w:p>
    <w:p>
      <w:pPr>
        <w:pStyle w:val="BodyText"/>
        <w:spacing w:before="5"/>
      </w:pPr>
    </w:p>
    <w:p>
      <w:pPr>
        <w:pStyle w:val="BodyText"/>
        <w:ind w:left="160" w:right="497"/>
        <w:jc w:val="both"/>
      </w:pPr>
      <w:r>
        <w:rPr/>
        <w:t>It is a pleasure to record our thanks to the UNESCO, the British Council and the USAID for the services of members and consultants and to the Asia Foundation for a gift of books. We have to thank also the UNESCO International Institute of Educational Planning and the Governments of France, the Federal Republic of Germany and the USSR for financial and other assistance to our team which went abroad for comparative </w:t>
      </w:r>
      <w:r>
        <w:rPr>
          <w:spacing w:val="-2"/>
        </w:rPr>
        <w:t>studies.</w:t>
      </w:r>
    </w:p>
    <w:p>
      <w:pPr>
        <w:spacing w:after="0"/>
        <w:jc w:val="both"/>
        <w:sectPr>
          <w:pgSz w:w="12240" w:h="15840"/>
          <w:pgMar w:header="0" w:footer="743" w:top="1360" w:bottom="940" w:left="1640" w:right="1300"/>
        </w:sectPr>
      </w:pPr>
    </w:p>
    <w:p>
      <w:pPr>
        <w:pStyle w:val="BodyText"/>
        <w:spacing w:before="76"/>
        <w:ind w:left="160" w:right="499"/>
        <w:jc w:val="both"/>
      </w:pPr>
      <w:r>
        <w:rPr/>
        <w:t>We</w:t>
      </w:r>
      <w:r>
        <w:rPr>
          <w:spacing w:val="-3"/>
        </w:rPr>
        <w:t> </w:t>
      </w:r>
      <w:r>
        <w:rPr/>
        <w:t>thank</w:t>
      </w:r>
      <w:r>
        <w:rPr>
          <w:spacing w:val="-3"/>
        </w:rPr>
        <w:t> </w:t>
      </w:r>
      <w:r>
        <w:rPr/>
        <w:t>our</w:t>
      </w:r>
      <w:r>
        <w:rPr>
          <w:spacing w:val="-3"/>
        </w:rPr>
        <w:t> </w:t>
      </w:r>
      <w:r>
        <w:rPr/>
        <w:t>Secretariat</w:t>
      </w:r>
      <w:r>
        <w:rPr>
          <w:spacing w:val="-3"/>
        </w:rPr>
        <w:t> </w:t>
      </w:r>
      <w:r>
        <w:rPr/>
        <w:t>for</w:t>
      </w:r>
      <w:r>
        <w:rPr>
          <w:spacing w:val="-3"/>
        </w:rPr>
        <w:t> </w:t>
      </w:r>
      <w:r>
        <w:rPr/>
        <w:t>their</w:t>
      </w:r>
      <w:r>
        <w:rPr>
          <w:spacing w:val="-3"/>
        </w:rPr>
        <w:t> </w:t>
      </w:r>
      <w:r>
        <w:rPr/>
        <w:t>selfless</w:t>
      </w:r>
      <w:r>
        <w:rPr>
          <w:spacing w:val="-3"/>
        </w:rPr>
        <w:t> </w:t>
      </w:r>
      <w:r>
        <w:rPr/>
        <w:t>and</w:t>
      </w:r>
      <w:r>
        <w:rPr>
          <w:spacing w:val="-3"/>
        </w:rPr>
        <w:t> </w:t>
      </w:r>
      <w:r>
        <w:rPr/>
        <w:t>devoted</w:t>
      </w:r>
      <w:r>
        <w:rPr>
          <w:spacing w:val="-3"/>
        </w:rPr>
        <w:t> </w:t>
      </w:r>
      <w:r>
        <w:rPr/>
        <w:t>collaboration.</w:t>
      </w:r>
      <w:r>
        <w:rPr>
          <w:spacing w:val="-3"/>
        </w:rPr>
        <w:t> </w:t>
      </w:r>
      <w:r>
        <w:rPr/>
        <w:t>A</w:t>
      </w:r>
      <w:r>
        <w:rPr>
          <w:spacing w:val="-2"/>
        </w:rPr>
        <w:t> </w:t>
      </w:r>
      <w:r>
        <w:rPr/>
        <w:t>particular</w:t>
      </w:r>
      <w:r>
        <w:rPr>
          <w:spacing w:val="-3"/>
        </w:rPr>
        <w:t> </w:t>
      </w:r>
      <w:r>
        <w:rPr/>
        <w:t>word</w:t>
      </w:r>
      <w:r>
        <w:rPr>
          <w:spacing w:val="-3"/>
        </w:rPr>
        <w:t> </w:t>
      </w:r>
      <w:r>
        <w:rPr/>
        <w:t>of thanks goes here to the State Liaison Officers for their unstinted help.</w:t>
      </w:r>
    </w:p>
    <w:p>
      <w:pPr>
        <w:pStyle w:val="BodyText"/>
        <w:spacing w:before="4"/>
      </w:pPr>
    </w:p>
    <w:p>
      <w:pPr>
        <w:pStyle w:val="BodyText"/>
        <w:ind w:left="160"/>
        <w:jc w:val="both"/>
      </w:pPr>
      <w:r>
        <w:rPr/>
        <w:t>We</w:t>
      </w:r>
      <w:r>
        <w:rPr>
          <w:spacing w:val="12"/>
        </w:rPr>
        <w:t> </w:t>
      </w:r>
      <w:r>
        <w:rPr/>
        <w:t>cannot</w:t>
      </w:r>
      <w:r>
        <w:rPr>
          <w:spacing w:val="13"/>
        </w:rPr>
        <w:t> </w:t>
      </w:r>
      <w:r>
        <w:rPr/>
        <w:t>conclude</w:t>
      </w:r>
      <w:r>
        <w:rPr>
          <w:spacing w:val="13"/>
        </w:rPr>
        <w:t> </w:t>
      </w:r>
      <w:r>
        <w:rPr/>
        <w:t>our</w:t>
      </w:r>
      <w:r>
        <w:rPr>
          <w:spacing w:val="13"/>
        </w:rPr>
        <w:t> </w:t>
      </w:r>
      <w:r>
        <w:rPr/>
        <w:t>acknowledgements</w:t>
      </w:r>
      <w:r>
        <w:rPr>
          <w:spacing w:val="13"/>
        </w:rPr>
        <w:t> </w:t>
      </w:r>
      <w:r>
        <w:rPr/>
        <w:t>without</w:t>
      </w:r>
      <w:r>
        <w:rPr>
          <w:spacing w:val="12"/>
        </w:rPr>
        <w:t> </w:t>
      </w:r>
      <w:r>
        <w:rPr/>
        <w:t>expressing</w:t>
      </w:r>
      <w:r>
        <w:rPr>
          <w:spacing w:val="13"/>
        </w:rPr>
        <w:t> </w:t>
      </w:r>
      <w:r>
        <w:rPr/>
        <w:t>our</w:t>
      </w:r>
      <w:r>
        <w:rPr>
          <w:spacing w:val="13"/>
        </w:rPr>
        <w:t> </w:t>
      </w:r>
      <w:r>
        <w:rPr/>
        <w:t>indebtedness</w:t>
      </w:r>
      <w:r>
        <w:rPr>
          <w:spacing w:val="13"/>
        </w:rPr>
        <w:t> </w:t>
      </w:r>
      <w:r>
        <w:rPr/>
        <w:t>to</w:t>
      </w:r>
      <w:r>
        <w:rPr>
          <w:spacing w:val="13"/>
        </w:rPr>
        <w:t> </w:t>
      </w:r>
      <w:r>
        <w:rPr>
          <w:spacing w:val="-4"/>
        </w:rPr>
        <w:t>Shri</w:t>
      </w:r>
    </w:p>
    <w:p>
      <w:pPr>
        <w:pStyle w:val="BodyText"/>
        <w:ind w:left="160" w:right="497"/>
        <w:jc w:val="both"/>
      </w:pPr>
      <w:r>
        <w:rPr/>
        <w:t>J. P. Naik, Member-Secretary of the Commission. His unrivalled knowledge </w:t>
      </w:r>
      <w:r>
        <w:rPr/>
        <w:t>of educational problems and statistics and his indefatigable energy have been a source of unfailing strength and inspiration; and we owe more to him than to any one else that the work of the Commission could be brought to completion within the allotted time.</w:t>
      </w:r>
    </w:p>
    <w:p>
      <w:pPr>
        <w:pStyle w:val="BodyText"/>
        <w:spacing w:before="5"/>
      </w:pPr>
    </w:p>
    <w:p>
      <w:pPr>
        <w:pStyle w:val="BodyText"/>
        <w:ind w:left="160" w:right="496"/>
        <w:jc w:val="both"/>
      </w:pPr>
      <w:r>
        <w:rPr/>
        <w:t>We are grateful to Mr. J. F. Mc Dougall, Associate Secretary of the Commission, for his assistance at all stages of our work.</w:t>
      </w:r>
    </w:p>
    <w:p>
      <w:pPr>
        <w:spacing w:after="0"/>
        <w:jc w:val="both"/>
        <w:sectPr>
          <w:pgSz w:w="12240" w:h="15840"/>
          <w:pgMar w:header="0" w:footer="743" w:top="1360" w:bottom="940" w:left="1640" w:right="1300"/>
        </w:sectPr>
      </w:pPr>
    </w:p>
    <w:p>
      <w:pPr>
        <w:pStyle w:val="Heading1"/>
        <w:spacing w:before="79"/>
      </w:pPr>
      <w:bookmarkStart w:name="_TOC_250026" w:id="3"/>
      <w:r>
        <w:rPr/>
        <w:t>NATIONAL</w:t>
      </w:r>
      <w:r>
        <w:rPr>
          <w:spacing w:val="-5"/>
        </w:rPr>
        <w:t> </w:t>
      </w:r>
      <w:r>
        <w:rPr/>
        <w:t>POLICY</w:t>
      </w:r>
      <w:r>
        <w:rPr>
          <w:spacing w:val="-4"/>
        </w:rPr>
        <w:t> </w:t>
      </w:r>
      <w:r>
        <w:rPr/>
        <w:t>ON</w:t>
      </w:r>
      <w:r>
        <w:rPr>
          <w:spacing w:val="-4"/>
        </w:rPr>
        <w:t> </w:t>
      </w:r>
      <w:bookmarkEnd w:id="3"/>
      <w:r>
        <w:rPr>
          <w:spacing w:val="-2"/>
        </w:rPr>
        <w:t>EDUCATION</w:t>
      </w:r>
    </w:p>
    <w:p>
      <w:pPr>
        <w:pStyle w:val="BodyText"/>
        <w:rPr>
          <w:b/>
        </w:rPr>
      </w:pPr>
    </w:p>
    <w:p>
      <w:pPr>
        <w:pStyle w:val="BodyText"/>
        <w:spacing w:before="3"/>
        <w:rPr>
          <w:b/>
        </w:rPr>
      </w:pPr>
    </w:p>
    <w:p>
      <w:pPr>
        <w:spacing w:before="1"/>
        <w:ind w:left="160" w:right="498" w:firstLine="0"/>
        <w:jc w:val="both"/>
        <w:rPr>
          <w:i/>
          <w:sz w:val="24"/>
        </w:rPr>
      </w:pPr>
      <w:r>
        <w:rPr>
          <w:i/>
          <w:sz w:val="24"/>
        </w:rPr>
        <w:t>The Resolution issued by the Government of India on the Report of the Education Commission is reproduced below for ready reference.</w:t>
      </w:r>
    </w:p>
    <w:p>
      <w:pPr>
        <w:pStyle w:val="BodyText"/>
        <w:spacing w:before="2"/>
        <w:rPr>
          <w:i/>
        </w:rPr>
      </w:pPr>
    </w:p>
    <w:p>
      <w:pPr>
        <w:pStyle w:val="BodyText"/>
        <w:ind w:left="160" w:right="496"/>
        <w:jc w:val="both"/>
      </w:pPr>
      <w:r>
        <w:rPr/>
        <w:t>Education has always been accorded an honoured place in Indian society. The great leaders of the Indian freedom movement realized the fundamental role of education and throughout the nation's struggle for independence, stressed its unique significance for national development. Gandhiji formulated the scheme of Basic Education seeking to harmonize intellectual and manual work. This was a great step forward in making education directly relevant to the life of the people. Many other national leaders likewise made important contributions to national education before independence.</w:t>
      </w:r>
    </w:p>
    <w:p>
      <w:pPr>
        <w:pStyle w:val="BodyText"/>
        <w:spacing w:before="4"/>
      </w:pPr>
    </w:p>
    <w:p>
      <w:pPr>
        <w:pStyle w:val="ListParagraph"/>
        <w:numPr>
          <w:ilvl w:val="0"/>
          <w:numId w:val="2"/>
        </w:numPr>
        <w:tabs>
          <w:tab w:pos="413" w:val="left" w:leader="none"/>
        </w:tabs>
        <w:spacing w:line="240" w:lineRule="auto" w:before="0" w:after="0"/>
        <w:ind w:left="159" w:right="497" w:firstLine="0"/>
        <w:jc w:val="both"/>
        <w:rPr>
          <w:sz w:val="24"/>
        </w:rPr>
      </w:pPr>
      <w:r>
        <w:rPr>
          <w:sz w:val="24"/>
        </w:rPr>
        <w:t>In the post- Independence period, a major concern of the Government of India and of the States has been to give increasing attention to education as a factor vital to national progress and security. Problems of educational reconstruction were reviewed by several commissions and committees, notably the University Education Commission (1948-49) and the Secondary Education Commission (1952-53). Some steps to implement the recommendations of these Commissions were taken; and with the passing of the Resolution on Scientific Policy under the leadership of Jawaharlal Nehru, the development of science, technology and scientific research received special emphasis. Towards the end of the Third Five Year Plan, a need was felt to hold a comprehensive review of the educational system with a view to initiating a fresh and more determined effort at educational reconstruction; and the Education Commission (1964-66) was appointed to advise the Government on the national pattern of education and on the general principles and policies for the development of education at all stages and in all aspects". The Report of the Education Commission has since been widely discussed and commented upon. The Government is happy to note that a general consensus on the national policy on education has emerged in the course of these discussions.</w:t>
      </w:r>
    </w:p>
    <w:p>
      <w:pPr>
        <w:pStyle w:val="BodyText"/>
        <w:spacing w:before="4"/>
      </w:pPr>
    </w:p>
    <w:p>
      <w:pPr>
        <w:pStyle w:val="ListParagraph"/>
        <w:numPr>
          <w:ilvl w:val="0"/>
          <w:numId w:val="2"/>
        </w:numPr>
        <w:tabs>
          <w:tab w:pos="402" w:val="left" w:leader="none"/>
        </w:tabs>
        <w:spacing w:line="240" w:lineRule="auto" w:before="0" w:after="0"/>
        <w:ind w:left="159" w:right="496" w:firstLine="0"/>
        <w:jc w:val="both"/>
        <w:rPr>
          <w:sz w:val="24"/>
        </w:rPr>
      </w:pPr>
      <w:r>
        <w:rPr>
          <w:sz w:val="24"/>
        </w:rPr>
        <w:t>The Government of India is convinced that a radical reconstruction of education on the broad lines recommended by the Education Commission is essential for economic and cultural development of the country, for national integration and for realizing the ideal of a socialistic pattern of society. This will involve a trans- formation of the system to relate it more closely to the life of the people; a continuous effort to expand educational opportunity; a sustained and intensive effort to raise the quality of education at all stages; an emphasis on the development of science and technology; and the cultivation of moral and social values. The educational system must produce young men and women of character and ability committed to national service and development. Only then will education be able to play its vital role in promoting national progress, creating a sense of common citizenship and culture, and strengthening national integration. This is necessary if the country is to attain its rightful place in the comity of nations in conformity with its great cultural heritage and its unique potentialities.</w:t>
      </w:r>
    </w:p>
    <w:p>
      <w:pPr>
        <w:spacing w:after="0" w:line="240" w:lineRule="auto"/>
        <w:jc w:val="both"/>
        <w:rPr>
          <w:sz w:val="24"/>
        </w:rPr>
        <w:sectPr>
          <w:pgSz w:w="12240" w:h="15840"/>
          <w:pgMar w:header="0" w:footer="743" w:top="1360" w:bottom="940" w:left="1640" w:right="1300"/>
        </w:sectPr>
      </w:pPr>
    </w:p>
    <w:p>
      <w:pPr>
        <w:pStyle w:val="ListParagraph"/>
        <w:numPr>
          <w:ilvl w:val="0"/>
          <w:numId w:val="2"/>
        </w:numPr>
        <w:tabs>
          <w:tab w:pos="481" w:val="left" w:leader="none"/>
        </w:tabs>
        <w:spacing w:line="240" w:lineRule="auto" w:before="76" w:after="0"/>
        <w:ind w:left="160" w:right="497" w:firstLine="0"/>
        <w:jc w:val="both"/>
        <w:rPr>
          <w:sz w:val="24"/>
        </w:rPr>
      </w:pPr>
      <w:r>
        <w:rPr>
          <w:sz w:val="24"/>
        </w:rPr>
        <w:t>The Government of India accordingly resolves to promote the development of education in the country in accordance with the following principles:</w:t>
      </w:r>
    </w:p>
    <w:p>
      <w:pPr>
        <w:pStyle w:val="BodyText"/>
        <w:spacing w:before="8"/>
      </w:pPr>
    </w:p>
    <w:p>
      <w:pPr>
        <w:pStyle w:val="Heading2"/>
        <w:numPr>
          <w:ilvl w:val="1"/>
          <w:numId w:val="2"/>
        </w:numPr>
        <w:tabs>
          <w:tab w:pos="499" w:val="left" w:leader="none"/>
        </w:tabs>
        <w:spacing w:line="240" w:lineRule="auto" w:before="0" w:after="0"/>
        <w:ind w:left="499" w:right="0" w:hanging="339"/>
        <w:jc w:val="both"/>
      </w:pPr>
      <w:r>
        <w:rPr/>
        <w:t>Free</w:t>
      </w:r>
      <w:r>
        <w:rPr>
          <w:spacing w:val="-1"/>
        </w:rPr>
        <w:t> </w:t>
      </w:r>
      <w:r>
        <w:rPr/>
        <w:t>and</w:t>
      </w:r>
      <w:r>
        <w:rPr>
          <w:spacing w:val="-1"/>
        </w:rPr>
        <w:t> </w:t>
      </w:r>
      <w:r>
        <w:rPr/>
        <w:t>Compulsory </w:t>
      </w:r>
      <w:r>
        <w:rPr>
          <w:spacing w:val="-2"/>
        </w:rPr>
        <w:t>Education</w:t>
      </w:r>
    </w:p>
    <w:p>
      <w:pPr>
        <w:pStyle w:val="BodyText"/>
        <w:spacing w:before="1"/>
        <w:rPr>
          <w:b/>
        </w:rPr>
      </w:pPr>
    </w:p>
    <w:p>
      <w:pPr>
        <w:pStyle w:val="BodyText"/>
        <w:ind w:left="160" w:right="496"/>
        <w:jc w:val="both"/>
      </w:pPr>
      <w:r>
        <w:rPr/>
        <w:t>Strenuous</w:t>
      </w:r>
      <w:r>
        <w:rPr>
          <w:spacing w:val="-2"/>
        </w:rPr>
        <w:t> </w:t>
      </w:r>
      <w:r>
        <w:rPr/>
        <w:t>efforts</w:t>
      </w:r>
      <w:r>
        <w:rPr>
          <w:spacing w:val="-2"/>
        </w:rPr>
        <w:t> </w:t>
      </w:r>
      <w:r>
        <w:rPr/>
        <w:t>should</w:t>
      </w:r>
      <w:r>
        <w:rPr>
          <w:spacing w:val="-4"/>
        </w:rPr>
        <w:t> </w:t>
      </w:r>
      <w:r>
        <w:rPr/>
        <w:t>be</w:t>
      </w:r>
      <w:r>
        <w:rPr>
          <w:spacing w:val="-2"/>
        </w:rPr>
        <w:t> </w:t>
      </w:r>
      <w:r>
        <w:rPr/>
        <w:t>made</w:t>
      </w:r>
      <w:r>
        <w:rPr>
          <w:spacing w:val="-2"/>
        </w:rPr>
        <w:t> </w:t>
      </w:r>
      <w:r>
        <w:rPr/>
        <w:t>for</w:t>
      </w:r>
      <w:r>
        <w:rPr>
          <w:spacing w:val="-2"/>
        </w:rPr>
        <w:t> </w:t>
      </w:r>
      <w:r>
        <w:rPr/>
        <w:t>the</w:t>
      </w:r>
      <w:r>
        <w:rPr>
          <w:spacing w:val="-2"/>
        </w:rPr>
        <w:t> </w:t>
      </w:r>
      <w:r>
        <w:rPr/>
        <w:t>early</w:t>
      </w:r>
      <w:r>
        <w:rPr>
          <w:spacing w:val="-6"/>
        </w:rPr>
        <w:t> </w:t>
      </w:r>
      <w:r>
        <w:rPr/>
        <w:t>fulfillment</w:t>
      </w:r>
      <w:r>
        <w:rPr>
          <w:spacing w:val="-2"/>
        </w:rPr>
        <w:t> </w:t>
      </w:r>
      <w:r>
        <w:rPr/>
        <w:t>of</w:t>
      </w:r>
      <w:r>
        <w:rPr>
          <w:spacing w:val="-2"/>
        </w:rPr>
        <w:t> </w:t>
      </w:r>
      <w:r>
        <w:rPr/>
        <w:t>the</w:t>
      </w:r>
      <w:r>
        <w:rPr>
          <w:spacing w:val="-2"/>
        </w:rPr>
        <w:t> </w:t>
      </w:r>
      <w:r>
        <w:rPr/>
        <w:t>Directive</w:t>
      </w:r>
      <w:r>
        <w:rPr>
          <w:spacing w:val="-2"/>
        </w:rPr>
        <w:t> </w:t>
      </w:r>
      <w:r>
        <w:rPr/>
        <w:t>Principle</w:t>
      </w:r>
      <w:r>
        <w:rPr>
          <w:spacing w:val="-2"/>
        </w:rPr>
        <w:t> </w:t>
      </w:r>
      <w:r>
        <w:rPr/>
        <w:t>under Article 45 of the Constitution seeking to provide free and compulsory education for all children up to the age of 14. Suitable programmes should be developed to reduce the prevailing wastage and stagnation in schools and to ensure that every child who is enrolled in school successfully completes the prescribed course.</w:t>
      </w:r>
    </w:p>
    <w:p>
      <w:pPr>
        <w:pStyle w:val="BodyText"/>
        <w:spacing w:before="7"/>
      </w:pPr>
    </w:p>
    <w:p>
      <w:pPr>
        <w:pStyle w:val="Heading2"/>
        <w:numPr>
          <w:ilvl w:val="1"/>
          <w:numId w:val="2"/>
        </w:numPr>
        <w:tabs>
          <w:tab w:pos="498" w:val="left" w:leader="none"/>
        </w:tabs>
        <w:spacing w:line="240" w:lineRule="auto" w:before="0" w:after="0"/>
        <w:ind w:left="498" w:right="0" w:hanging="338"/>
        <w:jc w:val="both"/>
      </w:pPr>
      <w:r>
        <w:rPr/>
        <w:t>Status,</w:t>
      </w:r>
      <w:r>
        <w:rPr>
          <w:spacing w:val="-5"/>
        </w:rPr>
        <w:t> </w:t>
      </w:r>
      <w:r>
        <w:rPr/>
        <w:t>Emoluments</w:t>
      </w:r>
      <w:r>
        <w:rPr>
          <w:spacing w:val="-2"/>
        </w:rPr>
        <w:t> </w:t>
      </w:r>
      <w:r>
        <w:rPr/>
        <w:t>and</w:t>
      </w:r>
      <w:r>
        <w:rPr>
          <w:spacing w:val="-2"/>
        </w:rPr>
        <w:t> </w:t>
      </w:r>
      <w:r>
        <w:rPr/>
        <w:t>Education</w:t>
      </w:r>
      <w:r>
        <w:rPr>
          <w:spacing w:val="-2"/>
        </w:rPr>
        <w:t> </w:t>
      </w:r>
      <w:r>
        <w:rPr/>
        <w:t>of</w:t>
      </w:r>
      <w:r>
        <w:rPr>
          <w:spacing w:val="-2"/>
        </w:rPr>
        <w:t> Teachers</w:t>
      </w:r>
    </w:p>
    <w:p>
      <w:pPr>
        <w:pStyle w:val="BodyText"/>
        <w:rPr>
          <w:b/>
        </w:rPr>
      </w:pPr>
    </w:p>
    <w:p>
      <w:pPr>
        <w:pStyle w:val="ListParagraph"/>
        <w:numPr>
          <w:ilvl w:val="2"/>
          <w:numId w:val="2"/>
        </w:numPr>
        <w:tabs>
          <w:tab w:pos="488" w:val="left" w:leader="none"/>
        </w:tabs>
        <w:spacing w:line="240" w:lineRule="auto" w:before="0" w:after="0"/>
        <w:ind w:left="159" w:right="496" w:firstLine="0"/>
        <w:jc w:val="both"/>
        <w:rPr>
          <w:sz w:val="24"/>
        </w:rPr>
      </w:pPr>
      <w:r>
        <w:rPr>
          <w:sz w:val="24"/>
        </w:rPr>
        <w:t>Of</w:t>
      </w:r>
      <w:r>
        <w:rPr>
          <w:spacing w:val="-1"/>
          <w:sz w:val="24"/>
        </w:rPr>
        <w:t> </w:t>
      </w:r>
      <w:r>
        <w:rPr>
          <w:sz w:val="24"/>
        </w:rPr>
        <w:t>all factors</w:t>
      </w:r>
      <w:r>
        <w:rPr>
          <w:spacing w:val="-1"/>
          <w:sz w:val="24"/>
        </w:rPr>
        <w:t> </w:t>
      </w:r>
      <w:r>
        <w:rPr>
          <w:sz w:val="24"/>
        </w:rPr>
        <w:t>which determine the quality</w:t>
      </w:r>
      <w:r>
        <w:rPr>
          <w:spacing w:val="-1"/>
          <w:sz w:val="24"/>
        </w:rPr>
        <w:t> </w:t>
      </w:r>
      <w:r>
        <w:rPr>
          <w:sz w:val="24"/>
        </w:rPr>
        <w:t>of education and its contribution</w:t>
      </w:r>
      <w:r>
        <w:rPr>
          <w:spacing w:val="-1"/>
          <w:sz w:val="24"/>
        </w:rPr>
        <w:t> </w:t>
      </w:r>
      <w:r>
        <w:rPr>
          <w:sz w:val="24"/>
        </w:rPr>
        <w:t>to</w:t>
      </w:r>
      <w:r>
        <w:rPr>
          <w:spacing w:val="-1"/>
          <w:sz w:val="24"/>
        </w:rPr>
        <w:t> </w:t>
      </w:r>
      <w:r>
        <w:rPr>
          <w:sz w:val="24"/>
        </w:rPr>
        <w:t>national development,</w:t>
      </w:r>
      <w:r>
        <w:rPr>
          <w:spacing w:val="-2"/>
          <w:sz w:val="24"/>
        </w:rPr>
        <w:t> </w:t>
      </w:r>
      <w:r>
        <w:rPr>
          <w:sz w:val="24"/>
        </w:rPr>
        <w:t>the</w:t>
      </w:r>
      <w:r>
        <w:rPr>
          <w:spacing w:val="-2"/>
          <w:sz w:val="24"/>
        </w:rPr>
        <w:t> </w:t>
      </w:r>
      <w:r>
        <w:rPr>
          <w:sz w:val="24"/>
        </w:rPr>
        <w:t>teacher</w:t>
      </w:r>
      <w:r>
        <w:rPr>
          <w:spacing w:val="-2"/>
          <w:sz w:val="24"/>
        </w:rPr>
        <w:t> </w:t>
      </w:r>
      <w:r>
        <w:rPr>
          <w:sz w:val="24"/>
        </w:rPr>
        <w:t>is</w:t>
      </w:r>
      <w:r>
        <w:rPr>
          <w:spacing w:val="-2"/>
          <w:sz w:val="24"/>
        </w:rPr>
        <w:t> </w:t>
      </w:r>
      <w:r>
        <w:rPr>
          <w:sz w:val="24"/>
        </w:rPr>
        <w:t>undoubtedly</w:t>
      </w:r>
      <w:r>
        <w:rPr>
          <w:spacing w:val="-3"/>
          <w:sz w:val="24"/>
        </w:rPr>
        <w:t> </w:t>
      </w:r>
      <w:r>
        <w:rPr>
          <w:sz w:val="24"/>
        </w:rPr>
        <w:t>the</w:t>
      </w:r>
      <w:r>
        <w:rPr>
          <w:spacing w:val="-3"/>
          <w:sz w:val="24"/>
        </w:rPr>
        <w:t> </w:t>
      </w:r>
      <w:r>
        <w:rPr>
          <w:sz w:val="24"/>
        </w:rPr>
        <w:t>most</w:t>
      </w:r>
      <w:r>
        <w:rPr>
          <w:spacing w:val="-3"/>
          <w:sz w:val="24"/>
        </w:rPr>
        <w:t> </w:t>
      </w:r>
      <w:r>
        <w:rPr>
          <w:sz w:val="24"/>
        </w:rPr>
        <w:t>important.</w:t>
      </w:r>
      <w:r>
        <w:rPr>
          <w:spacing w:val="-4"/>
          <w:sz w:val="24"/>
        </w:rPr>
        <w:t> </w:t>
      </w:r>
      <w:r>
        <w:rPr>
          <w:sz w:val="24"/>
        </w:rPr>
        <w:t>It</w:t>
      </w:r>
      <w:r>
        <w:rPr>
          <w:spacing w:val="-3"/>
          <w:sz w:val="24"/>
        </w:rPr>
        <w:t> </w:t>
      </w:r>
      <w:r>
        <w:rPr>
          <w:sz w:val="24"/>
        </w:rPr>
        <w:t>is</w:t>
      </w:r>
      <w:r>
        <w:rPr>
          <w:spacing w:val="-2"/>
          <w:sz w:val="24"/>
        </w:rPr>
        <w:t> </w:t>
      </w:r>
      <w:r>
        <w:rPr>
          <w:sz w:val="24"/>
        </w:rPr>
        <w:t>on</w:t>
      </w:r>
      <w:r>
        <w:rPr>
          <w:spacing w:val="-3"/>
          <w:sz w:val="24"/>
        </w:rPr>
        <w:t> </w:t>
      </w:r>
      <w:r>
        <w:rPr>
          <w:sz w:val="24"/>
        </w:rPr>
        <w:t>his</w:t>
      </w:r>
      <w:r>
        <w:rPr>
          <w:spacing w:val="-2"/>
          <w:sz w:val="24"/>
        </w:rPr>
        <w:t> </w:t>
      </w:r>
      <w:r>
        <w:rPr>
          <w:sz w:val="24"/>
        </w:rPr>
        <w:t>personal</w:t>
      </w:r>
      <w:r>
        <w:rPr>
          <w:spacing w:val="-2"/>
          <w:sz w:val="24"/>
        </w:rPr>
        <w:t> </w:t>
      </w:r>
      <w:r>
        <w:rPr>
          <w:sz w:val="24"/>
        </w:rPr>
        <w:t>qualities and</w:t>
      </w:r>
      <w:r>
        <w:rPr>
          <w:spacing w:val="-2"/>
          <w:sz w:val="24"/>
        </w:rPr>
        <w:t> </w:t>
      </w:r>
      <w:r>
        <w:rPr>
          <w:sz w:val="24"/>
        </w:rPr>
        <w:t>character,</w:t>
      </w:r>
      <w:r>
        <w:rPr>
          <w:spacing w:val="-2"/>
          <w:sz w:val="24"/>
        </w:rPr>
        <w:t> </w:t>
      </w:r>
      <w:r>
        <w:rPr>
          <w:sz w:val="24"/>
        </w:rPr>
        <w:t>his</w:t>
      </w:r>
      <w:r>
        <w:rPr>
          <w:spacing w:val="-2"/>
          <w:sz w:val="24"/>
        </w:rPr>
        <w:t> </w:t>
      </w:r>
      <w:r>
        <w:rPr>
          <w:sz w:val="24"/>
        </w:rPr>
        <w:t>educational</w:t>
      </w:r>
      <w:r>
        <w:rPr>
          <w:spacing w:val="-2"/>
          <w:sz w:val="24"/>
        </w:rPr>
        <w:t> </w:t>
      </w:r>
      <w:r>
        <w:rPr>
          <w:sz w:val="24"/>
        </w:rPr>
        <w:t>qualifications</w:t>
      </w:r>
      <w:r>
        <w:rPr>
          <w:spacing w:val="-2"/>
          <w:sz w:val="24"/>
        </w:rPr>
        <w:t> </w:t>
      </w:r>
      <w:r>
        <w:rPr>
          <w:sz w:val="24"/>
        </w:rPr>
        <w:t>and</w:t>
      </w:r>
      <w:r>
        <w:rPr>
          <w:spacing w:val="-2"/>
          <w:sz w:val="24"/>
        </w:rPr>
        <w:t> </w:t>
      </w:r>
      <w:r>
        <w:rPr>
          <w:sz w:val="24"/>
        </w:rPr>
        <w:t>professional</w:t>
      </w:r>
      <w:r>
        <w:rPr>
          <w:spacing w:val="-2"/>
          <w:sz w:val="24"/>
        </w:rPr>
        <w:t> </w:t>
      </w:r>
      <w:r>
        <w:rPr>
          <w:sz w:val="24"/>
        </w:rPr>
        <w:t>competence</w:t>
      </w:r>
      <w:r>
        <w:rPr>
          <w:spacing w:val="-2"/>
          <w:sz w:val="24"/>
        </w:rPr>
        <w:t> </w:t>
      </w:r>
      <w:r>
        <w:rPr>
          <w:sz w:val="24"/>
        </w:rPr>
        <w:t>that</w:t>
      </w:r>
      <w:r>
        <w:rPr>
          <w:spacing w:val="-2"/>
          <w:sz w:val="24"/>
        </w:rPr>
        <w:t> </w:t>
      </w:r>
      <w:r>
        <w:rPr>
          <w:sz w:val="24"/>
        </w:rPr>
        <w:t>the</w:t>
      </w:r>
      <w:r>
        <w:rPr>
          <w:spacing w:val="-2"/>
          <w:sz w:val="24"/>
        </w:rPr>
        <w:t> </w:t>
      </w:r>
      <w:r>
        <w:rPr>
          <w:sz w:val="24"/>
        </w:rPr>
        <w:t>success of all educational endeavour must ultimately depend. Teachers must, therefore, be accorded an honoured place in society. Their emoluments and other service conditions should be adequate and satisfactory, having regard to their qualifications and </w:t>
      </w:r>
      <w:r>
        <w:rPr>
          <w:spacing w:val="-2"/>
          <w:sz w:val="24"/>
        </w:rPr>
        <w:t>responsibilities.</w:t>
      </w:r>
    </w:p>
    <w:p>
      <w:pPr>
        <w:pStyle w:val="BodyText"/>
        <w:spacing w:before="4"/>
      </w:pPr>
    </w:p>
    <w:p>
      <w:pPr>
        <w:pStyle w:val="ListParagraph"/>
        <w:numPr>
          <w:ilvl w:val="2"/>
          <w:numId w:val="2"/>
        </w:numPr>
        <w:tabs>
          <w:tab w:pos="541" w:val="left" w:leader="none"/>
        </w:tabs>
        <w:spacing w:line="240" w:lineRule="auto" w:before="0" w:after="0"/>
        <w:ind w:left="160" w:right="497" w:firstLine="0"/>
        <w:jc w:val="both"/>
        <w:rPr>
          <w:sz w:val="24"/>
        </w:rPr>
      </w:pPr>
      <w:r>
        <w:rPr>
          <w:sz w:val="24"/>
        </w:rPr>
        <w:t>The academic freedom of teachers to pursue and publish independent studies and researches and to speak and write about significant national and international </w:t>
      </w:r>
      <w:r>
        <w:rPr>
          <w:sz w:val="24"/>
        </w:rPr>
        <w:t>issues should be protected.</w:t>
      </w:r>
    </w:p>
    <w:p>
      <w:pPr>
        <w:pStyle w:val="BodyText"/>
        <w:spacing w:before="6"/>
      </w:pPr>
    </w:p>
    <w:p>
      <w:pPr>
        <w:pStyle w:val="ListParagraph"/>
        <w:numPr>
          <w:ilvl w:val="2"/>
          <w:numId w:val="2"/>
        </w:numPr>
        <w:tabs>
          <w:tab w:pos="485" w:val="left" w:leader="none"/>
        </w:tabs>
        <w:spacing w:line="240" w:lineRule="auto" w:before="0" w:after="0"/>
        <w:ind w:left="485" w:right="0" w:hanging="325"/>
        <w:jc w:val="both"/>
        <w:rPr>
          <w:sz w:val="24"/>
        </w:rPr>
      </w:pPr>
      <w:r>
        <w:rPr>
          <w:sz w:val="24"/>
        </w:rPr>
        <w:t>Teacher</w:t>
      </w:r>
      <w:r>
        <w:rPr>
          <w:spacing w:val="-6"/>
          <w:sz w:val="24"/>
        </w:rPr>
        <w:t> </w:t>
      </w:r>
      <w:r>
        <w:rPr>
          <w:sz w:val="24"/>
        </w:rPr>
        <w:t>education,</w:t>
      </w:r>
      <w:r>
        <w:rPr>
          <w:spacing w:val="-4"/>
          <w:sz w:val="24"/>
        </w:rPr>
        <w:t> </w:t>
      </w:r>
      <w:r>
        <w:rPr>
          <w:sz w:val="24"/>
        </w:rPr>
        <w:t>particularly</w:t>
      </w:r>
      <w:r>
        <w:rPr>
          <w:spacing w:val="-4"/>
          <w:sz w:val="24"/>
        </w:rPr>
        <w:t> </w:t>
      </w:r>
      <w:r>
        <w:rPr>
          <w:sz w:val="24"/>
        </w:rPr>
        <w:t>in-service</w:t>
      </w:r>
      <w:r>
        <w:rPr>
          <w:spacing w:val="-4"/>
          <w:sz w:val="24"/>
        </w:rPr>
        <w:t> </w:t>
      </w:r>
      <w:r>
        <w:rPr>
          <w:sz w:val="24"/>
        </w:rPr>
        <w:t>education,</w:t>
      </w:r>
      <w:r>
        <w:rPr>
          <w:spacing w:val="-4"/>
          <w:sz w:val="24"/>
        </w:rPr>
        <w:t> </w:t>
      </w:r>
      <w:r>
        <w:rPr>
          <w:sz w:val="24"/>
        </w:rPr>
        <w:t>should</w:t>
      </w:r>
      <w:r>
        <w:rPr>
          <w:spacing w:val="-4"/>
          <w:sz w:val="24"/>
        </w:rPr>
        <w:t> </w:t>
      </w:r>
      <w:r>
        <w:rPr>
          <w:sz w:val="24"/>
        </w:rPr>
        <w:t>receive</w:t>
      </w:r>
      <w:r>
        <w:rPr>
          <w:spacing w:val="-4"/>
          <w:sz w:val="24"/>
        </w:rPr>
        <w:t> </w:t>
      </w:r>
      <w:r>
        <w:rPr>
          <w:sz w:val="24"/>
        </w:rPr>
        <w:t>due</w:t>
      </w:r>
      <w:r>
        <w:rPr>
          <w:spacing w:val="-4"/>
          <w:sz w:val="24"/>
        </w:rPr>
        <w:t> </w:t>
      </w:r>
      <w:r>
        <w:rPr>
          <w:spacing w:val="-2"/>
          <w:sz w:val="24"/>
        </w:rPr>
        <w:t>emphasis.</w:t>
      </w:r>
    </w:p>
    <w:p>
      <w:pPr>
        <w:pStyle w:val="BodyText"/>
        <w:spacing w:before="2"/>
      </w:pPr>
    </w:p>
    <w:p>
      <w:pPr>
        <w:pStyle w:val="ListParagraph"/>
        <w:numPr>
          <w:ilvl w:val="1"/>
          <w:numId w:val="2"/>
        </w:numPr>
        <w:tabs>
          <w:tab w:pos="517" w:val="left" w:leader="none"/>
        </w:tabs>
        <w:spacing w:line="240" w:lineRule="auto" w:before="1" w:after="0"/>
        <w:ind w:left="160" w:right="496" w:firstLine="0"/>
        <w:jc w:val="both"/>
        <w:rPr>
          <w:sz w:val="24"/>
        </w:rPr>
      </w:pPr>
      <w:r>
        <w:rPr>
          <w:b/>
          <w:sz w:val="24"/>
        </w:rPr>
        <w:t>Development of Languages </w:t>
      </w:r>
      <w:r>
        <w:rPr>
          <w:sz w:val="24"/>
        </w:rPr>
        <w:t>(a) Regional Languages: The energetic development of Indian languages and literature is a sine qua non for educational and cultural development. Unless this is done, the creative energies of the people will not be released, standards of</w:t>
      </w:r>
      <w:r>
        <w:rPr>
          <w:spacing w:val="-2"/>
          <w:sz w:val="24"/>
        </w:rPr>
        <w:t> </w:t>
      </w:r>
      <w:r>
        <w:rPr>
          <w:sz w:val="24"/>
        </w:rPr>
        <w:t>education</w:t>
      </w:r>
      <w:r>
        <w:rPr>
          <w:spacing w:val="-1"/>
          <w:sz w:val="24"/>
        </w:rPr>
        <w:t> </w:t>
      </w:r>
      <w:r>
        <w:rPr>
          <w:sz w:val="24"/>
        </w:rPr>
        <w:t>will not improve, knowledge</w:t>
      </w:r>
      <w:r>
        <w:rPr>
          <w:spacing w:val="-1"/>
          <w:sz w:val="24"/>
        </w:rPr>
        <w:t> </w:t>
      </w:r>
      <w:r>
        <w:rPr>
          <w:sz w:val="24"/>
        </w:rPr>
        <w:t>will not spread to the people, and the gulf between the intelligentsia and the masses will remain, if not widen further. The regional languages are already in use as media of education at the primary and secondary stages. Urgent steps should now be taken to adopt them as media of education at the university stage.</w:t>
      </w:r>
    </w:p>
    <w:p>
      <w:pPr>
        <w:pStyle w:val="BodyText"/>
        <w:spacing w:before="3"/>
      </w:pPr>
    </w:p>
    <w:p>
      <w:pPr>
        <w:pStyle w:val="ListParagraph"/>
        <w:numPr>
          <w:ilvl w:val="0"/>
          <w:numId w:val="3"/>
        </w:numPr>
        <w:tabs>
          <w:tab w:pos="551" w:val="left" w:leader="none"/>
        </w:tabs>
        <w:spacing w:line="240" w:lineRule="auto" w:before="0" w:after="0"/>
        <w:ind w:left="160" w:right="497" w:firstLine="0"/>
        <w:jc w:val="both"/>
        <w:rPr>
          <w:sz w:val="24"/>
        </w:rPr>
      </w:pPr>
      <w:r>
        <w:rPr>
          <w:sz w:val="24"/>
        </w:rPr>
        <w:t>Three-Language Formula: At the secondary stage, the State Governments should adopt,</w:t>
      </w:r>
      <w:r>
        <w:rPr>
          <w:spacing w:val="-3"/>
          <w:sz w:val="24"/>
        </w:rPr>
        <w:t> </w:t>
      </w:r>
      <w:r>
        <w:rPr>
          <w:sz w:val="24"/>
        </w:rPr>
        <w:t>and</w:t>
      </w:r>
      <w:r>
        <w:rPr>
          <w:spacing w:val="-3"/>
          <w:sz w:val="24"/>
        </w:rPr>
        <w:t> </w:t>
      </w:r>
      <w:r>
        <w:rPr>
          <w:sz w:val="24"/>
        </w:rPr>
        <w:t>vigorously</w:t>
      </w:r>
      <w:r>
        <w:rPr>
          <w:spacing w:val="-3"/>
          <w:sz w:val="24"/>
        </w:rPr>
        <w:t> </w:t>
      </w:r>
      <w:r>
        <w:rPr>
          <w:sz w:val="24"/>
        </w:rPr>
        <w:t>implement,</w:t>
      </w:r>
      <w:r>
        <w:rPr>
          <w:spacing w:val="-3"/>
          <w:sz w:val="24"/>
        </w:rPr>
        <w:t> </w:t>
      </w:r>
      <w:r>
        <w:rPr>
          <w:sz w:val="24"/>
        </w:rPr>
        <w:t>the</w:t>
      </w:r>
      <w:r>
        <w:rPr>
          <w:spacing w:val="-3"/>
          <w:sz w:val="24"/>
        </w:rPr>
        <w:t> </w:t>
      </w:r>
      <w:r>
        <w:rPr>
          <w:sz w:val="24"/>
        </w:rPr>
        <w:t>three-language</w:t>
      </w:r>
      <w:r>
        <w:rPr>
          <w:spacing w:val="-3"/>
          <w:sz w:val="24"/>
        </w:rPr>
        <w:t> </w:t>
      </w:r>
      <w:r>
        <w:rPr>
          <w:sz w:val="24"/>
        </w:rPr>
        <w:t>formula</w:t>
      </w:r>
      <w:r>
        <w:rPr>
          <w:spacing w:val="-3"/>
          <w:sz w:val="24"/>
        </w:rPr>
        <w:t> </w:t>
      </w:r>
      <w:r>
        <w:rPr>
          <w:sz w:val="24"/>
        </w:rPr>
        <w:t>which</w:t>
      </w:r>
      <w:r>
        <w:rPr>
          <w:spacing w:val="-3"/>
          <w:sz w:val="24"/>
        </w:rPr>
        <w:t> </w:t>
      </w:r>
      <w:r>
        <w:rPr>
          <w:sz w:val="24"/>
        </w:rPr>
        <w:t>'includes</w:t>
      </w:r>
      <w:r>
        <w:rPr>
          <w:spacing w:val="-3"/>
          <w:sz w:val="24"/>
        </w:rPr>
        <w:t> </w:t>
      </w:r>
      <w:r>
        <w:rPr>
          <w:sz w:val="24"/>
        </w:rPr>
        <w:t>the</w:t>
      </w:r>
      <w:r>
        <w:rPr>
          <w:spacing w:val="-3"/>
          <w:sz w:val="24"/>
        </w:rPr>
        <w:t> </w:t>
      </w:r>
      <w:r>
        <w:rPr>
          <w:sz w:val="24"/>
        </w:rPr>
        <w:t>study</w:t>
      </w:r>
      <w:r>
        <w:rPr>
          <w:spacing w:val="-3"/>
          <w:sz w:val="24"/>
        </w:rPr>
        <w:t> </w:t>
      </w:r>
      <w:r>
        <w:rPr>
          <w:sz w:val="24"/>
        </w:rPr>
        <w:t>of a modern Indian language, preferably one of the southern languages, apart from Hindi</w:t>
      </w:r>
      <w:r>
        <w:rPr>
          <w:spacing w:val="40"/>
          <w:sz w:val="24"/>
        </w:rPr>
        <w:t> </w:t>
      </w:r>
      <w:r>
        <w:rPr>
          <w:sz w:val="24"/>
        </w:rPr>
        <w:t>and English in the Hindi-speaking States, and of Hindi along with the regional language and English in the non-Hindi speaking States. Suitable courses in Hindi and/or </w:t>
      </w:r>
      <w:r>
        <w:rPr>
          <w:sz w:val="24"/>
        </w:rPr>
        <w:t>English should also be available in universities and colleges with a view to improving the proficiency of students in these languages up to the prescribed university standards.</w:t>
      </w:r>
    </w:p>
    <w:p>
      <w:pPr>
        <w:pStyle w:val="BodyText"/>
        <w:spacing w:before="4"/>
      </w:pPr>
    </w:p>
    <w:p>
      <w:pPr>
        <w:pStyle w:val="ListParagraph"/>
        <w:numPr>
          <w:ilvl w:val="0"/>
          <w:numId w:val="3"/>
        </w:numPr>
        <w:tabs>
          <w:tab w:pos="558" w:val="left" w:leader="none"/>
        </w:tabs>
        <w:spacing w:line="240" w:lineRule="auto" w:before="0" w:after="0"/>
        <w:ind w:left="160" w:right="497" w:firstLine="0"/>
        <w:jc w:val="both"/>
        <w:rPr>
          <w:sz w:val="24"/>
        </w:rPr>
      </w:pPr>
      <w:r>
        <w:rPr>
          <w:sz w:val="24"/>
        </w:rPr>
        <w:t>Hindi: Every effort should be made to promote the development of Hindi. In developing</w:t>
      </w:r>
      <w:r>
        <w:rPr>
          <w:spacing w:val="33"/>
          <w:sz w:val="24"/>
        </w:rPr>
        <w:t> </w:t>
      </w:r>
      <w:r>
        <w:rPr>
          <w:sz w:val="24"/>
        </w:rPr>
        <w:t>Hindi</w:t>
      </w:r>
      <w:r>
        <w:rPr>
          <w:spacing w:val="34"/>
          <w:sz w:val="24"/>
        </w:rPr>
        <w:t> </w:t>
      </w:r>
      <w:r>
        <w:rPr>
          <w:sz w:val="24"/>
        </w:rPr>
        <w:t>as</w:t>
      </w:r>
      <w:r>
        <w:rPr>
          <w:spacing w:val="33"/>
          <w:sz w:val="24"/>
        </w:rPr>
        <w:t> </w:t>
      </w:r>
      <w:r>
        <w:rPr>
          <w:sz w:val="24"/>
        </w:rPr>
        <w:t>the</w:t>
      </w:r>
      <w:r>
        <w:rPr>
          <w:spacing w:val="34"/>
          <w:sz w:val="24"/>
        </w:rPr>
        <w:t> </w:t>
      </w:r>
      <w:r>
        <w:rPr>
          <w:sz w:val="24"/>
        </w:rPr>
        <w:t>link</w:t>
      </w:r>
      <w:r>
        <w:rPr>
          <w:spacing w:val="34"/>
          <w:sz w:val="24"/>
        </w:rPr>
        <w:t> </w:t>
      </w:r>
      <w:r>
        <w:rPr>
          <w:sz w:val="24"/>
        </w:rPr>
        <w:t>language,</w:t>
      </w:r>
      <w:r>
        <w:rPr>
          <w:spacing w:val="33"/>
          <w:sz w:val="24"/>
        </w:rPr>
        <w:t> </w:t>
      </w:r>
      <w:r>
        <w:rPr>
          <w:sz w:val="24"/>
        </w:rPr>
        <w:t>due</w:t>
      </w:r>
      <w:r>
        <w:rPr>
          <w:spacing w:val="34"/>
          <w:sz w:val="24"/>
        </w:rPr>
        <w:t> </w:t>
      </w:r>
      <w:r>
        <w:rPr>
          <w:sz w:val="24"/>
        </w:rPr>
        <w:t>care</w:t>
      </w:r>
      <w:r>
        <w:rPr>
          <w:spacing w:val="34"/>
          <w:sz w:val="24"/>
        </w:rPr>
        <w:t> </w:t>
      </w:r>
      <w:r>
        <w:rPr>
          <w:sz w:val="24"/>
        </w:rPr>
        <w:t>should</w:t>
      </w:r>
      <w:r>
        <w:rPr>
          <w:spacing w:val="34"/>
          <w:sz w:val="24"/>
        </w:rPr>
        <w:t> </w:t>
      </w:r>
      <w:r>
        <w:rPr>
          <w:sz w:val="24"/>
        </w:rPr>
        <w:t>be</w:t>
      </w:r>
      <w:r>
        <w:rPr>
          <w:spacing w:val="34"/>
          <w:sz w:val="24"/>
        </w:rPr>
        <w:t> </w:t>
      </w:r>
      <w:r>
        <w:rPr>
          <w:sz w:val="24"/>
        </w:rPr>
        <w:t>taken</w:t>
      </w:r>
      <w:r>
        <w:rPr>
          <w:spacing w:val="33"/>
          <w:sz w:val="24"/>
        </w:rPr>
        <w:t> </w:t>
      </w:r>
      <w:r>
        <w:rPr>
          <w:sz w:val="24"/>
        </w:rPr>
        <w:t>to</w:t>
      </w:r>
      <w:r>
        <w:rPr>
          <w:spacing w:val="34"/>
          <w:sz w:val="24"/>
        </w:rPr>
        <w:t> </w:t>
      </w:r>
      <w:r>
        <w:rPr>
          <w:sz w:val="24"/>
        </w:rPr>
        <w:t>ensure</w:t>
      </w:r>
      <w:r>
        <w:rPr>
          <w:spacing w:val="33"/>
          <w:sz w:val="24"/>
        </w:rPr>
        <w:t> </w:t>
      </w:r>
      <w:r>
        <w:rPr>
          <w:sz w:val="24"/>
        </w:rPr>
        <w:t>that</w:t>
      </w:r>
      <w:r>
        <w:rPr>
          <w:spacing w:val="34"/>
          <w:sz w:val="24"/>
        </w:rPr>
        <w:t> </w:t>
      </w:r>
      <w:r>
        <w:rPr>
          <w:sz w:val="24"/>
        </w:rPr>
        <w:t>it</w:t>
      </w:r>
      <w:r>
        <w:rPr>
          <w:spacing w:val="34"/>
          <w:sz w:val="24"/>
        </w:rPr>
        <w:t> </w:t>
      </w:r>
      <w:r>
        <w:rPr>
          <w:spacing w:val="-4"/>
          <w:sz w:val="24"/>
        </w:rPr>
        <w:t>will</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serve, as provided for in Article 351 of the Constitution, as a medium of expression for</w:t>
      </w:r>
      <w:r>
        <w:rPr>
          <w:spacing w:val="40"/>
        </w:rPr>
        <w:t> </w:t>
      </w:r>
      <w:r>
        <w:rPr/>
        <w:t>all the elements of the composite culture of India. The establishment in non-Hindi States, of colleges and other institutions of higher education which use Hindi as the medium of education should be encouraged.</w:t>
      </w:r>
    </w:p>
    <w:p>
      <w:pPr>
        <w:pStyle w:val="BodyText"/>
        <w:spacing w:before="4"/>
      </w:pPr>
    </w:p>
    <w:p>
      <w:pPr>
        <w:pStyle w:val="ListParagraph"/>
        <w:numPr>
          <w:ilvl w:val="0"/>
          <w:numId w:val="3"/>
        </w:numPr>
        <w:tabs>
          <w:tab w:pos="589" w:val="left" w:leader="none"/>
        </w:tabs>
        <w:spacing w:line="240" w:lineRule="auto" w:before="0" w:after="0"/>
        <w:ind w:left="160" w:right="498" w:firstLine="0"/>
        <w:jc w:val="both"/>
        <w:rPr>
          <w:sz w:val="24"/>
        </w:rPr>
      </w:pPr>
      <w:r>
        <w:rPr>
          <w:sz w:val="24"/>
        </w:rPr>
        <w:t>Sanskrit : Considering the special importance of Sanskrit to the growth and development of Indian languages and its unique contribution to the cultural unity of the country, facilities for its teaching at the school and university stages should be offered on a more liberal scale. Development of new methods of teaching the language should be encouraged, and the possibility explored of including the study of Sanskrit in </w:t>
      </w:r>
      <w:r>
        <w:rPr>
          <w:sz w:val="24"/>
        </w:rPr>
        <w:t>those courses (such as modern Indian languages, ancient Indian history, Indology and Indian philosophy) at the first and second degree stages, where such knowledge is useful.</w:t>
      </w:r>
    </w:p>
    <w:p>
      <w:pPr>
        <w:pStyle w:val="BodyText"/>
        <w:spacing w:before="4"/>
      </w:pPr>
    </w:p>
    <w:p>
      <w:pPr>
        <w:pStyle w:val="ListParagraph"/>
        <w:numPr>
          <w:ilvl w:val="0"/>
          <w:numId w:val="3"/>
        </w:numPr>
        <w:tabs>
          <w:tab w:pos="513" w:val="left" w:leader="none"/>
        </w:tabs>
        <w:spacing w:line="240" w:lineRule="auto" w:before="0" w:after="0"/>
        <w:ind w:left="160" w:right="496" w:firstLine="0"/>
        <w:jc w:val="both"/>
        <w:rPr>
          <w:sz w:val="24"/>
        </w:rPr>
      </w:pPr>
      <w:r>
        <w:rPr>
          <w:sz w:val="24"/>
        </w:rPr>
        <w:t>International Languages: Special emphasis needs to be laid on the study of English and other international languages. World knowledge is growing at a tremendous pace, especially in science and technology. India must not only keep up this growth but </w:t>
      </w:r>
      <w:r>
        <w:rPr>
          <w:sz w:val="24"/>
        </w:rPr>
        <w:t>should also make her own significant contribution to it. For this purpose, study of English deserves to be specially strengthened.</w:t>
      </w:r>
    </w:p>
    <w:p>
      <w:pPr>
        <w:pStyle w:val="BodyText"/>
        <w:spacing w:before="5"/>
      </w:pPr>
    </w:p>
    <w:p>
      <w:pPr>
        <w:pStyle w:val="ListParagraph"/>
        <w:numPr>
          <w:ilvl w:val="1"/>
          <w:numId w:val="2"/>
        </w:numPr>
        <w:tabs>
          <w:tab w:pos="555" w:val="left" w:leader="none"/>
        </w:tabs>
        <w:spacing w:line="240" w:lineRule="auto" w:before="0" w:after="0"/>
        <w:ind w:left="160" w:right="497" w:firstLine="0"/>
        <w:jc w:val="both"/>
        <w:rPr>
          <w:sz w:val="24"/>
        </w:rPr>
      </w:pPr>
      <w:r>
        <w:rPr>
          <w:b/>
          <w:sz w:val="24"/>
        </w:rPr>
        <w:t>Equalization of Educational Opportunity </w:t>
      </w:r>
      <w:r>
        <w:rPr>
          <w:sz w:val="24"/>
        </w:rPr>
        <w:t>Strenuous efforts should be made to equalize educational opportunity. (a) Regional imbalances in the provision of educational facilities should be corrected and good educational facilities should be provided in rural and other backward areas.</w:t>
      </w:r>
    </w:p>
    <w:p>
      <w:pPr>
        <w:pStyle w:val="BodyText"/>
        <w:spacing w:before="3"/>
      </w:pPr>
    </w:p>
    <w:p>
      <w:pPr>
        <w:pStyle w:val="ListParagraph"/>
        <w:numPr>
          <w:ilvl w:val="0"/>
          <w:numId w:val="4"/>
        </w:numPr>
        <w:tabs>
          <w:tab w:pos="517" w:val="left" w:leader="none"/>
        </w:tabs>
        <w:spacing w:line="240" w:lineRule="auto" w:before="1" w:after="0"/>
        <w:ind w:left="160" w:right="497" w:firstLine="0"/>
        <w:jc w:val="both"/>
        <w:rPr>
          <w:sz w:val="24"/>
        </w:rPr>
      </w:pPr>
      <w:r>
        <w:rPr>
          <w:sz w:val="24"/>
        </w:rPr>
        <w:t>To promote social cohesion and national integration the Common School System as recommended by the Education Commission should be adopted. Efforts should be made to improve the standard of education in general schools. All special schools like Public Schools should be required to admit students on the basis of merit and also to provide a prescribed proportion of free-studentships to prevent segregation of social classes. </w:t>
      </w:r>
      <w:r>
        <w:rPr>
          <w:sz w:val="24"/>
        </w:rPr>
        <w:t>This will not, however, affect the rights of minorities under Article 30 of the Constitution.</w:t>
      </w:r>
    </w:p>
    <w:p>
      <w:pPr>
        <w:pStyle w:val="BodyText"/>
        <w:spacing w:before="3"/>
      </w:pPr>
    </w:p>
    <w:p>
      <w:pPr>
        <w:pStyle w:val="ListParagraph"/>
        <w:numPr>
          <w:ilvl w:val="0"/>
          <w:numId w:val="4"/>
        </w:numPr>
        <w:tabs>
          <w:tab w:pos="494" w:val="left" w:leader="none"/>
        </w:tabs>
        <w:spacing w:line="240" w:lineRule="auto" w:before="0" w:after="0"/>
        <w:ind w:left="160" w:right="499" w:firstLine="0"/>
        <w:jc w:val="both"/>
        <w:rPr>
          <w:sz w:val="24"/>
        </w:rPr>
      </w:pPr>
      <w:r>
        <w:rPr>
          <w:sz w:val="24"/>
        </w:rPr>
        <w:t>The education of girls should receive emphasis, not only on grounds of social justice, but also because it accelerates social transformation.</w:t>
      </w:r>
    </w:p>
    <w:p>
      <w:pPr>
        <w:pStyle w:val="BodyText"/>
        <w:spacing w:before="4"/>
      </w:pPr>
    </w:p>
    <w:p>
      <w:pPr>
        <w:pStyle w:val="ListParagraph"/>
        <w:numPr>
          <w:ilvl w:val="0"/>
          <w:numId w:val="4"/>
        </w:numPr>
        <w:tabs>
          <w:tab w:pos="518" w:val="left" w:leader="none"/>
        </w:tabs>
        <w:spacing w:line="240" w:lineRule="auto" w:before="0" w:after="0"/>
        <w:ind w:left="160" w:right="497" w:firstLine="0"/>
        <w:jc w:val="both"/>
        <w:rPr>
          <w:sz w:val="24"/>
        </w:rPr>
      </w:pPr>
      <w:r>
        <w:rPr>
          <w:sz w:val="24"/>
        </w:rPr>
        <w:t>More intensive efforts are needed to develop education among the backward </w:t>
      </w:r>
      <w:r>
        <w:rPr>
          <w:sz w:val="24"/>
        </w:rPr>
        <w:t>classes and especially among the tribal people.</w:t>
      </w:r>
    </w:p>
    <w:p>
      <w:pPr>
        <w:pStyle w:val="BodyText"/>
        <w:spacing w:before="5"/>
      </w:pPr>
    </w:p>
    <w:p>
      <w:pPr>
        <w:pStyle w:val="ListParagraph"/>
        <w:numPr>
          <w:ilvl w:val="0"/>
          <w:numId w:val="4"/>
        </w:numPr>
        <w:tabs>
          <w:tab w:pos="498" w:val="left" w:leader="none"/>
        </w:tabs>
        <w:spacing w:line="240" w:lineRule="auto" w:before="0" w:after="0"/>
        <w:ind w:left="160" w:right="497" w:firstLine="0"/>
        <w:jc w:val="both"/>
        <w:rPr>
          <w:sz w:val="24"/>
        </w:rPr>
      </w:pPr>
      <w:r>
        <w:rPr>
          <w:sz w:val="24"/>
        </w:rPr>
        <w:t>Educational facilities for the physically and mentally handicapped children should be expanded and attempts should be made to develop integrated programmes enabling </w:t>
      </w:r>
      <w:r>
        <w:rPr>
          <w:sz w:val="24"/>
        </w:rPr>
        <w:t>the handicapped children to study in regular schools.</w:t>
      </w:r>
    </w:p>
    <w:p>
      <w:pPr>
        <w:pStyle w:val="BodyText"/>
        <w:spacing w:before="7"/>
      </w:pPr>
    </w:p>
    <w:p>
      <w:pPr>
        <w:pStyle w:val="Heading2"/>
        <w:numPr>
          <w:ilvl w:val="1"/>
          <w:numId w:val="2"/>
        </w:numPr>
        <w:tabs>
          <w:tab w:pos="499" w:val="left" w:leader="none"/>
        </w:tabs>
        <w:spacing w:line="240" w:lineRule="auto" w:before="0" w:after="0"/>
        <w:ind w:left="499" w:right="0" w:hanging="339"/>
        <w:jc w:val="both"/>
      </w:pPr>
      <w:r>
        <w:rPr/>
        <w:t>Identification</w:t>
      </w:r>
      <w:r>
        <w:rPr>
          <w:spacing w:val="-1"/>
        </w:rPr>
        <w:t> </w:t>
      </w:r>
      <w:r>
        <w:rPr/>
        <w:t>of </w:t>
      </w:r>
      <w:r>
        <w:rPr>
          <w:spacing w:val="-2"/>
        </w:rPr>
        <w:t>Talent</w:t>
      </w:r>
    </w:p>
    <w:p>
      <w:pPr>
        <w:pStyle w:val="BodyText"/>
        <w:rPr>
          <w:b/>
        </w:rPr>
      </w:pPr>
    </w:p>
    <w:p>
      <w:pPr>
        <w:pStyle w:val="BodyText"/>
        <w:ind w:left="160" w:right="498"/>
        <w:jc w:val="both"/>
      </w:pPr>
      <w:r>
        <w:rPr/>
        <w:t>For the cultivation of excellence, it is necessary that talent in diverse fields should be identified at as early an age as possible, and every stimulus and opportunity given for its full development.</w:t>
      </w:r>
    </w:p>
    <w:p>
      <w:pPr>
        <w:spacing w:after="0"/>
        <w:jc w:val="both"/>
        <w:sectPr>
          <w:pgSz w:w="12240" w:h="15840"/>
          <w:pgMar w:header="0" w:footer="743" w:top="1360" w:bottom="940" w:left="1640" w:right="1300"/>
        </w:sectPr>
      </w:pPr>
    </w:p>
    <w:p>
      <w:pPr>
        <w:pStyle w:val="Heading2"/>
        <w:numPr>
          <w:ilvl w:val="1"/>
          <w:numId w:val="2"/>
        </w:numPr>
        <w:tabs>
          <w:tab w:pos="499" w:val="left" w:leader="none"/>
        </w:tabs>
        <w:spacing w:line="240" w:lineRule="auto" w:before="60" w:after="0"/>
        <w:ind w:left="499" w:right="0" w:hanging="339"/>
        <w:jc w:val="left"/>
      </w:pPr>
      <w:r>
        <w:rPr/>
        <w:t>Work-experience</w:t>
      </w:r>
      <w:r>
        <w:rPr>
          <w:spacing w:val="-1"/>
        </w:rPr>
        <w:t> </w:t>
      </w:r>
      <w:r>
        <w:rPr/>
        <w:t>and</w:t>
      </w:r>
      <w:r>
        <w:rPr>
          <w:spacing w:val="-1"/>
        </w:rPr>
        <w:t> </w:t>
      </w:r>
      <w:r>
        <w:rPr/>
        <w:t>National </w:t>
      </w:r>
      <w:r>
        <w:rPr>
          <w:spacing w:val="-2"/>
        </w:rPr>
        <w:t>Service</w:t>
      </w:r>
    </w:p>
    <w:p>
      <w:pPr>
        <w:pStyle w:val="BodyText"/>
        <w:rPr>
          <w:b/>
        </w:rPr>
      </w:pPr>
    </w:p>
    <w:p>
      <w:pPr>
        <w:pStyle w:val="BodyText"/>
        <w:ind w:left="160" w:right="497"/>
        <w:jc w:val="both"/>
      </w:pPr>
      <w:r>
        <w:rPr/>
        <w:t>The school and the community should be brought closer through suitable programmes of mutual service and support. Work-experience and national service, including</w:t>
      </w:r>
      <w:r>
        <w:rPr>
          <w:spacing w:val="40"/>
        </w:rPr>
        <w:t> </w:t>
      </w:r>
      <w:r>
        <w:rPr/>
        <w:t>participation in meaningful and challenging programmes of community service and national reconstruction, should accordingly become an integral part of education. Emphasis in these programmes should be on self-help, character formation and on developing a sense of social commitment.</w:t>
      </w:r>
    </w:p>
    <w:p>
      <w:pPr>
        <w:pStyle w:val="BodyText"/>
        <w:spacing w:before="8"/>
      </w:pPr>
    </w:p>
    <w:p>
      <w:pPr>
        <w:pStyle w:val="Heading2"/>
        <w:numPr>
          <w:ilvl w:val="1"/>
          <w:numId w:val="2"/>
        </w:numPr>
        <w:tabs>
          <w:tab w:pos="498" w:val="left" w:leader="none"/>
        </w:tabs>
        <w:spacing w:line="240" w:lineRule="auto" w:before="1" w:after="0"/>
        <w:ind w:left="498" w:right="0" w:hanging="338"/>
        <w:jc w:val="left"/>
      </w:pPr>
      <w:r>
        <w:rPr/>
        <w:t>Science</w:t>
      </w:r>
      <w:r>
        <w:rPr>
          <w:spacing w:val="-1"/>
        </w:rPr>
        <w:t> </w:t>
      </w:r>
      <w:r>
        <w:rPr/>
        <w:t>Education</w:t>
      </w:r>
      <w:r>
        <w:rPr>
          <w:spacing w:val="-1"/>
        </w:rPr>
        <w:t> </w:t>
      </w:r>
      <w:r>
        <w:rPr/>
        <w:t>and</w:t>
      </w:r>
      <w:r>
        <w:rPr>
          <w:spacing w:val="-1"/>
        </w:rPr>
        <w:t> </w:t>
      </w:r>
      <w:r>
        <w:rPr>
          <w:spacing w:val="-2"/>
        </w:rPr>
        <w:t>Research</w:t>
      </w:r>
    </w:p>
    <w:p>
      <w:pPr>
        <w:pStyle w:val="BodyText"/>
        <w:spacing w:before="276"/>
        <w:ind w:left="159" w:right="496"/>
        <w:jc w:val="both"/>
      </w:pPr>
      <w:r>
        <w:rPr/>
        <w:t>With a view to accelerating the growth of the national economy, science education and research should receive high priority. Science and mathematics should be an integral part of general education till the end of the school stage.</w:t>
      </w:r>
    </w:p>
    <w:p>
      <w:pPr>
        <w:pStyle w:val="BodyText"/>
        <w:spacing w:before="7"/>
      </w:pPr>
    </w:p>
    <w:p>
      <w:pPr>
        <w:pStyle w:val="Heading2"/>
        <w:numPr>
          <w:ilvl w:val="1"/>
          <w:numId w:val="2"/>
        </w:numPr>
        <w:tabs>
          <w:tab w:pos="495" w:val="left" w:leader="none"/>
        </w:tabs>
        <w:spacing w:line="240" w:lineRule="auto" w:before="0" w:after="0"/>
        <w:ind w:left="495" w:right="0" w:hanging="336"/>
        <w:jc w:val="left"/>
      </w:pPr>
      <w:r>
        <w:rPr/>
        <w:t>Education</w:t>
      </w:r>
      <w:r>
        <w:rPr>
          <w:spacing w:val="-7"/>
        </w:rPr>
        <w:t> </w:t>
      </w:r>
      <w:r>
        <w:rPr/>
        <w:t>for</w:t>
      </w:r>
      <w:r>
        <w:rPr>
          <w:spacing w:val="-6"/>
        </w:rPr>
        <w:t> </w:t>
      </w:r>
      <w:r>
        <w:rPr/>
        <w:t>Agriculture</w:t>
      </w:r>
      <w:r>
        <w:rPr>
          <w:spacing w:val="-7"/>
        </w:rPr>
        <w:t> </w:t>
      </w:r>
      <w:r>
        <w:rPr/>
        <w:t>and</w:t>
      </w:r>
      <w:r>
        <w:rPr>
          <w:spacing w:val="-6"/>
        </w:rPr>
        <w:t> </w:t>
      </w:r>
      <w:r>
        <w:rPr>
          <w:spacing w:val="-2"/>
        </w:rPr>
        <w:t>Industry</w:t>
      </w:r>
    </w:p>
    <w:p>
      <w:pPr>
        <w:pStyle w:val="BodyText"/>
        <w:rPr>
          <w:b/>
        </w:rPr>
      </w:pPr>
    </w:p>
    <w:p>
      <w:pPr>
        <w:pStyle w:val="BodyText"/>
        <w:ind w:left="159" w:right="497"/>
        <w:jc w:val="both"/>
      </w:pPr>
      <w:r>
        <w:rPr/>
        <w:t>Special emphasis should be placed on the development of education for agriculture and </w:t>
      </w:r>
      <w:r>
        <w:rPr>
          <w:spacing w:val="-2"/>
        </w:rPr>
        <w:t>industry.</w:t>
      </w:r>
    </w:p>
    <w:p>
      <w:pPr>
        <w:pStyle w:val="BodyText"/>
        <w:spacing w:before="5"/>
      </w:pPr>
    </w:p>
    <w:p>
      <w:pPr>
        <w:pStyle w:val="ListParagraph"/>
        <w:numPr>
          <w:ilvl w:val="2"/>
          <w:numId w:val="2"/>
        </w:numPr>
        <w:tabs>
          <w:tab w:pos="565" w:val="left" w:leader="none"/>
        </w:tabs>
        <w:spacing w:line="240" w:lineRule="auto" w:before="0" w:after="0"/>
        <w:ind w:left="159" w:right="497" w:firstLine="60"/>
        <w:jc w:val="both"/>
        <w:rPr>
          <w:sz w:val="24"/>
        </w:rPr>
      </w:pPr>
      <w:r>
        <w:rPr>
          <w:sz w:val="24"/>
        </w:rPr>
        <w:t>There should be at least one agricultural university in every State. These should, as far as possible, be single campus universities; but where necessary, they may have constituent</w:t>
      </w:r>
      <w:r>
        <w:rPr>
          <w:spacing w:val="-2"/>
          <w:sz w:val="24"/>
        </w:rPr>
        <w:t> </w:t>
      </w:r>
      <w:r>
        <w:rPr>
          <w:sz w:val="24"/>
        </w:rPr>
        <w:t>colleges</w:t>
      </w:r>
      <w:r>
        <w:rPr>
          <w:spacing w:val="-2"/>
          <w:sz w:val="24"/>
        </w:rPr>
        <w:t> </w:t>
      </w:r>
      <w:r>
        <w:rPr>
          <w:sz w:val="24"/>
        </w:rPr>
        <w:t>on</w:t>
      </w:r>
      <w:r>
        <w:rPr>
          <w:spacing w:val="-2"/>
          <w:sz w:val="24"/>
        </w:rPr>
        <w:t> </w:t>
      </w:r>
      <w:r>
        <w:rPr>
          <w:sz w:val="24"/>
        </w:rPr>
        <w:t>different</w:t>
      </w:r>
      <w:r>
        <w:rPr>
          <w:spacing w:val="-2"/>
          <w:sz w:val="24"/>
        </w:rPr>
        <w:t> </w:t>
      </w:r>
      <w:r>
        <w:rPr>
          <w:sz w:val="24"/>
        </w:rPr>
        <w:t>campuses.</w:t>
      </w:r>
      <w:r>
        <w:rPr>
          <w:spacing w:val="-2"/>
          <w:sz w:val="24"/>
        </w:rPr>
        <w:t> </w:t>
      </w:r>
      <w:r>
        <w:rPr>
          <w:sz w:val="24"/>
        </w:rPr>
        <w:t>Other</w:t>
      </w:r>
      <w:r>
        <w:rPr>
          <w:spacing w:val="-3"/>
          <w:sz w:val="24"/>
        </w:rPr>
        <w:t> </w:t>
      </w:r>
      <w:r>
        <w:rPr>
          <w:sz w:val="24"/>
        </w:rPr>
        <w:t>universities</w:t>
      </w:r>
      <w:r>
        <w:rPr>
          <w:spacing w:val="-3"/>
          <w:sz w:val="24"/>
        </w:rPr>
        <w:t> </w:t>
      </w:r>
      <w:r>
        <w:rPr>
          <w:sz w:val="24"/>
        </w:rPr>
        <w:t>may</w:t>
      </w:r>
      <w:r>
        <w:rPr>
          <w:spacing w:val="-3"/>
          <w:sz w:val="24"/>
        </w:rPr>
        <w:t> </w:t>
      </w:r>
      <w:r>
        <w:rPr>
          <w:sz w:val="24"/>
        </w:rPr>
        <w:t>also</w:t>
      </w:r>
      <w:r>
        <w:rPr>
          <w:spacing w:val="-3"/>
          <w:sz w:val="24"/>
        </w:rPr>
        <w:t> </w:t>
      </w:r>
      <w:r>
        <w:rPr>
          <w:sz w:val="24"/>
        </w:rPr>
        <w:t>be</w:t>
      </w:r>
      <w:r>
        <w:rPr>
          <w:spacing w:val="-3"/>
          <w:sz w:val="24"/>
        </w:rPr>
        <w:t> </w:t>
      </w:r>
      <w:r>
        <w:rPr>
          <w:sz w:val="24"/>
        </w:rPr>
        <w:t>assisted,</w:t>
      </w:r>
      <w:r>
        <w:rPr>
          <w:spacing w:val="-3"/>
          <w:sz w:val="24"/>
        </w:rPr>
        <w:t> </w:t>
      </w:r>
      <w:r>
        <w:rPr>
          <w:sz w:val="24"/>
        </w:rPr>
        <w:t>where the necessary potential exists, to develop strong departments for the study of one or more aspects of agriculture.</w:t>
      </w:r>
    </w:p>
    <w:p>
      <w:pPr>
        <w:pStyle w:val="BodyText"/>
        <w:spacing w:before="3"/>
      </w:pPr>
    </w:p>
    <w:p>
      <w:pPr>
        <w:pStyle w:val="ListParagraph"/>
        <w:numPr>
          <w:ilvl w:val="2"/>
          <w:numId w:val="2"/>
        </w:numPr>
        <w:tabs>
          <w:tab w:pos="523" w:val="left" w:leader="none"/>
        </w:tabs>
        <w:spacing w:line="240" w:lineRule="auto" w:before="1" w:after="0"/>
        <w:ind w:left="159" w:right="496" w:firstLine="0"/>
        <w:jc w:val="both"/>
        <w:rPr>
          <w:sz w:val="24"/>
        </w:rPr>
      </w:pPr>
      <w:r>
        <w:rPr>
          <w:sz w:val="24"/>
        </w:rPr>
        <w:t>In technical education, practical training in industry should form an integral part of such education. Technical education and research should be related closely to industry, encouraging</w:t>
      </w:r>
      <w:r>
        <w:rPr>
          <w:spacing w:val="-2"/>
          <w:sz w:val="24"/>
        </w:rPr>
        <w:t> </w:t>
      </w:r>
      <w:r>
        <w:rPr>
          <w:sz w:val="24"/>
        </w:rPr>
        <w:t>the</w:t>
      </w:r>
      <w:r>
        <w:rPr>
          <w:spacing w:val="-2"/>
          <w:sz w:val="24"/>
        </w:rPr>
        <w:t> </w:t>
      </w:r>
      <w:r>
        <w:rPr>
          <w:sz w:val="24"/>
        </w:rPr>
        <w:t>flow</w:t>
      </w:r>
      <w:r>
        <w:rPr>
          <w:spacing w:val="-2"/>
          <w:sz w:val="24"/>
        </w:rPr>
        <w:t> </w:t>
      </w:r>
      <w:r>
        <w:rPr>
          <w:sz w:val="24"/>
        </w:rPr>
        <w:t>of</w:t>
      </w:r>
      <w:r>
        <w:rPr>
          <w:spacing w:val="-2"/>
          <w:sz w:val="24"/>
        </w:rPr>
        <w:t> </w:t>
      </w:r>
      <w:r>
        <w:rPr>
          <w:sz w:val="24"/>
        </w:rPr>
        <w:t>personnel</w:t>
      </w:r>
      <w:r>
        <w:rPr>
          <w:spacing w:val="-2"/>
          <w:sz w:val="24"/>
        </w:rPr>
        <w:t> </w:t>
      </w:r>
      <w:r>
        <w:rPr>
          <w:sz w:val="24"/>
        </w:rPr>
        <w:t>both</w:t>
      </w:r>
      <w:r>
        <w:rPr>
          <w:spacing w:val="-2"/>
          <w:sz w:val="24"/>
        </w:rPr>
        <w:t> </w:t>
      </w:r>
      <w:r>
        <w:rPr>
          <w:sz w:val="24"/>
        </w:rPr>
        <w:t>ways</w:t>
      </w:r>
      <w:r>
        <w:rPr>
          <w:spacing w:val="-4"/>
          <w:sz w:val="24"/>
        </w:rPr>
        <w:t> </w:t>
      </w:r>
      <w:r>
        <w:rPr>
          <w:sz w:val="24"/>
        </w:rPr>
        <w:t>and</w:t>
      </w:r>
      <w:r>
        <w:rPr>
          <w:spacing w:val="-3"/>
          <w:sz w:val="24"/>
        </w:rPr>
        <w:t> </w:t>
      </w:r>
      <w:r>
        <w:rPr>
          <w:sz w:val="24"/>
        </w:rPr>
        <w:t>providing</w:t>
      </w:r>
      <w:r>
        <w:rPr>
          <w:spacing w:val="-3"/>
          <w:sz w:val="24"/>
        </w:rPr>
        <w:t> </w:t>
      </w:r>
      <w:r>
        <w:rPr>
          <w:sz w:val="24"/>
        </w:rPr>
        <w:t>for</w:t>
      </w:r>
      <w:r>
        <w:rPr>
          <w:spacing w:val="-3"/>
          <w:sz w:val="24"/>
        </w:rPr>
        <w:t> </w:t>
      </w:r>
      <w:r>
        <w:rPr>
          <w:sz w:val="24"/>
        </w:rPr>
        <w:t>continuous</w:t>
      </w:r>
      <w:r>
        <w:rPr>
          <w:spacing w:val="-2"/>
          <w:sz w:val="24"/>
        </w:rPr>
        <w:t> </w:t>
      </w:r>
      <w:r>
        <w:rPr>
          <w:sz w:val="24"/>
        </w:rPr>
        <w:t>cooperation</w:t>
      </w:r>
      <w:r>
        <w:rPr>
          <w:spacing w:val="-2"/>
          <w:sz w:val="24"/>
        </w:rPr>
        <w:t> </w:t>
      </w:r>
      <w:r>
        <w:rPr>
          <w:sz w:val="24"/>
        </w:rPr>
        <w:t>in the provision, design and periodical review of training programmes and facilities.</w:t>
      </w:r>
    </w:p>
    <w:p>
      <w:pPr>
        <w:pStyle w:val="BodyText"/>
        <w:spacing w:before="3"/>
      </w:pPr>
    </w:p>
    <w:p>
      <w:pPr>
        <w:pStyle w:val="ListParagraph"/>
        <w:numPr>
          <w:ilvl w:val="2"/>
          <w:numId w:val="2"/>
        </w:numPr>
        <w:tabs>
          <w:tab w:pos="491" w:val="left" w:leader="none"/>
        </w:tabs>
        <w:spacing w:line="240" w:lineRule="auto" w:before="0" w:after="0"/>
        <w:ind w:left="159" w:right="497" w:firstLine="0"/>
        <w:jc w:val="both"/>
        <w:rPr>
          <w:sz w:val="24"/>
        </w:rPr>
      </w:pPr>
      <w:r>
        <w:rPr>
          <w:sz w:val="24"/>
        </w:rPr>
        <w:t>There should be a continuous review of the agricultural, industrial and other technical manpower needs of the country and efforts should be made continuously to maintain a proper balance between the output of the educational institutions and employment </w:t>
      </w:r>
      <w:r>
        <w:rPr>
          <w:spacing w:val="-2"/>
          <w:sz w:val="24"/>
        </w:rPr>
        <w:t>opportunities.</w:t>
      </w:r>
    </w:p>
    <w:p>
      <w:pPr>
        <w:pStyle w:val="BodyText"/>
        <w:spacing w:before="7"/>
      </w:pPr>
    </w:p>
    <w:p>
      <w:pPr>
        <w:pStyle w:val="Heading2"/>
        <w:numPr>
          <w:ilvl w:val="1"/>
          <w:numId w:val="2"/>
        </w:numPr>
        <w:tabs>
          <w:tab w:pos="498" w:val="left" w:leader="none"/>
        </w:tabs>
        <w:spacing w:line="240" w:lineRule="auto" w:before="1" w:after="0"/>
        <w:ind w:left="498" w:right="0" w:hanging="339"/>
        <w:jc w:val="both"/>
      </w:pPr>
      <w:r>
        <w:rPr/>
        <w:t>Production of </w:t>
      </w:r>
      <w:r>
        <w:rPr>
          <w:spacing w:val="-2"/>
        </w:rPr>
        <w:t>Books</w:t>
      </w:r>
    </w:p>
    <w:p>
      <w:pPr>
        <w:pStyle w:val="BodyText"/>
        <w:spacing w:before="1"/>
        <w:rPr>
          <w:b/>
        </w:rPr>
      </w:pPr>
    </w:p>
    <w:p>
      <w:pPr>
        <w:pStyle w:val="BodyText"/>
        <w:ind w:left="159" w:right="497"/>
        <w:jc w:val="both"/>
      </w:pPr>
      <w:r>
        <w:rPr/>
        <w:t>The quality of books should be improved by attracting the best writing talent through a liberal policy of incentives and remuneration. Immediate steps should be taken for the production of high quality textbooks for schools and universities. Frequent changes of textbooks should be avoided and their prices should be low enough for students of ordinary means to buy them.</w:t>
      </w:r>
    </w:p>
    <w:p>
      <w:pPr>
        <w:pStyle w:val="BodyText"/>
        <w:spacing w:before="3"/>
      </w:pPr>
    </w:p>
    <w:p>
      <w:pPr>
        <w:pStyle w:val="BodyText"/>
        <w:spacing w:before="1"/>
        <w:ind w:left="159" w:right="497"/>
        <w:jc w:val="both"/>
      </w:pPr>
      <w:r>
        <w:rPr/>
        <w:t>The</w:t>
      </w:r>
      <w:r>
        <w:rPr>
          <w:spacing w:val="-4"/>
        </w:rPr>
        <w:t> </w:t>
      </w:r>
      <w:r>
        <w:rPr/>
        <w:t>possibility</w:t>
      </w:r>
      <w:r>
        <w:rPr>
          <w:spacing w:val="-4"/>
        </w:rPr>
        <w:t> </w:t>
      </w:r>
      <w:r>
        <w:rPr/>
        <w:t>of</w:t>
      </w:r>
      <w:r>
        <w:rPr>
          <w:spacing w:val="-4"/>
        </w:rPr>
        <w:t> </w:t>
      </w:r>
      <w:r>
        <w:rPr/>
        <w:t>establishing</w:t>
      </w:r>
      <w:r>
        <w:rPr>
          <w:spacing w:val="-4"/>
        </w:rPr>
        <w:t> </w:t>
      </w:r>
      <w:r>
        <w:rPr/>
        <w:t>autonomous</w:t>
      </w:r>
      <w:r>
        <w:rPr>
          <w:spacing w:val="-5"/>
        </w:rPr>
        <w:t> </w:t>
      </w:r>
      <w:r>
        <w:rPr/>
        <w:t>book</w:t>
      </w:r>
      <w:r>
        <w:rPr>
          <w:spacing w:val="-4"/>
        </w:rPr>
        <w:t> </w:t>
      </w:r>
      <w:r>
        <w:rPr/>
        <w:t>corporations</w:t>
      </w:r>
      <w:r>
        <w:rPr>
          <w:spacing w:val="-4"/>
        </w:rPr>
        <w:t> </w:t>
      </w:r>
      <w:r>
        <w:rPr/>
        <w:t>on</w:t>
      </w:r>
      <w:r>
        <w:rPr>
          <w:spacing w:val="-4"/>
        </w:rPr>
        <w:t> </w:t>
      </w:r>
      <w:r>
        <w:rPr/>
        <w:t>commercial</w:t>
      </w:r>
      <w:r>
        <w:rPr>
          <w:spacing w:val="-4"/>
        </w:rPr>
        <w:t> </w:t>
      </w:r>
      <w:r>
        <w:rPr/>
        <w:t>lines</w:t>
      </w:r>
      <w:r>
        <w:rPr>
          <w:spacing w:val="-4"/>
        </w:rPr>
        <w:t> </w:t>
      </w:r>
      <w:r>
        <w:rPr/>
        <w:t>should be</w:t>
      </w:r>
      <w:r>
        <w:rPr>
          <w:spacing w:val="71"/>
        </w:rPr>
        <w:t> </w:t>
      </w:r>
      <w:r>
        <w:rPr/>
        <w:t>examined</w:t>
      </w:r>
      <w:r>
        <w:rPr>
          <w:spacing w:val="74"/>
        </w:rPr>
        <w:t> </w:t>
      </w:r>
      <w:r>
        <w:rPr/>
        <w:t>and</w:t>
      </w:r>
      <w:r>
        <w:rPr>
          <w:spacing w:val="74"/>
        </w:rPr>
        <w:t> </w:t>
      </w:r>
      <w:r>
        <w:rPr/>
        <w:t>efforts</w:t>
      </w:r>
      <w:r>
        <w:rPr>
          <w:spacing w:val="74"/>
        </w:rPr>
        <w:t> </w:t>
      </w:r>
      <w:r>
        <w:rPr/>
        <w:t>should</w:t>
      </w:r>
      <w:r>
        <w:rPr>
          <w:spacing w:val="73"/>
        </w:rPr>
        <w:t> </w:t>
      </w:r>
      <w:r>
        <w:rPr/>
        <w:t>be</w:t>
      </w:r>
      <w:r>
        <w:rPr>
          <w:spacing w:val="74"/>
        </w:rPr>
        <w:t> </w:t>
      </w:r>
      <w:r>
        <w:rPr/>
        <w:t>made</w:t>
      </w:r>
      <w:r>
        <w:rPr>
          <w:spacing w:val="74"/>
        </w:rPr>
        <w:t> </w:t>
      </w:r>
      <w:r>
        <w:rPr/>
        <w:t>to</w:t>
      </w:r>
      <w:r>
        <w:rPr>
          <w:spacing w:val="74"/>
        </w:rPr>
        <w:t> </w:t>
      </w:r>
      <w:r>
        <w:rPr/>
        <w:t>have</w:t>
      </w:r>
      <w:r>
        <w:rPr>
          <w:spacing w:val="73"/>
        </w:rPr>
        <w:t> </w:t>
      </w:r>
      <w:r>
        <w:rPr/>
        <w:t>a</w:t>
      </w:r>
      <w:r>
        <w:rPr>
          <w:spacing w:val="74"/>
        </w:rPr>
        <w:t> </w:t>
      </w:r>
      <w:r>
        <w:rPr/>
        <w:t>few</w:t>
      </w:r>
      <w:r>
        <w:rPr>
          <w:spacing w:val="74"/>
        </w:rPr>
        <w:t> </w:t>
      </w:r>
      <w:r>
        <w:rPr/>
        <w:t>basic</w:t>
      </w:r>
      <w:r>
        <w:rPr>
          <w:spacing w:val="74"/>
        </w:rPr>
        <w:t> </w:t>
      </w:r>
      <w:r>
        <w:rPr/>
        <w:t>textbooks</w:t>
      </w:r>
      <w:r>
        <w:rPr>
          <w:spacing w:val="74"/>
        </w:rPr>
        <w:t> </w:t>
      </w:r>
      <w:r>
        <w:rPr>
          <w:spacing w:val="-2"/>
        </w:rPr>
        <w:t>common</w:t>
      </w:r>
    </w:p>
    <w:p>
      <w:pPr>
        <w:spacing w:after="0"/>
        <w:jc w:val="both"/>
        <w:sectPr>
          <w:pgSz w:w="12240" w:h="15840"/>
          <w:pgMar w:header="0" w:footer="743" w:top="1380" w:bottom="940" w:left="1640" w:right="1300"/>
        </w:sectPr>
      </w:pPr>
    </w:p>
    <w:p>
      <w:pPr>
        <w:pStyle w:val="BodyText"/>
        <w:spacing w:before="76"/>
        <w:ind w:left="160" w:right="498"/>
        <w:jc w:val="both"/>
      </w:pPr>
      <w:r>
        <w:rPr/>
        <w:t>throughout the country. Special attention should be given to books for children and to university- level books in regional languages.</w:t>
      </w:r>
    </w:p>
    <w:p>
      <w:pPr>
        <w:pStyle w:val="BodyText"/>
        <w:spacing w:before="8"/>
      </w:pPr>
    </w:p>
    <w:p>
      <w:pPr>
        <w:pStyle w:val="Heading2"/>
        <w:numPr>
          <w:ilvl w:val="1"/>
          <w:numId w:val="2"/>
        </w:numPr>
        <w:tabs>
          <w:tab w:pos="619" w:val="left" w:leader="none"/>
        </w:tabs>
        <w:spacing w:line="240" w:lineRule="auto" w:before="0" w:after="0"/>
        <w:ind w:left="619" w:right="0" w:hanging="459"/>
        <w:jc w:val="left"/>
      </w:pPr>
      <w:r>
        <w:rPr>
          <w:spacing w:val="-2"/>
        </w:rPr>
        <w:t>Examinations</w:t>
      </w:r>
    </w:p>
    <w:p>
      <w:pPr>
        <w:pStyle w:val="BodyText"/>
        <w:spacing w:before="1"/>
        <w:rPr>
          <w:b/>
        </w:rPr>
      </w:pPr>
    </w:p>
    <w:p>
      <w:pPr>
        <w:pStyle w:val="BodyText"/>
        <w:ind w:left="160" w:right="496"/>
        <w:jc w:val="both"/>
      </w:pPr>
      <w:r>
        <w:rPr/>
        <w:t>A major goal of examination reforms should be to improve the reliability and validity of examinations and to make evaluation a continuous process aimed at helping the student</w:t>
      </w:r>
      <w:r>
        <w:rPr>
          <w:spacing w:val="40"/>
        </w:rPr>
        <w:t> </w:t>
      </w:r>
      <w:r>
        <w:rPr/>
        <w:t>to improve his level of achievement rather than at 'certifying' the quality of his performance at a given moment of time.</w:t>
      </w:r>
    </w:p>
    <w:p>
      <w:pPr>
        <w:pStyle w:val="BodyText"/>
        <w:spacing w:before="7"/>
      </w:pPr>
    </w:p>
    <w:p>
      <w:pPr>
        <w:pStyle w:val="Heading2"/>
        <w:numPr>
          <w:ilvl w:val="1"/>
          <w:numId w:val="2"/>
        </w:numPr>
        <w:tabs>
          <w:tab w:pos="619" w:val="left" w:leader="none"/>
        </w:tabs>
        <w:spacing w:line="240" w:lineRule="auto" w:before="0" w:after="0"/>
        <w:ind w:left="619" w:right="0" w:hanging="459"/>
        <w:jc w:val="left"/>
      </w:pPr>
      <w:r>
        <w:rPr/>
        <w:t>Secondary</w:t>
      </w:r>
      <w:r>
        <w:rPr>
          <w:spacing w:val="-2"/>
        </w:rPr>
        <w:t> Education</w:t>
      </w:r>
    </w:p>
    <w:p>
      <w:pPr>
        <w:pStyle w:val="BodyText"/>
        <w:rPr>
          <w:b/>
        </w:rPr>
      </w:pPr>
    </w:p>
    <w:p>
      <w:pPr>
        <w:pStyle w:val="ListParagraph"/>
        <w:numPr>
          <w:ilvl w:val="2"/>
          <w:numId w:val="2"/>
        </w:numPr>
        <w:tabs>
          <w:tab w:pos="505" w:val="left" w:leader="none"/>
        </w:tabs>
        <w:spacing w:line="240" w:lineRule="auto" w:before="0" w:after="0"/>
        <w:ind w:left="160" w:right="496" w:firstLine="0"/>
        <w:jc w:val="both"/>
        <w:rPr>
          <w:sz w:val="24"/>
        </w:rPr>
      </w:pPr>
      <w:r>
        <w:rPr>
          <w:sz w:val="24"/>
        </w:rPr>
        <w:t>Educational opportunity at the secondary (and higher) level is a major instrument of social change and transformation. Facilities for secondary education should accordingly be extended expeditiously to the areas and classes which have been denied these in the </w:t>
      </w:r>
      <w:r>
        <w:rPr>
          <w:spacing w:val="-2"/>
          <w:sz w:val="24"/>
        </w:rPr>
        <w:t>past.</w:t>
      </w:r>
    </w:p>
    <w:p>
      <w:pPr>
        <w:pStyle w:val="BodyText"/>
        <w:spacing w:before="4"/>
      </w:pPr>
    </w:p>
    <w:p>
      <w:pPr>
        <w:pStyle w:val="ListParagraph"/>
        <w:numPr>
          <w:ilvl w:val="2"/>
          <w:numId w:val="2"/>
        </w:numPr>
        <w:tabs>
          <w:tab w:pos="590" w:val="left" w:leader="none"/>
        </w:tabs>
        <w:spacing w:line="240" w:lineRule="auto" w:before="0" w:after="0"/>
        <w:ind w:left="160" w:right="495" w:firstLine="60"/>
        <w:jc w:val="both"/>
        <w:rPr>
          <w:sz w:val="24"/>
        </w:rPr>
      </w:pPr>
      <w:r>
        <w:rPr>
          <w:sz w:val="24"/>
        </w:rPr>
        <w:t>There is a need to increase facilities for technical and vocational education at this stage. Provision of facilities for secondary and vocational education should conform broadly to the requirements of the developing economy and real employment opportunities. Such linkage is necessary to make technical and vocational education at</w:t>
      </w:r>
      <w:r>
        <w:rPr>
          <w:spacing w:val="80"/>
          <w:sz w:val="24"/>
        </w:rPr>
        <w:t> </w:t>
      </w:r>
      <w:r>
        <w:rPr>
          <w:sz w:val="24"/>
        </w:rPr>
        <w:t>the secondary stage effectively terminal. Facilities for technical and vocational education should be suitably diversified to cover a large number of fields, such as agriculture, industry, trade and commerce, medicine and public health, home management, arts and crafts, secretarial training, etc.</w:t>
      </w:r>
    </w:p>
    <w:p>
      <w:pPr>
        <w:pStyle w:val="BodyText"/>
        <w:spacing w:before="8"/>
      </w:pPr>
    </w:p>
    <w:p>
      <w:pPr>
        <w:pStyle w:val="Heading2"/>
        <w:numPr>
          <w:ilvl w:val="1"/>
          <w:numId w:val="2"/>
        </w:numPr>
        <w:tabs>
          <w:tab w:pos="619" w:val="left" w:leader="none"/>
        </w:tabs>
        <w:spacing w:line="240" w:lineRule="auto" w:before="1" w:after="0"/>
        <w:ind w:left="619" w:right="0" w:hanging="459"/>
        <w:jc w:val="both"/>
      </w:pPr>
      <w:r>
        <w:rPr/>
        <w:t>University </w:t>
      </w:r>
      <w:r>
        <w:rPr>
          <w:spacing w:val="-2"/>
        </w:rPr>
        <w:t>Education</w:t>
      </w:r>
    </w:p>
    <w:p>
      <w:pPr>
        <w:pStyle w:val="ListParagraph"/>
        <w:numPr>
          <w:ilvl w:val="2"/>
          <w:numId w:val="2"/>
        </w:numPr>
        <w:tabs>
          <w:tab w:pos="570" w:val="left" w:leader="none"/>
        </w:tabs>
        <w:spacing w:line="240" w:lineRule="auto" w:before="276" w:after="0"/>
        <w:ind w:left="160" w:right="497" w:firstLine="0"/>
        <w:jc w:val="both"/>
        <w:rPr>
          <w:sz w:val="24"/>
        </w:rPr>
      </w:pPr>
      <w:r>
        <w:rPr>
          <w:sz w:val="24"/>
        </w:rPr>
        <w:t>The number of wholetime students to be admitted to a college or university department should be determined with reference to the laboratory, library and other facilities and to the strength of the staff.</w:t>
      </w:r>
    </w:p>
    <w:p>
      <w:pPr>
        <w:pStyle w:val="BodyText"/>
        <w:spacing w:before="3"/>
      </w:pPr>
    </w:p>
    <w:p>
      <w:pPr>
        <w:pStyle w:val="ListParagraph"/>
        <w:numPr>
          <w:ilvl w:val="2"/>
          <w:numId w:val="2"/>
        </w:numPr>
        <w:tabs>
          <w:tab w:pos="511" w:val="left" w:leader="none"/>
        </w:tabs>
        <w:spacing w:line="240" w:lineRule="auto" w:before="0" w:after="0"/>
        <w:ind w:left="160" w:right="498" w:firstLine="0"/>
        <w:jc w:val="both"/>
        <w:rPr>
          <w:sz w:val="24"/>
        </w:rPr>
      </w:pPr>
      <w:r>
        <w:rPr>
          <w:sz w:val="24"/>
        </w:rPr>
        <w:t>Considerable care is needed in establishing new universities. These should be started only after an adequate provision of funds has been made for the purpose and due care has been taken to ensure proper standards.</w:t>
      </w:r>
    </w:p>
    <w:p>
      <w:pPr>
        <w:pStyle w:val="BodyText"/>
        <w:spacing w:before="4"/>
      </w:pPr>
    </w:p>
    <w:p>
      <w:pPr>
        <w:pStyle w:val="ListParagraph"/>
        <w:numPr>
          <w:ilvl w:val="2"/>
          <w:numId w:val="2"/>
        </w:numPr>
        <w:tabs>
          <w:tab w:pos="506" w:val="left" w:leader="none"/>
        </w:tabs>
        <w:spacing w:line="240" w:lineRule="auto" w:before="0" w:after="0"/>
        <w:ind w:left="160" w:right="499" w:firstLine="0"/>
        <w:jc w:val="both"/>
        <w:rPr>
          <w:sz w:val="24"/>
        </w:rPr>
      </w:pPr>
      <w:r>
        <w:rPr>
          <w:sz w:val="24"/>
        </w:rPr>
        <w:t>Special attention should be given to the organization of postgraduate courses and to the improvement of standards of training and research at this level.</w:t>
      </w:r>
    </w:p>
    <w:p>
      <w:pPr>
        <w:pStyle w:val="BodyText"/>
        <w:spacing w:before="5"/>
      </w:pPr>
    </w:p>
    <w:p>
      <w:pPr>
        <w:pStyle w:val="ListParagraph"/>
        <w:numPr>
          <w:ilvl w:val="2"/>
          <w:numId w:val="2"/>
        </w:numPr>
        <w:tabs>
          <w:tab w:pos="512" w:val="left" w:leader="none"/>
        </w:tabs>
        <w:spacing w:line="240" w:lineRule="auto" w:before="0" w:after="0"/>
        <w:ind w:left="160" w:right="499" w:firstLine="0"/>
        <w:jc w:val="both"/>
        <w:rPr>
          <w:sz w:val="24"/>
        </w:rPr>
      </w:pPr>
      <w:r>
        <w:rPr>
          <w:sz w:val="24"/>
        </w:rPr>
        <w:t>Centres of advanced study should be strengthened and a small number of 'clusters of centres' aiming at the highest possible standards in research and training should be </w:t>
      </w:r>
      <w:r>
        <w:rPr>
          <w:spacing w:val="-2"/>
          <w:sz w:val="24"/>
        </w:rPr>
        <w:t>established.</w:t>
      </w:r>
    </w:p>
    <w:p>
      <w:pPr>
        <w:pStyle w:val="BodyText"/>
        <w:spacing w:before="3"/>
      </w:pPr>
    </w:p>
    <w:p>
      <w:pPr>
        <w:pStyle w:val="ListParagraph"/>
        <w:numPr>
          <w:ilvl w:val="2"/>
          <w:numId w:val="2"/>
        </w:numPr>
        <w:tabs>
          <w:tab w:pos="516" w:val="left" w:leader="none"/>
        </w:tabs>
        <w:spacing w:line="240" w:lineRule="auto" w:before="1" w:after="0"/>
        <w:ind w:left="160" w:right="498" w:firstLine="0"/>
        <w:jc w:val="both"/>
        <w:rPr>
          <w:sz w:val="24"/>
        </w:rPr>
      </w:pPr>
      <w:r>
        <w:rPr>
          <w:sz w:val="24"/>
        </w:rPr>
        <w:t>There is a need to give increased support to research in universities generally. The institutions for research should, as far as possible, function within the fold of universities or in intimate association with them.</w:t>
      </w:r>
    </w:p>
    <w:p>
      <w:pPr>
        <w:spacing w:after="0" w:line="240" w:lineRule="auto"/>
        <w:jc w:val="both"/>
        <w:rPr>
          <w:sz w:val="24"/>
        </w:rPr>
        <w:sectPr>
          <w:pgSz w:w="12240" w:h="15840"/>
          <w:pgMar w:header="0" w:footer="743" w:top="1360" w:bottom="940" w:left="1640" w:right="1300"/>
        </w:sectPr>
      </w:pPr>
    </w:p>
    <w:p>
      <w:pPr>
        <w:pStyle w:val="ListParagraph"/>
        <w:numPr>
          <w:ilvl w:val="1"/>
          <w:numId w:val="2"/>
        </w:numPr>
        <w:tabs>
          <w:tab w:pos="700" w:val="left" w:leader="none"/>
        </w:tabs>
        <w:spacing w:line="240" w:lineRule="auto" w:before="76" w:after="0"/>
        <w:ind w:left="160" w:right="496" w:firstLine="0"/>
        <w:jc w:val="both"/>
        <w:rPr>
          <w:sz w:val="24"/>
        </w:rPr>
      </w:pPr>
      <w:r>
        <w:rPr>
          <w:b/>
          <w:sz w:val="24"/>
        </w:rPr>
        <w:t>Part-time Education and Correspondence Courses </w:t>
      </w:r>
      <w:r>
        <w:rPr>
          <w:sz w:val="24"/>
        </w:rPr>
        <w:t>Part-time education and correspondence</w:t>
      </w:r>
      <w:r>
        <w:rPr>
          <w:spacing w:val="-2"/>
          <w:sz w:val="24"/>
        </w:rPr>
        <w:t> </w:t>
      </w:r>
      <w:r>
        <w:rPr>
          <w:sz w:val="24"/>
        </w:rPr>
        <w:t>courses</w:t>
      </w:r>
      <w:r>
        <w:rPr>
          <w:spacing w:val="-2"/>
          <w:sz w:val="24"/>
        </w:rPr>
        <w:t> </w:t>
      </w:r>
      <w:r>
        <w:rPr>
          <w:sz w:val="24"/>
        </w:rPr>
        <w:t>should</w:t>
      </w:r>
      <w:r>
        <w:rPr>
          <w:spacing w:val="-2"/>
          <w:sz w:val="24"/>
        </w:rPr>
        <w:t> </w:t>
      </w:r>
      <w:r>
        <w:rPr>
          <w:sz w:val="24"/>
        </w:rPr>
        <w:t>be</w:t>
      </w:r>
      <w:r>
        <w:rPr>
          <w:spacing w:val="-3"/>
          <w:sz w:val="24"/>
        </w:rPr>
        <w:t> </w:t>
      </w:r>
      <w:r>
        <w:rPr>
          <w:sz w:val="24"/>
        </w:rPr>
        <w:t>developed</w:t>
      </w:r>
      <w:r>
        <w:rPr>
          <w:spacing w:val="-2"/>
          <w:sz w:val="24"/>
        </w:rPr>
        <w:t> </w:t>
      </w:r>
      <w:r>
        <w:rPr>
          <w:sz w:val="24"/>
        </w:rPr>
        <w:t>on</w:t>
      </w:r>
      <w:r>
        <w:rPr>
          <w:spacing w:val="-2"/>
          <w:sz w:val="24"/>
        </w:rPr>
        <w:t> </w:t>
      </w:r>
      <w:r>
        <w:rPr>
          <w:sz w:val="24"/>
        </w:rPr>
        <w:t>a</w:t>
      </w:r>
      <w:r>
        <w:rPr>
          <w:spacing w:val="-2"/>
          <w:sz w:val="24"/>
        </w:rPr>
        <w:t> </w:t>
      </w:r>
      <w:r>
        <w:rPr>
          <w:sz w:val="24"/>
        </w:rPr>
        <w:t>large</w:t>
      </w:r>
      <w:r>
        <w:rPr>
          <w:spacing w:val="-2"/>
          <w:sz w:val="24"/>
        </w:rPr>
        <w:t> </w:t>
      </w:r>
      <w:r>
        <w:rPr>
          <w:sz w:val="24"/>
        </w:rPr>
        <w:t>scale</w:t>
      </w:r>
      <w:r>
        <w:rPr>
          <w:spacing w:val="-2"/>
          <w:sz w:val="24"/>
        </w:rPr>
        <w:t> </w:t>
      </w:r>
      <w:r>
        <w:rPr>
          <w:sz w:val="24"/>
        </w:rPr>
        <w:t>at</w:t>
      </w:r>
      <w:r>
        <w:rPr>
          <w:spacing w:val="-2"/>
          <w:sz w:val="24"/>
        </w:rPr>
        <w:t> </w:t>
      </w:r>
      <w:r>
        <w:rPr>
          <w:sz w:val="24"/>
        </w:rPr>
        <w:t>the</w:t>
      </w:r>
      <w:r>
        <w:rPr>
          <w:spacing w:val="-2"/>
          <w:sz w:val="24"/>
        </w:rPr>
        <w:t> </w:t>
      </w:r>
      <w:r>
        <w:rPr>
          <w:sz w:val="24"/>
        </w:rPr>
        <w:t>university</w:t>
      </w:r>
      <w:r>
        <w:rPr>
          <w:spacing w:val="-2"/>
          <w:sz w:val="24"/>
        </w:rPr>
        <w:t> </w:t>
      </w:r>
      <w:r>
        <w:rPr>
          <w:sz w:val="24"/>
        </w:rPr>
        <w:t>stage.</w:t>
      </w:r>
      <w:r>
        <w:rPr>
          <w:spacing w:val="-2"/>
          <w:sz w:val="24"/>
        </w:rPr>
        <w:t> </w:t>
      </w:r>
      <w:r>
        <w:rPr>
          <w:sz w:val="24"/>
        </w:rPr>
        <w:t>Such facilities should also be developed for secondary school students, for teachers and for agricultural, industrial and other workers. Education through part-time and correspondence courses should be given the same status as full-time education. Such facilities will smoothen transition from school to work, promote the cause of </w:t>
      </w:r>
      <w:r>
        <w:rPr>
          <w:sz w:val="24"/>
        </w:rPr>
        <w:t>education and provide opportunities to the large number of people who have the desire to educate themselves further but cannot do so on a full-time basis.</w:t>
      </w:r>
    </w:p>
    <w:p>
      <w:pPr>
        <w:pStyle w:val="BodyText"/>
        <w:spacing w:before="8"/>
      </w:pPr>
    </w:p>
    <w:p>
      <w:pPr>
        <w:pStyle w:val="Heading2"/>
        <w:numPr>
          <w:ilvl w:val="1"/>
          <w:numId w:val="2"/>
        </w:numPr>
        <w:tabs>
          <w:tab w:pos="675" w:val="left" w:leader="none"/>
        </w:tabs>
        <w:spacing w:line="240" w:lineRule="auto" w:before="0" w:after="0"/>
        <w:ind w:left="675" w:right="0" w:hanging="455"/>
        <w:jc w:val="both"/>
      </w:pPr>
      <w:r>
        <w:rPr/>
        <w:t>Spread</w:t>
      </w:r>
      <w:r>
        <w:rPr>
          <w:spacing w:val="-5"/>
        </w:rPr>
        <w:t> </w:t>
      </w:r>
      <w:r>
        <w:rPr/>
        <w:t>of</w:t>
      </w:r>
      <w:r>
        <w:rPr>
          <w:spacing w:val="-5"/>
        </w:rPr>
        <w:t> </w:t>
      </w:r>
      <w:r>
        <w:rPr/>
        <w:t>Literacy</w:t>
      </w:r>
      <w:r>
        <w:rPr>
          <w:spacing w:val="-5"/>
        </w:rPr>
        <w:t> </w:t>
      </w:r>
      <w:r>
        <w:rPr/>
        <w:t>and</w:t>
      </w:r>
      <w:r>
        <w:rPr>
          <w:spacing w:val="-5"/>
        </w:rPr>
        <w:t> </w:t>
      </w:r>
      <w:r>
        <w:rPr/>
        <w:t>Adult</w:t>
      </w:r>
      <w:r>
        <w:rPr>
          <w:spacing w:val="-4"/>
        </w:rPr>
        <w:t> </w:t>
      </w:r>
      <w:r>
        <w:rPr>
          <w:spacing w:val="-2"/>
        </w:rPr>
        <w:t>Education</w:t>
      </w:r>
    </w:p>
    <w:p>
      <w:pPr>
        <w:pStyle w:val="BodyText"/>
        <w:rPr>
          <w:b/>
        </w:rPr>
      </w:pPr>
    </w:p>
    <w:p>
      <w:pPr>
        <w:pStyle w:val="ListParagraph"/>
        <w:numPr>
          <w:ilvl w:val="2"/>
          <w:numId w:val="2"/>
        </w:numPr>
        <w:tabs>
          <w:tab w:pos="496" w:val="left" w:leader="none"/>
        </w:tabs>
        <w:spacing w:line="240" w:lineRule="auto" w:before="0" w:after="0"/>
        <w:ind w:left="160" w:right="496" w:firstLine="0"/>
        <w:jc w:val="both"/>
        <w:rPr>
          <w:sz w:val="24"/>
        </w:rPr>
      </w:pPr>
      <w:r>
        <w:rPr>
          <w:sz w:val="24"/>
        </w:rPr>
        <w:t>The liquidation of mass illiteracy is necessary not only for promoting participation in the working of democratic institutions and for accelerating programmes of production, especially in agriculture, but for quickening the tempo of national development in</w:t>
      </w:r>
      <w:r>
        <w:rPr>
          <w:spacing w:val="40"/>
          <w:sz w:val="24"/>
        </w:rPr>
        <w:t> </w:t>
      </w:r>
      <w:r>
        <w:rPr>
          <w:sz w:val="24"/>
        </w:rPr>
        <w:t>general. Employees in large commercial, industrial and other concerns should come from the industrial undertakings in the public sector. Teachers and students should be actively involved in organizing literacy campaigns, especially as part of the social and National Service Programme.</w:t>
      </w:r>
    </w:p>
    <w:p>
      <w:pPr>
        <w:pStyle w:val="BodyText"/>
        <w:spacing w:before="5"/>
      </w:pPr>
    </w:p>
    <w:p>
      <w:pPr>
        <w:pStyle w:val="ListParagraph"/>
        <w:numPr>
          <w:ilvl w:val="2"/>
          <w:numId w:val="2"/>
        </w:numPr>
        <w:tabs>
          <w:tab w:pos="506" w:val="left" w:leader="none"/>
        </w:tabs>
        <w:spacing w:line="240" w:lineRule="auto" w:before="0" w:after="0"/>
        <w:ind w:left="160" w:right="498" w:firstLine="0"/>
        <w:jc w:val="both"/>
        <w:rPr>
          <w:sz w:val="24"/>
        </w:rPr>
      </w:pPr>
      <w:r>
        <w:rPr>
          <w:sz w:val="24"/>
        </w:rPr>
        <w:t>Special emphasis should be given to the education of young practising farmers and to the training of youth for self- employment.</w:t>
      </w:r>
    </w:p>
    <w:p>
      <w:pPr>
        <w:pStyle w:val="BodyText"/>
        <w:spacing w:before="7"/>
      </w:pPr>
    </w:p>
    <w:p>
      <w:pPr>
        <w:pStyle w:val="Heading2"/>
        <w:numPr>
          <w:ilvl w:val="1"/>
          <w:numId w:val="2"/>
        </w:numPr>
        <w:tabs>
          <w:tab w:pos="618" w:val="left" w:leader="none"/>
        </w:tabs>
        <w:spacing w:line="240" w:lineRule="auto" w:before="0" w:after="0"/>
        <w:ind w:left="618" w:right="0" w:hanging="458"/>
        <w:jc w:val="both"/>
      </w:pPr>
      <w:r>
        <w:rPr/>
        <w:t>Games</w:t>
      </w:r>
      <w:r>
        <w:rPr>
          <w:spacing w:val="-1"/>
        </w:rPr>
        <w:t> </w:t>
      </w:r>
      <w:r>
        <w:rPr/>
        <w:t>and</w:t>
      </w:r>
      <w:r>
        <w:rPr>
          <w:spacing w:val="-1"/>
        </w:rPr>
        <w:t> </w:t>
      </w:r>
      <w:r>
        <w:rPr>
          <w:spacing w:val="-2"/>
        </w:rPr>
        <w:t>Sports</w:t>
      </w:r>
    </w:p>
    <w:p>
      <w:pPr>
        <w:pStyle w:val="BodyText"/>
        <w:rPr>
          <w:b/>
        </w:rPr>
      </w:pPr>
    </w:p>
    <w:p>
      <w:pPr>
        <w:pStyle w:val="BodyText"/>
        <w:ind w:left="160" w:right="494"/>
        <w:jc w:val="both"/>
      </w:pPr>
      <w:r>
        <w:rPr/>
        <w:t>Games and sports should be developed on a large scale with the object of improving the physical</w:t>
      </w:r>
      <w:r>
        <w:rPr>
          <w:spacing w:val="-1"/>
        </w:rPr>
        <w:t> </w:t>
      </w:r>
      <w:r>
        <w:rPr/>
        <w:t>fitness</w:t>
      </w:r>
      <w:r>
        <w:rPr>
          <w:spacing w:val="-1"/>
        </w:rPr>
        <w:t> </w:t>
      </w:r>
      <w:r>
        <w:rPr/>
        <w:t>and</w:t>
      </w:r>
      <w:r>
        <w:rPr>
          <w:spacing w:val="-1"/>
        </w:rPr>
        <w:t> </w:t>
      </w:r>
      <w:r>
        <w:rPr/>
        <w:t>sportsmanship</w:t>
      </w:r>
      <w:r>
        <w:rPr>
          <w:spacing w:val="-1"/>
        </w:rPr>
        <w:t> </w:t>
      </w:r>
      <w:r>
        <w:rPr/>
        <w:t>of</w:t>
      </w:r>
      <w:r>
        <w:rPr>
          <w:spacing w:val="-1"/>
        </w:rPr>
        <w:t> </w:t>
      </w:r>
      <w:r>
        <w:rPr/>
        <w:t>the</w:t>
      </w:r>
      <w:r>
        <w:rPr>
          <w:spacing w:val="-1"/>
        </w:rPr>
        <w:t> </w:t>
      </w:r>
      <w:r>
        <w:rPr/>
        <w:t>average</w:t>
      </w:r>
      <w:r>
        <w:rPr>
          <w:spacing w:val="-1"/>
        </w:rPr>
        <w:t> </w:t>
      </w:r>
      <w:r>
        <w:rPr/>
        <w:t>student</w:t>
      </w:r>
      <w:r>
        <w:rPr>
          <w:spacing w:val="-1"/>
        </w:rPr>
        <w:t> </w:t>
      </w:r>
      <w:r>
        <w:rPr/>
        <w:t>as</w:t>
      </w:r>
      <w:r>
        <w:rPr>
          <w:spacing w:val="-1"/>
        </w:rPr>
        <w:t> </w:t>
      </w:r>
      <w:r>
        <w:rPr/>
        <w:t>well</w:t>
      </w:r>
      <w:r>
        <w:rPr>
          <w:spacing w:val="-1"/>
        </w:rPr>
        <w:t> </w:t>
      </w:r>
      <w:r>
        <w:rPr/>
        <w:t>as</w:t>
      </w:r>
      <w:r>
        <w:rPr>
          <w:spacing w:val="-1"/>
        </w:rPr>
        <w:t> </w:t>
      </w:r>
      <w:r>
        <w:rPr/>
        <w:t>of</w:t>
      </w:r>
      <w:r>
        <w:rPr>
          <w:spacing w:val="-1"/>
        </w:rPr>
        <w:t> </w:t>
      </w:r>
      <w:r>
        <w:rPr/>
        <w:t>those</w:t>
      </w:r>
      <w:r>
        <w:rPr>
          <w:spacing w:val="-1"/>
        </w:rPr>
        <w:t> </w:t>
      </w:r>
      <w:r>
        <w:rPr/>
        <w:t>who</w:t>
      </w:r>
      <w:r>
        <w:rPr>
          <w:spacing w:val="-1"/>
        </w:rPr>
        <w:t> </w:t>
      </w:r>
      <w:r>
        <w:rPr/>
        <w:t>excel</w:t>
      </w:r>
      <w:r>
        <w:rPr>
          <w:spacing w:val="-1"/>
        </w:rPr>
        <w:t> </w:t>
      </w:r>
      <w:r>
        <w:rPr/>
        <w:t>in this department. Where playing field and other facilities for developing a nation-wide programme of physical education do not exist, these should be provided on a priority </w:t>
      </w:r>
      <w:r>
        <w:rPr>
          <w:spacing w:val="-2"/>
        </w:rPr>
        <w:t>basis.</w:t>
      </w:r>
    </w:p>
    <w:p>
      <w:pPr>
        <w:pStyle w:val="BodyText"/>
        <w:spacing w:before="9"/>
      </w:pPr>
    </w:p>
    <w:p>
      <w:pPr>
        <w:pStyle w:val="Heading2"/>
        <w:numPr>
          <w:ilvl w:val="1"/>
          <w:numId w:val="2"/>
        </w:numPr>
        <w:tabs>
          <w:tab w:pos="679" w:val="left" w:leader="none"/>
        </w:tabs>
        <w:spacing w:line="240" w:lineRule="auto" w:before="0" w:after="0"/>
        <w:ind w:left="679" w:right="0" w:hanging="459"/>
        <w:jc w:val="both"/>
      </w:pPr>
      <w:r>
        <w:rPr/>
        <w:t>Education of </w:t>
      </w:r>
      <w:r>
        <w:rPr>
          <w:spacing w:val="-2"/>
        </w:rPr>
        <w:t>Minorities</w:t>
      </w:r>
    </w:p>
    <w:p>
      <w:pPr>
        <w:pStyle w:val="BodyText"/>
        <w:rPr>
          <w:b/>
        </w:rPr>
      </w:pPr>
    </w:p>
    <w:p>
      <w:pPr>
        <w:pStyle w:val="BodyText"/>
        <w:ind w:left="160" w:right="496"/>
        <w:jc w:val="both"/>
      </w:pPr>
      <w:r>
        <w:rPr/>
        <w:t>Games and sports should be made not only to protect the rights of minorities but to promote their educational interests as suggested</w:t>
      </w:r>
      <w:r>
        <w:rPr>
          <w:spacing w:val="-2"/>
        </w:rPr>
        <w:t> </w:t>
      </w:r>
      <w:r>
        <w:rPr/>
        <w:t>in the statement issued by the conference of the Chief Ministers of States and Central ministers held in August 1961.</w:t>
      </w:r>
    </w:p>
    <w:p>
      <w:pPr>
        <w:pStyle w:val="BodyText"/>
        <w:spacing w:before="7"/>
      </w:pPr>
    </w:p>
    <w:p>
      <w:pPr>
        <w:pStyle w:val="Heading2"/>
        <w:numPr>
          <w:ilvl w:val="1"/>
          <w:numId w:val="2"/>
        </w:numPr>
        <w:tabs>
          <w:tab w:pos="619" w:val="left" w:leader="none"/>
        </w:tabs>
        <w:spacing w:line="240" w:lineRule="auto" w:before="0" w:after="0"/>
        <w:ind w:left="619" w:right="0" w:hanging="459"/>
        <w:jc w:val="both"/>
      </w:pPr>
      <w:r>
        <w:rPr/>
        <w:t>The Educational </w:t>
      </w:r>
      <w:r>
        <w:rPr>
          <w:spacing w:val="-2"/>
        </w:rPr>
        <w:t>Structure</w:t>
      </w:r>
    </w:p>
    <w:p>
      <w:pPr>
        <w:pStyle w:val="BodyText"/>
        <w:rPr>
          <w:b/>
        </w:rPr>
      </w:pPr>
    </w:p>
    <w:p>
      <w:pPr>
        <w:pStyle w:val="BodyText"/>
        <w:ind w:left="160" w:right="495"/>
        <w:jc w:val="both"/>
      </w:pPr>
      <w:r>
        <w:rPr/>
        <w:t>It will be advantageous to have a broadly uniform educational structure in all parts of the country. The ultimate objective should be to adopt the 10+2+3 pattern, the higher secondary stage of two years being located in schools, colleges or both according to local </w:t>
      </w:r>
      <w:r>
        <w:rPr>
          <w:spacing w:val="-2"/>
        </w:rPr>
        <w:t>conditions.</w:t>
      </w:r>
    </w:p>
    <w:p>
      <w:pPr>
        <w:pStyle w:val="BodyText"/>
        <w:spacing w:before="5"/>
      </w:pPr>
    </w:p>
    <w:p>
      <w:pPr>
        <w:pStyle w:val="ListParagraph"/>
        <w:numPr>
          <w:ilvl w:val="0"/>
          <w:numId w:val="2"/>
        </w:numPr>
        <w:tabs>
          <w:tab w:pos="452" w:val="left" w:leader="none"/>
        </w:tabs>
        <w:spacing w:line="240" w:lineRule="auto" w:before="0" w:after="0"/>
        <w:ind w:left="160" w:right="491" w:firstLine="0"/>
        <w:jc w:val="both"/>
        <w:rPr>
          <w:sz w:val="24"/>
        </w:rPr>
      </w:pPr>
      <w:r>
        <w:rPr>
          <w:sz w:val="24"/>
        </w:rPr>
        <w:t>The reconstruction of education on the lines indicated above will need additional outlay.</w:t>
      </w:r>
      <w:r>
        <w:rPr>
          <w:spacing w:val="-1"/>
          <w:sz w:val="24"/>
        </w:rPr>
        <w:t> </w:t>
      </w:r>
      <w:r>
        <w:rPr>
          <w:sz w:val="24"/>
        </w:rPr>
        <w:t>The</w:t>
      </w:r>
      <w:r>
        <w:rPr>
          <w:spacing w:val="-1"/>
          <w:sz w:val="24"/>
        </w:rPr>
        <w:t> </w:t>
      </w:r>
      <w:r>
        <w:rPr>
          <w:sz w:val="24"/>
        </w:rPr>
        <w:t>aim</w:t>
      </w:r>
      <w:r>
        <w:rPr>
          <w:spacing w:val="-3"/>
          <w:sz w:val="24"/>
        </w:rPr>
        <w:t> </w:t>
      </w:r>
      <w:r>
        <w:rPr>
          <w:sz w:val="24"/>
        </w:rPr>
        <w:t>should</w:t>
      </w:r>
      <w:r>
        <w:rPr>
          <w:spacing w:val="-1"/>
          <w:sz w:val="24"/>
        </w:rPr>
        <w:t> </w:t>
      </w:r>
      <w:r>
        <w:rPr>
          <w:sz w:val="24"/>
        </w:rPr>
        <w:t>be</w:t>
      </w:r>
      <w:r>
        <w:rPr>
          <w:spacing w:val="-1"/>
          <w:sz w:val="24"/>
        </w:rPr>
        <w:t> </w:t>
      </w:r>
      <w:r>
        <w:rPr>
          <w:sz w:val="24"/>
        </w:rPr>
        <w:t>gradually</w:t>
      </w:r>
      <w:r>
        <w:rPr>
          <w:spacing w:val="-3"/>
          <w:sz w:val="24"/>
        </w:rPr>
        <w:t> </w:t>
      </w:r>
      <w:r>
        <w:rPr>
          <w:sz w:val="24"/>
        </w:rPr>
        <w:t>to</w:t>
      </w:r>
      <w:r>
        <w:rPr>
          <w:spacing w:val="-1"/>
          <w:sz w:val="24"/>
        </w:rPr>
        <w:t> </w:t>
      </w:r>
      <w:r>
        <w:rPr>
          <w:sz w:val="24"/>
        </w:rPr>
        <w:t>increase</w:t>
      </w:r>
      <w:r>
        <w:rPr>
          <w:spacing w:val="-1"/>
          <w:sz w:val="24"/>
        </w:rPr>
        <w:t> </w:t>
      </w:r>
      <w:r>
        <w:rPr>
          <w:sz w:val="24"/>
        </w:rPr>
        <w:t>the</w:t>
      </w:r>
      <w:r>
        <w:rPr>
          <w:spacing w:val="-1"/>
          <w:sz w:val="24"/>
        </w:rPr>
        <w:t> </w:t>
      </w:r>
      <w:r>
        <w:rPr>
          <w:sz w:val="24"/>
        </w:rPr>
        <w:t>investment</w:t>
      </w:r>
      <w:r>
        <w:rPr>
          <w:spacing w:val="-1"/>
          <w:sz w:val="24"/>
        </w:rPr>
        <w:t> </w:t>
      </w:r>
      <w:r>
        <w:rPr>
          <w:sz w:val="24"/>
        </w:rPr>
        <w:t>in</w:t>
      </w:r>
      <w:r>
        <w:rPr>
          <w:spacing w:val="-1"/>
          <w:sz w:val="24"/>
        </w:rPr>
        <w:t> </w:t>
      </w:r>
      <w:r>
        <w:rPr>
          <w:sz w:val="24"/>
        </w:rPr>
        <w:t>education</w:t>
      </w:r>
      <w:r>
        <w:rPr>
          <w:spacing w:val="-1"/>
          <w:sz w:val="24"/>
        </w:rPr>
        <w:t> </w:t>
      </w:r>
      <w:r>
        <w:rPr>
          <w:sz w:val="24"/>
        </w:rPr>
        <w:t>so</w:t>
      </w:r>
      <w:r>
        <w:rPr>
          <w:spacing w:val="-1"/>
          <w:sz w:val="24"/>
        </w:rPr>
        <w:t> </w:t>
      </w:r>
      <w:r>
        <w:rPr>
          <w:sz w:val="24"/>
        </w:rPr>
        <w:t>as</w:t>
      </w:r>
      <w:r>
        <w:rPr>
          <w:spacing w:val="-1"/>
          <w:sz w:val="24"/>
        </w:rPr>
        <w:t> </w:t>
      </w:r>
      <w:r>
        <w:rPr>
          <w:sz w:val="24"/>
        </w:rPr>
        <w:t>to</w:t>
      </w:r>
      <w:r>
        <w:rPr>
          <w:spacing w:val="-2"/>
          <w:sz w:val="24"/>
        </w:rPr>
        <w:t> </w:t>
      </w:r>
      <w:r>
        <w:rPr>
          <w:sz w:val="24"/>
        </w:rPr>
        <w:t>reach a level of expenditure of 6percent of the national income as early as possible.</w:t>
      </w:r>
    </w:p>
    <w:p>
      <w:pPr>
        <w:spacing w:after="0" w:line="240" w:lineRule="auto"/>
        <w:jc w:val="both"/>
        <w:rPr>
          <w:sz w:val="24"/>
        </w:rPr>
        <w:sectPr>
          <w:pgSz w:w="12240" w:h="15840"/>
          <w:pgMar w:header="0" w:footer="743" w:top="1360" w:bottom="940" w:left="1640" w:right="1300"/>
        </w:sectPr>
      </w:pPr>
    </w:p>
    <w:p>
      <w:pPr>
        <w:pStyle w:val="ListParagraph"/>
        <w:numPr>
          <w:ilvl w:val="0"/>
          <w:numId w:val="2"/>
        </w:numPr>
        <w:tabs>
          <w:tab w:pos="418" w:val="left" w:leader="none"/>
        </w:tabs>
        <w:spacing w:line="240" w:lineRule="auto" w:before="76" w:after="0"/>
        <w:ind w:left="159" w:right="496" w:firstLine="0"/>
        <w:jc w:val="both"/>
        <w:rPr>
          <w:sz w:val="24"/>
        </w:rPr>
      </w:pPr>
      <w:r>
        <w:rPr>
          <w:sz w:val="24"/>
        </w:rPr>
        <w:t>The Government of India recognizes that reconstruction of education is no easy task. Not only are the resources scare but the problems are exceedingly complex. Considering the key role which education, science and research play in developing the material and human resources of the country, the Government of India will, in addition to undertaking programmes in the Central sector, assist the State Governments for the development of programmes of national importance where coordinated action on the part of the States</w:t>
      </w:r>
      <w:r>
        <w:rPr>
          <w:spacing w:val="40"/>
          <w:sz w:val="24"/>
        </w:rPr>
        <w:t> </w:t>
      </w:r>
      <w:r>
        <w:rPr>
          <w:sz w:val="24"/>
        </w:rPr>
        <w:t>and the Centre is called for.</w:t>
      </w:r>
    </w:p>
    <w:p>
      <w:pPr>
        <w:pStyle w:val="BodyText"/>
        <w:spacing w:before="4"/>
      </w:pPr>
    </w:p>
    <w:p>
      <w:pPr>
        <w:pStyle w:val="ListParagraph"/>
        <w:numPr>
          <w:ilvl w:val="0"/>
          <w:numId w:val="2"/>
        </w:numPr>
        <w:tabs>
          <w:tab w:pos="430" w:val="left" w:leader="none"/>
        </w:tabs>
        <w:spacing w:line="240" w:lineRule="auto" w:before="0" w:after="0"/>
        <w:ind w:left="159" w:right="497" w:firstLine="0"/>
        <w:jc w:val="both"/>
        <w:rPr>
          <w:sz w:val="24"/>
        </w:rPr>
      </w:pPr>
      <w:r>
        <w:rPr>
          <w:sz w:val="24"/>
        </w:rPr>
        <w:t>The Government of India will also review, every five years, the progress made and recommend guidelines for future development.</w:t>
      </w:r>
    </w:p>
    <w:p>
      <w:pPr>
        <w:spacing w:after="0" w:line="240" w:lineRule="auto"/>
        <w:jc w:val="both"/>
        <w:rPr>
          <w:sz w:val="24"/>
        </w:rPr>
        <w:sectPr>
          <w:pgSz w:w="12240" w:h="15840"/>
          <w:pgMar w:header="0" w:footer="743" w:top="1360" w:bottom="940" w:left="1640" w:right="1300"/>
        </w:sectPr>
      </w:pPr>
    </w:p>
    <w:p>
      <w:pPr>
        <w:pStyle w:val="Heading1"/>
        <w:spacing w:before="79"/>
        <w:ind w:left="3523" w:right="3860"/>
      </w:pPr>
      <w:r>
        <w:rPr>
          <w:spacing w:val="-2"/>
        </w:rPr>
        <w:t>CONTENTS</w:t>
      </w:r>
    </w:p>
    <w:p>
      <w:pPr>
        <w:pStyle w:val="BodyText"/>
        <w:spacing w:before="273"/>
        <w:rPr>
          <w:b/>
        </w:rPr>
      </w:pPr>
    </w:p>
    <w:p>
      <w:pPr>
        <w:pStyle w:val="BodyText"/>
        <w:ind w:left="160"/>
      </w:pPr>
      <w:r>
        <w:rPr/>
        <w:t>CHAIRMAN'S</w:t>
      </w:r>
      <w:r>
        <w:rPr>
          <w:spacing w:val="-4"/>
        </w:rPr>
        <w:t> </w:t>
      </w:r>
      <w:r>
        <w:rPr/>
        <w:t>LETTER</w:t>
      </w:r>
      <w:r>
        <w:rPr>
          <w:spacing w:val="-3"/>
        </w:rPr>
        <w:t> </w:t>
      </w:r>
      <w:r>
        <w:rPr/>
        <w:t>TO</w:t>
      </w:r>
      <w:r>
        <w:rPr>
          <w:spacing w:val="-3"/>
        </w:rPr>
        <w:t> </w:t>
      </w:r>
      <w:r>
        <w:rPr/>
        <w:t>THE</w:t>
      </w:r>
      <w:r>
        <w:rPr>
          <w:spacing w:val="-3"/>
        </w:rPr>
        <w:t> </w:t>
      </w:r>
      <w:r>
        <w:rPr/>
        <w:t>UNION</w:t>
      </w:r>
      <w:r>
        <w:rPr>
          <w:spacing w:val="-3"/>
        </w:rPr>
        <w:t> </w:t>
      </w:r>
      <w:r>
        <w:rPr>
          <w:spacing w:val="-2"/>
        </w:rPr>
        <w:t>MINISTER</w:t>
      </w:r>
    </w:p>
    <w:p>
      <w:pPr>
        <w:spacing w:after="0"/>
        <w:sectPr>
          <w:pgSz w:w="12240" w:h="15840"/>
          <w:pgMar w:header="0" w:footer="743" w:top="1360" w:bottom="1688" w:left="1640" w:right="1300"/>
        </w:sectPr>
      </w:pPr>
    </w:p>
    <w:sdt>
      <w:sdtPr>
        <w:docPartObj>
          <w:docPartGallery w:val="Table of Contents"/>
          <w:docPartUnique/>
        </w:docPartObj>
      </w:sdtPr>
      <w:sdtEndPr/>
      <w:sdtContent>
        <w:p>
          <w:pPr>
            <w:pStyle w:val="TOC2"/>
            <w:tabs>
              <w:tab w:pos="7690" w:val="right" w:leader="none"/>
            </w:tabs>
            <w:spacing w:before="1"/>
          </w:pPr>
          <w:r>
            <w:rPr/>
            <w:t>FOR </w:t>
          </w:r>
          <w:r>
            <w:rPr>
              <w:spacing w:val="-2"/>
            </w:rPr>
            <w:t>EDUCATION</w:t>
          </w:r>
          <w:r>
            <w:rPr/>
            <w:tab/>
          </w:r>
          <w:r>
            <w:rPr>
              <w:spacing w:val="-5"/>
            </w:rPr>
            <w:t>iii</w:t>
          </w:r>
        </w:p>
        <w:p>
          <w:pPr>
            <w:pStyle w:val="TOC2"/>
            <w:tabs>
              <w:tab w:pos="7608" w:val="right" w:leader="none"/>
            </w:tabs>
            <w:spacing w:before="276"/>
          </w:pPr>
          <w:hyperlink w:history="true" w:anchor="_TOC_250028">
            <w:r>
              <w:rPr/>
              <w:t>MEMBERS</w:t>
            </w:r>
            <w:r>
              <w:rPr>
                <w:spacing w:val="-3"/>
              </w:rPr>
              <w:t> </w:t>
            </w:r>
            <w:r>
              <w:rPr/>
              <w:t>OF</w:t>
            </w:r>
            <w:r>
              <w:rPr>
                <w:spacing w:val="-5"/>
              </w:rPr>
              <w:t> </w:t>
            </w:r>
            <w:r>
              <w:rPr/>
              <w:t>THE</w:t>
            </w:r>
            <w:r>
              <w:rPr>
                <w:spacing w:val="-4"/>
              </w:rPr>
              <w:t> </w:t>
            </w:r>
            <w:r>
              <w:rPr/>
              <w:t>EDUCATION</w:t>
            </w:r>
            <w:r>
              <w:rPr>
                <w:spacing w:val="-4"/>
              </w:rPr>
              <w:t> </w:t>
            </w:r>
            <w:r>
              <w:rPr>
                <w:spacing w:val="-2"/>
              </w:rPr>
              <w:t>COMMISSION</w:t>
            </w:r>
            <w:r>
              <w:rPr/>
              <w:tab/>
            </w:r>
            <w:r>
              <w:rPr>
                <w:spacing w:val="-10"/>
              </w:rPr>
              <w:t>v</w:t>
            </w:r>
          </w:hyperlink>
        </w:p>
        <w:p>
          <w:pPr>
            <w:pStyle w:val="TOC2"/>
            <w:tabs>
              <w:tab w:pos="7742" w:val="right" w:leader="none"/>
            </w:tabs>
            <w:spacing w:before="276"/>
          </w:pPr>
          <w:hyperlink w:history="true" w:anchor="_TOC_250027">
            <w:r>
              <w:rPr>
                <w:spacing w:val="-2"/>
              </w:rPr>
              <w:t>FOREWORD</w:t>
            </w:r>
            <w:r>
              <w:rPr/>
              <w:tab/>
            </w:r>
            <w:r>
              <w:rPr>
                <w:spacing w:val="-5"/>
              </w:rPr>
              <w:t>vii</w:t>
            </w:r>
          </w:hyperlink>
        </w:p>
        <w:p>
          <w:pPr>
            <w:pStyle w:val="TOC2"/>
            <w:tabs>
              <w:tab w:pos="7744" w:val="right" w:leader="none"/>
            </w:tabs>
            <w:spacing w:before="276"/>
          </w:pPr>
          <w:hyperlink w:history="true" w:anchor="_TOC_250026">
            <w:r>
              <w:rPr/>
              <w:t>NATIONAL POLICY ON </w:t>
            </w:r>
            <w:r>
              <w:rPr>
                <w:spacing w:val="-2"/>
              </w:rPr>
              <w:t>EDUCATION</w:t>
            </w:r>
            <w:r>
              <w:rPr/>
              <w:tab/>
            </w:r>
            <w:r>
              <w:rPr>
                <w:spacing w:val="-5"/>
              </w:rPr>
              <w:t>xii</w:t>
            </w:r>
          </w:hyperlink>
        </w:p>
        <w:p>
          <w:pPr>
            <w:pStyle w:val="TOC1"/>
            <w:spacing w:before="552"/>
          </w:pPr>
          <w:hyperlink w:history="true" w:anchor="_TOC_250025">
            <w:r>
              <w:rPr/>
              <w:t>PART</w:t>
            </w:r>
            <w:r>
              <w:rPr>
                <w:spacing w:val="-3"/>
              </w:rPr>
              <w:t> </w:t>
            </w:r>
            <w:r>
              <w:rPr/>
              <w:t>ONE:</w:t>
            </w:r>
            <w:r>
              <w:rPr>
                <w:spacing w:val="-3"/>
              </w:rPr>
              <w:t> </w:t>
            </w:r>
            <w:r>
              <w:rPr/>
              <w:t>GENERAL</w:t>
            </w:r>
            <w:r>
              <w:rPr>
                <w:spacing w:val="-2"/>
              </w:rPr>
              <w:t> PROBLEMS</w:t>
            </w:r>
          </w:hyperlink>
        </w:p>
        <w:p>
          <w:pPr>
            <w:pStyle w:val="TOC1"/>
            <w:tabs>
              <w:tab w:pos="7928" w:val="right" w:leader="none"/>
            </w:tabs>
            <w:spacing w:before="552"/>
          </w:pPr>
          <w:r>
            <w:rPr/>
            <w:t>CHAPTER</w:t>
          </w:r>
          <w:r>
            <w:rPr>
              <w:spacing w:val="-5"/>
            </w:rPr>
            <w:t> </w:t>
          </w:r>
          <w:r>
            <w:rPr/>
            <w:t>1:</w:t>
          </w:r>
          <w:r>
            <w:rPr>
              <w:spacing w:val="-4"/>
            </w:rPr>
            <w:t> </w:t>
          </w:r>
          <w:r>
            <w:rPr/>
            <w:t>EDUCATION</w:t>
          </w:r>
          <w:r>
            <w:rPr>
              <w:spacing w:val="-4"/>
            </w:rPr>
            <w:t> </w:t>
          </w:r>
          <w:r>
            <w:rPr/>
            <w:t>AND</w:t>
          </w:r>
          <w:r>
            <w:rPr>
              <w:spacing w:val="-4"/>
            </w:rPr>
            <w:t> </w:t>
          </w:r>
          <w:r>
            <w:rPr/>
            <w:t>NATIONAL</w:t>
          </w:r>
          <w:r>
            <w:rPr>
              <w:spacing w:val="-4"/>
            </w:rPr>
            <w:t> </w:t>
          </w:r>
          <w:r>
            <w:rPr>
              <w:spacing w:val="-2"/>
            </w:rPr>
            <w:t>OBJECTIVES</w:t>
          </w:r>
          <w:r>
            <w:rPr/>
            <w:tab/>
          </w:r>
          <w:r>
            <w:rPr>
              <w:spacing w:val="-5"/>
            </w:rPr>
            <w:t>2-</w:t>
          </w:r>
          <w:r>
            <w:rPr/>
            <w:t>37</w:t>
          </w:r>
        </w:p>
        <w:p>
          <w:pPr>
            <w:pStyle w:val="TOC2"/>
            <w:tabs>
              <w:tab w:pos="7606" w:val="right" w:leader="none"/>
            </w:tabs>
            <w:spacing w:before="276"/>
          </w:pPr>
          <w:hyperlink w:history="true" w:anchor="_TOC_250024">
            <w:r>
              <w:rPr/>
              <w:t>Some</w:t>
            </w:r>
            <w:r>
              <w:rPr>
                <w:spacing w:val="-1"/>
              </w:rPr>
              <w:t> </w:t>
            </w:r>
            <w:r>
              <w:rPr/>
              <w:t>Problems</w:t>
            </w:r>
            <w:r>
              <w:rPr>
                <w:spacing w:val="-1"/>
              </w:rPr>
              <w:t> </w:t>
            </w:r>
            <w:r>
              <w:rPr/>
              <w:t>of</w:t>
            </w:r>
            <w:r>
              <w:rPr>
                <w:spacing w:val="-1"/>
              </w:rPr>
              <w:t> </w:t>
            </w:r>
            <w:r>
              <w:rPr/>
              <w:t>National</w:t>
            </w:r>
            <w:r>
              <w:rPr>
                <w:spacing w:val="-1"/>
              </w:rPr>
              <w:t> </w:t>
            </w:r>
            <w:r>
              <w:rPr>
                <w:spacing w:val="-2"/>
              </w:rPr>
              <w:t>Development</w:t>
            </w:r>
            <w:r>
              <w:rPr/>
              <w:tab/>
            </w:r>
            <w:r>
              <w:rPr>
                <w:spacing w:val="-10"/>
              </w:rPr>
              <w:t>3</w:t>
            </w:r>
          </w:hyperlink>
        </w:p>
        <w:p>
          <w:pPr>
            <w:pStyle w:val="TOC2"/>
            <w:tabs>
              <w:tab w:pos="7607" w:val="right" w:leader="none"/>
            </w:tabs>
          </w:pPr>
          <w:hyperlink w:history="true" w:anchor="_TOC_250023">
            <w:r>
              <w:rPr/>
              <w:t>Education</w:t>
            </w:r>
            <w:r>
              <w:rPr>
                <w:spacing w:val="-1"/>
              </w:rPr>
              <w:t> </w:t>
            </w:r>
            <w:r>
              <w:rPr/>
              <w:t>: the Main</w:t>
            </w:r>
            <w:r>
              <w:rPr>
                <w:spacing w:val="-1"/>
              </w:rPr>
              <w:t> </w:t>
            </w:r>
            <w:r>
              <w:rPr/>
              <w:t>Instrument of </w:t>
            </w:r>
            <w:r>
              <w:rPr>
                <w:spacing w:val="-2"/>
              </w:rPr>
              <w:t>Change</w:t>
            </w:r>
            <w:r>
              <w:rPr/>
              <w:tab/>
            </w:r>
            <w:r>
              <w:rPr>
                <w:spacing w:val="-10"/>
              </w:rPr>
              <w:t>5</w:t>
            </w:r>
          </w:hyperlink>
        </w:p>
        <w:p>
          <w:pPr>
            <w:pStyle w:val="TOC2"/>
            <w:tabs>
              <w:tab w:pos="7608" w:val="right" w:leader="none"/>
            </w:tabs>
          </w:pPr>
          <w:hyperlink w:history="true" w:anchor="_TOC_250022">
            <w:r>
              <w:rPr/>
              <w:t>The Educational </w:t>
            </w:r>
            <w:r>
              <w:rPr>
                <w:spacing w:val="-2"/>
              </w:rPr>
              <w:t>Revolution</w:t>
            </w:r>
            <w:r>
              <w:rPr/>
              <w:tab/>
            </w:r>
            <w:r>
              <w:rPr>
                <w:spacing w:val="-10"/>
              </w:rPr>
              <w:t>7</w:t>
            </w:r>
          </w:hyperlink>
        </w:p>
        <w:p>
          <w:pPr>
            <w:pStyle w:val="TOC2"/>
          </w:pPr>
          <w:r>
            <w:rPr/>
            <w:t>Relating</w:t>
          </w:r>
          <w:r>
            <w:rPr>
              <w:spacing w:val="-2"/>
            </w:rPr>
            <w:t> </w:t>
          </w:r>
          <w:r>
            <w:rPr/>
            <w:t>Education</w:t>
          </w:r>
          <w:r>
            <w:rPr>
              <w:spacing w:val="-1"/>
            </w:rPr>
            <w:t> </w:t>
          </w:r>
          <w:r>
            <w:rPr/>
            <w:t>to</w:t>
          </w:r>
          <w:r>
            <w:rPr>
              <w:spacing w:val="-2"/>
            </w:rPr>
            <w:t> </w:t>
          </w:r>
          <w:r>
            <w:rPr/>
            <w:t>the</w:t>
          </w:r>
          <w:r>
            <w:rPr>
              <w:spacing w:val="-1"/>
            </w:rPr>
            <w:t> </w:t>
          </w:r>
          <w:r>
            <w:rPr/>
            <w:t>Life,</w:t>
          </w:r>
          <w:r>
            <w:rPr>
              <w:spacing w:val="-1"/>
            </w:rPr>
            <w:t> </w:t>
          </w:r>
          <w:r>
            <w:rPr/>
            <w:t>Needs and </w:t>
          </w:r>
          <w:r>
            <w:rPr>
              <w:spacing w:val="-2"/>
            </w:rPr>
            <w:t>Aspirations</w:t>
          </w:r>
        </w:p>
        <w:p>
          <w:pPr>
            <w:pStyle w:val="TOC2"/>
            <w:tabs>
              <w:tab w:pos="952" w:val="left" w:leader="none"/>
              <w:tab w:pos="7607" w:val="right" w:leader="none"/>
            </w:tabs>
          </w:pPr>
          <w:r>
            <w:rPr/>
            <w:t>of</w:t>
          </w:r>
          <w:r>
            <w:rPr>
              <w:spacing w:val="-1"/>
            </w:rPr>
            <w:t> </w:t>
          </w:r>
          <w:r>
            <w:rPr>
              <w:spacing w:val="-5"/>
            </w:rPr>
            <w:t>the</w:t>
          </w:r>
          <w:r>
            <w:rPr/>
            <w:tab/>
          </w:r>
          <w:r>
            <w:rPr>
              <w:spacing w:val="-2"/>
            </w:rPr>
            <w:t>People</w:t>
          </w:r>
          <w:r>
            <w:rPr/>
            <w:tab/>
          </w:r>
          <w:r>
            <w:rPr>
              <w:spacing w:val="-10"/>
            </w:rPr>
            <w:t>8</w:t>
          </w:r>
        </w:p>
        <w:p>
          <w:pPr>
            <w:pStyle w:val="TOC2"/>
            <w:tabs>
              <w:tab w:pos="7607" w:val="right" w:leader="none"/>
            </w:tabs>
          </w:pPr>
          <w:hyperlink w:history="true" w:anchor="_TOC_250021">
            <w:r>
              <w:rPr/>
              <w:t>Education and </w:t>
            </w:r>
            <w:r>
              <w:rPr>
                <w:spacing w:val="-2"/>
              </w:rPr>
              <w:t>Productivity</w:t>
            </w:r>
            <w:r>
              <w:rPr/>
              <w:tab/>
            </w:r>
            <w:r>
              <w:rPr>
                <w:spacing w:val="-10"/>
              </w:rPr>
              <w:t>9</w:t>
            </w:r>
          </w:hyperlink>
        </w:p>
        <w:p>
          <w:pPr>
            <w:pStyle w:val="TOC2"/>
            <w:tabs>
              <w:tab w:pos="7727" w:val="right" w:leader="none"/>
            </w:tabs>
          </w:pPr>
          <w:hyperlink w:history="true" w:anchor="_TOC_250020">
            <w:r>
              <w:rPr/>
              <w:t>Education</w:t>
            </w:r>
            <w:r>
              <w:rPr>
                <w:spacing w:val="-3"/>
              </w:rPr>
              <w:t> </w:t>
            </w:r>
            <w:r>
              <w:rPr/>
              <w:t>and</w:t>
            </w:r>
            <w:r>
              <w:rPr>
                <w:spacing w:val="-1"/>
              </w:rPr>
              <w:t> </w:t>
            </w:r>
            <w:r>
              <w:rPr/>
              <w:t>Social</w:t>
            </w:r>
            <w:r>
              <w:rPr>
                <w:spacing w:val="-1"/>
              </w:rPr>
              <w:t> </w:t>
            </w:r>
            <w:r>
              <w:rPr/>
              <w:t>and</w:t>
            </w:r>
            <w:r>
              <w:rPr>
                <w:spacing w:val="-1"/>
              </w:rPr>
              <w:t> </w:t>
            </w:r>
            <w:r>
              <w:rPr/>
              <w:t>National</w:t>
            </w:r>
            <w:r>
              <w:rPr>
                <w:spacing w:val="-1"/>
              </w:rPr>
              <w:t> </w:t>
            </w:r>
            <w:r>
              <w:rPr>
                <w:spacing w:val="-2"/>
              </w:rPr>
              <w:t>Integration</w:t>
            </w:r>
            <w:r>
              <w:rPr/>
              <w:tab/>
            </w:r>
            <w:r>
              <w:rPr>
                <w:spacing w:val="-5"/>
              </w:rPr>
              <w:t>13</w:t>
            </w:r>
          </w:hyperlink>
        </w:p>
        <w:p>
          <w:pPr>
            <w:pStyle w:val="TOC2"/>
            <w:tabs>
              <w:tab w:pos="7727" w:val="right" w:leader="none"/>
            </w:tabs>
            <w:spacing w:line="275" w:lineRule="exact"/>
          </w:pPr>
          <w:hyperlink w:history="true" w:anchor="_TOC_250019">
            <w:r>
              <w:rPr/>
              <w:t>Education and </w:t>
            </w:r>
            <w:r>
              <w:rPr>
                <w:spacing w:val="-2"/>
              </w:rPr>
              <w:t>Modernization</w:t>
            </w:r>
            <w:r>
              <w:rPr/>
              <w:tab/>
            </w:r>
            <w:r>
              <w:rPr>
                <w:spacing w:val="-5"/>
              </w:rPr>
              <w:t>25</w:t>
            </w:r>
          </w:hyperlink>
        </w:p>
        <w:p>
          <w:pPr>
            <w:pStyle w:val="TOC2"/>
            <w:tabs>
              <w:tab w:pos="7728" w:val="right" w:leader="none"/>
            </w:tabs>
            <w:spacing w:line="275" w:lineRule="exact"/>
          </w:pPr>
          <w:hyperlink w:history="true" w:anchor="_TOC_250018">
            <w:r>
              <w:rPr/>
              <w:t>Social, Moral and Spiritual </w:t>
            </w:r>
            <w:r>
              <w:rPr>
                <w:spacing w:val="-2"/>
              </w:rPr>
              <w:t>Values</w:t>
            </w:r>
            <w:r>
              <w:rPr/>
              <w:tab/>
            </w:r>
            <w:r>
              <w:rPr>
                <w:spacing w:val="-5"/>
              </w:rPr>
              <w:t>27</w:t>
            </w:r>
          </w:hyperlink>
        </w:p>
        <w:p>
          <w:pPr>
            <w:pStyle w:val="TOC2"/>
            <w:tabs>
              <w:tab w:pos="7727" w:val="right" w:leader="none"/>
            </w:tabs>
          </w:pPr>
          <w:hyperlink w:history="true" w:anchor="_TOC_250017">
            <w:r>
              <w:rPr/>
              <w:t>A</w:t>
            </w:r>
            <w:r>
              <w:rPr>
                <w:spacing w:val="-1"/>
              </w:rPr>
              <w:t> </w:t>
            </w:r>
            <w:r>
              <w:rPr/>
              <w:t>Challenge</w:t>
            </w:r>
            <w:r>
              <w:rPr>
                <w:spacing w:val="-1"/>
              </w:rPr>
              <w:t> </w:t>
            </w:r>
            <w:r>
              <w:rPr/>
              <w:t>and</w:t>
            </w:r>
            <w:r>
              <w:rPr>
                <w:spacing w:val="-1"/>
              </w:rPr>
              <w:t> </w:t>
            </w:r>
            <w:r>
              <w:rPr/>
              <w:t>a</w:t>
            </w:r>
            <w:r>
              <w:rPr>
                <w:spacing w:val="-1"/>
              </w:rPr>
              <w:t> </w:t>
            </w:r>
            <w:r>
              <w:rPr>
                <w:spacing w:val="-2"/>
              </w:rPr>
              <w:t>Faith</w:t>
            </w:r>
            <w:r>
              <w:rPr/>
              <w:tab/>
            </w:r>
            <w:r>
              <w:rPr>
                <w:spacing w:val="-5"/>
              </w:rPr>
              <w:t>30</w:t>
            </w:r>
          </w:hyperlink>
        </w:p>
        <w:p>
          <w:pPr>
            <w:pStyle w:val="TOC2"/>
            <w:tabs>
              <w:tab w:pos="7728" w:val="right" w:leader="none"/>
            </w:tabs>
          </w:pPr>
          <w:hyperlink w:history="true" w:anchor="_TOC_250016">
            <w:r>
              <w:rPr>
                <w:spacing w:val="-2"/>
              </w:rPr>
              <w:t>Summary</w:t>
            </w:r>
            <w:r>
              <w:rPr/>
              <w:tab/>
            </w:r>
            <w:r>
              <w:rPr>
                <w:spacing w:val="-5"/>
              </w:rPr>
              <w:t>33</w:t>
            </w:r>
          </w:hyperlink>
        </w:p>
        <w:p>
          <w:pPr>
            <w:pStyle w:val="TOC1"/>
          </w:pPr>
          <w:r>
            <w:rPr/>
            <w:t>CHAPTER</w:t>
          </w:r>
          <w:r>
            <w:rPr>
              <w:spacing w:val="-5"/>
            </w:rPr>
            <w:t> </w:t>
          </w:r>
          <w:r>
            <w:rPr/>
            <w:t>II:</w:t>
          </w:r>
          <w:r>
            <w:rPr>
              <w:spacing w:val="-5"/>
            </w:rPr>
            <w:t> </w:t>
          </w:r>
          <w:r>
            <w:rPr/>
            <w:t>THE</w:t>
          </w:r>
          <w:r>
            <w:rPr>
              <w:spacing w:val="-4"/>
            </w:rPr>
            <w:t> </w:t>
          </w:r>
          <w:r>
            <w:rPr/>
            <w:t>EDUCATIONAL</w:t>
          </w:r>
          <w:r>
            <w:rPr>
              <w:spacing w:val="-6"/>
            </w:rPr>
            <w:t> </w:t>
          </w:r>
          <w:r>
            <w:rPr/>
            <w:t>SYSTEM:</w:t>
          </w:r>
          <w:r>
            <w:rPr>
              <w:spacing w:val="-5"/>
            </w:rPr>
            <w:t> </w:t>
          </w:r>
          <w:r>
            <w:rPr>
              <w:spacing w:val="-2"/>
            </w:rPr>
            <w:t>STRUCTURE</w:t>
          </w:r>
        </w:p>
        <w:p>
          <w:pPr>
            <w:pStyle w:val="TOC1"/>
            <w:tabs>
              <w:tab w:pos="8049" w:val="right" w:leader="none"/>
            </w:tabs>
            <w:spacing w:before="0"/>
          </w:pPr>
          <w:r>
            <w:rPr/>
            <w:t>AND</w:t>
          </w:r>
          <w:r>
            <w:rPr>
              <w:spacing w:val="-2"/>
            </w:rPr>
            <w:t> STANDARDS</w:t>
          </w:r>
          <w:r>
            <w:rPr/>
            <w:tab/>
          </w:r>
          <w:r>
            <w:rPr>
              <w:spacing w:val="-5"/>
            </w:rPr>
            <w:t>38-</w:t>
          </w:r>
          <w:r>
            <w:rPr>
              <w:spacing w:val="-2"/>
            </w:rPr>
            <w:t>73</w:t>
          </w:r>
        </w:p>
        <w:p>
          <w:pPr>
            <w:pStyle w:val="TOC2"/>
            <w:tabs>
              <w:tab w:pos="7727" w:val="right" w:leader="none"/>
            </w:tabs>
            <w:spacing w:before="276"/>
          </w:pPr>
          <w:r>
            <w:rPr/>
            <w:t>General</w:t>
          </w:r>
          <w:r>
            <w:rPr>
              <w:spacing w:val="-3"/>
            </w:rPr>
            <w:t> </w:t>
          </w:r>
          <w:r>
            <w:rPr>
              <w:spacing w:val="-2"/>
            </w:rPr>
            <w:t>Approach</w:t>
          </w:r>
          <w:r>
            <w:rPr/>
            <w:tab/>
          </w:r>
          <w:r>
            <w:rPr>
              <w:spacing w:val="-5"/>
            </w:rPr>
            <w:t>38</w:t>
          </w:r>
        </w:p>
        <w:p>
          <w:pPr>
            <w:pStyle w:val="TOC2"/>
            <w:tabs>
              <w:tab w:pos="7727" w:val="right" w:leader="none"/>
            </w:tabs>
          </w:pPr>
          <w:hyperlink w:history="true" w:anchor="_TOC_250015">
            <w:r>
              <w:rPr/>
              <w:t>Structure</w:t>
            </w:r>
            <w:r>
              <w:rPr>
                <w:spacing w:val="-1"/>
              </w:rPr>
              <w:t> </w:t>
            </w:r>
            <w:r>
              <w:rPr/>
              <w:t>and</w:t>
            </w:r>
            <w:r>
              <w:rPr>
                <w:spacing w:val="-1"/>
              </w:rPr>
              <w:t> </w:t>
            </w:r>
            <w:r>
              <w:rPr>
                <w:spacing w:val="-2"/>
              </w:rPr>
              <w:t>Duration</w:t>
            </w:r>
            <w:r>
              <w:rPr/>
              <w:tab/>
            </w:r>
            <w:r>
              <w:rPr>
                <w:spacing w:val="-5"/>
              </w:rPr>
              <w:t>39</w:t>
            </w:r>
          </w:hyperlink>
        </w:p>
        <w:p>
          <w:pPr>
            <w:pStyle w:val="TOC2"/>
            <w:tabs>
              <w:tab w:pos="7727" w:val="right" w:leader="none"/>
            </w:tabs>
          </w:pPr>
          <w:hyperlink w:history="true" w:anchor="_TOC_250014">
            <w:r>
              <w:rPr/>
              <w:t>Reorganization</w:t>
            </w:r>
            <w:r>
              <w:rPr>
                <w:spacing w:val="-1"/>
              </w:rPr>
              <w:t> </w:t>
            </w:r>
            <w:r>
              <w:rPr/>
              <w:t>of</w:t>
            </w:r>
            <w:r>
              <w:rPr>
                <w:spacing w:val="-1"/>
              </w:rPr>
              <w:t> </w:t>
            </w:r>
            <w:r>
              <w:rPr/>
              <w:t>School</w:t>
            </w:r>
            <w:r>
              <w:rPr>
                <w:spacing w:val="-1"/>
              </w:rPr>
              <w:t> </w:t>
            </w:r>
            <w:r>
              <w:rPr>
                <w:spacing w:val="-2"/>
              </w:rPr>
              <w:t>Education</w:t>
            </w:r>
            <w:r>
              <w:rPr/>
              <w:tab/>
            </w:r>
            <w:r>
              <w:rPr>
                <w:spacing w:val="-5"/>
              </w:rPr>
              <w:t>46</w:t>
            </w:r>
          </w:hyperlink>
        </w:p>
        <w:p>
          <w:pPr>
            <w:pStyle w:val="TOC2"/>
            <w:tabs>
              <w:tab w:pos="7728" w:val="right" w:leader="none"/>
            </w:tabs>
          </w:pPr>
          <w:hyperlink w:history="true" w:anchor="_TOC_250013">
            <w:r>
              <w:rPr/>
              <w:t>Reorganization</w:t>
            </w:r>
            <w:r>
              <w:rPr>
                <w:spacing w:val="-3"/>
              </w:rPr>
              <w:t> </w:t>
            </w:r>
            <w:r>
              <w:rPr/>
              <w:t>at</w:t>
            </w:r>
            <w:r>
              <w:rPr>
                <w:spacing w:val="-1"/>
              </w:rPr>
              <w:t> </w:t>
            </w:r>
            <w:r>
              <w:rPr/>
              <w:t>the</w:t>
            </w:r>
            <w:r>
              <w:rPr>
                <w:spacing w:val="-1"/>
              </w:rPr>
              <w:t> </w:t>
            </w:r>
            <w:r>
              <w:rPr/>
              <w:t>University </w:t>
            </w:r>
            <w:r>
              <w:rPr>
                <w:spacing w:val="-2"/>
              </w:rPr>
              <w:t>Stage</w:t>
            </w:r>
            <w:r>
              <w:rPr/>
              <w:tab/>
            </w:r>
            <w:r>
              <w:rPr>
                <w:spacing w:val="-5"/>
              </w:rPr>
              <w:t>54</w:t>
            </w:r>
          </w:hyperlink>
        </w:p>
        <w:p>
          <w:pPr>
            <w:pStyle w:val="TOC2"/>
            <w:tabs>
              <w:tab w:pos="7726" w:val="right" w:leader="none"/>
            </w:tabs>
          </w:pPr>
          <w:hyperlink w:history="true" w:anchor="_TOC_250012">
            <w:r>
              <w:rPr/>
              <w:t>Utilization</w:t>
            </w:r>
            <w:r>
              <w:rPr>
                <w:spacing w:val="-1"/>
              </w:rPr>
              <w:t> </w:t>
            </w:r>
            <w:r>
              <w:rPr/>
              <w:t>of</w:t>
            </w:r>
            <w:r>
              <w:rPr>
                <w:spacing w:val="-2"/>
              </w:rPr>
              <w:t> Facilities</w:t>
            </w:r>
            <w:r>
              <w:rPr/>
              <w:tab/>
            </w:r>
            <w:r>
              <w:rPr>
                <w:spacing w:val="-5"/>
              </w:rPr>
              <w:t>57</w:t>
            </w:r>
          </w:hyperlink>
        </w:p>
        <w:p>
          <w:pPr>
            <w:pStyle w:val="TOC2"/>
            <w:tabs>
              <w:tab w:pos="7727" w:val="right" w:leader="none"/>
            </w:tabs>
          </w:pPr>
          <w:hyperlink w:history="true" w:anchor="_TOC_250011">
            <w:r>
              <w:rPr/>
              <w:t>Dynamic</w:t>
            </w:r>
            <w:r>
              <w:rPr>
                <w:spacing w:val="-2"/>
              </w:rPr>
              <w:t> </w:t>
            </w:r>
            <w:r>
              <w:rPr/>
              <w:t>and</w:t>
            </w:r>
            <w:r>
              <w:rPr>
                <w:spacing w:val="-1"/>
              </w:rPr>
              <w:t> </w:t>
            </w:r>
            <w:r>
              <w:rPr/>
              <w:t>Evolving</w:t>
            </w:r>
            <w:r>
              <w:rPr>
                <w:spacing w:val="-1"/>
              </w:rPr>
              <w:t> </w:t>
            </w:r>
            <w:r>
              <w:rPr>
                <w:spacing w:val="-2"/>
              </w:rPr>
              <w:t>Standards</w:t>
            </w:r>
            <w:r>
              <w:rPr/>
              <w:tab/>
            </w:r>
            <w:r>
              <w:rPr>
                <w:spacing w:val="-5"/>
              </w:rPr>
              <w:t>61</w:t>
            </w:r>
          </w:hyperlink>
        </w:p>
        <w:p>
          <w:pPr>
            <w:pStyle w:val="TOC2"/>
            <w:tabs>
              <w:tab w:pos="7727" w:val="right" w:leader="none"/>
            </w:tabs>
          </w:pPr>
          <w:hyperlink w:history="true" w:anchor="_TOC_250010">
            <w:r>
              <w:rPr>
                <w:spacing w:val="-2"/>
              </w:rPr>
              <w:t>General</w:t>
            </w:r>
            <w:r>
              <w:rPr/>
              <w:tab/>
            </w:r>
            <w:r>
              <w:rPr>
                <w:spacing w:val="-5"/>
              </w:rPr>
              <w:t>66</w:t>
            </w:r>
          </w:hyperlink>
        </w:p>
        <w:p>
          <w:pPr>
            <w:pStyle w:val="TOC2"/>
            <w:tabs>
              <w:tab w:pos="7728" w:val="right" w:leader="none"/>
            </w:tabs>
          </w:pPr>
          <w:hyperlink w:history="true" w:anchor="_TOC_250009">
            <w:r>
              <w:rPr>
                <w:spacing w:val="-2"/>
              </w:rPr>
              <w:t>Summary</w:t>
            </w:r>
            <w:r>
              <w:rPr/>
              <w:tab/>
            </w:r>
            <w:r>
              <w:rPr>
                <w:spacing w:val="-5"/>
              </w:rPr>
              <w:t>70</w:t>
            </w:r>
          </w:hyperlink>
        </w:p>
        <w:p>
          <w:pPr>
            <w:pStyle w:val="TOC1"/>
            <w:tabs>
              <w:tab w:pos="8170" w:val="right" w:leader="none"/>
            </w:tabs>
          </w:pPr>
          <w:hyperlink w:history="true" w:anchor="_TOC_250008">
            <w:r>
              <w:rPr/>
              <w:t>CHAPTER III: TEACHER </w:t>
            </w:r>
            <w:r>
              <w:rPr>
                <w:spacing w:val="-2"/>
              </w:rPr>
              <w:t>STATUS</w:t>
            </w:r>
            <w:r>
              <w:rPr/>
              <w:tab/>
            </w:r>
            <w:r>
              <w:rPr>
                <w:spacing w:val="-5"/>
              </w:rPr>
              <w:t>74-</w:t>
            </w:r>
            <w:r>
              <w:rPr/>
              <w:t>112</w:t>
            </w:r>
          </w:hyperlink>
        </w:p>
        <w:p>
          <w:pPr>
            <w:pStyle w:val="TOC2"/>
            <w:tabs>
              <w:tab w:pos="7727" w:val="right" w:leader="none"/>
            </w:tabs>
            <w:spacing w:before="276"/>
          </w:pPr>
          <w:hyperlink w:history="true" w:anchor="_TOC_250007">
            <w:r>
              <w:rPr>
                <w:spacing w:val="-2"/>
              </w:rPr>
              <w:t>Remuneration</w:t>
            </w:r>
            <w:r>
              <w:rPr/>
              <w:tab/>
            </w:r>
            <w:r>
              <w:rPr>
                <w:spacing w:val="-5"/>
              </w:rPr>
              <w:t>74</w:t>
            </w:r>
          </w:hyperlink>
        </w:p>
        <w:p>
          <w:pPr>
            <w:pStyle w:val="TOC2"/>
            <w:tabs>
              <w:tab w:pos="7726" w:val="right" w:leader="none"/>
            </w:tabs>
            <w:spacing w:after="20"/>
          </w:pPr>
          <w:hyperlink w:history="true" w:anchor="_TOC_250006">
            <w:r>
              <w:rPr/>
              <w:t>Retirement</w:t>
            </w:r>
            <w:r>
              <w:rPr>
                <w:spacing w:val="-2"/>
              </w:rPr>
              <w:t> Benefits</w:t>
            </w:r>
            <w:r>
              <w:rPr/>
              <w:tab/>
            </w:r>
            <w:r>
              <w:rPr>
                <w:spacing w:val="-5"/>
              </w:rPr>
              <w:t>95</w:t>
            </w:r>
          </w:hyperlink>
        </w:p>
        <w:p>
          <w:pPr>
            <w:pStyle w:val="TOC2"/>
            <w:tabs>
              <w:tab w:pos="7726" w:val="right" w:leader="none"/>
            </w:tabs>
            <w:spacing w:before="76"/>
          </w:pPr>
          <w:hyperlink w:history="true" w:anchor="_TOC_250005">
            <w:r>
              <w:rPr/>
              <w:t>Conditions</w:t>
            </w:r>
            <w:r>
              <w:rPr>
                <w:spacing w:val="-1"/>
              </w:rPr>
              <w:t> </w:t>
            </w:r>
            <w:r>
              <w:rPr/>
              <w:t>of</w:t>
            </w:r>
            <w:r>
              <w:rPr>
                <w:spacing w:val="-1"/>
              </w:rPr>
              <w:t> </w:t>
            </w:r>
            <w:r>
              <w:rPr/>
              <w:t>Work</w:t>
            </w:r>
            <w:r>
              <w:rPr>
                <w:spacing w:val="-1"/>
              </w:rPr>
              <w:t> </w:t>
            </w:r>
            <w:r>
              <w:rPr/>
              <w:t>and </w:t>
            </w:r>
            <w:r>
              <w:rPr>
                <w:spacing w:val="-2"/>
              </w:rPr>
              <w:t>Service</w:t>
            </w:r>
            <w:r>
              <w:rPr/>
              <w:tab/>
            </w:r>
            <w:r>
              <w:rPr>
                <w:spacing w:val="-5"/>
              </w:rPr>
              <w:t>97</w:t>
            </w:r>
          </w:hyperlink>
        </w:p>
        <w:p>
          <w:pPr>
            <w:pStyle w:val="TOC2"/>
            <w:tabs>
              <w:tab w:pos="7848" w:val="right" w:leader="none"/>
            </w:tabs>
          </w:pPr>
          <w:hyperlink w:history="true" w:anchor="_TOC_250004">
            <w:r>
              <w:rPr>
                <w:spacing w:val="-2"/>
              </w:rPr>
              <w:t>Summary</w:t>
            </w:r>
            <w:r>
              <w:rPr/>
              <w:tab/>
            </w:r>
            <w:r>
              <w:rPr>
                <w:spacing w:val="-5"/>
              </w:rPr>
              <w:t>105</w:t>
            </w:r>
          </w:hyperlink>
        </w:p>
        <w:p>
          <w:pPr>
            <w:pStyle w:val="TOC1"/>
            <w:tabs>
              <w:tab w:pos="7488" w:val="left" w:leader="none"/>
            </w:tabs>
          </w:pPr>
          <w:hyperlink w:history="true" w:anchor="_TOC_250003">
            <w:r>
              <w:rPr/>
              <w:t>CHAPTER</w:t>
            </w:r>
            <w:r>
              <w:rPr>
                <w:spacing w:val="-5"/>
              </w:rPr>
              <w:t> </w:t>
            </w:r>
            <w:r>
              <w:rPr/>
              <w:t>IV:</w:t>
            </w:r>
            <w:r>
              <w:rPr>
                <w:spacing w:val="-5"/>
              </w:rPr>
              <w:t> </w:t>
            </w:r>
            <w:r>
              <w:rPr/>
              <w:t>TEACHER</w:t>
            </w:r>
            <w:r>
              <w:rPr>
                <w:spacing w:val="-4"/>
              </w:rPr>
              <w:t> </w:t>
            </w:r>
            <w:r>
              <w:rPr>
                <w:spacing w:val="-2"/>
              </w:rPr>
              <w:t>EDUCATION</w:t>
            </w:r>
            <w:r>
              <w:rPr/>
              <w:tab/>
              <w:t>113-</w:t>
            </w:r>
            <w:r>
              <w:rPr>
                <w:spacing w:val="-5"/>
              </w:rPr>
              <w:t>148</w:t>
            </w:r>
          </w:hyperlink>
        </w:p>
        <w:p>
          <w:pPr>
            <w:pStyle w:val="TOC2"/>
            <w:tabs>
              <w:tab w:pos="7847" w:val="right" w:leader="none"/>
            </w:tabs>
            <w:spacing w:before="277"/>
          </w:pPr>
          <w:hyperlink w:history="true" w:anchor="_TOC_250002">
            <w:r>
              <w:rPr>
                <w:spacing w:val="-2"/>
              </w:rPr>
              <w:t>General</w:t>
            </w:r>
            <w:r>
              <w:rPr/>
              <w:tab/>
            </w:r>
            <w:r>
              <w:rPr>
                <w:spacing w:val="-5"/>
              </w:rPr>
              <w:t>113</w:t>
            </w:r>
          </w:hyperlink>
        </w:p>
        <w:p>
          <w:pPr>
            <w:pStyle w:val="TOC2"/>
            <w:tabs>
              <w:tab w:pos="7847" w:val="right" w:leader="none"/>
            </w:tabs>
          </w:pPr>
          <w:r>
            <w:rPr/>
            <w:t>Removing</w:t>
          </w:r>
          <w:r>
            <w:rPr>
              <w:spacing w:val="-2"/>
            </w:rPr>
            <w:t> </w:t>
          </w:r>
          <w:r>
            <w:rPr/>
            <w:t>the</w:t>
          </w:r>
          <w:r>
            <w:rPr>
              <w:spacing w:val="-1"/>
            </w:rPr>
            <w:t> </w:t>
          </w:r>
          <w:r>
            <w:rPr/>
            <w:t>Isolation</w:t>
          </w:r>
          <w:r>
            <w:rPr>
              <w:spacing w:val="-1"/>
            </w:rPr>
            <w:t> </w:t>
          </w:r>
          <w:r>
            <w:rPr/>
            <w:t>of</w:t>
          </w:r>
          <w:r>
            <w:rPr>
              <w:spacing w:val="-1"/>
            </w:rPr>
            <w:t> </w:t>
          </w:r>
          <w:r>
            <w:rPr/>
            <w:t>Teacher</w:t>
          </w:r>
          <w:r>
            <w:rPr>
              <w:spacing w:val="-1"/>
            </w:rPr>
            <w:t> </w:t>
          </w:r>
          <w:r>
            <w:rPr>
              <w:spacing w:val="-2"/>
            </w:rPr>
            <w:t>Education</w:t>
          </w:r>
          <w:r>
            <w:rPr/>
            <w:tab/>
          </w:r>
          <w:r>
            <w:rPr>
              <w:spacing w:val="-5"/>
            </w:rPr>
            <w:t>114</w:t>
          </w:r>
        </w:p>
        <w:p>
          <w:pPr>
            <w:pStyle w:val="TOC2"/>
            <w:tabs>
              <w:tab w:pos="7847" w:val="right" w:leader="none"/>
            </w:tabs>
          </w:pPr>
          <w:r>
            <w:rPr/>
            <w:t>Improving</w:t>
          </w:r>
          <w:r>
            <w:rPr>
              <w:spacing w:val="-1"/>
            </w:rPr>
            <w:t> </w:t>
          </w:r>
          <w:r>
            <w:rPr/>
            <w:t>the</w:t>
          </w:r>
          <w:r>
            <w:rPr>
              <w:spacing w:val="-1"/>
            </w:rPr>
            <w:t> </w:t>
          </w:r>
          <w:r>
            <w:rPr/>
            <w:t>Quality</w:t>
          </w:r>
          <w:r>
            <w:rPr>
              <w:spacing w:val="-1"/>
            </w:rPr>
            <w:t> </w:t>
          </w:r>
          <w:r>
            <w:rPr/>
            <w:t>of</w:t>
          </w:r>
          <w:r>
            <w:rPr>
              <w:spacing w:val="-2"/>
            </w:rPr>
            <w:t> </w:t>
          </w:r>
          <w:r>
            <w:rPr/>
            <w:t>Teacher </w:t>
          </w:r>
          <w:r>
            <w:rPr>
              <w:spacing w:val="-2"/>
            </w:rPr>
            <w:t>Education</w:t>
          </w:r>
          <w:r>
            <w:rPr/>
            <w:tab/>
          </w:r>
          <w:r>
            <w:rPr>
              <w:spacing w:val="-5"/>
            </w:rPr>
            <w:t>119</w:t>
          </w:r>
        </w:p>
        <w:p>
          <w:pPr>
            <w:pStyle w:val="TOC2"/>
            <w:tabs>
              <w:tab w:pos="7847" w:val="right" w:leader="none"/>
            </w:tabs>
          </w:pPr>
          <w:r>
            <w:rPr/>
            <w:t>Improving</w:t>
          </w:r>
          <w:r>
            <w:rPr>
              <w:spacing w:val="-1"/>
            </w:rPr>
            <w:t> </w:t>
          </w:r>
          <w:r>
            <w:rPr/>
            <w:t>the</w:t>
          </w:r>
          <w:r>
            <w:rPr>
              <w:spacing w:val="-1"/>
            </w:rPr>
            <w:t> </w:t>
          </w:r>
          <w:r>
            <w:rPr/>
            <w:t>Quality</w:t>
          </w:r>
          <w:r>
            <w:rPr>
              <w:spacing w:val="-1"/>
            </w:rPr>
            <w:t> </w:t>
          </w:r>
          <w:r>
            <w:rPr/>
            <w:t>of</w:t>
          </w:r>
          <w:r>
            <w:rPr>
              <w:spacing w:val="-2"/>
            </w:rPr>
            <w:t> </w:t>
          </w:r>
          <w:r>
            <w:rPr/>
            <w:t>Training </w:t>
          </w:r>
          <w:r>
            <w:rPr>
              <w:spacing w:val="-2"/>
            </w:rPr>
            <w:t>Institutions</w:t>
          </w:r>
          <w:r>
            <w:rPr/>
            <w:tab/>
          </w:r>
          <w:r>
            <w:rPr>
              <w:spacing w:val="-5"/>
            </w:rPr>
            <w:t>127</w:t>
          </w:r>
        </w:p>
        <w:p>
          <w:pPr>
            <w:pStyle w:val="TOC2"/>
            <w:tabs>
              <w:tab w:pos="7847" w:val="right" w:leader="none"/>
            </w:tabs>
          </w:pPr>
          <w:r>
            <w:rPr/>
            <w:t>Continuing</w:t>
          </w:r>
          <w:r>
            <w:rPr>
              <w:spacing w:val="-4"/>
            </w:rPr>
            <w:t> </w:t>
          </w:r>
          <w:r>
            <w:rPr/>
            <w:t>Professional</w:t>
          </w:r>
          <w:r>
            <w:rPr>
              <w:spacing w:val="-1"/>
            </w:rPr>
            <w:t> </w:t>
          </w:r>
          <w:r>
            <w:rPr/>
            <w:t>Education</w:t>
          </w:r>
          <w:r>
            <w:rPr>
              <w:spacing w:val="-2"/>
            </w:rPr>
            <w:t> </w:t>
          </w:r>
          <w:r>
            <w:rPr/>
            <w:t>of</w:t>
          </w:r>
          <w:r>
            <w:rPr>
              <w:spacing w:val="-1"/>
            </w:rPr>
            <w:t> </w:t>
          </w:r>
          <w:r>
            <w:rPr>
              <w:spacing w:val="-2"/>
            </w:rPr>
            <w:t>Teachers</w:t>
          </w:r>
          <w:r>
            <w:rPr/>
            <w:tab/>
          </w:r>
          <w:r>
            <w:rPr>
              <w:spacing w:val="-5"/>
            </w:rPr>
            <w:t>138</w:t>
          </w:r>
        </w:p>
        <w:p>
          <w:pPr>
            <w:pStyle w:val="TOC2"/>
            <w:tabs>
              <w:tab w:pos="7848" w:val="right" w:leader="none"/>
            </w:tabs>
          </w:pPr>
          <w:r>
            <w:rPr/>
            <w:t>Maintenance</w:t>
          </w:r>
          <w:r>
            <w:rPr>
              <w:spacing w:val="-1"/>
            </w:rPr>
            <w:t> </w:t>
          </w:r>
          <w:r>
            <w:rPr/>
            <w:t>of</w:t>
          </w:r>
          <w:r>
            <w:rPr>
              <w:spacing w:val="-1"/>
            </w:rPr>
            <w:t> </w:t>
          </w:r>
          <w:r>
            <w:rPr/>
            <w:t>Standards</w:t>
          </w:r>
          <w:r>
            <w:rPr>
              <w:spacing w:val="-1"/>
            </w:rPr>
            <w:t> </w:t>
          </w:r>
          <w:r>
            <w:rPr/>
            <w:t>in</w:t>
          </w:r>
          <w:r>
            <w:rPr>
              <w:spacing w:val="-1"/>
            </w:rPr>
            <w:t> </w:t>
          </w:r>
          <w:r>
            <w:rPr/>
            <w:t>Teacher</w:t>
          </w:r>
          <w:r>
            <w:rPr>
              <w:spacing w:val="-1"/>
            </w:rPr>
            <w:t> </w:t>
          </w:r>
          <w:r>
            <w:rPr>
              <w:spacing w:val="-2"/>
            </w:rPr>
            <w:t>Education</w:t>
          </w:r>
          <w:r>
            <w:rPr/>
            <w:tab/>
          </w:r>
          <w:r>
            <w:rPr>
              <w:spacing w:val="-5"/>
            </w:rPr>
            <w:t>142</w:t>
          </w:r>
        </w:p>
        <w:p>
          <w:pPr>
            <w:pStyle w:val="TOC2"/>
            <w:tabs>
              <w:tab w:pos="7848" w:val="right" w:leader="none"/>
            </w:tabs>
          </w:pPr>
          <w:hyperlink w:history="true" w:anchor="_TOC_250001">
            <w:r>
              <w:rPr>
                <w:spacing w:val="-2"/>
              </w:rPr>
              <w:t>Summary</w:t>
            </w:r>
            <w:r>
              <w:rPr/>
              <w:tab/>
            </w:r>
            <w:r>
              <w:rPr>
                <w:spacing w:val="-5"/>
              </w:rPr>
              <w:t>144</w:t>
            </w:r>
          </w:hyperlink>
        </w:p>
        <w:p>
          <w:pPr>
            <w:pStyle w:val="TOC1"/>
            <w:tabs>
              <w:tab w:pos="7489" w:val="left" w:leader="none"/>
            </w:tabs>
          </w:pPr>
          <w:r>
            <w:rPr/>
            <w:t>CHAPTER</w:t>
          </w:r>
          <w:r>
            <w:rPr>
              <w:spacing w:val="-7"/>
            </w:rPr>
            <w:t> </w:t>
          </w:r>
          <w:r>
            <w:rPr/>
            <w:t>V:</w:t>
          </w:r>
          <w:r>
            <w:rPr>
              <w:spacing w:val="-4"/>
            </w:rPr>
            <w:t> </w:t>
          </w:r>
          <w:r>
            <w:rPr/>
            <w:t>ENROLMENT</w:t>
          </w:r>
          <w:r>
            <w:rPr>
              <w:spacing w:val="-4"/>
            </w:rPr>
            <w:t> </w:t>
          </w:r>
          <w:r>
            <w:rPr/>
            <w:t>AND</w:t>
          </w:r>
          <w:r>
            <w:rPr>
              <w:spacing w:val="-4"/>
            </w:rPr>
            <w:t> </w:t>
          </w:r>
          <w:r>
            <w:rPr>
              <w:spacing w:val="-2"/>
            </w:rPr>
            <w:t>MANPOWER</w:t>
          </w:r>
          <w:r>
            <w:rPr/>
            <w:tab/>
            <w:t>149-</w:t>
          </w:r>
          <w:r>
            <w:rPr>
              <w:spacing w:val="-5"/>
            </w:rPr>
            <w:t>180</w:t>
          </w:r>
        </w:p>
        <w:p>
          <w:pPr>
            <w:pStyle w:val="TOC2"/>
            <w:tabs>
              <w:tab w:pos="7846" w:val="right" w:leader="none"/>
            </w:tabs>
            <w:spacing w:before="276"/>
          </w:pPr>
          <w:r>
            <w:rPr/>
            <w:t>A</w:t>
          </w:r>
          <w:r>
            <w:rPr>
              <w:spacing w:val="-1"/>
            </w:rPr>
            <w:t> </w:t>
          </w:r>
          <w:r>
            <w:rPr/>
            <w:t>National</w:t>
          </w:r>
          <w:r>
            <w:rPr>
              <w:spacing w:val="-1"/>
            </w:rPr>
            <w:t> </w:t>
          </w:r>
          <w:r>
            <w:rPr/>
            <w:t>Enrolment </w:t>
          </w:r>
          <w:r>
            <w:rPr>
              <w:spacing w:val="-2"/>
            </w:rPr>
            <w:t>Policy</w:t>
          </w:r>
          <w:r>
            <w:rPr/>
            <w:tab/>
          </w:r>
          <w:r>
            <w:rPr>
              <w:spacing w:val="-5"/>
            </w:rPr>
            <w:t>149</w:t>
          </w:r>
        </w:p>
        <w:p>
          <w:pPr>
            <w:pStyle w:val="TOC2"/>
            <w:tabs>
              <w:tab w:pos="7849" w:val="right" w:leader="none"/>
            </w:tabs>
          </w:pPr>
          <w:r>
            <w:rPr/>
            <w:t>Enrolment</w:t>
          </w:r>
          <w:r>
            <w:rPr>
              <w:spacing w:val="-1"/>
            </w:rPr>
            <w:t> </w:t>
          </w:r>
          <w:r>
            <w:rPr/>
            <w:t>Policies at Different</w:t>
          </w:r>
          <w:r>
            <w:rPr>
              <w:spacing w:val="-1"/>
            </w:rPr>
            <w:t> </w:t>
          </w:r>
          <w:r>
            <w:rPr/>
            <w:t>Stages of </w:t>
          </w:r>
          <w:r>
            <w:rPr>
              <w:spacing w:val="-2"/>
            </w:rPr>
            <w:t>Education</w:t>
          </w:r>
          <w:r>
            <w:rPr/>
            <w:tab/>
          </w:r>
          <w:r>
            <w:rPr>
              <w:spacing w:val="-5"/>
            </w:rPr>
            <w:t>150</w:t>
          </w:r>
        </w:p>
        <w:p>
          <w:pPr>
            <w:pStyle w:val="TOC2"/>
            <w:tabs>
              <w:tab w:pos="7847" w:val="right" w:leader="none"/>
            </w:tabs>
          </w:pPr>
          <w:r>
            <w:rPr/>
            <w:t>A</w:t>
          </w:r>
          <w:r>
            <w:rPr>
              <w:spacing w:val="-1"/>
            </w:rPr>
            <w:t> </w:t>
          </w:r>
          <w:r>
            <w:rPr/>
            <w:t>Forecast of</w:t>
          </w:r>
          <w:r>
            <w:rPr>
              <w:spacing w:val="-2"/>
            </w:rPr>
            <w:t> </w:t>
          </w:r>
          <w:r>
            <w:rPr/>
            <w:t>Manpower </w:t>
          </w:r>
          <w:r>
            <w:rPr>
              <w:spacing w:val="-2"/>
            </w:rPr>
            <w:t>Needs</w:t>
          </w:r>
          <w:r>
            <w:rPr/>
            <w:tab/>
          </w:r>
          <w:r>
            <w:rPr>
              <w:spacing w:val="-5"/>
            </w:rPr>
            <w:t>153</w:t>
          </w:r>
        </w:p>
        <w:p>
          <w:pPr>
            <w:pStyle w:val="TOC2"/>
            <w:tabs>
              <w:tab w:pos="7847" w:val="right" w:leader="none"/>
            </w:tabs>
          </w:pPr>
          <w:r>
            <w:rPr/>
            <w:t>Educational</w:t>
          </w:r>
          <w:r>
            <w:rPr>
              <w:spacing w:val="-2"/>
            </w:rPr>
            <w:t> </w:t>
          </w:r>
          <w:r>
            <w:rPr/>
            <w:t>Implications</w:t>
          </w:r>
          <w:r>
            <w:rPr>
              <w:spacing w:val="-1"/>
            </w:rPr>
            <w:t> </w:t>
          </w:r>
          <w:r>
            <w:rPr/>
            <w:t>of</w:t>
          </w:r>
          <w:r>
            <w:rPr>
              <w:spacing w:val="-3"/>
            </w:rPr>
            <w:t> </w:t>
          </w:r>
          <w:r>
            <w:rPr/>
            <w:t>the </w:t>
          </w:r>
          <w:r>
            <w:rPr>
              <w:spacing w:val="-2"/>
            </w:rPr>
            <w:t>Estimates</w:t>
          </w:r>
          <w:r>
            <w:rPr/>
            <w:tab/>
          </w:r>
          <w:r>
            <w:rPr>
              <w:spacing w:val="-5"/>
            </w:rPr>
            <w:t>160</w:t>
          </w:r>
        </w:p>
        <w:p>
          <w:pPr>
            <w:pStyle w:val="TOC2"/>
            <w:tabs>
              <w:tab w:pos="7846" w:val="right" w:leader="none"/>
            </w:tabs>
          </w:pPr>
          <w:r>
            <w:rPr/>
            <w:t>Relating</w:t>
          </w:r>
          <w:r>
            <w:rPr>
              <w:spacing w:val="-1"/>
            </w:rPr>
            <w:t> </w:t>
          </w:r>
          <w:r>
            <w:rPr/>
            <w:t>Manpower Estimates</w:t>
          </w:r>
          <w:r>
            <w:rPr>
              <w:spacing w:val="-1"/>
            </w:rPr>
            <w:t> </w:t>
          </w:r>
          <w:r>
            <w:rPr/>
            <w:t>to </w:t>
          </w:r>
          <w:r>
            <w:rPr>
              <w:spacing w:val="-2"/>
            </w:rPr>
            <w:t>Enrolments</w:t>
          </w:r>
          <w:r>
            <w:rPr/>
            <w:tab/>
          </w:r>
          <w:r>
            <w:rPr>
              <w:spacing w:val="-5"/>
            </w:rPr>
            <w:t>169</w:t>
          </w:r>
        </w:p>
        <w:p>
          <w:pPr>
            <w:pStyle w:val="TOC2"/>
            <w:tabs>
              <w:tab w:pos="7847" w:val="right" w:leader="none"/>
            </w:tabs>
          </w:pPr>
          <w:r>
            <w:rPr>
              <w:spacing w:val="-2"/>
            </w:rPr>
            <w:t>General</w:t>
          </w:r>
          <w:r>
            <w:rPr/>
            <w:tab/>
          </w:r>
          <w:r>
            <w:rPr>
              <w:spacing w:val="-5"/>
            </w:rPr>
            <w:t>174</w:t>
          </w:r>
        </w:p>
        <w:p>
          <w:pPr>
            <w:pStyle w:val="TOC2"/>
            <w:tabs>
              <w:tab w:pos="7848" w:val="right" w:leader="none"/>
            </w:tabs>
          </w:pPr>
          <w:hyperlink w:history="true" w:anchor="_TOC_250000">
            <w:r>
              <w:rPr>
                <w:spacing w:val="-2"/>
              </w:rPr>
              <w:t>Summary</w:t>
            </w:r>
            <w:r>
              <w:rPr/>
              <w:tab/>
            </w:r>
            <w:r>
              <w:rPr>
                <w:spacing w:val="-5"/>
              </w:rPr>
              <w:t>176</w:t>
            </w:r>
          </w:hyperlink>
        </w:p>
        <w:p>
          <w:pPr>
            <w:pStyle w:val="TOC1"/>
          </w:pPr>
          <w:r>
            <w:rPr/>
            <w:t>CHAPTER</w:t>
          </w:r>
          <w:r>
            <w:rPr>
              <w:spacing w:val="-6"/>
            </w:rPr>
            <w:t> </w:t>
          </w:r>
          <w:r>
            <w:rPr/>
            <w:t>VI:</w:t>
          </w:r>
          <w:r>
            <w:rPr>
              <w:spacing w:val="-6"/>
            </w:rPr>
            <w:t> </w:t>
          </w:r>
          <w:r>
            <w:rPr/>
            <w:t>TOWARDS</w:t>
          </w:r>
          <w:r>
            <w:rPr>
              <w:spacing w:val="-7"/>
            </w:rPr>
            <w:t> </w:t>
          </w:r>
          <w:r>
            <w:rPr/>
            <w:t>EQUALIZATION</w:t>
          </w:r>
          <w:r>
            <w:rPr>
              <w:spacing w:val="-5"/>
            </w:rPr>
            <w:t> </w:t>
          </w:r>
          <w:r>
            <w:rPr>
              <w:spacing w:val="-7"/>
            </w:rPr>
            <w:t>OF</w:t>
          </w:r>
        </w:p>
        <w:p>
          <w:pPr>
            <w:pStyle w:val="TOC1"/>
            <w:tabs>
              <w:tab w:pos="7488" w:val="left" w:leader="none"/>
            </w:tabs>
            <w:spacing w:before="0"/>
          </w:pPr>
          <w:r>
            <w:rPr/>
            <w:t>EDUCATIONAL </w:t>
          </w:r>
          <w:r>
            <w:rPr>
              <w:spacing w:val="-2"/>
            </w:rPr>
            <w:t>OPPORTUNITY</w:t>
          </w:r>
          <w:r>
            <w:rPr/>
            <w:tab/>
            <w:t>181-</w:t>
          </w:r>
          <w:r>
            <w:rPr>
              <w:spacing w:val="-5"/>
            </w:rPr>
            <w:t>239</w:t>
          </w:r>
        </w:p>
        <w:p>
          <w:pPr>
            <w:pStyle w:val="TOC2"/>
            <w:tabs>
              <w:tab w:pos="7848" w:val="right" w:leader="none"/>
            </w:tabs>
            <w:spacing w:before="275"/>
          </w:pPr>
          <w:r>
            <w:rPr/>
            <w:t>Tuition</w:t>
          </w:r>
          <w:r>
            <w:rPr>
              <w:spacing w:val="-1"/>
            </w:rPr>
            <w:t> </w:t>
          </w:r>
          <w:r>
            <w:rPr/>
            <w:t>Fees and</w:t>
          </w:r>
          <w:r>
            <w:rPr>
              <w:spacing w:val="-1"/>
            </w:rPr>
            <w:t> </w:t>
          </w:r>
          <w:r>
            <w:rPr/>
            <w:t>Other Private </w:t>
          </w:r>
          <w:r>
            <w:rPr>
              <w:spacing w:val="-2"/>
            </w:rPr>
            <w:t>Costs</w:t>
          </w:r>
          <w:r>
            <w:rPr/>
            <w:tab/>
          </w:r>
          <w:r>
            <w:rPr>
              <w:spacing w:val="-5"/>
            </w:rPr>
            <w:t>182</w:t>
          </w:r>
        </w:p>
        <w:p>
          <w:pPr>
            <w:pStyle w:val="TOC2"/>
            <w:tabs>
              <w:tab w:pos="7848" w:val="right" w:leader="none"/>
            </w:tabs>
          </w:pPr>
          <w:r>
            <w:rPr>
              <w:spacing w:val="-2"/>
            </w:rPr>
            <w:t>Scholarships</w:t>
          </w:r>
          <w:r>
            <w:rPr/>
            <w:tab/>
          </w:r>
          <w:r>
            <w:rPr>
              <w:spacing w:val="-5"/>
            </w:rPr>
            <w:t>190</w:t>
          </w:r>
        </w:p>
        <w:p>
          <w:pPr>
            <w:pStyle w:val="TOC2"/>
            <w:tabs>
              <w:tab w:pos="7847" w:val="right" w:leader="none"/>
            </w:tabs>
          </w:pPr>
          <w:r>
            <w:rPr/>
            <w:t>Handicapped</w:t>
          </w:r>
          <w:r>
            <w:rPr>
              <w:spacing w:val="-3"/>
            </w:rPr>
            <w:t> </w:t>
          </w:r>
          <w:r>
            <w:rPr>
              <w:spacing w:val="-2"/>
            </w:rPr>
            <w:t>Children</w:t>
          </w:r>
          <w:r>
            <w:rPr/>
            <w:tab/>
          </w:r>
          <w:r>
            <w:rPr>
              <w:spacing w:val="-5"/>
            </w:rPr>
            <w:t>204</w:t>
          </w:r>
        </w:p>
        <w:p>
          <w:pPr>
            <w:pStyle w:val="TOC2"/>
            <w:tabs>
              <w:tab w:pos="7846" w:val="right" w:leader="none"/>
            </w:tabs>
          </w:pPr>
          <w:r>
            <w:rPr/>
            <w:t>Regional </w:t>
          </w:r>
          <w:r>
            <w:rPr>
              <w:spacing w:val="-2"/>
            </w:rPr>
            <w:t>Imbalances</w:t>
          </w:r>
          <w:r>
            <w:rPr/>
            <w:tab/>
          </w:r>
          <w:r>
            <w:rPr>
              <w:spacing w:val="-5"/>
            </w:rPr>
            <w:t>208</w:t>
          </w:r>
        </w:p>
        <w:p>
          <w:pPr>
            <w:pStyle w:val="TOC2"/>
            <w:tabs>
              <w:tab w:pos="7848" w:val="right" w:leader="none"/>
            </w:tabs>
          </w:pPr>
          <w:r>
            <w:rPr/>
            <w:t>Education of </w:t>
          </w:r>
          <w:r>
            <w:rPr>
              <w:spacing w:val="-2"/>
            </w:rPr>
            <w:t>Girls</w:t>
          </w:r>
          <w:r>
            <w:rPr/>
            <w:tab/>
          </w:r>
          <w:r>
            <w:rPr>
              <w:spacing w:val="-5"/>
            </w:rPr>
            <w:t>221</w:t>
          </w:r>
        </w:p>
        <w:p>
          <w:pPr>
            <w:pStyle w:val="TOC2"/>
            <w:tabs>
              <w:tab w:pos="7847" w:val="right" w:leader="none"/>
            </w:tabs>
          </w:pPr>
          <w:r>
            <w:rPr/>
            <w:t>Education of Scheduled </w:t>
          </w:r>
          <w:r>
            <w:rPr>
              <w:spacing w:val="-2"/>
            </w:rPr>
            <w:t>Tribes</w:t>
          </w:r>
          <w:r>
            <w:rPr/>
            <w:tab/>
          </w:r>
          <w:r>
            <w:rPr>
              <w:spacing w:val="-5"/>
            </w:rPr>
            <w:t>225</w:t>
          </w:r>
        </w:p>
        <w:p>
          <w:pPr>
            <w:pStyle w:val="TOC2"/>
            <w:tabs>
              <w:tab w:pos="7848" w:val="right" w:leader="none"/>
            </w:tabs>
          </w:pPr>
          <w:r>
            <w:rPr>
              <w:spacing w:val="-2"/>
            </w:rPr>
            <w:t>Summary</w:t>
          </w:r>
          <w:r>
            <w:rPr/>
            <w:tab/>
          </w:r>
          <w:r>
            <w:rPr>
              <w:spacing w:val="-5"/>
            </w:rPr>
            <w:t>232</w:t>
          </w:r>
        </w:p>
        <w:p>
          <w:pPr>
            <w:pStyle w:val="TOC1"/>
          </w:pPr>
          <w:r>
            <w:rPr/>
            <w:t>A</w:t>
          </w:r>
          <w:r>
            <w:rPr>
              <w:spacing w:val="-1"/>
            </w:rPr>
            <w:t> </w:t>
          </w:r>
          <w:r>
            <w:rPr/>
            <w:t>P</w:t>
          </w:r>
          <w:r>
            <w:rPr>
              <w:spacing w:val="-1"/>
            </w:rPr>
            <w:t> </w:t>
          </w:r>
          <w:r>
            <w:rPr/>
            <w:t>P</w:t>
          </w:r>
          <w:r>
            <w:rPr>
              <w:spacing w:val="-1"/>
            </w:rPr>
            <w:t> </w:t>
          </w:r>
          <w:r>
            <w:rPr/>
            <w:t>E</w:t>
          </w:r>
          <w:r>
            <w:rPr>
              <w:spacing w:val="-1"/>
            </w:rPr>
            <w:t> </w:t>
          </w:r>
          <w:r>
            <w:rPr/>
            <w:t>N</w:t>
          </w:r>
          <w:r>
            <w:rPr>
              <w:spacing w:val="-1"/>
            </w:rPr>
            <w:t> </w:t>
          </w:r>
          <w:r>
            <w:rPr/>
            <w:t>D</w:t>
          </w:r>
          <w:r>
            <w:rPr>
              <w:spacing w:val="-1"/>
            </w:rPr>
            <w:t> </w:t>
          </w:r>
          <w:r>
            <w:rPr/>
            <w:t>I</w:t>
          </w:r>
          <w:r>
            <w:rPr>
              <w:spacing w:val="-1"/>
            </w:rPr>
            <w:t> </w:t>
          </w:r>
          <w:r>
            <w:rPr/>
            <w:t>C</w:t>
          </w:r>
          <w:r>
            <w:rPr>
              <w:spacing w:val="-1"/>
            </w:rPr>
            <w:t> </w:t>
          </w:r>
          <w:r>
            <w:rPr/>
            <w:t>E</w:t>
          </w:r>
          <w:r>
            <w:rPr>
              <w:spacing w:val="-1"/>
            </w:rPr>
            <w:t> </w:t>
          </w:r>
          <w:r>
            <w:rPr>
              <w:spacing w:val="-10"/>
            </w:rPr>
            <w:t>S</w:t>
          </w:r>
        </w:p>
        <w:p>
          <w:pPr>
            <w:pStyle w:val="TOC2"/>
            <w:numPr>
              <w:ilvl w:val="0"/>
              <w:numId w:val="5"/>
            </w:numPr>
            <w:tabs>
              <w:tab w:pos="479" w:val="left" w:leader="none"/>
            </w:tabs>
            <w:spacing w:line="240" w:lineRule="auto" w:before="276" w:after="0"/>
            <w:ind w:left="479" w:right="0" w:hanging="319"/>
            <w:jc w:val="left"/>
          </w:pPr>
          <w:r>
            <w:rPr/>
            <w:t>An Explanatory Note on </w:t>
          </w:r>
          <w:r>
            <w:rPr>
              <w:spacing w:val="-2"/>
            </w:rPr>
            <w:t>Enrolment</w:t>
          </w:r>
        </w:p>
        <w:p>
          <w:pPr>
            <w:pStyle w:val="TOC2"/>
            <w:tabs>
              <w:tab w:pos="7848" w:val="right" w:leader="none"/>
            </w:tabs>
          </w:pPr>
          <w:r>
            <w:rPr/>
            <w:t>Statistics</w:t>
          </w:r>
          <w:r>
            <w:rPr>
              <w:spacing w:val="-1"/>
            </w:rPr>
            <w:t> </w:t>
          </w:r>
          <w:r>
            <w:rPr/>
            <w:t>included</w:t>
          </w:r>
          <w:r>
            <w:rPr>
              <w:spacing w:val="-1"/>
            </w:rPr>
            <w:t> </w:t>
          </w:r>
          <w:r>
            <w:rPr/>
            <w:t>in</w:t>
          </w:r>
          <w:r>
            <w:rPr>
              <w:spacing w:val="-1"/>
            </w:rPr>
            <w:t> </w:t>
          </w:r>
          <w:r>
            <w:rPr/>
            <w:t>the</w:t>
          </w:r>
          <w:r>
            <w:rPr>
              <w:spacing w:val="-1"/>
            </w:rPr>
            <w:t> </w:t>
          </w:r>
          <w:r>
            <w:rPr>
              <w:spacing w:val="-2"/>
            </w:rPr>
            <w:t>Report</w:t>
          </w:r>
          <w:r>
            <w:rPr/>
            <w:tab/>
          </w:r>
          <w:r>
            <w:rPr>
              <w:spacing w:val="-5"/>
            </w:rPr>
            <w:t>240</w:t>
          </w:r>
        </w:p>
        <w:p>
          <w:pPr>
            <w:pStyle w:val="TOC2"/>
            <w:numPr>
              <w:ilvl w:val="0"/>
              <w:numId w:val="5"/>
            </w:numPr>
            <w:tabs>
              <w:tab w:pos="439" w:val="left" w:leader="none"/>
            </w:tabs>
            <w:spacing w:line="240" w:lineRule="auto" w:before="276" w:after="0"/>
            <w:ind w:left="439" w:right="0" w:hanging="279"/>
            <w:jc w:val="left"/>
          </w:pPr>
          <w:r>
            <w:rPr/>
            <w:t>Resolution</w:t>
          </w:r>
          <w:r>
            <w:rPr>
              <w:spacing w:val="-1"/>
            </w:rPr>
            <w:t> </w:t>
          </w:r>
          <w:r>
            <w:rPr/>
            <w:t>of the Government</w:t>
          </w:r>
          <w:r>
            <w:rPr>
              <w:spacing w:val="-1"/>
            </w:rPr>
            <w:t> </w:t>
          </w:r>
          <w:r>
            <w:rPr/>
            <w:t>of</w:t>
          </w:r>
          <w:r>
            <w:rPr>
              <w:spacing w:val="-2"/>
            </w:rPr>
            <w:t> </w:t>
          </w:r>
          <w:r>
            <w:rPr/>
            <w:t>India</w:t>
          </w:r>
          <w:r>
            <w:rPr>
              <w:spacing w:val="-1"/>
            </w:rPr>
            <w:t> </w:t>
          </w:r>
          <w:r>
            <w:rPr/>
            <w:t>setting</w:t>
          </w:r>
          <w:r>
            <w:rPr>
              <w:spacing w:val="-1"/>
            </w:rPr>
            <w:t> </w:t>
          </w:r>
          <w:r>
            <w:rPr/>
            <w:t>up</w:t>
          </w:r>
          <w:r>
            <w:rPr>
              <w:spacing w:val="-1"/>
            </w:rPr>
            <w:t> </w:t>
          </w:r>
          <w:r>
            <w:rPr>
              <w:spacing w:val="-5"/>
            </w:rPr>
            <w:t>the</w:t>
          </w:r>
        </w:p>
        <w:p>
          <w:pPr>
            <w:pStyle w:val="TOC2"/>
            <w:tabs>
              <w:tab w:pos="7897" w:val="right" w:leader="none"/>
            </w:tabs>
          </w:pPr>
          <w:r>
            <w:rPr/>
            <w:t>Education</w:t>
          </w:r>
          <w:r>
            <w:rPr>
              <w:spacing w:val="59"/>
            </w:rPr>
            <w:t> </w:t>
          </w:r>
          <w:r>
            <w:rPr>
              <w:spacing w:val="-2"/>
            </w:rPr>
            <w:t>Commission</w:t>
          </w:r>
          <w:r>
            <w:rPr/>
            <w:tab/>
          </w:r>
          <w:r>
            <w:rPr>
              <w:spacing w:val="-5"/>
            </w:rPr>
            <w:t>258</w:t>
          </w:r>
        </w:p>
        <w:p>
          <w:pPr>
            <w:pStyle w:val="TOC2"/>
            <w:numPr>
              <w:ilvl w:val="0"/>
              <w:numId w:val="5"/>
            </w:numPr>
            <w:tabs>
              <w:tab w:pos="519" w:val="left" w:leader="none"/>
              <w:tab w:pos="7908" w:val="right" w:leader="none"/>
            </w:tabs>
            <w:spacing w:line="240" w:lineRule="auto" w:before="276" w:after="0"/>
            <w:ind w:left="519" w:right="0" w:hanging="359"/>
            <w:jc w:val="left"/>
          </w:pPr>
          <w:r>
            <w:rPr/>
            <w:t>Consultants</w:t>
          </w:r>
          <w:r>
            <w:rPr>
              <w:spacing w:val="-1"/>
            </w:rPr>
            <w:t> </w:t>
          </w:r>
          <w:r>
            <w:rPr/>
            <w:t>to</w:t>
          </w:r>
          <w:r>
            <w:rPr>
              <w:spacing w:val="-1"/>
            </w:rPr>
            <w:t> </w:t>
          </w:r>
          <w:r>
            <w:rPr/>
            <w:t>the</w:t>
          </w:r>
          <w:r>
            <w:rPr>
              <w:spacing w:val="-1"/>
            </w:rPr>
            <w:t> </w:t>
          </w:r>
          <w:r>
            <w:rPr/>
            <w:t>Education</w:t>
          </w:r>
          <w:r>
            <w:rPr>
              <w:spacing w:val="-1"/>
            </w:rPr>
            <w:t> </w:t>
          </w:r>
          <w:r>
            <w:rPr>
              <w:spacing w:val="-2"/>
            </w:rPr>
            <w:t>Commission.</w:t>
          </w:r>
          <w:r>
            <w:rPr/>
            <w:tab/>
          </w:r>
          <w:r>
            <w:rPr>
              <w:spacing w:val="-5"/>
            </w:rPr>
            <w:t>262</w:t>
          </w:r>
        </w:p>
        <w:p>
          <w:pPr>
            <w:pStyle w:val="TOC2"/>
            <w:numPr>
              <w:ilvl w:val="0"/>
              <w:numId w:val="5"/>
            </w:numPr>
            <w:tabs>
              <w:tab w:pos="533" w:val="left" w:leader="none"/>
              <w:tab w:pos="7907" w:val="right" w:leader="none"/>
            </w:tabs>
            <w:spacing w:line="240" w:lineRule="auto" w:before="276" w:after="0"/>
            <w:ind w:left="533" w:right="0" w:hanging="373"/>
            <w:jc w:val="left"/>
          </w:pPr>
          <w:r>
            <w:rPr/>
            <w:t>Task</w:t>
          </w:r>
          <w:r>
            <w:rPr>
              <w:spacing w:val="-1"/>
            </w:rPr>
            <w:t> </w:t>
          </w:r>
          <w:r>
            <w:rPr/>
            <w:t>Forces</w:t>
          </w:r>
          <w:r>
            <w:rPr>
              <w:spacing w:val="-1"/>
            </w:rPr>
            <w:t> </w:t>
          </w:r>
          <w:r>
            <w:rPr/>
            <w:t>and</w:t>
          </w:r>
          <w:r>
            <w:rPr>
              <w:spacing w:val="-1"/>
            </w:rPr>
            <w:t> </w:t>
          </w:r>
          <w:r>
            <w:rPr/>
            <w:t>Working </w:t>
          </w:r>
          <w:r>
            <w:rPr>
              <w:spacing w:val="-2"/>
            </w:rPr>
            <w:t>Groups</w:t>
          </w:r>
          <w:r>
            <w:rPr/>
            <w:tab/>
          </w:r>
          <w:r>
            <w:rPr>
              <w:spacing w:val="-5"/>
            </w:rPr>
            <w:t>264</w:t>
          </w:r>
        </w:p>
      </w:sdtContent>
    </w:sdt>
    <w:p>
      <w:pPr>
        <w:spacing w:after="0" w:line="240" w:lineRule="auto"/>
        <w:jc w:val="left"/>
        <w:sectPr>
          <w:type w:val="continuous"/>
          <w:pgSz w:w="12240" w:h="15840"/>
          <w:pgMar w:header="0" w:footer="743" w:top="1360" w:bottom="1688" w:left="1640" w:right="1300"/>
        </w:sectPr>
      </w:pPr>
    </w:p>
    <w:p>
      <w:pPr>
        <w:pStyle w:val="BodyText"/>
        <w:spacing w:before="76"/>
        <w:ind w:left="160"/>
      </w:pPr>
      <w:r>
        <w:rPr>
          <w:spacing w:val="-2"/>
        </w:rPr>
        <w:t>TABLES</w:t>
      </w:r>
    </w:p>
    <w:p>
      <w:pPr>
        <w:pStyle w:val="BodyText"/>
      </w:pPr>
    </w:p>
    <w:p>
      <w:pPr>
        <w:pStyle w:val="ListParagraph"/>
        <w:numPr>
          <w:ilvl w:val="1"/>
          <w:numId w:val="6"/>
        </w:numPr>
        <w:tabs>
          <w:tab w:pos="579" w:val="left" w:leader="none"/>
        </w:tabs>
        <w:spacing w:line="240" w:lineRule="auto" w:before="0" w:after="0"/>
        <w:ind w:left="579" w:right="0" w:hanging="419"/>
        <w:jc w:val="left"/>
        <w:rPr>
          <w:sz w:val="24"/>
        </w:rPr>
      </w:pPr>
      <w:r>
        <w:rPr>
          <w:sz w:val="24"/>
        </w:rPr>
        <w:t>Pattern</w:t>
      </w:r>
      <w:r>
        <w:rPr>
          <w:spacing w:val="-1"/>
          <w:sz w:val="24"/>
        </w:rPr>
        <w:t> </w:t>
      </w:r>
      <w:r>
        <w:rPr>
          <w:sz w:val="24"/>
        </w:rPr>
        <w:t>of</w:t>
      </w:r>
      <w:r>
        <w:rPr>
          <w:spacing w:val="-1"/>
          <w:sz w:val="24"/>
        </w:rPr>
        <w:t> </w:t>
      </w:r>
      <w:r>
        <w:rPr>
          <w:sz w:val="24"/>
        </w:rPr>
        <w:t>School</w:t>
      </w:r>
      <w:r>
        <w:rPr>
          <w:spacing w:val="-1"/>
          <w:sz w:val="24"/>
        </w:rPr>
        <w:t> </w:t>
      </w:r>
      <w:r>
        <w:rPr>
          <w:sz w:val="24"/>
        </w:rPr>
        <w:t>and</w:t>
      </w:r>
      <w:r>
        <w:rPr>
          <w:spacing w:val="-1"/>
          <w:sz w:val="24"/>
        </w:rPr>
        <w:t> </w:t>
      </w:r>
      <w:r>
        <w:rPr>
          <w:sz w:val="24"/>
        </w:rPr>
        <w:t>College</w:t>
      </w:r>
      <w:r>
        <w:rPr>
          <w:spacing w:val="-1"/>
          <w:sz w:val="24"/>
        </w:rPr>
        <w:t> </w:t>
      </w:r>
      <w:r>
        <w:rPr>
          <w:sz w:val="24"/>
        </w:rPr>
        <w:t>Classes</w:t>
      </w:r>
      <w:r>
        <w:rPr>
          <w:spacing w:val="-1"/>
          <w:sz w:val="24"/>
        </w:rPr>
        <w:t> </w:t>
      </w:r>
      <w:r>
        <w:rPr>
          <w:spacing w:val="-5"/>
          <w:sz w:val="24"/>
        </w:rPr>
        <w:t>in</w:t>
      </w:r>
    </w:p>
    <w:p>
      <w:pPr>
        <w:pStyle w:val="BodyText"/>
        <w:tabs>
          <w:tab w:pos="7488" w:val="left" w:leader="none"/>
        </w:tabs>
        <w:spacing w:before="1"/>
        <w:ind w:left="160"/>
      </w:pPr>
      <w:r>
        <w:rPr/>
        <w:t>Different States (1965-</w:t>
      </w:r>
      <w:r>
        <w:rPr>
          <w:spacing w:val="-5"/>
        </w:rPr>
        <w:t>66)</w:t>
      </w:r>
      <w:r>
        <w:rPr/>
        <w:tab/>
      </w:r>
      <w:r>
        <w:rPr>
          <w:spacing w:val="-5"/>
        </w:rPr>
        <w:t>41</w:t>
      </w:r>
    </w:p>
    <w:p>
      <w:pPr>
        <w:pStyle w:val="ListParagraph"/>
        <w:numPr>
          <w:ilvl w:val="1"/>
          <w:numId w:val="7"/>
        </w:numPr>
        <w:tabs>
          <w:tab w:pos="580" w:val="left" w:leader="none"/>
        </w:tabs>
        <w:spacing w:line="240" w:lineRule="auto" w:before="0" w:after="0"/>
        <w:ind w:left="580" w:right="0" w:hanging="420"/>
        <w:jc w:val="left"/>
        <w:rPr>
          <w:sz w:val="24"/>
        </w:rPr>
      </w:pPr>
      <w:r>
        <w:rPr>
          <w:sz w:val="24"/>
        </w:rPr>
        <w:t>Average Annual Salaries of Teachers </w:t>
      </w:r>
      <w:r>
        <w:rPr>
          <w:spacing w:val="-5"/>
          <w:sz w:val="24"/>
        </w:rPr>
        <w:t>in</w:t>
      </w:r>
    </w:p>
    <w:p>
      <w:pPr>
        <w:pStyle w:val="BodyText"/>
        <w:tabs>
          <w:tab w:pos="7487" w:val="left" w:leader="none"/>
        </w:tabs>
        <w:ind w:left="160"/>
      </w:pPr>
      <w:r>
        <w:rPr/>
        <w:t>India</w:t>
      </w:r>
      <w:r>
        <w:rPr>
          <w:spacing w:val="60"/>
        </w:rPr>
        <w:t> </w:t>
      </w:r>
      <w:r>
        <w:rPr/>
        <w:t>(1950-51 to 1965-</w:t>
      </w:r>
      <w:r>
        <w:rPr>
          <w:spacing w:val="-5"/>
        </w:rPr>
        <w:t>66)</w:t>
      </w:r>
      <w:r>
        <w:rPr/>
        <w:tab/>
      </w:r>
      <w:r>
        <w:rPr>
          <w:spacing w:val="-5"/>
        </w:rPr>
        <w:t>75</w:t>
      </w:r>
    </w:p>
    <w:p>
      <w:pPr>
        <w:pStyle w:val="ListParagraph"/>
        <w:numPr>
          <w:ilvl w:val="1"/>
          <w:numId w:val="7"/>
        </w:numPr>
        <w:tabs>
          <w:tab w:pos="640" w:val="left" w:leader="none"/>
        </w:tabs>
        <w:spacing w:line="240" w:lineRule="auto" w:before="0" w:after="0"/>
        <w:ind w:left="640" w:right="0" w:hanging="480"/>
        <w:jc w:val="left"/>
        <w:rPr>
          <w:sz w:val="24"/>
        </w:rPr>
      </w:pPr>
      <w:r>
        <w:rPr>
          <w:sz w:val="24"/>
        </w:rPr>
        <w:t>Pay</w:t>
      </w:r>
      <w:r>
        <w:rPr>
          <w:spacing w:val="-1"/>
          <w:sz w:val="24"/>
        </w:rPr>
        <w:t> </w:t>
      </w:r>
      <w:r>
        <w:rPr>
          <w:sz w:val="24"/>
        </w:rPr>
        <w:t>Scales for Teachers in</w:t>
      </w:r>
      <w:r>
        <w:rPr>
          <w:spacing w:val="-1"/>
          <w:sz w:val="24"/>
        </w:rPr>
        <w:t> </w:t>
      </w:r>
      <w:r>
        <w:rPr>
          <w:sz w:val="24"/>
        </w:rPr>
        <w:t>Government and Non- </w:t>
      </w:r>
      <w:r>
        <w:rPr>
          <w:spacing w:val="-2"/>
          <w:sz w:val="24"/>
        </w:rPr>
        <w:t>Government</w:t>
      </w:r>
    </w:p>
    <w:p>
      <w:pPr>
        <w:pStyle w:val="BodyText"/>
        <w:tabs>
          <w:tab w:pos="7487" w:val="left" w:leader="none"/>
        </w:tabs>
        <w:ind w:left="160"/>
      </w:pPr>
      <w:r>
        <w:rPr/>
        <w:t>Schools</w:t>
      </w:r>
      <w:r>
        <w:rPr>
          <w:spacing w:val="-1"/>
        </w:rPr>
        <w:t> </w:t>
      </w:r>
      <w:r>
        <w:rPr/>
        <w:t>in</w:t>
      </w:r>
      <w:r>
        <w:rPr>
          <w:spacing w:val="-1"/>
        </w:rPr>
        <w:t> </w:t>
      </w:r>
      <w:r>
        <w:rPr/>
        <w:t>Some</w:t>
      </w:r>
      <w:r>
        <w:rPr>
          <w:spacing w:val="-1"/>
        </w:rPr>
        <w:t> </w:t>
      </w:r>
      <w:r>
        <w:rPr>
          <w:spacing w:val="-2"/>
        </w:rPr>
        <w:t>States</w:t>
      </w:r>
      <w:r>
        <w:rPr/>
        <w:tab/>
      </w:r>
      <w:r>
        <w:rPr>
          <w:spacing w:val="-5"/>
        </w:rPr>
        <w:t>79</w:t>
      </w:r>
    </w:p>
    <w:p>
      <w:pPr>
        <w:pStyle w:val="ListParagraph"/>
        <w:numPr>
          <w:ilvl w:val="1"/>
          <w:numId w:val="7"/>
        </w:numPr>
        <w:tabs>
          <w:tab w:pos="639" w:val="left" w:leader="none"/>
          <w:tab w:pos="7487" w:val="left" w:leader="none"/>
        </w:tabs>
        <w:spacing w:line="240" w:lineRule="auto" w:before="0" w:after="0"/>
        <w:ind w:left="639" w:right="0" w:hanging="479"/>
        <w:jc w:val="left"/>
        <w:rPr>
          <w:sz w:val="24"/>
        </w:rPr>
      </w:pPr>
      <w:r>
        <w:rPr>
          <w:sz w:val="24"/>
        </w:rPr>
        <w:t>Recommended</w:t>
      </w:r>
      <w:r>
        <w:rPr>
          <w:spacing w:val="-1"/>
          <w:sz w:val="24"/>
        </w:rPr>
        <w:t> </w:t>
      </w:r>
      <w:r>
        <w:rPr>
          <w:sz w:val="24"/>
        </w:rPr>
        <w:t>Pay</w:t>
      </w:r>
      <w:r>
        <w:rPr>
          <w:spacing w:val="-1"/>
          <w:sz w:val="24"/>
        </w:rPr>
        <w:t> </w:t>
      </w:r>
      <w:r>
        <w:rPr>
          <w:sz w:val="24"/>
        </w:rPr>
        <w:t>Scales</w:t>
      </w:r>
      <w:r>
        <w:rPr>
          <w:spacing w:val="-1"/>
          <w:sz w:val="24"/>
        </w:rPr>
        <w:t> </w:t>
      </w:r>
      <w:r>
        <w:rPr>
          <w:sz w:val="24"/>
        </w:rPr>
        <w:t>for</w:t>
      </w:r>
      <w:r>
        <w:rPr>
          <w:spacing w:val="-1"/>
          <w:sz w:val="24"/>
        </w:rPr>
        <w:t> </w:t>
      </w:r>
      <w:r>
        <w:rPr>
          <w:sz w:val="24"/>
        </w:rPr>
        <w:t>School </w:t>
      </w:r>
      <w:r>
        <w:rPr>
          <w:spacing w:val="-2"/>
          <w:sz w:val="24"/>
        </w:rPr>
        <w:t>Teachers</w:t>
      </w:r>
      <w:r>
        <w:rPr>
          <w:sz w:val="24"/>
        </w:rPr>
        <w:tab/>
      </w:r>
      <w:r>
        <w:rPr>
          <w:spacing w:val="-5"/>
          <w:sz w:val="24"/>
        </w:rPr>
        <w:t>81</w:t>
      </w:r>
    </w:p>
    <w:p>
      <w:pPr>
        <w:pStyle w:val="ListParagraph"/>
        <w:numPr>
          <w:ilvl w:val="1"/>
          <w:numId w:val="7"/>
        </w:numPr>
        <w:tabs>
          <w:tab w:pos="640" w:val="left" w:leader="none"/>
          <w:tab w:pos="7489" w:val="left" w:leader="none"/>
        </w:tabs>
        <w:spacing w:line="240" w:lineRule="auto" w:before="0" w:after="0"/>
        <w:ind w:left="640" w:right="0" w:hanging="480"/>
        <w:jc w:val="left"/>
        <w:rPr>
          <w:sz w:val="24"/>
        </w:rPr>
      </w:pPr>
      <w:r>
        <w:rPr>
          <w:sz w:val="24"/>
        </w:rPr>
        <w:t>Emoluments</w:t>
      </w:r>
      <w:r>
        <w:rPr>
          <w:spacing w:val="-1"/>
          <w:sz w:val="24"/>
        </w:rPr>
        <w:t> </w:t>
      </w:r>
      <w:r>
        <w:rPr>
          <w:sz w:val="24"/>
        </w:rPr>
        <w:t>of</w:t>
      </w:r>
      <w:r>
        <w:rPr>
          <w:spacing w:val="-1"/>
          <w:sz w:val="24"/>
        </w:rPr>
        <w:t> </w:t>
      </w:r>
      <w:r>
        <w:rPr>
          <w:sz w:val="24"/>
        </w:rPr>
        <w:t>School Teachers</w:t>
      </w:r>
      <w:r>
        <w:rPr>
          <w:spacing w:val="-1"/>
          <w:sz w:val="24"/>
        </w:rPr>
        <w:t> </w:t>
      </w:r>
      <w:r>
        <w:rPr>
          <w:sz w:val="24"/>
        </w:rPr>
        <w:t>in 29</w:t>
      </w:r>
      <w:r>
        <w:rPr>
          <w:spacing w:val="-1"/>
          <w:sz w:val="24"/>
        </w:rPr>
        <w:t> </w:t>
      </w:r>
      <w:r>
        <w:rPr>
          <w:sz w:val="24"/>
        </w:rPr>
        <w:t>Districts </w:t>
      </w:r>
      <w:r>
        <w:rPr>
          <w:spacing w:val="-2"/>
          <w:sz w:val="24"/>
        </w:rPr>
        <w:t>(1965)</w:t>
      </w:r>
      <w:r>
        <w:rPr>
          <w:sz w:val="24"/>
        </w:rPr>
        <w:tab/>
      </w:r>
      <w:r>
        <w:rPr>
          <w:spacing w:val="-5"/>
          <w:sz w:val="24"/>
        </w:rPr>
        <w:t>89</w:t>
      </w:r>
    </w:p>
    <w:p>
      <w:pPr>
        <w:pStyle w:val="ListParagraph"/>
        <w:numPr>
          <w:ilvl w:val="1"/>
          <w:numId w:val="7"/>
        </w:numPr>
        <w:tabs>
          <w:tab w:pos="639" w:val="left" w:leader="none"/>
          <w:tab w:pos="7487" w:val="left" w:leader="none"/>
        </w:tabs>
        <w:spacing w:line="240" w:lineRule="auto" w:before="0" w:after="0"/>
        <w:ind w:left="639" w:right="0" w:hanging="479"/>
        <w:jc w:val="left"/>
        <w:rPr>
          <w:sz w:val="24"/>
        </w:rPr>
      </w:pPr>
      <w:r>
        <w:rPr>
          <w:sz w:val="24"/>
        </w:rPr>
        <w:t>Women</w:t>
      </w:r>
      <w:r>
        <w:rPr>
          <w:spacing w:val="-4"/>
          <w:sz w:val="24"/>
        </w:rPr>
        <w:t> </w:t>
      </w:r>
      <w:r>
        <w:rPr>
          <w:sz w:val="24"/>
        </w:rPr>
        <w:t>Teachers</w:t>
      </w:r>
      <w:r>
        <w:rPr>
          <w:spacing w:val="-1"/>
          <w:sz w:val="24"/>
        </w:rPr>
        <w:t> </w:t>
      </w:r>
      <w:r>
        <w:rPr>
          <w:sz w:val="24"/>
        </w:rPr>
        <w:t>(1950-</w:t>
      </w:r>
      <w:r>
        <w:rPr>
          <w:spacing w:val="-5"/>
          <w:sz w:val="24"/>
        </w:rPr>
        <w:t>65)</w:t>
      </w:r>
      <w:r>
        <w:rPr>
          <w:sz w:val="24"/>
        </w:rPr>
        <w:tab/>
      </w:r>
      <w:r>
        <w:rPr>
          <w:spacing w:val="-5"/>
          <w:sz w:val="24"/>
        </w:rPr>
        <w:t>100</w:t>
      </w:r>
    </w:p>
    <w:p>
      <w:pPr>
        <w:pStyle w:val="ListParagraph"/>
        <w:numPr>
          <w:ilvl w:val="1"/>
          <w:numId w:val="8"/>
        </w:numPr>
        <w:tabs>
          <w:tab w:pos="639" w:val="left" w:leader="none"/>
        </w:tabs>
        <w:spacing w:line="240" w:lineRule="auto" w:before="0" w:after="0"/>
        <w:ind w:left="639" w:right="0" w:hanging="479"/>
        <w:jc w:val="left"/>
        <w:rPr>
          <w:sz w:val="24"/>
        </w:rPr>
      </w:pPr>
      <w:r>
        <w:rPr>
          <w:sz w:val="24"/>
        </w:rPr>
        <w:t>General</w:t>
      </w:r>
      <w:r>
        <w:rPr>
          <w:spacing w:val="-2"/>
          <w:sz w:val="24"/>
        </w:rPr>
        <w:t> </w:t>
      </w:r>
      <w:r>
        <w:rPr>
          <w:sz w:val="24"/>
        </w:rPr>
        <w:t>Education</w:t>
      </w:r>
      <w:r>
        <w:rPr>
          <w:spacing w:val="-1"/>
          <w:sz w:val="24"/>
        </w:rPr>
        <w:t> </w:t>
      </w:r>
      <w:r>
        <w:rPr>
          <w:sz w:val="24"/>
        </w:rPr>
        <w:t>of</w:t>
      </w:r>
      <w:r>
        <w:rPr>
          <w:spacing w:val="-1"/>
          <w:sz w:val="24"/>
        </w:rPr>
        <w:t> </w:t>
      </w:r>
      <w:r>
        <w:rPr>
          <w:sz w:val="24"/>
        </w:rPr>
        <w:t>Primary</w:t>
      </w:r>
      <w:r>
        <w:rPr>
          <w:spacing w:val="-1"/>
          <w:sz w:val="24"/>
        </w:rPr>
        <w:t> </w:t>
      </w:r>
      <w:r>
        <w:rPr>
          <w:spacing w:val="-2"/>
          <w:sz w:val="24"/>
        </w:rPr>
        <w:t>Teachers</w:t>
      </w:r>
    </w:p>
    <w:p>
      <w:pPr>
        <w:pStyle w:val="BodyText"/>
        <w:tabs>
          <w:tab w:pos="7486" w:val="left" w:leader="none"/>
        </w:tabs>
        <w:ind w:left="160"/>
      </w:pPr>
      <w:r>
        <w:rPr/>
        <w:t>(1950-51</w:t>
      </w:r>
      <w:r>
        <w:rPr>
          <w:spacing w:val="-1"/>
        </w:rPr>
        <w:t> </w:t>
      </w:r>
      <w:r>
        <w:rPr/>
        <w:t>to</w:t>
      </w:r>
      <w:r>
        <w:rPr>
          <w:spacing w:val="-1"/>
        </w:rPr>
        <w:t> </w:t>
      </w:r>
      <w:r>
        <w:rPr/>
        <w:t>1965-</w:t>
      </w:r>
      <w:r>
        <w:rPr>
          <w:spacing w:val="-5"/>
        </w:rPr>
        <w:t>66)</w:t>
      </w:r>
      <w:r>
        <w:rPr/>
        <w:tab/>
      </w:r>
      <w:r>
        <w:rPr>
          <w:spacing w:val="-5"/>
        </w:rPr>
        <w:t>131</w:t>
      </w:r>
    </w:p>
    <w:p>
      <w:pPr>
        <w:pStyle w:val="ListParagraph"/>
        <w:numPr>
          <w:ilvl w:val="1"/>
          <w:numId w:val="8"/>
        </w:numPr>
        <w:tabs>
          <w:tab w:pos="580" w:val="left" w:leader="none"/>
        </w:tabs>
        <w:spacing w:line="240" w:lineRule="auto" w:before="0" w:after="0"/>
        <w:ind w:left="580" w:right="0" w:hanging="420"/>
        <w:jc w:val="left"/>
        <w:rPr>
          <w:sz w:val="24"/>
        </w:rPr>
      </w:pPr>
      <w:r>
        <w:rPr>
          <w:sz w:val="24"/>
        </w:rPr>
        <w:t>Number</w:t>
      </w:r>
      <w:r>
        <w:rPr>
          <w:spacing w:val="-1"/>
          <w:sz w:val="24"/>
        </w:rPr>
        <w:t> </w:t>
      </w:r>
      <w:r>
        <w:rPr>
          <w:sz w:val="24"/>
        </w:rPr>
        <w:t>and Percentage</w:t>
      </w:r>
      <w:r>
        <w:rPr>
          <w:spacing w:val="-1"/>
          <w:sz w:val="24"/>
        </w:rPr>
        <w:t> </w:t>
      </w:r>
      <w:r>
        <w:rPr>
          <w:sz w:val="24"/>
        </w:rPr>
        <w:t>of </w:t>
      </w:r>
      <w:r>
        <w:rPr>
          <w:spacing w:val="-2"/>
          <w:sz w:val="24"/>
        </w:rPr>
        <w:t>Trained</w:t>
      </w:r>
    </w:p>
    <w:p>
      <w:pPr>
        <w:pStyle w:val="BodyText"/>
        <w:tabs>
          <w:tab w:pos="7488" w:val="left" w:leader="none"/>
        </w:tabs>
        <w:ind w:left="160"/>
      </w:pPr>
      <w:r>
        <w:rPr/>
        <w:t>Teachers</w:t>
      </w:r>
      <w:r>
        <w:rPr>
          <w:spacing w:val="-2"/>
        </w:rPr>
        <w:t> </w:t>
      </w:r>
      <w:r>
        <w:rPr/>
        <w:t>in</w:t>
      </w:r>
      <w:r>
        <w:rPr>
          <w:spacing w:val="-1"/>
        </w:rPr>
        <w:t> </w:t>
      </w:r>
      <w:r>
        <w:rPr/>
        <w:t>the</w:t>
      </w:r>
      <w:r>
        <w:rPr>
          <w:spacing w:val="-2"/>
        </w:rPr>
        <w:t> </w:t>
      </w:r>
      <w:r>
        <w:rPr/>
        <w:t>States</w:t>
      </w:r>
      <w:r>
        <w:rPr>
          <w:spacing w:val="-1"/>
        </w:rPr>
        <w:t> </w:t>
      </w:r>
      <w:r>
        <w:rPr/>
        <w:t>(1965-</w:t>
      </w:r>
      <w:r>
        <w:rPr>
          <w:spacing w:val="-5"/>
        </w:rPr>
        <w:t>66)</w:t>
      </w:r>
      <w:r>
        <w:rPr/>
        <w:tab/>
      </w:r>
      <w:r>
        <w:rPr>
          <w:spacing w:val="-5"/>
        </w:rPr>
        <w:t>134</w:t>
      </w:r>
    </w:p>
    <w:p>
      <w:pPr>
        <w:pStyle w:val="ListParagraph"/>
        <w:numPr>
          <w:ilvl w:val="1"/>
          <w:numId w:val="8"/>
        </w:numPr>
        <w:tabs>
          <w:tab w:pos="639" w:val="left" w:leader="none"/>
          <w:tab w:pos="7487" w:val="left" w:leader="none"/>
        </w:tabs>
        <w:spacing w:line="240" w:lineRule="auto" w:before="0" w:after="0"/>
        <w:ind w:left="639" w:right="0" w:hanging="479"/>
        <w:jc w:val="left"/>
        <w:rPr>
          <w:sz w:val="24"/>
        </w:rPr>
      </w:pPr>
      <w:r>
        <w:rPr>
          <w:sz w:val="24"/>
        </w:rPr>
        <w:t>Untrained</w:t>
      </w:r>
      <w:r>
        <w:rPr>
          <w:spacing w:val="-1"/>
          <w:sz w:val="24"/>
        </w:rPr>
        <w:t> </w:t>
      </w:r>
      <w:r>
        <w:rPr>
          <w:sz w:val="24"/>
        </w:rPr>
        <w:t>Teachers,</w:t>
      </w:r>
      <w:r>
        <w:rPr>
          <w:spacing w:val="-2"/>
          <w:sz w:val="24"/>
        </w:rPr>
        <w:t> </w:t>
      </w:r>
      <w:r>
        <w:rPr>
          <w:sz w:val="24"/>
        </w:rPr>
        <w:t>by</w:t>
      </w:r>
      <w:r>
        <w:rPr>
          <w:spacing w:val="-1"/>
          <w:sz w:val="24"/>
        </w:rPr>
        <w:t> </w:t>
      </w:r>
      <w:r>
        <w:rPr>
          <w:sz w:val="24"/>
        </w:rPr>
        <w:t>Age-Groups </w:t>
      </w:r>
      <w:r>
        <w:rPr>
          <w:spacing w:val="-2"/>
          <w:sz w:val="24"/>
        </w:rPr>
        <w:t>(1965)</w:t>
      </w:r>
      <w:r>
        <w:rPr>
          <w:sz w:val="24"/>
        </w:rPr>
        <w:tab/>
      </w:r>
      <w:r>
        <w:rPr>
          <w:spacing w:val="-5"/>
          <w:sz w:val="24"/>
        </w:rPr>
        <w:t>137</w:t>
      </w:r>
    </w:p>
    <w:p>
      <w:pPr>
        <w:pStyle w:val="ListParagraph"/>
        <w:numPr>
          <w:ilvl w:val="1"/>
          <w:numId w:val="9"/>
        </w:numPr>
        <w:tabs>
          <w:tab w:pos="640" w:val="left" w:leader="none"/>
        </w:tabs>
        <w:spacing w:line="240" w:lineRule="auto" w:before="0" w:after="0"/>
        <w:ind w:left="640" w:right="0" w:hanging="480"/>
        <w:jc w:val="left"/>
        <w:rPr>
          <w:sz w:val="24"/>
        </w:rPr>
      </w:pPr>
      <w:r>
        <w:rPr>
          <w:sz w:val="24"/>
        </w:rPr>
        <w:t>Matriculates,</w:t>
      </w:r>
      <w:r>
        <w:rPr>
          <w:spacing w:val="-3"/>
          <w:sz w:val="24"/>
        </w:rPr>
        <w:t> </w:t>
      </w:r>
      <w:r>
        <w:rPr>
          <w:sz w:val="24"/>
        </w:rPr>
        <w:t>Intermediates, Graduates</w:t>
      </w:r>
      <w:r>
        <w:rPr>
          <w:spacing w:val="-2"/>
          <w:sz w:val="24"/>
        </w:rPr>
        <w:t> </w:t>
      </w:r>
      <w:r>
        <w:rPr>
          <w:sz w:val="24"/>
        </w:rPr>
        <w:t>and</w:t>
      </w:r>
      <w:r>
        <w:rPr>
          <w:spacing w:val="-1"/>
          <w:sz w:val="24"/>
        </w:rPr>
        <w:t> </w:t>
      </w:r>
      <w:r>
        <w:rPr>
          <w:sz w:val="24"/>
        </w:rPr>
        <w:t>Total</w:t>
      </w:r>
      <w:r>
        <w:rPr>
          <w:spacing w:val="-1"/>
          <w:sz w:val="24"/>
        </w:rPr>
        <w:t> </w:t>
      </w:r>
      <w:r>
        <w:rPr>
          <w:spacing w:val="-2"/>
          <w:sz w:val="24"/>
        </w:rPr>
        <w:t>Workers,</w:t>
      </w:r>
    </w:p>
    <w:p>
      <w:pPr>
        <w:pStyle w:val="BodyText"/>
        <w:tabs>
          <w:tab w:pos="7487" w:val="left" w:leader="none"/>
        </w:tabs>
        <w:ind w:left="160"/>
      </w:pPr>
      <w:r>
        <w:rPr/>
        <w:t>by</w:t>
      </w:r>
      <w:r>
        <w:rPr>
          <w:spacing w:val="-6"/>
        </w:rPr>
        <w:t> </w:t>
      </w:r>
      <w:r>
        <w:rPr/>
        <w:t>industry:</w:t>
      </w:r>
      <w:r>
        <w:rPr>
          <w:spacing w:val="-5"/>
        </w:rPr>
        <w:t> </w:t>
      </w:r>
      <w:r>
        <w:rPr/>
        <w:t>India</w:t>
      </w:r>
      <w:r>
        <w:rPr>
          <w:spacing w:val="-5"/>
        </w:rPr>
        <w:t> </w:t>
      </w:r>
      <w:r>
        <w:rPr>
          <w:spacing w:val="-2"/>
        </w:rPr>
        <w:t>(1961)</w:t>
      </w:r>
      <w:r>
        <w:rPr/>
        <w:tab/>
      </w:r>
      <w:r>
        <w:rPr>
          <w:spacing w:val="-5"/>
        </w:rPr>
        <w:t>155</w:t>
      </w:r>
    </w:p>
    <w:p>
      <w:pPr>
        <w:pStyle w:val="ListParagraph"/>
        <w:numPr>
          <w:ilvl w:val="1"/>
          <w:numId w:val="9"/>
        </w:numPr>
        <w:tabs>
          <w:tab w:pos="580" w:val="left" w:leader="none"/>
        </w:tabs>
        <w:spacing w:line="240" w:lineRule="auto" w:before="0" w:after="0"/>
        <w:ind w:left="580" w:right="0" w:hanging="420"/>
        <w:jc w:val="left"/>
        <w:rPr>
          <w:sz w:val="24"/>
        </w:rPr>
      </w:pPr>
      <w:r>
        <w:rPr>
          <w:sz w:val="24"/>
        </w:rPr>
        <w:t>Estimated</w:t>
      </w:r>
      <w:r>
        <w:rPr>
          <w:spacing w:val="-1"/>
          <w:sz w:val="24"/>
        </w:rPr>
        <w:t> </w:t>
      </w:r>
      <w:r>
        <w:rPr>
          <w:sz w:val="24"/>
        </w:rPr>
        <w:t>Requirement</w:t>
      </w:r>
      <w:r>
        <w:rPr>
          <w:spacing w:val="-1"/>
          <w:sz w:val="24"/>
        </w:rPr>
        <w:t> </w:t>
      </w:r>
      <w:r>
        <w:rPr>
          <w:sz w:val="24"/>
        </w:rPr>
        <w:t>of Matriculates</w:t>
      </w:r>
      <w:r>
        <w:rPr>
          <w:spacing w:val="-1"/>
          <w:sz w:val="24"/>
        </w:rPr>
        <w:t> </w:t>
      </w:r>
      <w:r>
        <w:rPr>
          <w:sz w:val="24"/>
        </w:rPr>
        <w:t>and </w:t>
      </w:r>
      <w:r>
        <w:rPr>
          <w:spacing w:val="-2"/>
          <w:sz w:val="24"/>
        </w:rPr>
        <w:t>above,</w:t>
      </w:r>
    </w:p>
    <w:p>
      <w:pPr>
        <w:pStyle w:val="BodyText"/>
        <w:tabs>
          <w:tab w:pos="7487" w:val="left" w:leader="none"/>
        </w:tabs>
        <w:ind w:left="160"/>
      </w:pPr>
      <w:r>
        <w:rPr/>
        <w:t>by</w:t>
      </w:r>
      <w:r>
        <w:rPr>
          <w:spacing w:val="-1"/>
        </w:rPr>
        <w:t> </w:t>
      </w:r>
      <w:r>
        <w:rPr/>
        <w:t>Industry</w:t>
      </w:r>
      <w:r>
        <w:rPr>
          <w:spacing w:val="-1"/>
        </w:rPr>
        <w:t> </w:t>
      </w:r>
      <w:r>
        <w:rPr/>
        <w:t>Group:</w:t>
      </w:r>
      <w:r>
        <w:rPr>
          <w:spacing w:val="-1"/>
        </w:rPr>
        <w:t> </w:t>
      </w:r>
      <w:r>
        <w:rPr/>
        <w:t>India</w:t>
      </w:r>
      <w:r>
        <w:rPr>
          <w:spacing w:val="-1"/>
        </w:rPr>
        <w:t> </w:t>
      </w:r>
      <w:r>
        <w:rPr/>
        <w:t>(1960-61</w:t>
      </w:r>
      <w:r>
        <w:rPr>
          <w:spacing w:val="-1"/>
        </w:rPr>
        <w:t> </w:t>
      </w:r>
      <w:r>
        <w:rPr/>
        <w:t>to 1985-</w:t>
      </w:r>
      <w:r>
        <w:rPr>
          <w:spacing w:val="-5"/>
        </w:rPr>
        <w:t>86)</w:t>
      </w:r>
      <w:r>
        <w:rPr/>
        <w:tab/>
      </w:r>
      <w:r>
        <w:rPr>
          <w:spacing w:val="-5"/>
        </w:rPr>
        <w:t>157</w:t>
      </w:r>
    </w:p>
    <w:p>
      <w:pPr>
        <w:pStyle w:val="ListParagraph"/>
        <w:numPr>
          <w:ilvl w:val="1"/>
          <w:numId w:val="9"/>
        </w:numPr>
        <w:tabs>
          <w:tab w:pos="579" w:val="left" w:leader="none"/>
        </w:tabs>
        <w:spacing w:line="240" w:lineRule="auto" w:before="0" w:after="0"/>
        <w:ind w:left="579" w:right="0" w:hanging="420"/>
        <w:jc w:val="left"/>
        <w:rPr>
          <w:sz w:val="24"/>
        </w:rPr>
      </w:pPr>
      <w:r>
        <w:rPr>
          <w:sz w:val="24"/>
        </w:rPr>
        <w:t>Estimates</w:t>
      </w:r>
      <w:r>
        <w:rPr>
          <w:spacing w:val="-1"/>
          <w:sz w:val="24"/>
        </w:rPr>
        <w:t> </w:t>
      </w:r>
      <w:r>
        <w:rPr>
          <w:sz w:val="24"/>
        </w:rPr>
        <w:t>of</w:t>
      </w:r>
      <w:r>
        <w:rPr>
          <w:spacing w:val="-1"/>
          <w:sz w:val="24"/>
        </w:rPr>
        <w:t> </w:t>
      </w:r>
      <w:r>
        <w:rPr>
          <w:sz w:val="24"/>
        </w:rPr>
        <w:t>Required</w:t>
      </w:r>
      <w:r>
        <w:rPr>
          <w:spacing w:val="-1"/>
          <w:sz w:val="24"/>
        </w:rPr>
        <w:t> </w:t>
      </w:r>
      <w:r>
        <w:rPr>
          <w:sz w:val="24"/>
        </w:rPr>
        <w:t>Workers,</w:t>
      </w:r>
      <w:r>
        <w:rPr>
          <w:spacing w:val="-1"/>
          <w:sz w:val="24"/>
        </w:rPr>
        <w:t> </w:t>
      </w:r>
      <w:r>
        <w:rPr>
          <w:sz w:val="24"/>
        </w:rPr>
        <w:t>Stock</w:t>
      </w:r>
      <w:r>
        <w:rPr>
          <w:spacing w:val="-1"/>
          <w:sz w:val="24"/>
        </w:rPr>
        <w:t> </w:t>
      </w:r>
      <w:r>
        <w:rPr>
          <w:sz w:val="24"/>
        </w:rPr>
        <w:t>and Out-</w:t>
      </w:r>
      <w:r>
        <w:rPr>
          <w:spacing w:val="-4"/>
          <w:sz w:val="24"/>
        </w:rPr>
        <w:t>turn</w:t>
      </w:r>
    </w:p>
    <w:p>
      <w:pPr>
        <w:pStyle w:val="BodyText"/>
        <w:tabs>
          <w:tab w:pos="7504" w:val="left" w:leader="none"/>
        </w:tabs>
        <w:ind w:left="159"/>
      </w:pPr>
      <w:r>
        <w:rPr/>
        <w:t>of</w:t>
      </w:r>
      <w:r>
        <w:rPr>
          <w:spacing w:val="-1"/>
        </w:rPr>
        <w:t> </w:t>
      </w:r>
      <w:r>
        <w:rPr/>
        <w:t>Matriculates</w:t>
      </w:r>
      <w:r>
        <w:rPr>
          <w:spacing w:val="-1"/>
        </w:rPr>
        <w:t> </w:t>
      </w:r>
      <w:r>
        <w:rPr/>
        <w:t>and</w:t>
      </w:r>
      <w:r>
        <w:rPr>
          <w:spacing w:val="-2"/>
        </w:rPr>
        <w:t> </w:t>
      </w:r>
      <w:r>
        <w:rPr/>
        <w:t>above:</w:t>
      </w:r>
      <w:r>
        <w:rPr>
          <w:spacing w:val="-1"/>
        </w:rPr>
        <w:t> </w:t>
      </w:r>
      <w:r>
        <w:rPr/>
        <w:t>India</w:t>
      </w:r>
      <w:r>
        <w:rPr>
          <w:spacing w:val="-1"/>
        </w:rPr>
        <w:t> </w:t>
      </w:r>
      <w:r>
        <w:rPr/>
        <w:t>(1960-61</w:t>
      </w:r>
      <w:r>
        <w:rPr>
          <w:spacing w:val="-2"/>
        </w:rPr>
        <w:t> </w:t>
      </w:r>
      <w:r>
        <w:rPr/>
        <w:t>to</w:t>
      </w:r>
      <w:r>
        <w:rPr>
          <w:spacing w:val="-1"/>
        </w:rPr>
        <w:t> </w:t>
      </w:r>
      <w:r>
        <w:rPr/>
        <w:t>1985-</w:t>
      </w:r>
      <w:r>
        <w:rPr>
          <w:spacing w:val="-5"/>
        </w:rPr>
        <w:t>86)</w:t>
      </w:r>
      <w:r>
        <w:rPr/>
        <w:tab/>
      </w:r>
      <w:r>
        <w:rPr>
          <w:spacing w:val="-5"/>
        </w:rPr>
        <w:t>158</w:t>
      </w:r>
    </w:p>
    <w:p>
      <w:pPr>
        <w:pStyle w:val="ListParagraph"/>
        <w:numPr>
          <w:ilvl w:val="1"/>
          <w:numId w:val="9"/>
        </w:numPr>
        <w:tabs>
          <w:tab w:pos="638" w:val="left" w:leader="none"/>
          <w:tab w:pos="7486" w:val="left" w:leader="none"/>
        </w:tabs>
        <w:spacing w:line="240" w:lineRule="auto" w:before="0" w:after="0"/>
        <w:ind w:left="638" w:right="0" w:hanging="479"/>
        <w:jc w:val="left"/>
        <w:rPr>
          <w:sz w:val="24"/>
        </w:rPr>
      </w:pPr>
      <w:r>
        <w:rPr>
          <w:sz w:val="24"/>
        </w:rPr>
        <w:t>Enrolments</w:t>
      </w:r>
      <w:r>
        <w:rPr>
          <w:spacing w:val="-1"/>
          <w:sz w:val="24"/>
        </w:rPr>
        <w:t> </w:t>
      </w:r>
      <w:r>
        <w:rPr>
          <w:sz w:val="24"/>
        </w:rPr>
        <w:t>Proposed</w:t>
      </w:r>
      <w:r>
        <w:rPr>
          <w:spacing w:val="-1"/>
          <w:sz w:val="24"/>
        </w:rPr>
        <w:t> </w:t>
      </w:r>
      <w:r>
        <w:rPr>
          <w:sz w:val="24"/>
        </w:rPr>
        <w:t>(1960-61</w:t>
      </w:r>
      <w:r>
        <w:rPr>
          <w:spacing w:val="-1"/>
          <w:sz w:val="24"/>
        </w:rPr>
        <w:t> </w:t>
      </w:r>
      <w:r>
        <w:rPr>
          <w:sz w:val="24"/>
        </w:rPr>
        <w:t>to</w:t>
      </w:r>
      <w:r>
        <w:rPr>
          <w:spacing w:val="-1"/>
          <w:sz w:val="24"/>
        </w:rPr>
        <w:t> </w:t>
      </w:r>
      <w:r>
        <w:rPr>
          <w:sz w:val="24"/>
        </w:rPr>
        <w:t>1985-</w:t>
      </w:r>
      <w:r>
        <w:rPr>
          <w:spacing w:val="-5"/>
          <w:sz w:val="24"/>
        </w:rPr>
        <w:t>86)</w:t>
      </w:r>
      <w:r>
        <w:rPr>
          <w:sz w:val="24"/>
        </w:rPr>
        <w:tab/>
      </w:r>
      <w:r>
        <w:rPr>
          <w:spacing w:val="-5"/>
          <w:sz w:val="24"/>
        </w:rPr>
        <w:t>159</w:t>
      </w:r>
    </w:p>
    <w:p>
      <w:pPr>
        <w:pStyle w:val="ListParagraph"/>
        <w:numPr>
          <w:ilvl w:val="1"/>
          <w:numId w:val="9"/>
        </w:numPr>
        <w:tabs>
          <w:tab w:pos="638" w:val="left" w:leader="none"/>
          <w:tab w:pos="7487" w:val="left" w:leader="none"/>
        </w:tabs>
        <w:spacing w:line="240" w:lineRule="auto" w:before="0" w:after="0"/>
        <w:ind w:left="638" w:right="0" w:hanging="479"/>
        <w:jc w:val="left"/>
        <w:rPr>
          <w:sz w:val="24"/>
        </w:rPr>
      </w:pPr>
      <w:r>
        <w:rPr>
          <w:sz w:val="24"/>
        </w:rPr>
        <w:t>Enrolments in Education (1960-</w:t>
      </w:r>
      <w:r>
        <w:rPr>
          <w:spacing w:val="-5"/>
          <w:sz w:val="24"/>
        </w:rPr>
        <w:t>85)</w:t>
      </w:r>
      <w:r>
        <w:rPr>
          <w:sz w:val="24"/>
        </w:rPr>
        <w:tab/>
      </w:r>
      <w:r>
        <w:rPr>
          <w:spacing w:val="-5"/>
          <w:sz w:val="24"/>
        </w:rPr>
        <w:t>165</w:t>
      </w:r>
    </w:p>
    <w:p>
      <w:pPr>
        <w:pStyle w:val="BodyText"/>
        <w:tabs>
          <w:tab w:pos="1033" w:val="left" w:leader="none"/>
        </w:tabs>
        <w:ind w:left="159"/>
      </w:pPr>
      <w:r>
        <w:rPr>
          <w:spacing w:val="-2"/>
        </w:rPr>
        <w:t>5.6(A)</w:t>
      </w:r>
      <w:r>
        <w:rPr/>
        <w:tab/>
        <w:t>Estimated</w:t>
      </w:r>
      <w:r>
        <w:rPr>
          <w:spacing w:val="-1"/>
        </w:rPr>
        <w:t> </w:t>
      </w:r>
      <w:r>
        <w:rPr/>
        <w:t>Total</w:t>
      </w:r>
      <w:r>
        <w:rPr>
          <w:spacing w:val="-1"/>
        </w:rPr>
        <w:t> </w:t>
      </w:r>
      <w:r>
        <w:rPr>
          <w:spacing w:val="-2"/>
        </w:rPr>
        <w:t>Future</w:t>
      </w:r>
    </w:p>
    <w:p>
      <w:pPr>
        <w:pStyle w:val="BodyText"/>
        <w:tabs>
          <w:tab w:pos="7484" w:val="left" w:leader="none"/>
        </w:tabs>
        <w:spacing w:line="275" w:lineRule="exact"/>
        <w:ind w:left="159"/>
      </w:pPr>
      <w:r>
        <w:rPr/>
        <w:t>Employment</w:t>
      </w:r>
      <w:r>
        <w:rPr>
          <w:spacing w:val="-1"/>
        </w:rPr>
        <w:t> </w:t>
      </w:r>
      <w:r>
        <w:rPr/>
        <w:t>in</w:t>
      </w:r>
      <w:r>
        <w:rPr>
          <w:spacing w:val="-1"/>
        </w:rPr>
        <w:t> </w:t>
      </w:r>
      <w:r>
        <w:rPr/>
        <w:t>India</w:t>
      </w:r>
      <w:r>
        <w:rPr>
          <w:spacing w:val="58"/>
        </w:rPr>
        <w:t> </w:t>
      </w:r>
      <w:r>
        <w:rPr/>
        <w:t>(1961-</w:t>
      </w:r>
      <w:r>
        <w:rPr>
          <w:spacing w:val="-5"/>
        </w:rPr>
        <w:t>86)</w:t>
      </w:r>
      <w:r>
        <w:rPr/>
        <w:tab/>
      </w:r>
      <w:r>
        <w:rPr>
          <w:spacing w:val="-5"/>
        </w:rPr>
        <w:t>167</w:t>
      </w:r>
    </w:p>
    <w:p>
      <w:pPr>
        <w:pStyle w:val="BodyText"/>
        <w:tabs>
          <w:tab w:pos="1020" w:val="left" w:leader="none"/>
        </w:tabs>
        <w:spacing w:line="275" w:lineRule="exact"/>
        <w:ind w:left="159"/>
      </w:pPr>
      <w:r>
        <w:rPr>
          <w:spacing w:val="-2"/>
        </w:rPr>
        <w:t>5.6(B)</w:t>
      </w:r>
      <w:r>
        <w:rPr/>
        <w:tab/>
        <w:t>Matriculates</w:t>
      </w:r>
      <w:r>
        <w:rPr>
          <w:spacing w:val="-1"/>
        </w:rPr>
        <w:t> </w:t>
      </w:r>
      <w:r>
        <w:rPr/>
        <w:t>and above as</w:t>
      </w:r>
      <w:r>
        <w:rPr>
          <w:spacing w:val="-1"/>
        </w:rPr>
        <w:t> </w:t>
      </w:r>
      <w:r>
        <w:rPr/>
        <w:t>Percentage of </w:t>
      </w:r>
      <w:r>
        <w:rPr>
          <w:spacing w:val="-2"/>
        </w:rPr>
        <w:t>Total</w:t>
      </w:r>
    </w:p>
    <w:p>
      <w:pPr>
        <w:pStyle w:val="BodyText"/>
        <w:tabs>
          <w:tab w:pos="7487" w:val="left" w:leader="none"/>
        </w:tabs>
        <w:ind w:left="159"/>
      </w:pPr>
      <w:r>
        <w:rPr/>
        <w:t>Estimated</w:t>
      </w:r>
      <w:r>
        <w:rPr>
          <w:spacing w:val="-4"/>
        </w:rPr>
        <w:t> </w:t>
      </w:r>
      <w:r>
        <w:rPr/>
        <w:t>Employment</w:t>
      </w:r>
      <w:r>
        <w:rPr>
          <w:spacing w:val="-2"/>
        </w:rPr>
        <w:t> </w:t>
      </w:r>
      <w:r>
        <w:rPr/>
        <w:t>(1960-61</w:t>
      </w:r>
      <w:r>
        <w:rPr>
          <w:spacing w:val="-2"/>
        </w:rPr>
        <w:t> </w:t>
      </w:r>
      <w:r>
        <w:rPr/>
        <w:t>to</w:t>
      </w:r>
      <w:r>
        <w:rPr>
          <w:spacing w:val="-1"/>
        </w:rPr>
        <w:t> </w:t>
      </w:r>
      <w:r>
        <w:rPr/>
        <w:t>1985-</w:t>
      </w:r>
      <w:r>
        <w:rPr>
          <w:spacing w:val="-5"/>
        </w:rPr>
        <w:t>86)</w:t>
      </w:r>
      <w:r>
        <w:rPr/>
        <w:tab/>
      </w:r>
      <w:r>
        <w:rPr>
          <w:spacing w:val="-5"/>
        </w:rPr>
        <w:t>168</w:t>
      </w:r>
    </w:p>
    <w:p>
      <w:pPr>
        <w:pStyle w:val="BodyText"/>
        <w:ind w:left="159"/>
      </w:pPr>
      <w:r>
        <w:rPr/>
        <w:t>5.7</w:t>
      </w:r>
      <w:r>
        <w:rPr>
          <w:spacing w:val="27"/>
        </w:rPr>
        <w:t>  </w:t>
      </w:r>
      <w:r>
        <w:rPr/>
        <w:t>Educational Level</w:t>
      </w:r>
      <w:r>
        <w:rPr>
          <w:spacing w:val="-1"/>
        </w:rPr>
        <w:t> </w:t>
      </w:r>
      <w:r>
        <w:rPr/>
        <w:t>of Working </w:t>
      </w:r>
      <w:r>
        <w:rPr>
          <w:spacing w:val="-2"/>
        </w:rPr>
        <w:t>Population</w:t>
      </w:r>
    </w:p>
    <w:p>
      <w:pPr>
        <w:pStyle w:val="BodyText"/>
        <w:tabs>
          <w:tab w:pos="7488" w:val="left" w:leader="none"/>
        </w:tabs>
        <w:ind w:left="159"/>
      </w:pPr>
      <w:r>
        <w:rPr/>
        <w:t>in</w:t>
      </w:r>
      <w:r>
        <w:rPr>
          <w:spacing w:val="-3"/>
        </w:rPr>
        <w:t> </w:t>
      </w:r>
      <w:r>
        <w:rPr/>
        <w:t>Japan</w:t>
      </w:r>
      <w:r>
        <w:rPr>
          <w:spacing w:val="-2"/>
        </w:rPr>
        <w:t> </w:t>
      </w:r>
      <w:r>
        <w:rPr/>
        <w:t>and</w:t>
      </w:r>
      <w:r>
        <w:rPr>
          <w:spacing w:val="-2"/>
        </w:rPr>
        <w:t> </w:t>
      </w:r>
      <w:r>
        <w:rPr>
          <w:spacing w:val="-5"/>
        </w:rPr>
        <w:t>USA</w:t>
      </w:r>
      <w:r>
        <w:rPr/>
        <w:tab/>
      </w:r>
      <w:r>
        <w:rPr>
          <w:spacing w:val="-5"/>
        </w:rPr>
        <w:t>169</w:t>
      </w:r>
    </w:p>
    <w:p>
      <w:pPr>
        <w:pStyle w:val="ListParagraph"/>
        <w:numPr>
          <w:ilvl w:val="1"/>
          <w:numId w:val="10"/>
        </w:numPr>
        <w:tabs>
          <w:tab w:pos="639" w:val="left" w:leader="none"/>
          <w:tab w:pos="7488" w:val="left" w:leader="none"/>
        </w:tabs>
        <w:spacing w:line="240" w:lineRule="auto" w:before="0" w:after="0"/>
        <w:ind w:left="639" w:right="0" w:hanging="480"/>
        <w:jc w:val="left"/>
        <w:rPr>
          <w:sz w:val="24"/>
        </w:rPr>
      </w:pPr>
      <w:r>
        <w:rPr>
          <w:sz w:val="24"/>
        </w:rPr>
        <w:t>Total</w:t>
      </w:r>
      <w:r>
        <w:rPr>
          <w:spacing w:val="-1"/>
          <w:sz w:val="24"/>
        </w:rPr>
        <w:t> </w:t>
      </w:r>
      <w:r>
        <w:rPr>
          <w:sz w:val="24"/>
        </w:rPr>
        <w:t>Revenue from Fees</w:t>
      </w:r>
      <w:r>
        <w:rPr>
          <w:spacing w:val="-1"/>
          <w:sz w:val="24"/>
        </w:rPr>
        <w:t> </w:t>
      </w:r>
      <w:r>
        <w:rPr>
          <w:sz w:val="24"/>
        </w:rPr>
        <w:t>(1950-51 to 1965-</w:t>
      </w:r>
      <w:r>
        <w:rPr>
          <w:spacing w:val="-5"/>
          <w:sz w:val="24"/>
        </w:rPr>
        <w:t>66)</w:t>
      </w:r>
      <w:r>
        <w:rPr>
          <w:sz w:val="24"/>
        </w:rPr>
        <w:tab/>
      </w:r>
      <w:r>
        <w:rPr>
          <w:spacing w:val="-5"/>
          <w:sz w:val="24"/>
        </w:rPr>
        <w:t>183</w:t>
      </w:r>
    </w:p>
    <w:p>
      <w:pPr>
        <w:pStyle w:val="ListParagraph"/>
        <w:numPr>
          <w:ilvl w:val="1"/>
          <w:numId w:val="10"/>
        </w:numPr>
        <w:tabs>
          <w:tab w:pos="638" w:val="left" w:leader="none"/>
          <w:tab w:pos="7486" w:val="left" w:leader="none"/>
        </w:tabs>
        <w:spacing w:line="240" w:lineRule="auto" w:before="0" w:after="0"/>
        <w:ind w:left="638" w:right="0" w:hanging="479"/>
        <w:jc w:val="left"/>
        <w:rPr>
          <w:sz w:val="24"/>
        </w:rPr>
      </w:pPr>
      <w:r>
        <w:rPr>
          <w:sz w:val="24"/>
        </w:rPr>
        <w:t>Fees</w:t>
      </w:r>
      <w:r>
        <w:rPr>
          <w:spacing w:val="-1"/>
          <w:sz w:val="24"/>
        </w:rPr>
        <w:t> </w:t>
      </w:r>
      <w:r>
        <w:rPr>
          <w:sz w:val="24"/>
        </w:rPr>
        <w:t>in</w:t>
      </w:r>
      <w:r>
        <w:rPr>
          <w:spacing w:val="-1"/>
          <w:sz w:val="24"/>
        </w:rPr>
        <w:t> </w:t>
      </w:r>
      <w:r>
        <w:rPr>
          <w:sz w:val="24"/>
        </w:rPr>
        <w:t>Education</w:t>
      </w:r>
      <w:r>
        <w:rPr>
          <w:spacing w:val="-1"/>
          <w:sz w:val="24"/>
        </w:rPr>
        <w:t> </w:t>
      </w:r>
      <w:r>
        <w:rPr>
          <w:sz w:val="24"/>
        </w:rPr>
        <w:t>(1960-</w:t>
      </w:r>
      <w:r>
        <w:rPr>
          <w:spacing w:val="-5"/>
          <w:sz w:val="24"/>
        </w:rPr>
        <w:t>61)</w:t>
      </w:r>
      <w:r>
        <w:rPr>
          <w:sz w:val="24"/>
        </w:rPr>
        <w:tab/>
      </w:r>
      <w:r>
        <w:rPr>
          <w:spacing w:val="-5"/>
          <w:sz w:val="24"/>
        </w:rPr>
        <w:t>184</w:t>
      </w:r>
    </w:p>
    <w:p>
      <w:pPr>
        <w:pStyle w:val="ListParagraph"/>
        <w:numPr>
          <w:ilvl w:val="1"/>
          <w:numId w:val="10"/>
        </w:numPr>
        <w:tabs>
          <w:tab w:pos="638" w:val="left" w:leader="none"/>
          <w:tab w:pos="7488" w:val="left" w:leader="none"/>
        </w:tabs>
        <w:spacing w:line="240" w:lineRule="auto" w:before="0" w:after="0"/>
        <w:ind w:left="638" w:right="0" w:hanging="479"/>
        <w:jc w:val="left"/>
        <w:rPr>
          <w:sz w:val="24"/>
        </w:rPr>
      </w:pPr>
      <w:r>
        <w:rPr>
          <w:sz w:val="24"/>
        </w:rPr>
        <w:t>Private</w:t>
      </w:r>
      <w:r>
        <w:rPr>
          <w:spacing w:val="-1"/>
          <w:sz w:val="24"/>
        </w:rPr>
        <w:t> </w:t>
      </w:r>
      <w:r>
        <w:rPr>
          <w:sz w:val="24"/>
        </w:rPr>
        <w:t>Costs</w:t>
      </w:r>
      <w:r>
        <w:rPr>
          <w:spacing w:val="-1"/>
          <w:sz w:val="24"/>
        </w:rPr>
        <w:t> </w:t>
      </w:r>
      <w:r>
        <w:rPr>
          <w:sz w:val="24"/>
        </w:rPr>
        <w:t>of</w:t>
      </w:r>
      <w:r>
        <w:rPr>
          <w:spacing w:val="-1"/>
          <w:sz w:val="24"/>
        </w:rPr>
        <w:t> </w:t>
      </w:r>
      <w:r>
        <w:rPr>
          <w:sz w:val="24"/>
        </w:rPr>
        <w:t>Education</w:t>
      </w:r>
      <w:r>
        <w:rPr>
          <w:spacing w:val="-1"/>
          <w:sz w:val="24"/>
        </w:rPr>
        <w:t> </w:t>
      </w:r>
      <w:r>
        <w:rPr>
          <w:sz w:val="24"/>
        </w:rPr>
        <w:t>(Annual)(1965-</w:t>
      </w:r>
      <w:r>
        <w:rPr>
          <w:spacing w:val="-5"/>
          <w:sz w:val="24"/>
        </w:rPr>
        <w:t>66)</w:t>
      </w:r>
      <w:r>
        <w:rPr>
          <w:sz w:val="24"/>
        </w:rPr>
        <w:tab/>
      </w:r>
      <w:r>
        <w:rPr>
          <w:spacing w:val="-5"/>
          <w:sz w:val="24"/>
        </w:rPr>
        <w:t>189</w:t>
      </w:r>
    </w:p>
    <w:p>
      <w:pPr>
        <w:pStyle w:val="ListParagraph"/>
        <w:numPr>
          <w:ilvl w:val="1"/>
          <w:numId w:val="10"/>
        </w:numPr>
        <w:tabs>
          <w:tab w:pos="578" w:val="left" w:leader="none"/>
        </w:tabs>
        <w:spacing w:line="240" w:lineRule="auto" w:before="0" w:after="0"/>
        <w:ind w:left="159" w:right="3751" w:firstLine="0"/>
        <w:jc w:val="left"/>
        <w:rPr>
          <w:sz w:val="24"/>
        </w:rPr>
      </w:pPr>
      <w:r>
        <w:rPr>
          <w:sz w:val="24"/>
        </w:rPr>
        <w:t>Socio-economic</w:t>
      </w:r>
      <w:r>
        <w:rPr>
          <w:spacing w:val="-8"/>
          <w:sz w:val="24"/>
        </w:rPr>
        <w:t> </w:t>
      </w:r>
      <w:r>
        <w:rPr>
          <w:sz w:val="24"/>
        </w:rPr>
        <w:t>Conditions</w:t>
      </w:r>
      <w:r>
        <w:rPr>
          <w:spacing w:val="-8"/>
          <w:sz w:val="24"/>
        </w:rPr>
        <w:t> </w:t>
      </w:r>
      <w:r>
        <w:rPr>
          <w:sz w:val="24"/>
        </w:rPr>
        <w:t>of</w:t>
      </w:r>
      <w:r>
        <w:rPr>
          <w:spacing w:val="-8"/>
          <w:sz w:val="24"/>
        </w:rPr>
        <w:t> </w:t>
      </w:r>
      <w:r>
        <w:rPr>
          <w:sz w:val="24"/>
        </w:rPr>
        <w:t>Students</w:t>
      </w:r>
      <w:r>
        <w:rPr>
          <w:spacing w:val="-8"/>
          <w:sz w:val="24"/>
        </w:rPr>
        <w:t> </w:t>
      </w:r>
      <w:r>
        <w:rPr>
          <w:sz w:val="24"/>
        </w:rPr>
        <w:t>admitted</w:t>
      </w:r>
      <w:r>
        <w:rPr>
          <w:spacing w:val="-8"/>
          <w:sz w:val="24"/>
        </w:rPr>
        <w:t> </w:t>
      </w:r>
      <w:r>
        <w:rPr>
          <w:sz w:val="24"/>
        </w:rPr>
        <w:t>to Vocational, Technical and Professional Institutions</w:t>
      </w:r>
    </w:p>
    <w:p>
      <w:pPr>
        <w:pStyle w:val="BodyText"/>
        <w:tabs>
          <w:tab w:pos="7487" w:val="left" w:leader="none"/>
        </w:tabs>
        <w:ind w:left="159"/>
      </w:pPr>
      <w:r>
        <w:rPr/>
        <w:t>in 1965 </w:t>
      </w:r>
      <w:r>
        <w:rPr>
          <w:spacing w:val="-10"/>
        </w:rPr>
        <w:t>.</w:t>
      </w:r>
      <w:r>
        <w:rPr/>
        <w:tab/>
      </w:r>
      <w:r>
        <w:rPr>
          <w:spacing w:val="-5"/>
        </w:rPr>
        <w:t>199</w:t>
      </w:r>
    </w:p>
    <w:p>
      <w:pPr>
        <w:pStyle w:val="ListParagraph"/>
        <w:numPr>
          <w:ilvl w:val="1"/>
          <w:numId w:val="10"/>
        </w:numPr>
        <w:tabs>
          <w:tab w:pos="639" w:val="left" w:leader="none"/>
        </w:tabs>
        <w:spacing w:line="240" w:lineRule="auto" w:before="0" w:after="0"/>
        <w:ind w:left="639" w:right="0" w:hanging="480"/>
        <w:jc w:val="left"/>
        <w:rPr>
          <w:sz w:val="24"/>
        </w:rPr>
      </w:pPr>
      <w:r>
        <w:rPr>
          <w:sz w:val="24"/>
        </w:rPr>
        <w:t>Expenditure on </w:t>
      </w:r>
      <w:r>
        <w:rPr>
          <w:spacing w:val="-2"/>
          <w:sz w:val="24"/>
        </w:rPr>
        <w:t>Scholarships/Stipends,</w:t>
      </w:r>
    </w:p>
    <w:p>
      <w:pPr>
        <w:pStyle w:val="BodyText"/>
        <w:tabs>
          <w:tab w:pos="7486" w:val="left" w:leader="none"/>
        </w:tabs>
        <w:ind w:left="159"/>
      </w:pPr>
      <w:r>
        <w:rPr/>
        <w:t>by</w:t>
      </w:r>
      <w:r>
        <w:rPr>
          <w:spacing w:val="-1"/>
        </w:rPr>
        <w:t> </w:t>
      </w:r>
      <w:r>
        <w:rPr/>
        <w:t>Sources</w:t>
      </w:r>
      <w:r>
        <w:rPr>
          <w:spacing w:val="59"/>
        </w:rPr>
        <w:t> </w:t>
      </w:r>
      <w:r>
        <w:rPr/>
        <w:t>(1960-</w:t>
      </w:r>
      <w:r>
        <w:rPr>
          <w:spacing w:val="-5"/>
        </w:rPr>
        <w:t>61)</w:t>
      </w:r>
      <w:r>
        <w:rPr/>
        <w:tab/>
      </w:r>
      <w:r>
        <w:rPr>
          <w:spacing w:val="-5"/>
        </w:rPr>
        <w:t>203</w:t>
      </w:r>
    </w:p>
    <w:p>
      <w:pPr>
        <w:pStyle w:val="ListParagraph"/>
        <w:numPr>
          <w:ilvl w:val="1"/>
          <w:numId w:val="10"/>
        </w:numPr>
        <w:tabs>
          <w:tab w:pos="639" w:val="left" w:leader="none"/>
          <w:tab w:pos="7486" w:val="left" w:leader="none"/>
        </w:tabs>
        <w:spacing w:line="240" w:lineRule="auto" w:before="0" w:after="0"/>
        <w:ind w:left="639" w:right="0" w:hanging="480"/>
        <w:jc w:val="left"/>
        <w:rPr>
          <w:sz w:val="24"/>
        </w:rPr>
      </w:pPr>
      <w:r>
        <w:rPr>
          <w:sz w:val="24"/>
        </w:rPr>
        <w:t>Estimated</w:t>
      </w:r>
      <w:r>
        <w:rPr>
          <w:spacing w:val="-1"/>
          <w:sz w:val="24"/>
        </w:rPr>
        <w:t> </w:t>
      </w:r>
      <w:r>
        <w:rPr>
          <w:sz w:val="24"/>
        </w:rPr>
        <w:t>Number</w:t>
      </w:r>
      <w:r>
        <w:rPr>
          <w:spacing w:val="-1"/>
          <w:sz w:val="24"/>
        </w:rPr>
        <w:t> </w:t>
      </w:r>
      <w:r>
        <w:rPr>
          <w:sz w:val="24"/>
        </w:rPr>
        <w:t>of</w:t>
      </w:r>
      <w:r>
        <w:rPr>
          <w:spacing w:val="-1"/>
          <w:sz w:val="24"/>
        </w:rPr>
        <w:t> </w:t>
      </w:r>
      <w:r>
        <w:rPr>
          <w:sz w:val="24"/>
        </w:rPr>
        <w:t>Handicapped</w:t>
      </w:r>
      <w:r>
        <w:rPr>
          <w:spacing w:val="-1"/>
          <w:sz w:val="24"/>
        </w:rPr>
        <w:t> </w:t>
      </w:r>
      <w:r>
        <w:rPr>
          <w:sz w:val="24"/>
        </w:rPr>
        <w:t>Children </w:t>
      </w:r>
      <w:r>
        <w:rPr>
          <w:spacing w:val="-10"/>
          <w:sz w:val="24"/>
        </w:rPr>
        <w:t>.</w:t>
      </w:r>
      <w:r>
        <w:rPr>
          <w:sz w:val="24"/>
        </w:rPr>
        <w:tab/>
      </w:r>
      <w:r>
        <w:rPr>
          <w:spacing w:val="-5"/>
          <w:sz w:val="24"/>
        </w:rPr>
        <w:t>205</w:t>
      </w:r>
    </w:p>
    <w:p>
      <w:pPr>
        <w:pStyle w:val="ListParagraph"/>
        <w:numPr>
          <w:ilvl w:val="1"/>
          <w:numId w:val="10"/>
        </w:numPr>
        <w:tabs>
          <w:tab w:pos="576" w:val="left" w:leader="none"/>
        </w:tabs>
        <w:spacing w:line="240" w:lineRule="auto" w:before="0" w:after="0"/>
        <w:ind w:left="576" w:right="0" w:hanging="417"/>
        <w:jc w:val="left"/>
        <w:rPr>
          <w:sz w:val="24"/>
        </w:rPr>
      </w:pPr>
      <w:r>
        <w:rPr>
          <w:sz w:val="24"/>
        </w:rPr>
        <w:t>Educational</w:t>
      </w:r>
      <w:r>
        <w:rPr>
          <w:spacing w:val="-9"/>
          <w:sz w:val="24"/>
        </w:rPr>
        <w:t> </w:t>
      </w:r>
      <w:r>
        <w:rPr>
          <w:sz w:val="24"/>
        </w:rPr>
        <w:t>Ability,</w:t>
      </w:r>
      <w:r>
        <w:rPr>
          <w:spacing w:val="-8"/>
          <w:sz w:val="24"/>
        </w:rPr>
        <w:t> </w:t>
      </w:r>
      <w:r>
        <w:rPr>
          <w:sz w:val="24"/>
        </w:rPr>
        <w:t>Effort</w:t>
      </w:r>
      <w:r>
        <w:rPr>
          <w:spacing w:val="-8"/>
          <w:sz w:val="24"/>
        </w:rPr>
        <w:t> </w:t>
      </w:r>
      <w:r>
        <w:rPr>
          <w:spacing w:val="-5"/>
          <w:sz w:val="24"/>
        </w:rPr>
        <w:t>and</w:t>
      </w:r>
    </w:p>
    <w:p>
      <w:pPr>
        <w:pStyle w:val="BodyText"/>
        <w:tabs>
          <w:tab w:pos="7488" w:val="left" w:leader="none"/>
        </w:tabs>
        <w:ind w:left="159"/>
      </w:pPr>
      <w:r>
        <w:rPr/>
        <w:t>Achievement</w:t>
      </w:r>
      <w:r>
        <w:rPr>
          <w:spacing w:val="-2"/>
        </w:rPr>
        <w:t> </w:t>
      </w:r>
      <w:r>
        <w:rPr/>
        <w:t>in</w:t>
      </w:r>
      <w:r>
        <w:rPr>
          <w:spacing w:val="-2"/>
        </w:rPr>
        <w:t> </w:t>
      </w:r>
      <w:r>
        <w:rPr/>
        <w:t>States</w:t>
      </w:r>
      <w:r>
        <w:rPr>
          <w:spacing w:val="-1"/>
        </w:rPr>
        <w:t> </w:t>
      </w:r>
      <w:r>
        <w:rPr/>
        <w:t>(1960-</w:t>
      </w:r>
      <w:r>
        <w:rPr>
          <w:spacing w:val="-5"/>
        </w:rPr>
        <w:t>61)</w:t>
      </w:r>
      <w:r>
        <w:rPr/>
        <w:tab/>
      </w:r>
      <w:r>
        <w:rPr>
          <w:spacing w:val="-5"/>
        </w:rPr>
        <w:t>209</w:t>
      </w:r>
    </w:p>
    <w:p>
      <w:pPr>
        <w:pStyle w:val="ListParagraph"/>
        <w:numPr>
          <w:ilvl w:val="1"/>
          <w:numId w:val="10"/>
        </w:numPr>
        <w:tabs>
          <w:tab w:pos="640" w:val="left" w:leader="none"/>
        </w:tabs>
        <w:spacing w:line="240" w:lineRule="auto" w:before="0" w:after="0"/>
        <w:ind w:left="640" w:right="0" w:hanging="480"/>
        <w:jc w:val="left"/>
        <w:rPr>
          <w:sz w:val="24"/>
        </w:rPr>
      </w:pPr>
      <w:r>
        <w:rPr>
          <w:sz w:val="24"/>
        </w:rPr>
        <w:t>Districts with Lowest and Highest Total </w:t>
      </w:r>
      <w:r>
        <w:rPr>
          <w:spacing w:val="-2"/>
          <w:sz w:val="24"/>
        </w:rPr>
        <w:t>Enrolment</w:t>
      </w:r>
    </w:p>
    <w:p>
      <w:pPr>
        <w:pStyle w:val="BodyText"/>
        <w:tabs>
          <w:tab w:pos="7487" w:val="left" w:leader="none"/>
        </w:tabs>
        <w:ind w:left="160"/>
      </w:pPr>
      <w:r>
        <w:rPr/>
        <w:t>at</w:t>
      </w:r>
      <w:r>
        <w:rPr>
          <w:spacing w:val="59"/>
        </w:rPr>
        <w:t> </w:t>
      </w:r>
      <w:r>
        <w:rPr/>
        <w:t>Lower</w:t>
      </w:r>
      <w:r>
        <w:rPr>
          <w:spacing w:val="-1"/>
        </w:rPr>
        <w:t> </w:t>
      </w:r>
      <w:r>
        <w:rPr/>
        <w:t>primary </w:t>
      </w:r>
      <w:r>
        <w:rPr>
          <w:spacing w:val="-2"/>
        </w:rPr>
        <w:t>Stage</w:t>
      </w:r>
      <w:r>
        <w:rPr/>
        <w:tab/>
      </w:r>
      <w:r>
        <w:rPr>
          <w:spacing w:val="-5"/>
        </w:rPr>
        <w:t>212</w:t>
      </w:r>
    </w:p>
    <w:p>
      <w:pPr>
        <w:pStyle w:val="ListParagraph"/>
        <w:numPr>
          <w:ilvl w:val="1"/>
          <w:numId w:val="10"/>
        </w:numPr>
        <w:tabs>
          <w:tab w:pos="580" w:val="left" w:leader="none"/>
        </w:tabs>
        <w:spacing w:line="240" w:lineRule="auto" w:before="0" w:after="0"/>
        <w:ind w:left="580" w:right="0" w:hanging="420"/>
        <w:jc w:val="left"/>
        <w:rPr>
          <w:sz w:val="24"/>
        </w:rPr>
      </w:pPr>
      <w:r>
        <w:rPr>
          <w:sz w:val="24"/>
        </w:rPr>
        <w:t>Districts</w:t>
      </w:r>
      <w:r>
        <w:rPr>
          <w:spacing w:val="-1"/>
          <w:sz w:val="24"/>
        </w:rPr>
        <w:t> </w:t>
      </w:r>
      <w:r>
        <w:rPr>
          <w:sz w:val="24"/>
        </w:rPr>
        <w:t>with Lowest and</w:t>
      </w:r>
      <w:r>
        <w:rPr>
          <w:spacing w:val="-1"/>
          <w:sz w:val="24"/>
        </w:rPr>
        <w:t> </w:t>
      </w:r>
      <w:r>
        <w:rPr>
          <w:sz w:val="24"/>
        </w:rPr>
        <w:t>Highest Enrolment </w:t>
      </w:r>
      <w:r>
        <w:rPr>
          <w:spacing w:val="-5"/>
          <w:sz w:val="24"/>
        </w:rPr>
        <w:t>of</w:t>
      </w:r>
    </w:p>
    <w:p>
      <w:pPr>
        <w:pStyle w:val="BodyText"/>
        <w:tabs>
          <w:tab w:pos="7488" w:val="left" w:leader="none"/>
        </w:tabs>
        <w:ind w:left="160"/>
      </w:pPr>
      <w:r>
        <w:rPr/>
        <w:t>Girls</w:t>
      </w:r>
      <w:r>
        <w:rPr>
          <w:spacing w:val="-1"/>
        </w:rPr>
        <w:t> </w:t>
      </w:r>
      <w:r>
        <w:rPr/>
        <w:t>at Lower</w:t>
      </w:r>
      <w:r>
        <w:rPr>
          <w:spacing w:val="-1"/>
        </w:rPr>
        <w:t> </w:t>
      </w:r>
      <w:r>
        <w:rPr/>
        <w:t>Primary </w:t>
      </w:r>
      <w:r>
        <w:rPr>
          <w:spacing w:val="-2"/>
        </w:rPr>
        <w:t>Stage</w:t>
      </w:r>
      <w:r>
        <w:rPr/>
        <w:tab/>
      </w:r>
      <w:r>
        <w:rPr>
          <w:spacing w:val="-5"/>
        </w:rPr>
        <w:t>212</w:t>
      </w:r>
    </w:p>
    <w:p>
      <w:pPr>
        <w:spacing w:after="0"/>
        <w:sectPr>
          <w:pgSz w:w="12240" w:h="15840"/>
          <w:pgMar w:header="0" w:footer="743" w:top="1360" w:bottom="940" w:left="1640" w:right="1300"/>
        </w:sectPr>
      </w:pPr>
    </w:p>
    <w:p>
      <w:pPr>
        <w:pStyle w:val="BodyText"/>
        <w:spacing w:before="3"/>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0"/>
        <w:gridCol w:w="1258"/>
      </w:tblGrid>
      <w:tr>
        <w:trPr>
          <w:trHeight w:val="546" w:hRule="atLeast"/>
        </w:trPr>
        <w:tc>
          <w:tcPr>
            <w:tcW w:w="6530" w:type="dxa"/>
          </w:tcPr>
          <w:p>
            <w:pPr>
              <w:pStyle w:val="TableParagraph"/>
              <w:spacing w:line="266" w:lineRule="exact"/>
              <w:ind w:left="50"/>
              <w:rPr>
                <w:sz w:val="24"/>
              </w:rPr>
            </w:pPr>
            <w:r>
              <w:rPr>
                <w:sz w:val="24"/>
              </w:rPr>
              <w:t>6.10 Districts with Lowest and Highest Total </w:t>
            </w:r>
            <w:r>
              <w:rPr>
                <w:spacing w:val="-2"/>
                <w:sz w:val="24"/>
              </w:rPr>
              <w:t>Enrolment</w:t>
            </w:r>
          </w:p>
          <w:p>
            <w:pPr>
              <w:pStyle w:val="TableParagraph"/>
              <w:spacing w:line="261" w:lineRule="exact"/>
              <w:ind w:left="50"/>
              <w:rPr>
                <w:sz w:val="24"/>
              </w:rPr>
            </w:pPr>
            <w:r>
              <w:rPr>
                <w:sz w:val="24"/>
              </w:rPr>
              <w:t>at</w:t>
            </w:r>
            <w:r>
              <w:rPr>
                <w:spacing w:val="-1"/>
                <w:sz w:val="24"/>
              </w:rPr>
              <w:t> </w:t>
            </w:r>
            <w:r>
              <w:rPr>
                <w:sz w:val="24"/>
              </w:rPr>
              <w:t>Higher</w:t>
            </w:r>
            <w:r>
              <w:rPr>
                <w:spacing w:val="-1"/>
                <w:sz w:val="24"/>
              </w:rPr>
              <w:t> </w:t>
            </w:r>
            <w:r>
              <w:rPr>
                <w:sz w:val="24"/>
              </w:rPr>
              <w:t>Primary </w:t>
            </w:r>
            <w:r>
              <w:rPr>
                <w:spacing w:val="-2"/>
                <w:sz w:val="24"/>
              </w:rPr>
              <w:t>Stage</w:t>
            </w:r>
          </w:p>
        </w:tc>
        <w:tc>
          <w:tcPr>
            <w:tcW w:w="1258" w:type="dxa"/>
          </w:tcPr>
          <w:p>
            <w:pPr>
              <w:pStyle w:val="TableParagraph"/>
              <w:spacing w:line="261" w:lineRule="exact" w:before="266"/>
              <w:ind w:left="847"/>
              <w:rPr>
                <w:sz w:val="24"/>
              </w:rPr>
            </w:pPr>
            <w:r>
              <w:rPr>
                <w:spacing w:val="-5"/>
                <w:sz w:val="24"/>
              </w:rPr>
              <w:t>213</w:t>
            </w:r>
          </w:p>
        </w:tc>
      </w:tr>
      <w:tr>
        <w:trPr>
          <w:trHeight w:val="551" w:hRule="atLeast"/>
        </w:trPr>
        <w:tc>
          <w:tcPr>
            <w:tcW w:w="6530" w:type="dxa"/>
          </w:tcPr>
          <w:p>
            <w:pPr>
              <w:pStyle w:val="TableParagraph"/>
              <w:spacing w:line="271" w:lineRule="exact"/>
              <w:ind w:left="50"/>
              <w:rPr>
                <w:sz w:val="24"/>
              </w:rPr>
            </w:pPr>
            <w:r>
              <w:rPr>
                <w:sz w:val="24"/>
              </w:rPr>
              <w:t>6.11</w:t>
            </w:r>
            <w:r>
              <w:rPr>
                <w:spacing w:val="-1"/>
                <w:sz w:val="24"/>
              </w:rPr>
              <w:t> </w:t>
            </w:r>
            <w:r>
              <w:rPr>
                <w:sz w:val="24"/>
              </w:rPr>
              <w:t>Districts with Lowest and</w:t>
            </w:r>
            <w:r>
              <w:rPr>
                <w:spacing w:val="-1"/>
                <w:sz w:val="24"/>
              </w:rPr>
              <w:t> </w:t>
            </w:r>
            <w:r>
              <w:rPr>
                <w:sz w:val="24"/>
              </w:rPr>
              <w:t>Highest Enrolment of </w:t>
            </w:r>
            <w:r>
              <w:rPr>
                <w:spacing w:val="-2"/>
                <w:sz w:val="24"/>
              </w:rPr>
              <w:t>Girls</w:t>
            </w:r>
          </w:p>
          <w:p>
            <w:pPr>
              <w:pStyle w:val="TableParagraph"/>
              <w:spacing w:line="261" w:lineRule="exact"/>
              <w:ind w:left="50"/>
              <w:rPr>
                <w:sz w:val="24"/>
              </w:rPr>
            </w:pPr>
            <w:r>
              <w:rPr>
                <w:sz w:val="24"/>
              </w:rPr>
              <w:t>at</w:t>
            </w:r>
            <w:r>
              <w:rPr>
                <w:spacing w:val="-1"/>
                <w:sz w:val="24"/>
              </w:rPr>
              <w:t> </w:t>
            </w:r>
            <w:r>
              <w:rPr>
                <w:sz w:val="24"/>
              </w:rPr>
              <w:t>Higher</w:t>
            </w:r>
            <w:r>
              <w:rPr>
                <w:spacing w:val="-1"/>
                <w:sz w:val="24"/>
              </w:rPr>
              <w:t> </w:t>
            </w:r>
            <w:r>
              <w:rPr>
                <w:sz w:val="24"/>
              </w:rPr>
              <w:t>Primary </w:t>
            </w:r>
            <w:r>
              <w:rPr>
                <w:spacing w:val="-2"/>
                <w:sz w:val="24"/>
              </w:rPr>
              <w:t>Stage</w:t>
            </w:r>
          </w:p>
        </w:tc>
        <w:tc>
          <w:tcPr>
            <w:tcW w:w="1258" w:type="dxa"/>
          </w:tcPr>
          <w:p>
            <w:pPr>
              <w:pStyle w:val="TableParagraph"/>
              <w:spacing w:line="261" w:lineRule="exact" w:before="271"/>
              <w:ind w:left="847"/>
              <w:rPr>
                <w:sz w:val="24"/>
              </w:rPr>
            </w:pPr>
            <w:r>
              <w:rPr>
                <w:spacing w:val="-5"/>
                <w:sz w:val="24"/>
              </w:rPr>
              <w:t>213</w:t>
            </w:r>
          </w:p>
        </w:tc>
      </w:tr>
      <w:tr>
        <w:trPr>
          <w:trHeight w:val="551" w:hRule="atLeast"/>
        </w:trPr>
        <w:tc>
          <w:tcPr>
            <w:tcW w:w="6530" w:type="dxa"/>
          </w:tcPr>
          <w:p>
            <w:pPr>
              <w:pStyle w:val="TableParagraph"/>
              <w:spacing w:line="271" w:lineRule="exact"/>
              <w:ind w:left="50"/>
              <w:rPr>
                <w:sz w:val="24"/>
              </w:rPr>
            </w:pPr>
            <w:r>
              <w:rPr>
                <w:sz w:val="24"/>
              </w:rPr>
              <w:t>6.12</w:t>
            </w:r>
            <w:r>
              <w:rPr>
                <w:spacing w:val="60"/>
                <w:sz w:val="24"/>
              </w:rPr>
              <w:t> </w:t>
            </w:r>
            <w:r>
              <w:rPr>
                <w:sz w:val="24"/>
              </w:rPr>
              <w:t>Districts with Lowest and Highest Total </w:t>
            </w:r>
            <w:r>
              <w:rPr>
                <w:spacing w:val="-2"/>
                <w:sz w:val="24"/>
              </w:rPr>
              <w:t>Enrolment</w:t>
            </w:r>
          </w:p>
          <w:p>
            <w:pPr>
              <w:pStyle w:val="TableParagraph"/>
              <w:spacing w:line="261" w:lineRule="exact"/>
              <w:ind w:left="50"/>
              <w:rPr>
                <w:sz w:val="24"/>
              </w:rPr>
            </w:pPr>
            <w:r>
              <w:rPr>
                <w:sz w:val="24"/>
              </w:rPr>
              <w:t>at</w:t>
            </w:r>
            <w:r>
              <w:rPr>
                <w:spacing w:val="-1"/>
                <w:sz w:val="24"/>
              </w:rPr>
              <w:t> </w:t>
            </w:r>
            <w:r>
              <w:rPr>
                <w:sz w:val="24"/>
              </w:rPr>
              <w:t>Secondary</w:t>
            </w:r>
            <w:r>
              <w:rPr>
                <w:spacing w:val="-1"/>
                <w:sz w:val="24"/>
              </w:rPr>
              <w:t> </w:t>
            </w:r>
            <w:r>
              <w:rPr>
                <w:spacing w:val="-2"/>
                <w:sz w:val="24"/>
              </w:rPr>
              <w:t>Stage</w:t>
            </w:r>
          </w:p>
        </w:tc>
        <w:tc>
          <w:tcPr>
            <w:tcW w:w="1258" w:type="dxa"/>
          </w:tcPr>
          <w:p>
            <w:pPr>
              <w:pStyle w:val="TableParagraph"/>
              <w:spacing w:line="261" w:lineRule="exact" w:before="271"/>
              <w:ind w:left="848"/>
              <w:rPr>
                <w:sz w:val="24"/>
              </w:rPr>
            </w:pPr>
            <w:r>
              <w:rPr>
                <w:spacing w:val="-5"/>
                <w:sz w:val="24"/>
              </w:rPr>
              <w:t>214</w:t>
            </w:r>
          </w:p>
        </w:tc>
      </w:tr>
      <w:tr>
        <w:trPr>
          <w:trHeight w:val="551" w:hRule="atLeast"/>
        </w:trPr>
        <w:tc>
          <w:tcPr>
            <w:tcW w:w="6530" w:type="dxa"/>
          </w:tcPr>
          <w:p>
            <w:pPr>
              <w:pStyle w:val="TableParagraph"/>
              <w:spacing w:line="271" w:lineRule="exact"/>
              <w:ind w:left="50"/>
              <w:rPr>
                <w:sz w:val="24"/>
              </w:rPr>
            </w:pPr>
            <w:r>
              <w:rPr>
                <w:sz w:val="24"/>
              </w:rPr>
              <w:t>6.13</w:t>
            </w:r>
            <w:r>
              <w:rPr>
                <w:spacing w:val="-1"/>
                <w:sz w:val="24"/>
              </w:rPr>
              <w:t> </w:t>
            </w:r>
            <w:r>
              <w:rPr>
                <w:sz w:val="24"/>
              </w:rPr>
              <w:t>Districts with Lowest and</w:t>
            </w:r>
            <w:r>
              <w:rPr>
                <w:spacing w:val="-1"/>
                <w:sz w:val="24"/>
              </w:rPr>
              <w:t> </w:t>
            </w:r>
            <w:r>
              <w:rPr>
                <w:sz w:val="24"/>
              </w:rPr>
              <w:t>Highest Enrolment of </w:t>
            </w:r>
            <w:r>
              <w:rPr>
                <w:spacing w:val="-2"/>
                <w:sz w:val="24"/>
              </w:rPr>
              <w:t>Girls</w:t>
            </w:r>
          </w:p>
          <w:p>
            <w:pPr>
              <w:pStyle w:val="TableParagraph"/>
              <w:spacing w:line="261" w:lineRule="exact"/>
              <w:ind w:left="50"/>
              <w:rPr>
                <w:sz w:val="24"/>
              </w:rPr>
            </w:pPr>
            <w:r>
              <w:rPr>
                <w:sz w:val="24"/>
              </w:rPr>
              <w:t>at</w:t>
            </w:r>
            <w:r>
              <w:rPr>
                <w:spacing w:val="-6"/>
                <w:sz w:val="24"/>
              </w:rPr>
              <w:t> </w:t>
            </w:r>
            <w:r>
              <w:rPr>
                <w:sz w:val="24"/>
              </w:rPr>
              <w:t>Secondary</w:t>
            </w:r>
            <w:r>
              <w:rPr>
                <w:spacing w:val="-5"/>
                <w:sz w:val="24"/>
              </w:rPr>
              <w:t> </w:t>
            </w:r>
            <w:r>
              <w:rPr>
                <w:spacing w:val="-2"/>
                <w:sz w:val="24"/>
              </w:rPr>
              <w:t>Stage</w:t>
            </w:r>
          </w:p>
        </w:tc>
        <w:tc>
          <w:tcPr>
            <w:tcW w:w="1258" w:type="dxa"/>
          </w:tcPr>
          <w:p>
            <w:pPr>
              <w:pStyle w:val="TableParagraph"/>
              <w:spacing w:line="261" w:lineRule="exact" w:before="271"/>
              <w:ind w:left="848"/>
              <w:rPr>
                <w:sz w:val="24"/>
              </w:rPr>
            </w:pPr>
            <w:r>
              <w:rPr>
                <w:spacing w:val="-5"/>
                <w:sz w:val="24"/>
              </w:rPr>
              <w:t>219</w:t>
            </w:r>
          </w:p>
        </w:tc>
      </w:tr>
      <w:tr>
        <w:trPr>
          <w:trHeight w:val="551" w:hRule="atLeast"/>
        </w:trPr>
        <w:tc>
          <w:tcPr>
            <w:tcW w:w="6530" w:type="dxa"/>
          </w:tcPr>
          <w:p>
            <w:pPr>
              <w:pStyle w:val="TableParagraph"/>
              <w:spacing w:line="271" w:lineRule="exact"/>
              <w:ind w:left="50"/>
              <w:rPr>
                <w:sz w:val="24"/>
              </w:rPr>
            </w:pPr>
            <w:r>
              <w:rPr>
                <w:sz w:val="24"/>
              </w:rPr>
              <w:t>6.14</w:t>
            </w:r>
            <w:r>
              <w:rPr>
                <w:spacing w:val="58"/>
                <w:sz w:val="24"/>
              </w:rPr>
              <w:t> </w:t>
            </w:r>
            <w:r>
              <w:rPr>
                <w:sz w:val="24"/>
              </w:rPr>
              <w:t>Districts with Lowest and </w:t>
            </w:r>
            <w:r>
              <w:rPr>
                <w:spacing w:val="-2"/>
                <w:sz w:val="24"/>
              </w:rPr>
              <w:t>Highest</w:t>
            </w:r>
          </w:p>
          <w:p>
            <w:pPr>
              <w:pStyle w:val="TableParagraph"/>
              <w:spacing w:line="261" w:lineRule="exact"/>
              <w:ind w:left="50"/>
              <w:rPr>
                <w:sz w:val="24"/>
              </w:rPr>
            </w:pPr>
            <w:r>
              <w:rPr>
                <w:sz w:val="24"/>
              </w:rPr>
              <w:t>Educational</w:t>
            </w:r>
            <w:r>
              <w:rPr>
                <w:spacing w:val="59"/>
                <w:sz w:val="24"/>
              </w:rPr>
              <w:t> </w:t>
            </w:r>
            <w:r>
              <w:rPr>
                <w:spacing w:val="-2"/>
                <w:sz w:val="24"/>
              </w:rPr>
              <w:t>Expenditure</w:t>
            </w:r>
          </w:p>
        </w:tc>
        <w:tc>
          <w:tcPr>
            <w:tcW w:w="1258" w:type="dxa"/>
          </w:tcPr>
          <w:p>
            <w:pPr>
              <w:pStyle w:val="TableParagraph"/>
              <w:spacing w:line="261" w:lineRule="exact" w:before="271"/>
              <w:ind w:left="847"/>
              <w:rPr>
                <w:sz w:val="24"/>
              </w:rPr>
            </w:pPr>
            <w:r>
              <w:rPr>
                <w:spacing w:val="-5"/>
                <w:sz w:val="24"/>
              </w:rPr>
              <w:t>219</w:t>
            </w:r>
          </w:p>
        </w:tc>
      </w:tr>
      <w:tr>
        <w:trPr>
          <w:trHeight w:val="275" w:hRule="atLeast"/>
        </w:trPr>
        <w:tc>
          <w:tcPr>
            <w:tcW w:w="6530" w:type="dxa"/>
          </w:tcPr>
          <w:p>
            <w:pPr>
              <w:pStyle w:val="TableParagraph"/>
              <w:spacing w:line="256" w:lineRule="exact"/>
              <w:ind w:left="50"/>
              <w:rPr>
                <w:sz w:val="24"/>
              </w:rPr>
            </w:pPr>
            <w:r>
              <w:rPr>
                <w:sz w:val="24"/>
              </w:rPr>
              <w:t>6.15</w:t>
            </w:r>
            <w:r>
              <w:rPr>
                <w:spacing w:val="59"/>
                <w:sz w:val="24"/>
              </w:rPr>
              <w:t> </w:t>
            </w:r>
            <w:r>
              <w:rPr>
                <w:sz w:val="24"/>
              </w:rPr>
              <w:t>Education</w:t>
            </w:r>
            <w:r>
              <w:rPr>
                <w:spacing w:val="-1"/>
                <w:sz w:val="24"/>
              </w:rPr>
              <w:t> </w:t>
            </w:r>
            <w:r>
              <w:rPr>
                <w:sz w:val="24"/>
              </w:rPr>
              <w:t>of</w:t>
            </w:r>
            <w:r>
              <w:rPr>
                <w:spacing w:val="-1"/>
                <w:sz w:val="24"/>
              </w:rPr>
              <w:t> </w:t>
            </w:r>
            <w:r>
              <w:rPr>
                <w:sz w:val="24"/>
              </w:rPr>
              <w:t>Girls</w:t>
            </w:r>
            <w:r>
              <w:rPr>
                <w:spacing w:val="-1"/>
                <w:sz w:val="24"/>
              </w:rPr>
              <w:t> </w:t>
            </w:r>
            <w:r>
              <w:rPr>
                <w:sz w:val="24"/>
              </w:rPr>
              <w:t>(1950-</w:t>
            </w:r>
            <w:r>
              <w:rPr>
                <w:spacing w:val="-5"/>
                <w:sz w:val="24"/>
              </w:rPr>
              <w:t>65)</w:t>
            </w:r>
          </w:p>
        </w:tc>
        <w:tc>
          <w:tcPr>
            <w:tcW w:w="1258" w:type="dxa"/>
          </w:tcPr>
          <w:p>
            <w:pPr>
              <w:pStyle w:val="TableParagraph"/>
              <w:spacing w:line="256" w:lineRule="exact"/>
              <w:ind w:left="848"/>
              <w:rPr>
                <w:sz w:val="24"/>
              </w:rPr>
            </w:pPr>
            <w:r>
              <w:rPr>
                <w:spacing w:val="-5"/>
                <w:sz w:val="24"/>
              </w:rPr>
              <w:t>222</w:t>
            </w:r>
          </w:p>
        </w:tc>
      </w:tr>
      <w:tr>
        <w:trPr>
          <w:trHeight w:val="413" w:hRule="atLeast"/>
        </w:trPr>
        <w:tc>
          <w:tcPr>
            <w:tcW w:w="6530" w:type="dxa"/>
          </w:tcPr>
          <w:p>
            <w:pPr>
              <w:pStyle w:val="TableParagraph"/>
              <w:spacing w:line="271" w:lineRule="exact"/>
              <w:ind w:left="50"/>
              <w:rPr>
                <w:sz w:val="24"/>
              </w:rPr>
            </w:pPr>
            <w:r>
              <w:rPr>
                <w:sz w:val="24"/>
              </w:rPr>
              <w:t>6.16</w:t>
            </w:r>
            <w:r>
              <w:rPr>
                <w:spacing w:val="59"/>
                <w:sz w:val="24"/>
              </w:rPr>
              <w:t> </w:t>
            </w:r>
            <w:r>
              <w:rPr>
                <w:sz w:val="24"/>
              </w:rPr>
              <w:t>Education among</w:t>
            </w:r>
            <w:r>
              <w:rPr>
                <w:spacing w:val="-1"/>
                <w:sz w:val="24"/>
              </w:rPr>
              <w:t> </w:t>
            </w:r>
            <w:r>
              <w:rPr>
                <w:sz w:val="24"/>
              </w:rPr>
              <w:t>the Scheduled Tribes </w:t>
            </w:r>
            <w:r>
              <w:rPr>
                <w:spacing w:val="-2"/>
                <w:sz w:val="24"/>
              </w:rPr>
              <w:t>(1961)</w:t>
            </w:r>
          </w:p>
        </w:tc>
        <w:tc>
          <w:tcPr>
            <w:tcW w:w="1258" w:type="dxa"/>
          </w:tcPr>
          <w:p>
            <w:pPr>
              <w:pStyle w:val="TableParagraph"/>
              <w:spacing w:line="271" w:lineRule="exact"/>
              <w:ind w:left="848"/>
              <w:rPr>
                <w:sz w:val="24"/>
              </w:rPr>
            </w:pPr>
            <w:r>
              <w:rPr>
                <w:spacing w:val="-5"/>
                <w:sz w:val="24"/>
              </w:rPr>
              <w:t>227</w:t>
            </w:r>
          </w:p>
        </w:tc>
      </w:tr>
      <w:tr>
        <w:trPr>
          <w:trHeight w:val="551" w:hRule="atLeast"/>
        </w:trPr>
        <w:tc>
          <w:tcPr>
            <w:tcW w:w="6530" w:type="dxa"/>
          </w:tcPr>
          <w:p>
            <w:pPr>
              <w:pStyle w:val="TableParagraph"/>
              <w:spacing w:before="133"/>
              <w:ind w:left="50"/>
              <w:rPr>
                <w:sz w:val="24"/>
              </w:rPr>
            </w:pPr>
            <w:r>
              <w:rPr>
                <w:spacing w:val="-2"/>
                <w:sz w:val="24"/>
              </w:rPr>
              <w:t>CHARTS</w:t>
            </w:r>
          </w:p>
        </w:tc>
        <w:tc>
          <w:tcPr>
            <w:tcW w:w="1258" w:type="dxa"/>
          </w:tcPr>
          <w:p>
            <w:pPr>
              <w:pStyle w:val="TableParagraph"/>
              <w:rPr>
                <w:sz w:val="22"/>
              </w:rPr>
            </w:pPr>
          </w:p>
        </w:tc>
      </w:tr>
      <w:tr>
        <w:trPr>
          <w:trHeight w:val="414" w:hRule="atLeast"/>
        </w:trPr>
        <w:tc>
          <w:tcPr>
            <w:tcW w:w="6530" w:type="dxa"/>
          </w:tcPr>
          <w:p>
            <w:pPr>
              <w:pStyle w:val="TableParagraph"/>
              <w:spacing w:line="261" w:lineRule="exact" w:before="133"/>
              <w:ind w:left="50"/>
              <w:rPr>
                <w:sz w:val="24"/>
              </w:rPr>
            </w:pPr>
            <w:r>
              <w:rPr>
                <w:sz w:val="24"/>
              </w:rPr>
              <w:t>1.</w:t>
            </w:r>
            <w:r>
              <w:rPr>
                <w:spacing w:val="29"/>
                <w:sz w:val="24"/>
              </w:rPr>
              <w:t>  </w:t>
            </w:r>
            <w:r>
              <w:rPr>
                <w:sz w:val="24"/>
              </w:rPr>
              <w:t>Pattern of</w:t>
            </w:r>
            <w:r>
              <w:rPr>
                <w:spacing w:val="-1"/>
                <w:sz w:val="24"/>
              </w:rPr>
              <w:t> </w:t>
            </w:r>
            <w:r>
              <w:rPr>
                <w:sz w:val="24"/>
              </w:rPr>
              <w:t>Education</w:t>
            </w:r>
            <w:r>
              <w:rPr>
                <w:spacing w:val="-1"/>
                <w:sz w:val="24"/>
              </w:rPr>
              <w:t> </w:t>
            </w:r>
            <w:r>
              <w:rPr>
                <w:sz w:val="24"/>
              </w:rPr>
              <w:t>(1965-66)</w:t>
            </w:r>
            <w:r>
              <w:rPr>
                <w:spacing w:val="-1"/>
                <w:sz w:val="24"/>
              </w:rPr>
              <w:t> </w:t>
            </w:r>
            <w:r>
              <w:rPr>
                <w:sz w:val="24"/>
              </w:rPr>
              <w:t>:</w:t>
            </w:r>
            <w:r>
              <w:rPr>
                <w:spacing w:val="-1"/>
                <w:sz w:val="24"/>
              </w:rPr>
              <w:t> </w:t>
            </w:r>
            <w:r>
              <w:rPr>
                <w:spacing w:val="-2"/>
                <w:sz w:val="24"/>
              </w:rPr>
              <w:t>States</w:t>
            </w:r>
          </w:p>
        </w:tc>
        <w:tc>
          <w:tcPr>
            <w:tcW w:w="1258" w:type="dxa"/>
          </w:tcPr>
          <w:p>
            <w:pPr>
              <w:pStyle w:val="TableParagraph"/>
              <w:spacing w:line="261" w:lineRule="exact" w:before="133"/>
              <w:ind w:left="847"/>
              <w:rPr>
                <w:sz w:val="24"/>
              </w:rPr>
            </w:pPr>
            <w:r>
              <w:rPr>
                <w:spacing w:val="-5"/>
                <w:sz w:val="24"/>
              </w:rPr>
              <w:t>43</w:t>
            </w:r>
          </w:p>
        </w:tc>
      </w:tr>
      <w:tr>
        <w:trPr>
          <w:trHeight w:val="275" w:hRule="atLeast"/>
        </w:trPr>
        <w:tc>
          <w:tcPr>
            <w:tcW w:w="6530" w:type="dxa"/>
          </w:tcPr>
          <w:p>
            <w:pPr>
              <w:pStyle w:val="TableParagraph"/>
              <w:spacing w:line="256" w:lineRule="exact"/>
              <w:ind w:left="50"/>
              <w:rPr>
                <w:sz w:val="24"/>
              </w:rPr>
            </w:pPr>
            <w:r>
              <w:rPr>
                <w:sz w:val="24"/>
              </w:rPr>
              <w:t>2.</w:t>
            </w:r>
            <w:r>
              <w:rPr>
                <w:spacing w:val="29"/>
                <w:sz w:val="24"/>
              </w:rPr>
              <w:t>  </w:t>
            </w:r>
            <w:r>
              <w:rPr>
                <w:sz w:val="24"/>
              </w:rPr>
              <w:t>Pattern of</w:t>
            </w:r>
            <w:r>
              <w:rPr>
                <w:spacing w:val="-1"/>
                <w:sz w:val="24"/>
              </w:rPr>
              <w:t> </w:t>
            </w:r>
            <w:r>
              <w:rPr>
                <w:sz w:val="24"/>
              </w:rPr>
              <w:t>Education</w:t>
            </w:r>
            <w:r>
              <w:rPr>
                <w:spacing w:val="-1"/>
                <w:sz w:val="24"/>
              </w:rPr>
              <w:t> </w:t>
            </w:r>
            <w:r>
              <w:rPr>
                <w:sz w:val="24"/>
              </w:rPr>
              <w:t>(1965-66)</w:t>
            </w:r>
            <w:r>
              <w:rPr>
                <w:spacing w:val="-1"/>
                <w:sz w:val="24"/>
              </w:rPr>
              <w:t> </w:t>
            </w:r>
            <w:r>
              <w:rPr>
                <w:sz w:val="24"/>
              </w:rPr>
              <w:t>:</w:t>
            </w:r>
            <w:r>
              <w:rPr>
                <w:spacing w:val="-1"/>
                <w:sz w:val="24"/>
              </w:rPr>
              <w:t> </w:t>
            </w:r>
            <w:r>
              <w:rPr>
                <w:sz w:val="24"/>
              </w:rPr>
              <w:t>Union</w:t>
            </w:r>
            <w:r>
              <w:rPr>
                <w:spacing w:val="-1"/>
                <w:sz w:val="24"/>
              </w:rPr>
              <w:t> </w:t>
            </w:r>
            <w:r>
              <w:rPr>
                <w:spacing w:val="-2"/>
                <w:sz w:val="24"/>
              </w:rPr>
              <w:t>Territories</w:t>
            </w:r>
          </w:p>
        </w:tc>
        <w:tc>
          <w:tcPr>
            <w:tcW w:w="1258" w:type="dxa"/>
          </w:tcPr>
          <w:p>
            <w:pPr>
              <w:pStyle w:val="TableParagraph"/>
              <w:spacing w:line="256" w:lineRule="exact"/>
              <w:ind w:left="846"/>
              <w:rPr>
                <w:sz w:val="24"/>
              </w:rPr>
            </w:pPr>
            <w:r>
              <w:rPr>
                <w:spacing w:val="-5"/>
                <w:sz w:val="24"/>
              </w:rPr>
              <w:t>44</w:t>
            </w:r>
          </w:p>
        </w:tc>
      </w:tr>
      <w:tr>
        <w:trPr>
          <w:trHeight w:val="276" w:hRule="atLeast"/>
        </w:trPr>
        <w:tc>
          <w:tcPr>
            <w:tcW w:w="6530" w:type="dxa"/>
          </w:tcPr>
          <w:p>
            <w:pPr>
              <w:pStyle w:val="TableParagraph"/>
              <w:spacing w:line="256" w:lineRule="exact"/>
              <w:ind w:left="50"/>
              <w:rPr>
                <w:sz w:val="24"/>
              </w:rPr>
            </w:pPr>
            <w:r>
              <w:rPr>
                <w:sz w:val="24"/>
              </w:rPr>
              <w:t>3.</w:t>
            </w:r>
            <w:r>
              <w:rPr>
                <w:spacing w:val="29"/>
                <w:sz w:val="24"/>
              </w:rPr>
              <w:t>  </w:t>
            </w:r>
            <w:r>
              <w:rPr>
                <w:sz w:val="24"/>
              </w:rPr>
              <w:t>Equivalence of</w:t>
            </w:r>
            <w:r>
              <w:rPr>
                <w:spacing w:val="-1"/>
                <w:sz w:val="24"/>
              </w:rPr>
              <w:t> </w:t>
            </w:r>
            <w:r>
              <w:rPr>
                <w:sz w:val="24"/>
              </w:rPr>
              <w:t>School</w:t>
            </w:r>
            <w:r>
              <w:rPr>
                <w:spacing w:val="-1"/>
                <w:sz w:val="24"/>
              </w:rPr>
              <w:t> </w:t>
            </w:r>
            <w:r>
              <w:rPr>
                <w:sz w:val="24"/>
              </w:rPr>
              <w:t>Classes</w:t>
            </w:r>
            <w:r>
              <w:rPr>
                <w:spacing w:val="-1"/>
                <w:sz w:val="24"/>
              </w:rPr>
              <w:t> </w:t>
            </w:r>
            <w:r>
              <w:rPr>
                <w:sz w:val="24"/>
              </w:rPr>
              <w:t>I-X</w:t>
            </w:r>
            <w:r>
              <w:rPr>
                <w:spacing w:val="-1"/>
                <w:sz w:val="24"/>
              </w:rPr>
              <w:t> </w:t>
            </w:r>
            <w:r>
              <w:rPr>
                <w:sz w:val="24"/>
              </w:rPr>
              <w:t>(1965-</w:t>
            </w:r>
            <w:r>
              <w:rPr>
                <w:spacing w:val="-5"/>
                <w:sz w:val="24"/>
              </w:rPr>
              <w:t>66)</w:t>
            </w:r>
          </w:p>
        </w:tc>
        <w:tc>
          <w:tcPr>
            <w:tcW w:w="1258" w:type="dxa"/>
          </w:tcPr>
          <w:p>
            <w:pPr>
              <w:pStyle w:val="TableParagraph"/>
              <w:spacing w:line="256" w:lineRule="exact"/>
              <w:ind w:left="848"/>
              <w:rPr>
                <w:sz w:val="24"/>
              </w:rPr>
            </w:pPr>
            <w:r>
              <w:rPr>
                <w:spacing w:val="-5"/>
                <w:sz w:val="24"/>
              </w:rPr>
              <w:t>48</w:t>
            </w:r>
          </w:p>
        </w:tc>
      </w:tr>
      <w:tr>
        <w:trPr>
          <w:trHeight w:val="552" w:hRule="atLeast"/>
        </w:trPr>
        <w:tc>
          <w:tcPr>
            <w:tcW w:w="6530" w:type="dxa"/>
          </w:tcPr>
          <w:p>
            <w:pPr>
              <w:pStyle w:val="TableParagraph"/>
              <w:spacing w:line="271" w:lineRule="exact"/>
              <w:ind w:left="50"/>
              <w:rPr>
                <w:sz w:val="24"/>
              </w:rPr>
            </w:pPr>
            <w:r>
              <w:rPr>
                <w:sz w:val="24"/>
              </w:rPr>
              <w:t>4.</w:t>
            </w:r>
            <w:r>
              <w:rPr>
                <w:spacing w:val="29"/>
                <w:sz w:val="24"/>
              </w:rPr>
              <w:t>  </w:t>
            </w:r>
            <w:r>
              <w:rPr>
                <w:sz w:val="24"/>
              </w:rPr>
              <w:t>Equivalence of</w:t>
            </w:r>
            <w:r>
              <w:rPr>
                <w:spacing w:val="-1"/>
                <w:sz w:val="24"/>
              </w:rPr>
              <w:t> </w:t>
            </w:r>
            <w:r>
              <w:rPr>
                <w:sz w:val="24"/>
              </w:rPr>
              <w:t>Higher</w:t>
            </w:r>
            <w:r>
              <w:rPr>
                <w:spacing w:val="-1"/>
                <w:sz w:val="24"/>
              </w:rPr>
              <w:t> </w:t>
            </w:r>
            <w:r>
              <w:rPr>
                <w:sz w:val="24"/>
              </w:rPr>
              <w:t>Secondary</w:t>
            </w:r>
            <w:r>
              <w:rPr>
                <w:spacing w:val="-1"/>
                <w:sz w:val="24"/>
              </w:rPr>
              <w:t> </w:t>
            </w:r>
            <w:r>
              <w:rPr>
                <w:sz w:val="24"/>
              </w:rPr>
              <w:t>and</w:t>
            </w:r>
            <w:r>
              <w:rPr>
                <w:spacing w:val="-1"/>
                <w:sz w:val="24"/>
              </w:rPr>
              <w:t> </w:t>
            </w:r>
            <w:r>
              <w:rPr>
                <w:sz w:val="24"/>
              </w:rPr>
              <w:t>First</w:t>
            </w:r>
            <w:r>
              <w:rPr>
                <w:spacing w:val="-1"/>
                <w:sz w:val="24"/>
              </w:rPr>
              <w:t> </w:t>
            </w:r>
            <w:r>
              <w:rPr>
                <w:spacing w:val="-2"/>
                <w:sz w:val="24"/>
              </w:rPr>
              <w:t>Degree</w:t>
            </w:r>
          </w:p>
          <w:p>
            <w:pPr>
              <w:pStyle w:val="TableParagraph"/>
              <w:spacing w:line="261" w:lineRule="exact"/>
              <w:ind w:left="50"/>
              <w:rPr>
                <w:sz w:val="24"/>
              </w:rPr>
            </w:pPr>
            <w:r>
              <w:rPr>
                <w:sz w:val="24"/>
              </w:rPr>
              <w:t>Courses</w:t>
            </w:r>
            <w:r>
              <w:rPr>
                <w:spacing w:val="-1"/>
                <w:sz w:val="24"/>
              </w:rPr>
              <w:t> </w:t>
            </w:r>
            <w:r>
              <w:rPr>
                <w:sz w:val="24"/>
              </w:rPr>
              <w:t>in</w:t>
            </w:r>
            <w:r>
              <w:rPr>
                <w:spacing w:val="-1"/>
                <w:sz w:val="24"/>
              </w:rPr>
              <w:t> </w:t>
            </w:r>
            <w:r>
              <w:rPr>
                <w:sz w:val="24"/>
              </w:rPr>
              <w:t>General</w:t>
            </w:r>
            <w:r>
              <w:rPr>
                <w:spacing w:val="-1"/>
                <w:sz w:val="24"/>
              </w:rPr>
              <w:t> </w:t>
            </w:r>
            <w:r>
              <w:rPr>
                <w:sz w:val="24"/>
              </w:rPr>
              <w:t>Education (1965-</w:t>
            </w:r>
            <w:r>
              <w:rPr>
                <w:spacing w:val="-5"/>
                <w:sz w:val="24"/>
              </w:rPr>
              <w:t>66)</w:t>
            </w:r>
          </w:p>
        </w:tc>
        <w:tc>
          <w:tcPr>
            <w:tcW w:w="1258" w:type="dxa"/>
          </w:tcPr>
          <w:p>
            <w:pPr>
              <w:pStyle w:val="TableParagraph"/>
              <w:spacing w:line="261" w:lineRule="exact" w:before="271"/>
              <w:ind w:left="848"/>
              <w:rPr>
                <w:sz w:val="24"/>
              </w:rPr>
            </w:pPr>
            <w:r>
              <w:rPr>
                <w:spacing w:val="-5"/>
                <w:sz w:val="24"/>
              </w:rPr>
              <w:t>56</w:t>
            </w:r>
          </w:p>
        </w:tc>
      </w:tr>
      <w:tr>
        <w:trPr>
          <w:trHeight w:val="552" w:hRule="atLeast"/>
        </w:trPr>
        <w:tc>
          <w:tcPr>
            <w:tcW w:w="6530" w:type="dxa"/>
          </w:tcPr>
          <w:p>
            <w:pPr>
              <w:pStyle w:val="TableParagraph"/>
              <w:spacing w:line="271" w:lineRule="exact"/>
              <w:ind w:left="50"/>
              <w:rPr>
                <w:sz w:val="24"/>
              </w:rPr>
            </w:pPr>
            <w:r>
              <w:rPr>
                <w:sz w:val="24"/>
              </w:rPr>
              <w:t>5.</w:t>
            </w:r>
            <w:r>
              <w:rPr>
                <w:spacing w:val="30"/>
                <w:sz w:val="24"/>
              </w:rPr>
              <w:t>  </w:t>
            </w:r>
            <w:r>
              <w:rPr>
                <w:sz w:val="24"/>
              </w:rPr>
              <w:t>School Teachers, by</w:t>
            </w:r>
            <w:r>
              <w:rPr>
                <w:spacing w:val="-2"/>
                <w:sz w:val="24"/>
              </w:rPr>
              <w:t> Qualifications</w:t>
            </w:r>
          </w:p>
          <w:p>
            <w:pPr>
              <w:pStyle w:val="TableParagraph"/>
              <w:spacing w:line="261" w:lineRule="exact"/>
              <w:ind w:left="50"/>
              <w:rPr>
                <w:sz w:val="24"/>
              </w:rPr>
            </w:pPr>
            <w:r>
              <w:rPr>
                <w:sz w:val="24"/>
              </w:rPr>
              <w:t>(1950-51</w:t>
            </w:r>
            <w:r>
              <w:rPr>
                <w:spacing w:val="-1"/>
                <w:sz w:val="24"/>
              </w:rPr>
              <w:t> </w:t>
            </w:r>
            <w:r>
              <w:rPr>
                <w:sz w:val="24"/>
              </w:rPr>
              <w:t>and</w:t>
            </w:r>
            <w:r>
              <w:rPr>
                <w:spacing w:val="59"/>
                <w:sz w:val="24"/>
              </w:rPr>
              <w:t> </w:t>
            </w:r>
            <w:r>
              <w:rPr>
                <w:sz w:val="24"/>
              </w:rPr>
              <w:t>1965-</w:t>
            </w:r>
            <w:r>
              <w:rPr>
                <w:spacing w:val="-5"/>
                <w:sz w:val="24"/>
              </w:rPr>
              <w:t>66)</w:t>
            </w:r>
          </w:p>
        </w:tc>
        <w:tc>
          <w:tcPr>
            <w:tcW w:w="1258" w:type="dxa"/>
          </w:tcPr>
          <w:p>
            <w:pPr>
              <w:pStyle w:val="TableParagraph"/>
              <w:spacing w:line="261" w:lineRule="exact" w:before="271"/>
              <w:ind w:left="847"/>
              <w:rPr>
                <w:sz w:val="24"/>
              </w:rPr>
            </w:pPr>
            <w:r>
              <w:rPr>
                <w:spacing w:val="-5"/>
                <w:sz w:val="24"/>
              </w:rPr>
              <w:t>133</w:t>
            </w:r>
          </w:p>
        </w:tc>
      </w:tr>
      <w:tr>
        <w:trPr>
          <w:trHeight w:val="275" w:hRule="atLeast"/>
        </w:trPr>
        <w:tc>
          <w:tcPr>
            <w:tcW w:w="6530" w:type="dxa"/>
          </w:tcPr>
          <w:p>
            <w:pPr>
              <w:pStyle w:val="TableParagraph"/>
              <w:spacing w:line="256" w:lineRule="exact"/>
              <w:ind w:left="50"/>
              <w:rPr>
                <w:sz w:val="24"/>
              </w:rPr>
            </w:pPr>
            <w:r>
              <w:rPr>
                <w:sz w:val="24"/>
              </w:rPr>
              <w:t>6.</w:t>
            </w:r>
            <w:r>
              <w:rPr>
                <w:spacing w:val="29"/>
                <w:sz w:val="24"/>
              </w:rPr>
              <w:t>  </w:t>
            </w:r>
            <w:r>
              <w:rPr>
                <w:sz w:val="24"/>
              </w:rPr>
              <w:t>Percentage</w:t>
            </w:r>
            <w:r>
              <w:rPr>
                <w:spacing w:val="1"/>
                <w:sz w:val="24"/>
              </w:rPr>
              <w:t> </w:t>
            </w:r>
            <w:r>
              <w:rPr>
                <w:sz w:val="24"/>
              </w:rPr>
              <w:t>of Trained Teachers</w:t>
            </w:r>
            <w:r>
              <w:rPr>
                <w:spacing w:val="-1"/>
                <w:sz w:val="24"/>
              </w:rPr>
              <w:t> </w:t>
            </w:r>
            <w:r>
              <w:rPr>
                <w:sz w:val="24"/>
              </w:rPr>
              <w:t>(1960-</w:t>
            </w:r>
            <w:r>
              <w:rPr>
                <w:spacing w:val="-5"/>
                <w:sz w:val="24"/>
              </w:rPr>
              <w:t>61)</w:t>
            </w:r>
          </w:p>
        </w:tc>
        <w:tc>
          <w:tcPr>
            <w:tcW w:w="1258" w:type="dxa"/>
          </w:tcPr>
          <w:p>
            <w:pPr>
              <w:pStyle w:val="TableParagraph"/>
              <w:spacing w:line="256" w:lineRule="exact"/>
              <w:ind w:left="848"/>
              <w:rPr>
                <w:sz w:val="24"/>
              </w:rPr>
            </w:pPr>
            <w:r>
              <w:rPr>
                <w:spacing w:val="-5"/>
                <w:sz w:val="24"/>
              </w:rPr>
              <w:t>136</w:t>
            </w:r>
          </w:p>
        </w:tc>
      </w:tr>
      <w:tr>
        <w:trPr>
          <w:trHeight w:val="552" w:hRule="atLeast"/>
        </w:trPr>
        <w:tc>
          <w:tcPr>
            <w:tcW w:w="6530" w:type="dxa"/>
          </w:tcPr>
          <w:p>
            <w:pPr>
              <w:pStyle w:val="TableParagraph"/>
              <w:spacing w:line="271" w:lineRule="exact"/>
              <w:ind w:left="50"/>
              <w:rPr>
                <w:sz w:val="24"/>
              </w:rPr>
            </w:pPr>
            <w:r>
              <w:rPr>
                <w:sz w:val="24"/>
              </w:rPr>
              <w:t>7.</w:t>
            </w:r>
            <w:r>
              <w:rPr>
                <w:spacing w:val="29"/>
                <w:sz w:val="24"/>
              </w:rPr>
              <w:t>  </w:t>
            </w:r>
            <w:r>
              <w:rPr>
                <w:sz w:val="24"/>
              </w:rPr>
              <w:t>Educational Level</w:t>
            </w:r>
            <w:r>
              <w:rPr>
                <w:spacing w:val="-1"/>
                <w:sz w:val="24"/>
              </w:rPr>
              <w:t> </w:t>
            </w:r>
            <w:r>
              <w:rPr>
                <w:sz w:val="24"/>
              </w:rPr>
              <w:t>of</w:t>
            </w:r>
            <w:r>
              <w:rPr>
                <w:spacing w:val="-1"/>
                <w:sz w:val="24"/>
              </w:rPr>
              <w:t> </w:t>
            </w:r>
            <w:r>
              <w:rPr>
                <w:sz w:val="24"/>
              </w:rPr>
              <w:t>Working</w:t>
            </w:r>
            <w:r>
              <w:rPr>
                <w:spacing w:val="-1"/>
                <w:sz w:val="24"/>
              </w:rPr>
              <w:t> </w:t>
            </w:r>
            <w:r>
              <w:rPr>
                <w:spacing w:val="-2"/>
                <w:sz w:val="24"/>
              </w:rPr>
              <w:t>Population</w:t>
            </w:r>
          </w:p>
          <w:p>
            <w:pPr>
              <w:pStyle w:val="TableParagraph"/>
              <w:spacing w:line="261" w:lineRule="exact"/>
              <w:ind w:left="50"/>
              <w:rPr>
                <w:sz w:val="24"/>
              </w:rPr>
            </w:pPr>
            <w:r>
              <w:rPr>
                <w:sz w:val="24"/>
              </w:rPr>
              <w:t>(India) 1961 &amp; </w:t>
            </w:r>
            <w:r>
              <w:rPr>
                <w:spacing w:val="-2"/>
                <w:sz w:val="24"/>
              </w:rPr>
              <w:t>1986.</w:t>
            </w:r>
          </w:p>
        </w:tc>
        <w:tc>
          <w:tcPr>
            <w:tcW w:w="1258" w:type="dxa"/>
          </w:tcPr>
          <w:p>
            <w:pPr>
              <w:pStyle w:val="TableParagraph"/>
              <w:spacing w:line="261" w:lineRule="exact" w:before="271"/>
              <w:ind w:left="848"/>
              <w:rPr>
                <w:sz w:val="24"/>
              </w:rPr>
            </w:pPr>
            <w:r>
              <w:rPr>
                <w:spacing w:val="-5"/>
                <w:sz w:val="24"/>
              </w:rPr>
              <w:t>171</w:t>
            </w:r>
          </w:p>
        </w:tc>
      </w:tr>
      <w:tr>
        <w:trPr>
          <w:trHeight w:val="550" w:hRule="atLeast"/>
        </w:trPr>
        <w:tc>
          <w:tcPr>
            <w:tcW w:w="6530" w:type="dxa"/>
          </w:tcPr>
          <w:p>
            <w:pPr>
              <w:pStyle w:val="TableParagraph"/>
              <w:spacing w:line="270" w:lineRule="exact"/>
              <w:ind w:left="50"/>
              <w:rPr>
                <w:sz w:val="24"/>
              </w:rPr>
            </w:pPr>
            <w:r>
              <w:rPr>
                <w:sz w:val="24"/>
              </w:rPr>
              <w:t>8.</w:t>
            </w:r>
            <w:r>
              <w:rPr>
                <w:spacing w:val="30"/>
                <w:sz w:val="24"/>
              </w:rPr>
              <w:t>  </w:t>
            </w:r>
            <w:r>
              <w:rPr>
                <w:sz w:val="24"/>
              </w:rPr>
              <w:t>Expenditure on Education </w:t>
            </w:r>
            <w:r>
              <w:rPr>
                <w:spacing w:val="-5"/>
                <w:sz w:val="24"/>
              </w:rPr>
              <w:t>per</w:t>
            </w:r>
          </w:p>
          <w:p>
            <w:pPr>
              <w:pStyle w:val="TableParagraph"/>
              <w:spacing w:line="260" w:lineRule="exact"/>
              <w:ind w:left="50"/>
              <w:rPr>
                <w:sz w:val="24"/>
              </w:rPr>
            </w:pPr>
            <w:r>
              <w:rPr>
                <w:sz w:val="24"/>
              </w:rPr>
              <w:t>capita</w:t>
            </w:r>
            <w:r>
              <w:rPr>
                <w:spacing w:val="-1"/>
                <w:sz w:val="24"/>
              </w:rPr>
              <w:t> </w:t>
            </w:r>
            <w:r>
              <w:rPr>
                <w:sz w:val="24"/>
              </w:rPr>
              <w:t>1960-61</w:t>
            </w:r>
            <w:r>
              <w:rPr>
                <w:spacing w:val="29"/>
                <w:sz w:val="24"/>
              </w:rPr>
              <w:t>  </w:t>
            </w:r>
            <w:r>
              <w:rPr>
                <w:sz w:val="24"/>
              </w:rPr>
              <w:t>(State-</w:t>
            </w:r>
            <w:r>
              <w:rPr>
                <w:spacing w:val="-2"/>
                <w:sz w:val="24"/>
              </w:rPr>
              <w:t>wise)</w:t>
            </w:r>
          </w:p>
        </w:tc>
        <w:tc>
          <w:tcPr>
            <w:tcW w:w="1258" w:type="dxa"/>
          </w:tcPr>
          <w:p>
            <w:pPr>
              <w:pStyle w:val="TableParagraph"/>
              <w:spacing w:line="261" w:lineRule="exact" w:before="269"/>
              <w:ind w:left="847"/>
              <w:rPr>
                <w:sz w:val="24"/>
              </w:rPr>
            </w:pPr>
            <w:r>
              <w:rPr>
                <w:spacing w:val="-5"/>
                <w:sz w:val="24"/>
              </w:rPr>
              <w:t>210</w:t>
            </w:r>
          </w:p>
        </w:tc>
      </w:tr>
      <w:tr>
        <w:trPr>
          <w:trHeight w:val="552" w:hRule="atLeast"/>
        </w:trPr>
        <w:tc>
          <w:tcPr>
            <w:tcW w:w="6530" w:type="dxa"/>
          </w:tcPr>
          <w:p>
            <w:pPr>
              <w:pStyle w:val="TableParagraph"/>
              <w:spacing w:line="271" w:lineRule="exact"/>
              <w:ind w:left="50"/>
              <w:rPr>
                <w:sz w:val="24"/>
              </w:rPr>
            </w:pPr>
            <w:r>
              <w:rPr>
                <w:sz w:val="24"/>
              </w:rPr>
              <w:t>9.</w:t>
            </w:r>
            <w:r>
              <w:rPr>
                <w:spacing w:val="29"/>
                <w:sz w:val="24"/>
              </w:rPr>
              <w:t>  </w:t>
            </w:r>
            <w:r>
              <w:rPr>
                <w:sz w:val="24"/>
              </w:rPr>
              <w:t>Distribution</w:t>
            </w:r>
            <w:r>
              <w:rPr>
                <w:spacing w:val="1"/>
                <w:sz w:val="24"/>
              </w:rPr>
              <w:t> </w:t>
            </w:r>
            <w:r>
              <w:rPr>
                <w:sz w:val="24"/>
              </w:rPr>
              <w:t>of Districts according to </w:t>
            </w:r>
            <w:r>
              <w:rPr>
                <w:spacing w:val="-5"/>
                <w:sz w:val="24"/>
              </w:rPr>
              <w:t>per</w:t>
            </w:r>
          </w:p>
          <w:p>
            <w:pPr>
              <w:pStyle w:val="TableParagraph"/>
              <w:spacing w:line="261" w:lineRule="exact"/>
              <w:ind w:left="50"/>
              <w:rPr>
                <w:sz w:val="24"/>
              </w:rPr>
            </w:pPr>
            <w:r>
              <w:rPr>
                <w:sz w:val="24"/>
              </w:rPr>
              <w:t>capita</w:t>
            </w:r>
            <w:r>
              <w:rPr>
                <w:spacing w:val="-3"/>
                <w:sz w:val="24"/>
              </w:rPr>
              <w:t> </w:t>
            </w:r>
            <w:r>
              <w:rPr>
                <w:sz w:val="24"/>
              </w:rPr>
              <w:t>Expenditure</w:t>
            </w:r>
            <w:r>
              <w:rPr>
                <w:spacing w:val="-2"/>
                <w:sz w:val="24"/>
              </w:rPr>
              <w:t> </w:t>
            </w:r>
            <w:r>
              <w:rPr>
                <w:sz w:val="24"/>
              </w:rPr>
              <w:t>on</w:t>
            </w:r>
            <w:r>
              <w:rPr>
                <w:spacing w:val="-2"/>
                <w:sz w:val="24"/>
              </w:rPr>
              <w:t> </w:t>
            </w:r>
            <w:r>
              <w:rPr>
                <w:sz w:val="24"/>
              </w:rPr>
              <w:t>Education</w:t>
            </w:r>
            <w:r>
              <w:rPr>
                <w:spacing w:val="-2"/>
                <w:sz w:val="24"/>
              </w:rPr>
              <w:t> </w:t>
            </w:r>
            <w:r>
              <w:rPr>
                <w:sz w:val="24"/>
              </w:rPr>
              <w:t>(1960-</w:t>
            </w:r>
            <w:r>
              <w:rPr>
                <w:spacing w:val="-5"/>
                <w:sz w:val="24"/>
              </w:rPr>
              <w:t>61)</w:t>
            </w:r>
          </w:p>
        </w:tc>
        <w:tc>
          <w:tcPr>
            <w:tcW w:w="1258" w:type="dxa"/>
          </w:tcPr>
          <w:p>
            <w:pPr>
              <w:pStyle w:val="TableParagraph"/>
              <w:spacing w:line="261" w:lineRule="exact" w:before="271"/>
              <w:ind w:left="848"/>
              <w:rPr>
                <w:sz w:val="24"/>
              </w:rPr>
            </w:pPr>
            <w:r>
              <w:rPr>
                <w:spacing w:val="-5"/>
                <w:sz w:val="24"/>
              </w:rPr>
              <w:t>211</w:t>
            </w:r>
          </w:p>
        </w:tc>
      </w:tr>
      <w:tr>
        <w:trPr>
          <w:trHeight w:val="552" w:hRule="atLeast"/>
        </w:trPr>
        <w:tc>
          <w:tcPr>
            <w:tcW w:w="6530" w:type="dxa"/>
          </w:tcPr>
          <w:p>
            <w:pPr>
              <w:pStyle w:val="TableParagraph"/>
              <w:spacing w:line="271" w:lineRule="exact"/>
              <w:ind w:left="50"/>
              <w:rPr>
                <w:sz w:val="24"/>
              </w:rPr>
            </w:pPr>
            <w:r>
              <w:rPr>
                <w:sz w:val="24"/>
              </w:rPr>
              <w:t>10.</w:t>
            </w:r>
            <w:r>
              <w:rPr>
                <w:spacing w:val="59"/>
                <w:sz w:val="24"/>
              </w:rPr>
              <w:t> </w:t>
            </w:r>
            <w:r>
              <w:rPr>
                <w:sz w:val="24"/>
              </w:rPr>
              <w:t>Enrolment at Lower</w:t>
            </w:r>
            <w:r>
              <w:rPr>
                <w:spacing w:val="-1"/>
                <w:sz w:val="24"/>
              </w:rPr>
              <w:t> </w:t>
            </w:r>
            <w:r>
              <w:rPr>
                <w:sz w:val="24"/>
              </w:rPr>
              <w:t>Primary Stage (Classes I-</w:t>
            </w:r>
            <w:r>
              <w:rPr>
                <w:spacing w:val="-5"/>
                <w:sz w:val="24"/>
              </w:rPr>
              <w:t>V)</w:t>
            </w:r>
          </w:p>
          <w:p>
            <w:pPr>
              <w:pStyle w:val="TableParagraph"/>
              <w:spacing w:line="261" w:lineRule="exact"/>
              <w:ind w:left="50"/>
              <w:rPr>
                <w:sz w:val="24"/>
              </w:rPr>
            </w:pPr>
            <w:r>
              <w:rPr>
                <w:sz w:val="24"/>
              </w:rPr>
              <w:t>per</w:t>
            </w:r>
            <w:r>
              <w:rPr>
                <w:spacing w:val="-1"/>
                <w:sz w:val="24"/>
              </w:rPr>
              <w:t> </w:t>
            </w:r>
            <w:r>
              <w:rPr>
                <w:sz w:val="24"/>
              </w:rPr>
              <w:t>Thousand</w:t>
            </w:r>
            <w:r>
              <w:rPr>
                <w:spacing w:val="-1"/>
                <w:sz w:val="24"/>
              </w:rPr>
              <w:t> </w:t>
            </w:r>
            <w:r>
              <w:rPr>
                <w:sz w:val="24"/>
              </w:rPr>
              <w:t>Population</w:t>
            </w:r>
            <w:r>
              <w:rPr>
                <w:spacing w:val="-1"/>
                <w:sz w:val="24"/>
              </w:rPr>
              <w:t> </w:t>
            </w:r>
            <w:r>
              <w:rPr>
                <w:sz w:val="24"/>
              </w:rPr>
              <w:t>(1960-</w:t>
            </w:r>
            <w:r>
              <w:rPr>
                <w:spacing w:val="-5"/>
                <w:sz w:val="24"/>
              </w:rPr>
              <w:t>61)</w:t>
            </w:r>
          </w:p>
        </w:tc>
        <w:tc>
          <w:tcPr>
            <w:tcW w:w="1258" w:type="dxa"/>
          </w:tcPr>
          <w:p>
            <w:pPr>
              <w:pStyle w:val="TableParagraph"/>
              <w:spacing w:line="261" w:lineRule="exact" w:before="271"/>
              <w:ind w:left="847"/>
              <w:rPr>
                <w:sz w:val="24"/>
              </w:rPr>
            </w:pPr>
            <w:r>
              <w:rPr>
                <w:spacing w:val="-5"/>
                <w:sz w:val="24"/>
              </w:rPr>
              <w:t>215</w:t>
            </w:r>
          </w:p>
        </w:tc>
      </w:tr>
      <w:tr>
        <w:trPr>
          <w:trHeight w:val="552" w:hRule="atLeast"/>
        </w:trPr>
        <w:tc>
          <w:tcPr>
            <w:tcW w:w="6530" w:type="dxa"/>
          </w:tcPr>
          <w:p>
            <w:pPr>
              <w:pStyle w:val="TableParagraph"/>
              <w:spacing w:line="271" w:lineRule="exact"/>
              <w:ind w:left="50"/>
              <w:rPr>
                <w:sz w:val="24"/>
              </w:rPr>
            </w:pPr>
            <w:r>
              <w:rPr>
                <w:sz w:val="24"/>
              </w:rPr>
              <w:t>11.</w:t>
            </w:r>
            <w:r>
              <w:rPr>
                <w:spacing w:val="57"/>
                <w:sz w:val="24"/>
              </w:rPr>
              <w:t> </w:t>
            </w:r>
            <w:r>
              <w:rPr>
                <w:sz w:val="24"/>
              </w:rPr>
              <w:t>Distribution</w:t>
            </w:r>
            <w:r>
              <w:rPr>
                <w:spacing w:val="-1"/>
                <w:sz w:val="24"/>
              </w:rPr>
              <w:t> </w:t>
            </w:r>
            <w:r>
              <w:rPr>
                <w:sz w:val="24"/>
              </w:rPr>
              <w:t>of</w:t>
            </w:r>
            <w:r>
              <w:rPr>
                <w:spacing w:val="-1"/>
                <w:sz w:val="24"/>
              </w:rPr>
              <w:t> </w:t>
            </w:r>
            <w:r>
              <w:rPr>
                <w:sz w:val="24"/>
              </w:rPr>
              <w:t>Districts</w:t>
            </w:r>
            <w:r>
              <w:rPr>
                <w:spacing w:val="-1"/>
                <w:sz w:val="24"/>
              </w:rPr>
              <w:t> </w:t>
            </w:r>
            <w:r>
              <w:rPr>
                <w:sz w:val="24"/>
              </w:rPr>
              <w:t>according</w:t>
            </w:r>
            <w:r>
              <w:rPr>
                <w:spacing w:val="-1"/>
                <w:sz w:val="24"/>
              </w:rPr>
              <w:t> </w:t>
            </w:r>
            <w:r>
              <w:rPr>
                <w:sz w:val="24"/>
              </w:rPr>
              <w:t>to </w:t>
            </w:r>
            <w:r>
              <w:rPr>
                <w:spacing w:val="-2"/>
                <w:sz w:val="24"/>
              </w:rPr>
              <w:t>Enrolment</w:t>
            </w:r>
          </w:p>
          <w:p>
            <w:pPr>
              <w:pStyle w:val="TableParagraph"/>
              <w:spacing w:line="261" w:lineRule="exact"/>
              <w:ind w:left="50"/>
              <w:rPr>
                <w:sz w:val="24"/>
              </w:rPr>
            </w:pPr>
            <w:r>
              <w:rPr>
                <w:sz w:val="24"/>
              </w:rPr>
              <w:t>in</w:t>
            </w:r>
            <w:r>
              <w:rPr>
                <w:spacing w:val="-2"/>
                <w:sz w:val="24"/>
              </w:rPr>
              <w:t> </w:t>
            </w:r>
            <w:r>
              <w:rPr>
                <w:sz w:val="24"/>
              </w:rPr>
              <w:t>Lower</w:t>
            </w:r>
            <w:r>
              <w:rPr>
                <w:spacing w:val="-1"/>
                <w:sz w:val="24"/>
              </w:rPr>
              <w:t> </w:t>
            </w:r>
            <w:r>
              <w:rPr>
                <w:sz w:val="24"/>
              </w:rPr>
              <w:t>Primary</w:t>
            </w:r>
            <w:r>
              <w:rPr>
                <w:spacing w:val="-2"/>
                <w:sz w:val="24"/>
              </w:rPr>
              <w:t> </w:t>
            </w:r>
            <w:r>
              <w:rPr>
                <w:sz w:val="24"/>
              </w:rPr>
              <w:t>Schools</w:t>
            </w:r>
            <w:r>
              <w:rPr>
                <w:spacing w:val="-1"/>
                <w:sz w:val="24"/>
              </w:rPr>
              <w:t> </w:t>
            </w:r>
            <w:r>
              <w:rPr>
                <w:sz w:val="24"/>
              </w:rPr>
              <w:t>(1960-</w:t>
            </w:r>
            <w:r>
              <w:rPr>
                <w:spacing w:val="-5"/>
                <w:sz w:val="24"/>
              </w:rPr>
              <w:t>61)</w:t>
            </w:r>
          </w:p>
        </w:tc>
        <w:tc>
          <w:tcPr>
            <w:tcW w:w="1258" w:type="dxa"/>
          </w:tcPr>
          <w:p>
            <w:pPr>
              <w:pStyle w:val="TableParagraph"/>
              <w:spacing w:line="261" w:lineRule="exact" w:before="271"/>
              <w:ind w:left="846"/>
              <w:rPr>
                <w:sz w:val="24"/>
              </w:rPr>
            </w:pPr>
            <w:r>
              <w:rPr>
                <w:spacing w:val="-5"/>
                <w:sz w:val="24"/>
              </w:rPr>
              <w:t>216</w:t>
            </w:r>
          </w:p>
        </w:tc>
      </w:tr>
      <w:tr>
        <w:trPr>
          <w:trHeight w:val="551" w:hRule="atLeast"/>
        </w:trPr>
        <w:tc>
          <w:tcPr>
            <w:tcW w:w="6530" w:type="dxa"/>
          </w:tcPr>
          <w:p>
            <w:pPr>
              <w:pStyle w:val="TableParagraph"/>
              <w:spacing w:line="271" w:lineRule="exact"/>
              <w:ind w:left="50"/>
              <w:rPr>
                <w:sz w:val="24"/>
              </w:rPr>
            </w:pPr>
            <w:r>
              <w:rPr>
                <w:sz w:val="24"/>
              </w:rPr>
              <w:t>12.</w:t>
            </w:r>
            <w:r>
              <w:rPr>
                <w:spacing w:val="59"/>
                <w:sz w:val="24"/>
              </w:rPr>
              <w:t> </w:t>
            </w:r>
            <w:r>
              <w:rPr>
                <w:sz w:val="24"/>
              </w:rPr>
              <w:t>Enrolment at</w:t>
            </w:r>
            <w:r>
              <w:rPr>
                <w:spacing w:val="-1"/>
                <w:sz w:val="24"/>
              </w:rPr>
              <w:t> </w:t>
            </w:r>
            <w:r>
              <w:rPr>
                <w:sz w:val="24"/>
              </w:rPr>
              <w:t>Higher Primary Stage</w:t>
            </w:r>
            <w:r>
              <w:rPr>
                <w:spacing w:val="-1"/>
                <w:sz w:val="24"/>
              </w:rPr>
              <w:t> </w:t>
            </w:r>
            <w:r>
              <w:rPr>
                <w:sz w:val="24"/>
              </w:rPr>
              <w:t>(Classes</w:t>
            </w:r>
            <w:r>
              <w:rPr>
                <w:spacing w:val="60"/>
                <w:sz w:val="24"/>
              </w:rPr>
              <w:t> </w:t>
            </w:r>
            <w:r>
              <w:rPr>
                <w:sz w:val="24"/>
              </w:rPr>
              <w:t>VI-</w:t>
            </w:r>
            <w:r>
              <w:rPr>
                <w:spacing w:val="-2"/>
                <w:sz w:val="24"/>
              </w:rPr>
              <w:t>VIII)</w:t>
            </w:r>
          </w:p>
          <w:p>
            <w:pPr>
              <w:pStyle w:val="TableParagraph"/>
              <w:spacing w:line="261" w:lineRule="exact"/>
              <w:ind w:left="50"/>
              <w:rPr>
                <w:sz w:val="24"/>
              </w:rPr>
            </w:pPr>
            <w:r>
              <w:rPr>
                <w:sz w:val="24"/>
              </w:rPr>
              <w:t>per</w:t>
            </w:r>
            <w:r>
              <w:rPr>
                <w:spacing w:val="-1"/>
                <w:sz w:val="24"/>
              </w:rPr>
              <w:t> </w:t>
            </w:r>
            <w:r>
              <w:rPr>
                <w:sz w:val="24"/>
              </w:rPr>
              <w:t>Thousand</w:t>
            </w:r>
            <w:r>
              <w:rPr>
                <w:spacing w:val="-1"/>
                <w:sz w:val="24"/>
              </w:rPr>
              <w:t> </w:t>
            </w:r>
            <w:r>
              <w:rPr>
                <w:sz w:val="24"/>
              </w:rPr>
              <w:t>Population</w:t>
            </w:r>
            <w:r>
              <w:rPr>
                <w:spacing w:val="-1"/>
                <w:sz w:val="24"/>
              </w:rPr>
              <w:t> </w:t>
            </w:r>
            <w:r>
              <w:rPr>
                <w:sz w:val="24"/>
              </w:rPr>
              <w:t>(1960-</w:t>
            </w:r>
            <w:r>
              <w:rPr>
                <w:spacing w:val="-5"/>
                <w:sz w:val="24"/>
              </w:rPr>
              <w:t>61)</w:t>
            </w:r>
          </w:p>
        </w:tc>
        <w:tc>
          <w:tcPr>
            <w:tcW w:w="1258" w:type="dxa"/>
          </w:tcPr>
          <w:p>
            <w:pPr>
              <w:pStyle w:val="TableParagraph"/>
              <w:spacing w:line="261" w:lineRule="exact" w:before="271"/>
              <w:ind w:left="846"/>
              <w:rPr>
                <w:sz w:val="24"/>
              </w:rPr>
            </w:pPr>
            <w:r>
              <w:rPr>
                <w:spacing w:val="-5"/>
                <w:sz w:val="24"/>
              </w:rPr>
              <w:t>217</w:t>
            </w:r>
          </w:p>
        </w:tc>
      </w:tr>
      <w:tr>
        <w:trPr>
          <w:trHeight w:val="552" w:hRule="atLeast"/>
        </w:trPr>
        <w:tc>
          <w:tcPr>
            <w:tcW w:w="6530" w:type="dxa"/>
          </w:tcPr>
          <w:p>
            <w:pPr>
              <w:pStyle w:val="TableParagraph"/>
              <w:spacing w:line="271" w:lineRule="exact"/>
              <w:ind w:left="50"/>
              <w:rPr>
                <w:sz w:val="24"/>
              </w:rPr>
            </w:pPr>
            <w:r>
              <w:rPr>
                <w:sz w:val="24"/>
              </w:rPr>
              <w:t>13.</w:t>
            </w:r>
            <w:r>
              <w:rPr>
                <w:spacing w:val="57"/>
                <w:sz w:val="24"/>
              </w:rPr>
              <w:t> </w:t>
            </w:r>
            <w:r>
              <w:rPr>
                <w:sz w:val="24"/>
              </w:rPr>
              <w:t>Distribution</w:t>
            </w:r>
            <w:r>
              <w:rPr>
                <w:spacing w:val="-1"/>
                <w:sz w:val="24"/>
              </w:rPr>
              <w:t> </w:t>
            </w:r>
            <w:r>
              <w:rPr>
                <w:sz w:val="24"/>
              </w:rPr>
              <w:t>of</w:t>
            </w:r>
            <w:r>
              <w:rPr>
                <w:spacing w:val="-1"/>
                <w:sz w:val="24"/>
              </w:rPr>
              <w:t> </w:t>
            </w:r>
            <w:r>
              <w:rPr>
                <w:sz w:val="24"/>
              </w:rPr>
              <w:t>Districts</w:t>
            </w:r>
            <w:r>
              <w:rPr>
                <w:spacing w:val="-1"/>
                <w:sz w:val="24"/>
              </w:rPr>
              <w:t> </w:t>
            </w:r>
            <w:r>
              <w:rPr>
                <w:sz w:val="24"/>
              </w:rPr>
              <w:t>according</w:t>
            </w:r>
            <w:r>
              <w:rPr>
                <w:spacing w:val="-1"/>
                <w:sz w:val="24"/>
              </w:rPr>
              <w:t> </w:t>
            </w:r>
            <w:r>
              <w:rPr>
                <w:sz w:val="24"/>
              </w:rPr>
              <w:t>to </w:t>
            </w:r>
            <w:r>
              <w:rPr>
                <w:spacing w:val="-2"/>
                <w:sz w:val="24"/>
              </w:rPr>
              <w:t>Enrolment</w:t>
            </w:r>
          </w:p>
          <w:p>
            <w:pPr>
              <w:pStyle w:val="TableParagraph"/>
              <w:spacing w:line="261" w:lineRule="exact"/>
              <w:ind w:left="50"/>
              <w:rPr>
                <w:sz w:val="24"/>
              </w:rPr>
            </w:pPr>
            <w:r>
              <w:rPr>
                <w:sz w:val="24"/>
              </w:rPr>
              <w:t>in</w:t>
            </w:r>
            <w:r>
              <w:rPr>
                <w:spacing w:val="-1"/>
                <w:sz w:val="24"/>
              </w:rPr>
              <w:t> </w:t>
            </w:r>
            <w:r>
              <w:rPr>
                <w:sz w:val="24"/>
              </w:rPr>
              <w:t>Higher Primary</w:t>
            </w:r>
            <w:r>
              <w:rPr>
                <w:spacing w:val="-1"/>
                <w:sz w:val="24"/>
              </w:rPr>
              <w:t> </w:t>
            </w:r>
            <w:r>
              <w:rPr>
                <w:sz w:val="24"/>
              </w:rPr>
              <w:t>Schools (1960-</w:t>
            </w:r>
            <w:r>
              <w:rPr>
                <w:spacing w:val="-5"/>
                <w:sz w:val="24"/>
              </w:rPr>
              <w:t>61)</w:t>
            </w:r>
          </w:p>
        </w:tc>
        <w:tc>
          <w:tcPr>
            <w:tcW w:w="1258" w:type="dxa"/>
          </w:tcPr>
          <w:p>
            <w:pPr>
              <w:pStyle w:val="TableParagraph"/>
              <w:spacing w:line="261" w:lineRule="exact" w:before="271"/>
              <w:ind w:left="847"/>
              <w:rPr>
                <w:sz w:val="24"/>
              </w:rPr>
            </w:pPr>
            <w:r>
              <w:rPr>
                <w:spacing w:val="-5"/>
                <w:sz w:val="24"/>
              </w:rPr>
              <w:t>218</w:t>
            </w:r>
          </w:p>
        </w:tc>
      </w:tr>
      <w:tr>
        <w:trPr>
          <w:trHeight w:val="546" w:hRule="atLeast"/>
        </w:trPr>
        <w:tc>
          <w:tcPr>
            <w:tcW w:w="6530" w:type="dxa"/>
          </w:tcPr>
          <w:p>
            <w:pPr>
              <w:pStyle w:val="TableParagraph"/>
              <w:spacing w:line="271" w:lineRule="exact"/>
              <w:ind w:left="50"/>
              <w:rPr>
                <w:sz w:val="24"/>
              </w:rPr>
            </w:pPr>
            <w:r>
              <w:rPr>
                <w:sz w:val="24"/>
              </w:rPr>
              <w:t>14.</w:t>
            </w:r>
            <w:r>
              <w:rPr>
                <w:spacing w:val="57"/>
                <w:sz w:val="24"/>
              </w:rPr>
              <w:t> </w:t>
            </w:r>
            <w:r>
              <w:rPr>
                <w:sz w:val="24"/>
              </w:rPr>
              <w:t>Distribution</w:t>
            </w:r>
            <w:r>
              <w:rPr>
                <w:spacing w:val="-1"/>
                <w:sz w:val="24"/>
              </w:rPr>
              <w:t> </w:t>
            </w:r>
            <w:r>
              <w:rPr>
                <w:sz w:val="24"/>
              </w:rPr>
              <w:t>of</w:t>
            </w:r>
            <w:r>
              <w:rPr>
                <w:spacing w:val="-1"/>
                <w:sz w:val="24"/>
              </w:rPr>
              <w:t> </w:t>
            </w:r>
            <w:r>
              <w:rPr>
                <w:sz w:val="24"/>
              </w:rPr>
              <w:t>Districts</w:t>
            </w:r>
            <w:r>
              <w:rPr>
                <w:spacing w:val="-1"/>
                <w:sz w:val="24"/>
              </w:rPr>
              <w:t> </w:t>
            </w:r>
            <w:r>
              <w:rPr>
                <w:sz w:val="24"/>
              </w:rPr>
              <w:t>according</w:t>
            </w:r>
            <w:r>
              <w:rPr>
                <w:spacing w:val="-1"/>
                <w:sz w:val="24"/>
              </w:rPr>
              <w:t> </w:t>
            </w:r>
            <w:r>
              <w:rPr>
                <w:sz w:val="24"/>
              </w:rPr>
              <w:t>to </w:t>
            </w:r>
            <w:r>
              <w:rPr>
                <w:spacing w:val="-2"/>
                <w:sz w:val="24"/>
              </w:rPr>
              <w:t>Enrolment</w:t>
            </w:r>
          </w:p>
          <w:p>
            <w:pPr>
              <w:pStyle w:val="TableParagraph"/>
              <w:spacing w:line="256" w:lineRule="exact"/>
              <w:ind w:left="50"/>
              <w:rPr>
                <w:sz w:val="24"/>
              </w:rPr>
            </w:pPr>
            <w:r>
              <w:rPr>
                <w:sz w:val="24"/>
              </w:rPr>
              <w:t>in</w:t>
            </w:r>
            <w:r>
              <w:rPr>
                <w:spacing w:val="-1"/>
                <w:sz w:val="24"/>
              </w:rPr>
              <w:t> </w:t>
            </w:r>
            <w:r>
              <w:rPr>
                <w:sz w:val="24"/>
              </w:rPr>
              <w:t>Secondary</w:t>
            </w:r>
            <w:r>
              <w:rPr>
                <w:spacing w:val="-1"/>
                <w:sz w:val="24"/>
              </w:rPr>
              <w:t> </w:t>
            </w:r>
            <w:r>
              <w:rPr>
                <w:sz w:val="24"/>
              </w:rPr>
              <w:t>Schools</w:t>
            </w:r>
            <w:r>
              <w:rPr>
                <w:spacing w:val="-1"/>
                <w:sz w:val="24"/>
              </w:rPr>
              <w:t> </w:t>
            </w:r>
            <w:r>
              <w:rPr>
                <w:sz w:val="24"/>
              </w:rPr>
              <w:t>(1960-</w:t>
            </w:r>
            <w:r>
              <w:rPr>
                <w:spacing w:val="-5"/>
                <w:sz w:val="24"/>
              </w:rPr>
              <w:t>61)</w:t>
            </w:r>
          </w:p>
        </w:tc>
        <w:tc>
          <w:tcPr>
            <w:tcW w:w="1258" w:type="dxa"/>
          </w:tcPr>
          <w:p>
            <w:pPr>
              <w:pStyle w:val="TableParagraph"/>
              <w:spacing w:line="256" w:lineRule="exact" w:before="271"/>
              <w:ind w:left="847"/>
              <w:rPr>
                <w:sz w:val="24"/>
              </w:rPr>
            </w:pPr>
            <w:r>
              <w:rPr>
                <w:spacing w:val="-5"/>
                <w:sz w:val="24"/>
              </w:rPr>
              <w:t>220</w:t>
            </w:r>
          </w:p>
        </w:tc>
      </w:tr>
    </w:tbl>
    <w:p>
      <w:pPr>
        <w:spacing w:after="0" w:line="256" w:lineRule="exact"/>
        <w:rPr>
          <w:sz w:val="24"/>
        </w:rPr>
        <w:sectPr>
          <w:pgSz w:w="12240" w:h="15840"/>
          <w:pgMar w:header="0" w:footer="743" w:top="1420" w:bottom="940" w:left="1640" w:right="1300"/>
        </w:sectPr>
      </w:pPr>
    </w:p>
    <w:p>
      <w:pPr>
        <w:pStyle w:val="Heading1"/>
        <w:spacing w:line="480" w:lineRule="auto" w:before="79"/>
        <w:ind w:left="3182" w:right="3519" w:firstLine="680"/>
        <w:jc w:val="left"/>
      </w:pPr>
      <w:bookmarkStart w:name="_TOC_250025" w:id="4"/>
      <w:r>
        <w:rPr/>
        <w:t>PART ONE GENERAL</w:t>
      </w:r>
      <w:r>
        <w:rPr>
          <w:spacing w:val="-15"/>
        </w:rPr>
        <w:t> </w:t>
      </w:r>
      <w:bookmarkEnd w:id="4"/>
      <w:r>
        <w:rPr/>
        <w:t>PROBLEMS</w:t>
      </w:r>
    </w:p>
    <w:p>
      <w:pPr>
        <w:pStyle w:val="BodyText"/>
        <w:spacing w:before="2"/>
        <w:rPr>
          <w:b/>
        </w:rPr>
      </w:pPr>
    </w:p>
    <w:p>
      <w:pPr>
        <w:pStyle w:val="BodyText"/>
        <w:ind w:left="160" w:right="498"/>
        <w:jc w:val="both"/>
      </w:pPr>
      <w:r>
        <w:rPr/>
        <w:t>The programmes of educational reconstruction proposed in the Report of the Education Commission fall into three broad categories:</w:t>
      </w:r>
    </w:p>
    <w:p>
      <w:pPr>
        <w:pStyle w:val="BodyText"/>
        <w:spacing w:before="4"/>
      </w:pPr>
    </w:p>
    <w:p>
      <w:pPr>
        <w:pStyle w:val="ListParagraph"/>
        <w:numPr>
          <w:ilvl w:val="2"/>
          <w:numId w:val="10"/>
        </w:numPr>
        <w:tabs>
          <w:tab w:pos="309" w:val="left" w:leader="none"/>
        </w:tabs>
        <w:spacing w:line="240" w:lineRule="auto" w:before="0" w:after="0"/>
        <w:ind w:left="160" w:right="497" w:firstLine="0"/>
        <w:jc w:val="both"/>
        <w:rPr>
          <w:sz w:val="24"/>
        </w:rPr>
      </w:pPr>
      <w:r>
        <w:rPr>
          <w:sz w:val="24"/>
        </w:rPr>
        <w:t>internal transformation of the educational system so as to relate it to the life, needs and aspirations of the nation;</w:t>
      </w:r>
    </w:p>
    <w:p>
      <w:pPr>
        <w:pStyle w:val="BodyText"/>
        <w:spacing w:before="4"/>
      </w:pPr>
    </w:p>
    <w:p>
      <w:pPr>
        <w:pStyle w:val="ListParagraph"/>
        <w:numPr>
          <w:ilvl w:val="2"/>
          <w:numId w:val="10"/>
        </w:numPr>
        <w:tabs>
          <w:tab w:pos="309" w:val="left" w:leader="none"/>
        </w:tabs>
        <w:spacing w:line="240" w:lineRule="auto" w:before="0" w:after="0"/>
        <w:ind w:left="160" w:right="497" w:firstLine="0"/>
        <w:jc w:val="both"/>
        <w:rPr>
          <w:sz w:val="24"/>
        </w:rPr>
      </w:pPr>
      <w:r>
        <w:rPr>
          <w:sz w:val="24"/>
        </w:rPr>
        <w:t>qualitative improvement of education so that the standards achieved are adequate, keep continually rising and, at least in a few sectors, become internationally comparable; and</w:t>
      </w:r>
    </w:p>
    <w:p>
      <w:pPr>
        <w:pStyle w:val="BodyText"/>
        <w:spacing w:before="3"/>
      </w:pPr>
    </w:p>
    <w:p>
      <w:pPr>
        <w:pStyle w:val="ListParagraph"/>
        <w:numPr>
          <w:ilvl w:val="2"/>
          <w:numId w:val="10"/>
        </w:numPr>
        <w:tabs>
          <w:tab w:pos="307" w:val="left" w:leader="none"/>
        </w:tabs>
        <w:spacing w:line="240" w:lineRule="auto" w:before="0" w:after="0"/>
        <w:ind w:left="160" w:right="497" w:firstLine="0"/>
        <w:jc w:val="both"/>
        <w:rPr>
          <w:sz w:val="24"/>
        </w:rPr>
      </w:pPr>
      <w:r>
        <w:rPr>
          <w:sz w:val="24"/>
        </w:rPr>
        <w:t>expansion of educational facilities broadly on the basis of manpower needs and with an accent on equalization of educational opportunities.</w:t>
      </w:r>
    </w:p>
    <w:p>
      <w:pPr>
        <w:pStyle w:val="BodyText"/>
        <w:spacing w:before="5"/>
      </w:pPr>
    </w:p>
    <w:p>
      <w:pPr>
        <w:pStyle w:val="BodyText"/>
        <w:ind w:left="160"/>
        <w:jc w:val="both"/>
      </w:pPr>
      <w:r>
        <w:rPr/>
        <w:t>The</w:t>
      </w:r>
      <w:r>
        <w:rPr>
          <w:spacing w:val="-2"/>
        </w:rPr>
        <w:t> </w:t>
      </w:r>
      <w:r>
        <w:rPr/>
        <w:t>general</w:t>
      </w:r>
      <w:r>
        <w:rPr>
          <w:spacing w:val="-1"/>
        </w:rPr>
        <w:t> </w:t>
      </w:r>
      <w:r>
        <w:rPr/>
        <w:t>aspects</w:t>
      </w:r>
      <w:r>
        <w:rPr>
          <w:spacing w:val="-1"/>
        </w:rPr>
        <w:t> </w:t>
      </w:r>
      <w:r>
        <w:rPr/>
        <w:t>of</w:t>
      </w:r>
      <w:r>
        <w:rPr>
          <w:spacing w:val="-2"/>
        </w:rPr>
        <w:t> </w:t>
      </w:r>
      <w:r>
        <w:rPr/>
        <w:t>these</w:t>
      </w:r>
      <w:r>
        <w:rPr>
          <w:spacing w:val="-1"/>
        </w:rPr>
        <w:t> </w:t>
      </w:r>
      <w:r>
        <w:rPr/>
        <w:t>programmes have been</w:t>
      </w:r>
      <w:r>
        <w:rPr>
          <w:spacing w:val="-1"/>
        </w:rPr>
        <w:t> </w:t>
      </w:r>
      <w:r>
        <w:rPr/>
        <w:t>dealt with in this</w:t>
      </w:r>
      <w:r>
        <w:rPr>
          <w:spacing w:val="-1"/>
        </w:rPr>
        <w:t> </w:t>
      </w:r>
      <w:r>
        <w:rPr/>
        <w:t>part of the </w:t>
      </w:r>
      <w:r>
        <w:rPr>
          <w:spacing w:val="-2"/>
        </w:rPr>
        <w:t>Report.</w:t>
      </w:r>
    </w:p>
    <w:p>
      <w:pPr>
        <w:pStyle w:val="BodyText"/>
        <w:spacing w:before="4"/>
      </w:pPr>
    </w:p>
    <w:p>
      <w:pPr>
        <w:pStyle w:val="BodyText"/>
        <w:ind w:left="160" w:right="495"/>
        <w:jc w:val="both"/>
      </w:pPr>
      <w:r>
        <w:rPr/>
        <w:t>Chapter I deals with a few major programmes which will relate education to the life, needs and aspirations of the people.</w:t>
      </w:r>
    </w:p>
    <w:p>
      <w:pPr>
        <w:pStyle w:val="BodyText"/>
        <w:spacing w:before="3"/>
      </w:pPr>
    </w:p>
    <w:p>
      <w:pPr>
        <w:pStyle w:val="BodyText"/>
        <w:spacing w:before="1"/>
        <w:ind w:left="160" w:right="495"/>
        <w:jc w:val="both"/>
      </w:pPr>
      <w:r>
        <w:rPr/>
        <w:t>Chapters II, III and IV deal with some general aspects of qualitative improvement. Chapter II deals with the reorganization of educational structure and sonic broad programmes for the improvement of standards. Chapter III deals with programmes for raising the status of teachers, such as improvement in remuneration, retirement benefits, conditions of work and service, and prospects of profession- al advancement. Chapter </w:t>
      </w:r>
      <w:r>
        <w:rPr/>
        <w:t>IV deals with programmes of teacher education-both pre-service and in-service.</w:t>
      </w:r>
    </w:p>
    <w:p>
      <w:pPr>
        <w:pStyle w:val="BodyText"/>
        <w:spacing w:before="3"/>
      </w:pPr>
    </w:p>
    <w:p>
      <w:pPr>
        <w:pStyle w:val="BodyText"/>
        <w:ind w:left="160" w:right="496"/>
        <w:jc w:val="both"/>
      </w:pPr>
      <w:r>
        <w:rPr/>
        <w:t>Chapters V and VI deal with problems of expansion and equalization of educational opportunities. Chapter V deals with the broad principles on which a national enrolment policy should be based during the next 20 years and the manner in which the output of</w:t>
      </w:r>
      <w:r>
        <w:rPr>
          <w:spacing w:val="40"/>
        </w:rPr>
        <w:t> </w:t>
      </w:r>
      <w:r>
        <w:rPr/>
        <w:t>the educational system call be related to manpower needs or employment opportunities. Chapter VI deals with programmes of equalization such as free education, supply of books and writing materials, scholarships, education of handicapped children, reduction in regional imbalances in educational development, education of women, and education</w:t>
      </w:r>
      <w:r>
        <w:rPr>
          <w:spacing w:val="40"/>
        </w:rPr>
        <w:t> </w:t>
      </w:r>
      <w:r>
        <w:rPr/>
        <w:t>of the backward classes, especially of tribal people.</w:t>
      </w:r>
    </w:p>
    <w:p>
      <w:pPr>
        <w:spacing w:after="0"/>
        <w:jc w:val="both"/>
        <w:sectPr>
          <w:footerReference w:type="default" r:id="rId6"/>
          <w:pgSz w:w="12240" w:h="15840"/>
          <w:pgMar w:header="0" w:footer="0" w:top="1360" w:bottom="280" w:left="1640" w:right="1300"/>
        </w:sectPr>
      </w:pPr>
    </w:p>
    <w:p>
      <w:pPr>
        <w:pStyle w:val="Heading1"/>
        <w:spacing w:before="79"/>
        <w:ind w:left="3523" w:right="3860"/>
      </w:pPr>
      <w:r>
        <w:rPr/>
        <w:t>CHAPTER </w:t>
      </w:r>
      <w:r>
        <w:rPr>
          <w:spacing w:val="-10"/>
        </w:rPr>
        <w:t>I</w:t>
      </w:r>
    </w:p>
    <w:p>
      <w:pPr>
        <w:pStyle w:val="BodyText"/>
        <w:rPr>
          <w:b/>
        </w:rPr>
      </w:pPr>
    </w:p>
    <w:p>
      <w:pPr>
        <w:spacing w:before="0"/>
        <w:ind w:left="290" w:right="629" w:firstLine="0"/>
        <w:jc w:val="center"/>
        <w:rPr>
          <w:b/>
          <w:sz w:val="24"/>
        </w:rPr>
      </w:pPr>
      <w:r>
        <w:rPr>
          <w:b/>
          <w:sz w:val="24"/>
        </w:rPr>
        <w:t>EDUCATION</w:t>
      </w:r>
      <w:r>
        <w:rPr>
          <w:b/>
          <w:spacing w:val="-5"/>
          <w:sz w:val="24"/>
        </w:rPr>
        <w:t> </w:t>
      </w:r>
      <w:r>
        <w:rPr>
          <w:b/>
          <w:sz w:val="24"/>
        </w:rPr>
        <w:t>AND</w:t>
      </w:r>
      <w:r>
        <w:rPr>
          <w:b/>
          <w:spacing w:val="-5"/>
          <w:sz w:val="24"/>
        </w:rPr>
        <w:t> </w:t>
      </w:r>
      <w:r>
        <w:rPr>
          <w:b/>
          <w:sz w:val="24"/>
        </w:rPr>
        <w:t>NATIONAL</w:t>
      </w:r>
      <w:r>
        <w:rPr>
          <w:b/>
          <w:spacing w:val="-4"/>
          <w:sz w:val="24"/>
        </w:rPr>
        <w:t> </w:t>
      </w:r>
      <w:r>
        <w:rPr>
          <w:b/>
          <w:spacing w:val="-2"/>
          <w:sz w:val="24"/>
        </w:rPr>
        <w:t>OBJECTIVES</w:t>
      </w:r>
    </w:p>
    <w:p>
      <w:pPr>
        <w:pStyle w:val="BodyText"/>
        <w:rPr>
          <w:b/>
        </w:rPr>
      </w:pPr>
    </w:p>
    <w:p>
      <w:pPr>
        <w:pStyle w:val="BodyText"/>
        <w:spacing w:before="2"/>
        <w:rPr>
          <w:b/>
        </w:rPr>
      </w:pPr>
    </w:p>
    <w:p>
      <w:pPr>
        <w:pStyle w:val="ListParagraph"/>
        <w:numPr>
          <w:ilvl w:val="1"/>
          <w:numId w:val="11"/>
        </w:numPr>
        <w:tabs>
          <w:tab w:pos="648" w:val="left" w:leader="none"/>
        </w:tabs>
        <w:spacing w:line="240" w:lineRule="auto" w:before="0" w:after="0"/>
        <w:ind w:left="160" w:right="496" w:firstLine="0"/>
        <w:jc w:val="both"/>
        <w:rPr>
          <w:sz w:val="24"/>
        </w:rPr>
      </w:pPr>
      <w:r>
        <w:rPr>
          <w:sz w:val="24"/>
        </w:rPr>
        <w:t>The destiny of India is now being shaped in her classrooms. This, We believe, is no mere rhetoric. In a world based on science and technology it is education that determines the level of prosperity, welfare and security of the people. On the quality and number of persons coming out of our schools and colleges will depend our success in the great enterprise of national reconstruction the principal objective of which is to raise the standard of living of our people. in this context, it has become urgent</w:t>
      </w:r>
    </w:p>
    <w:p>
      <w:pPr>
        <w:pStyle w:val="BodyText"/>
        <w:spacing w:before="4"/>
      </w:pPr>
    </w:p>
    <w:p>
      <w:pPr>
        <w:pStyle w:val="ListParagraph"/>
        <w:numPr>
          <w:ilvl w:val="2"/>
          <w:numId w:val="10"/>
        </w:numPr>
        <w:tabs>
          <w:tab w:pos="299" w:val="left" w:leader="none"/>
        </w:tabs>
        <w:spacing w:line="240" w:lineRule="auto" w:before="0" w:after="0"/>
        <w:ind w:left="299" w:right="0" w:hanging="139"/>
        <w:jc w:val="left"/>
        <w:rPr>
          <w:sz w:val="24"/>
        </w:rPr>
      </w:pPr>
      <w:r>
        <w:rPr>
          <w:sz w:val="24"/>
        </w:rPr>
        <w:t>to</w:t>
      </w:r>
      <w:r>
        <w:rPr>
          <w:spacing w:val="-3"/>
          <w:sz w:val="24"/>
        </w:rPr>
        <w:t> </w:t>
      </w:r>
      <w:r>
        <w:rPr>
          <w:sz w:val="24"/>
        </w:rPr>
        <w:t>re-evaluate</w:t>
      </w:r>
      <w:r>
        <w:rPr>
          <w:spacing w:val="-1"/>
          <w:sz w:val="24"/>
        </w:rPr>
        <w:t> </w:t>
      </w:r>
      <w:r>
        <w:rPr>
          <w:sz w:val="24"/>
        </w:rPr>
        <w:t>the</w:t>
      </w:r>
      <w:r>
        <w:rPr>
          <w:spacing w:val="-1"/>
          <w:sz w:val="24"/>
        </w:rPr>
        <w:t> </w:t>
      </w:r>
      <w:r>
        <w:rPr>
          <w:sz w:val="24"/>
        </w:rPr>
        <w:t>role</w:t>
      </w:r>
      <w:r>
        <w:rPr>
          <w:spacing w:val="-1"/>
          <w:sz w:val="24"/>
        </w:rPr>
        <w:t> </w:t>
      </w:r>
      <w:r>
        <w:rPr>
          <w:sz w:val="24"/>
        </w:rPr>
        <w:t>of</w:t>
      </w:r>
      <w:r>
        <w:rPr>
          <w:spacing w:val="-1"/>
          <w:sz w:val="24"/>
        </w:rPr>
        <w:t> </w:t>
      </w:r>
      <w:r>
        <w:rPr>
          <w:sz w:val="24"/>
        </w:rPr>
        <w:t>education</w:t>
      </w:r>
      <w:r>
        <w:rPr>
          <w:spacing w:val="-3"/>
          <w:sz w:val="24"/>
        </w:rPr>
        <w:t> </w:t>
      </w:r>
      <w:r>
        <w:rPr>
          <w:sz w:val="24"/>
        </w:rPr>
        <w:t>in</w:t>
      </w:r>
      <w:r>
        <w:rPr>
          <w:spacing w:val="-2"/>
          <w:sz w:val="24"/>
        </w:rPr>
        <w:t> </w:t>
      </w:r>
      <w:r>
        <w:rPr>
          <w:sz w:val="24"/>
        </w:rPr>
        <w:t>the</w:t>
      </w:r>
      <w:r>
        <w:rPr>
          <w:spacing w:val="-1"/>
          <w:sz w:val="24"/>
        </w:rPr>
        <w:t> </w:t>
      </w:r>
      <w:r>
        <w:rPr>
          <w:sz w:val="24"/>
        </w:rPr>
        <w:t>total</w:t>
      </w:r>
      <w:r>
        <w:rPr>
          <w:spacing w:val="-2"/>
          <w:sz w:val="24"/>
        </w:rPr>
        <w:t> </w:t>
      </w:r>
      <w:r>
        <w:rPr>
          <w:sz w:val="24"/>
        </w:rPr>
        <w:t>programme of</w:t>
      </w:r>
      <w:r>
        <w:rPr>
          <w:spacing w:val="-3"/>
          <w:sz w:val="24"/>
        </w:rPr>
        <w:t> </w:t>
      </w:r>
      <w:r>
        <w:rPr>
          <w:sz w:val="24"/>
        </w:rPr>
        <w:t>national </w:t>
      </w:r>
      <w:r>
        <w:rPr>
          <w:spacing w:val="-2"/>
          <w:sz w:val="24"/>
        </w:rPr>
        <w:t>development;</w:t>
      </w:r>
    </w:p>
    <w:p>
      <w:pPr>
        <w:pStyle w:val="BodyText"/>
        <w:spacing w:before="4"/>
      </w:pPr>
    </w:p>
    <w:p>
      <w:pPr>
        <w:pStyle w:val="ListParagraph"/>
        <w:numPr>
          <w:ilvl w:val="2"/>
          <w:numId w:val="10"/>
        </w:numPr>
        <w:tabs>
          <w:tab w:pos="331" w:val="left" w:leader="none"/>
        </w:tabs>
        <w:spacing w:line="240" w:lineRule="auto" w:before="0" w:after="0"/>
        <w:ind w:left="160" w:right="496" w:firstLine="0"/>
        <w:jc w:val="left"/>
        <w:rPr>
          <w:sz w:val="24"/>
        </w:rPr>
      </w:pPr>
      <w:r>
        <w:rPr>
          <w:sz w:val="24"/>
        </w:rPr>
        <w:t>to</w:t>
      </w:r>
      <w:r>
        <w:rPr>
          <w:spacing w:val="30"/>
          <w:sz w:val="24"/>
        </w:rPr>
        <w:t> </w:t>
      </w:r>
      <w:r>
        <w:rPr>
          <w:sz w:val="24"/>
        </w:rPr>
        <w:t>identify</w:t>
      </w:r>
      <w:r>
        <w:rPr>
          <w:spacing w:val="30"/>
          <w:sz w:val="24"/>
        </w:rPr>
        <w:t> </w:t>
      </w:r>
      <w:r>
        <w:rPr>
          <w:sz w:val="24"/>
        </w:rPr>
        <w:t>the</w:t>
      </w:r>
      <w:r>
        <w:rPr>
          <w:spacing w:val="30"/>
          <w:sz w:val="24"/>
        </w:rPr>
        <w:t> </w:t>
      </w:r>
      <w:r>
        <w:rPr>
          <w:sz w:val="24"/>
        </w:rPr>
        <w:t>changes</w:t>
      </w:r>
      <w:r>
        <w:rPr>
          <w:spacing w:val="30"/>
          <w:sz w:val="24"/>
        </w:rPr>
        <w:t> </w:t>
      </w:r>
      <w:r>
        <w:rPr>
          <w:sz w:val="24"/>
        </w:rPr>
        <w:t>needed</w:t>
      </w:r>
      <w:r>
        <w:rPr>
          <w:spacing w:val="30"/>
          <w:sz w:val="24"/>
        </w:rPr>
        <w:t> </w:t>
      </w:r>
      <w:r>
        <w:rPr>
          <w:sz w:val="24"/>
        </w:rPr>
        <w:t>in</w:t>
      </w:r>
      <w:r>
        <w:rPr>
          <w:spacing w:val="29"/>
          <w:sz w:val="24"/>
        </w:rPr>
        <w:t> </w:t>
      </w:r>
      <w:r>
        <w:rPr>
          <w:sz w:val="24"/>
        </w:rPr>
        <w:t>the</w:t>
      </w:r>
      <w:r>
        <w:rPr>
          <w:spacing w:val="30"/>
          <w:sz w:val="24"/>
        </w:rPr>
        <w:t> </w:t>
      </w:r>
      <w:r>
        <w:rPr>
          <w:sz w:val="24"/>
        </w:rPr>
        <w:t>existing</w:t>
      </w:r>
      <w:r>
        <w:rPr>
          <w:spacing w:val="30"/>
          <w:sz w:val="24"/>
        </w:rPr>
        <w:t> </w:t>
      </w:r>
      <w:r>
        <w:rPr>
          <w:sz w:val="24"/>
        </w:rPr>
        <w:t>system</w:t>
      </w:r>
      <w:r>
        <w:rPr>
          <w:spacing w:val="28"/>
          <w:sz w:val="24"/>
        </w:rPr>
        <w:t> </w:t>
      </w:r>
      <w:r>
        <w:rPr>
          <w:sz w:val="24"/>
        </w:rPr>
        <w:t>of</w:t>
      </w:r>
      <w:r>
        <w:rPr>
          <w:spacing w:val="30"/>
          <w:sz w:val="24"/>
        </w:rPr>
        <w:t> </w:t>
      </w:r>
      <w:r>
        <w:rPr>
          <w:sz w:val="24"/>
        </w:rPr>
        <w:t>education</w:t>
      </w:r>
      <w:r>
        <w:rPr>
          <w:spacing w:val="30"/>
          <w:sz w:val="24"/>
        </w:rPr>
        <w:t> </w:t>
      </w:r>
      <w:r>
        <w:rPr>
          <w:sz w:val="24"/>
        </w:rPr>
        <w:t>if</w:t>
      </w:r>
      <w:r>
        <w:rPr>
          <w:spacing w:val="29"/>
          <w:sz w:val="24"/>
        </w:rPr>
        <w:t> </w:t>
      </w:r>
      <w:r>
        <w:rPr>
          <w:sz w:val="24"/>
        </w:rPr>
        <w:t>it</w:t>
      </w:r>
      <w:r>
        <w:rPr>
          <w:spacing w:val="30"/>
          <w:sz w:val="24"/>
        </w:rPr>
        <w:t> </w:t>
      </w:r>
      <w:r>
        <w:rPr>
          <w:sz w:val="24"/>
        </w:rPr>
        <w:t>is</w:t>
      </w:r>
      <w:r>
        <w:rPr>
          <w:spacing w:val="30"/>
          <w:sz w:val="24"/>
        </w:rPr>
        <w:t> </w:t>
      </w:r>
      <w:r>
        <w:rPr>
          <w:sz w:val="24"/>
        </w:rPr>
        <w:t>to</w:t>
      </w:r>
      <w:r>
        <w:rPr>
          <w:spacing w:val="30"/>
          <w:sz w:val="24"/>
        </w:rPr>
        <w:t> </w:t>
      </w:r>
      <w:r>
        <w:rPr>
          <w:sz w:val="24"/>
        </w:rPr>
        <w:t>play</w:t>
      </w:r>
      <w:r>
        <w:rPr>
          <w:spacing w:val="30"/>
          <w:sz w:val="24"/>
        </w:rPr>
        <w:t> </w:t>
      </w:r>
      <w:r>
        <w:rPr>
          <w:sz w:val="24"/>
        </w:rPr>
        <w:t>its proper role, and to prepare a programme of educational development based on them; and</w:t>
      </w:r>
    </w:p>
    <w:p>
      <w:pPr>
        <w:pStyle w:val="BodyText"/>
        <w:spacing w:before="4"/>
      </w:pPr>
    </w:p>
    <w:p>
      <w:pPr>
        <w:pStyle w:val="ListParagraph"/>
        <w:numPr>
          <w:ilvl w:val="2"/>
          <w:numId w:val="10"/>
        </w:numPr>
        <w:tabs>
          <w:tab w:pos="299" w:val="left" w:leader="none"/>
        </w:tabs>
        <w:spacing w:line="240" w:lineRule="auto" w:before="1" w:after="0"/>
        <w:ind w:left="299" w:right="0" w:hanging="139"/>
        <w:jc w:val="left"/>
        <w:rPr>
          <w:sz w:val="24"/>
        </w:rPr>
      </w:pPr>
      <w:r>
        <w:rPr>
          <w:sz w:val="24"/>
        </w:rPr>
        <w:t>to</w:t>
      </w:r>
      <w:r>
        <w:rPr>
          <w:spacing w:val="-1"/>
          <w:sz w:val="24"/>
        </w:rPr>
        <w:t> </w:t>
      </w:r>
      <w:r>
        <w:rPr>
          <w:sz w:val="24"/>
        </w:rPr>
        <w:t>implement</w:t>
      </w:r>
      <w:r>
        <w:rPr>
          <w:spacing w:val="-1"/>
          <w:sz w:val="24"/>
        </w:rPr>
        <w:t> </w:t>
      </w:r>
      <w:r>
        <w:rPr>
          <w:sz w:val="24"/>
        </w:rPr>
        <w:t>this</w:t>
      </w:r>
      <w:r>
        <w:rPr>
          <w:spacing w:val="-1"/>
          <w:sz w:val="24"/>
        </w:rPr>
        <w:t> </w:t>
      </w:r>
      <w:r>
        <w:rPr>
          <w:sz w:val="24"/>
        </w:rPr>
        <w:t>programme with</w:t>
      </w:r>
      <w:r>
        <w:rPr>
          <w:spacing w:val="-1"/>
          <w:sz w:val="24"/>
        </w:rPr>
        <w:t> </w:t>
      </w:r>
      <w:r>
        <w:rPr>
          <w:sz w:val="24"/>
        </w:rPr>
        <w:t>determination</w:t>
      </w:r>
      <w:r>
        <w:rPr>
          <w:spacing w:val="-1"/>
          <w:sz w:val="24"/>
        </w:rPr>
        <w:t> </w:t>
      </w:r>
      <w:r>
        <w:rPr>
          <w:sz w:val="24"/>
        </w:rPr>
        <w:t>and </w:t>
      </w:r>
      <w:r>
        <w:rPr>
          <w:spacing w:val="-2"/>
          <w:sz w:val="24"/>
        </w:rPr>
        <w:t>vigour.</w:t>
      </w:r>
    </w:p>
    <w:p>
      <w:pPr>
        <w:pStyle w:val="BodyText"/>
        <w:spacing w:before="2"/>
      </w:pPr>
    </w:p>
    <w:p>
      <w:pPr>
        <w:pStyle w:val="ListParagraph"/>
        <w:numPr>
          <w:ilvl w:val="1"/>
          <w:numId w:val="11"/>
        </w:numPr>
        <w:tabs>
          <w:tab w:pos="667" w:val="left" w:leader="none"/>
        </w:tabs>
        <w:spacing w:line="240" w:lineRule="auto" w:before="0" w:after="0"/>
        <w:ind w:left="159" w:right="496" w:firstLine="0"/>
        <w:jc w:val="both"/>
        <w:rPr>
          <w:sz w:val="24"/>
        </w:rPr>
      </w:pPr>
      <w:r>
        <w:rPr>
          <w:sz w:val="24"/>
        </w:rPr>
        <w:t>The task is neither unique nor quite new. But its magnitude, gravity and urgency have increased immensely and it has acquired a new meaning and importance since the attainment of independence and the adoption of the policy and techniques of planned development of the national economy. If the pace of national development is to be accelerated,</w:t>
      </w:r>
      <w:r>
        <w:rPr>
          <w:spacing w:val="-1"/>
          <w:sz w:val="24"/>
        </w:rPr>
        <w:t> </w:t>
      </w:r>
      <w:r>
        <w:rPr>
          <w:sz w:val="24"/>
        </w:rPr>
        <w:t>there</w:t>
      </w:r>
      <w:r>
        <w:rPr>
          <w:spacing w:val="-1"/>
          <w:sz w:val="24"/>
        </w:rPr>
        <w:t> </w:t>
      </w:r>
      <w:r>
        <w:rPr>
          <w:sz w:val="24"/>
        </w:rPr>
        <w:t>is</w:t>
      </w:r>
      <w:r>
        <w:rPr>
          <w:spacing w:val="-1"/>
          <w:sz w:val="24"/>
        </w:rPr>
        <w:t> </w:t>
      </w:r>
      <w:r>
        <w:rPr>
          <w:sz w:val="24"/>
        </w:rPr>
        <w:t>need</w:t>
      </w:r>
      <w:r>
        <w:rPr>
          <w:spacing w:val="-2"/>
          <w:sz w:val="24"/>
        </w:rPr>
        <w:t> </w:t>
      </w:r>
      <w:r>
        <w:rPr>
          <w:sz w:val="24"/>
        </w:rPr>
        <w:t>for</w:t>
      </w:r>
      <w:r>
        <w:rPr>
          <w:spacing w:val="-1"/>
          <w:sz w:val="24"/>
        </w:rPr>
        <w:t> </w:t>
      </w:r>
      <w:r>
        <w:rPr>
          <w:sz w:val="24"/>
        </w:rPr>
        <w:t>a</w:t>
      </w:r>
      <w:r>
        <w:rPr>
          <w:spacing w:val="-1"/>
          <w:sz w:val="24"/>
        </w:rPr>
        <w:t> </w:t>
      </w:r>
      <w:r>
        <w:rPr>
          <w:sz w:val="24"/>
        </w:rPr>
        <w:t>well'-defined,</w:t>
      </w:r>
      <w:r>
        <w:rPr>
          <w:spacing w:val="-1"/>
          <w:sz w:val="24"/>
        </w:rPr>
        <w:t> </w:t>
      </w:r>
      <w:r>
        <w:rPr>
          <w:sz w:val="24"/>
        </w:rPr>
        <w:t>bold</w:t>
      </w:r>
      <w:r>
        <w:rPr>
          <w:spacing w:val="-1"/>
          <w:sz w:val="24"/>
        </w:rPr>
        <w:t> </w:t>
      </w:r>
      <w:r>
        <w:rPr>
          <w:sz w:val="24"/>
        </w:rPr>
        <w:t>and</w:t>
      </w:r>
      <w:r>
        <w:rPr>
          <w:spacing w:val="-1"/>
          <w:sz w:val="24"/>
        </w:rPr>
        <w:t> </w:t>
      </w:r>
      <w:r>
        <w:rPr>
          <w:sz w:val="24"/>
        </w:rPr>
        <w:t>imaginative</w:t>
      </w:r>
      <w:r>
        <w:rPr>
          <w:spacing w:val="-1"/>
          <w:sz w:val="24"/>
        </w:rPr>
        <w:t> </w:t>
      </w:r>
      <w:r>
        <w:rPr>
          <w:sz w:val="24"/>
        </w:rPr>
        <w:t>educational</w:t>
      </w:r>
      <w:r>
        <w:rPr>
          <w:spacing w:val="-1"/>
          <w:sz w:val="24"/>
        </w:rPr>
        <w:t> </w:t>
      </w:r>
      <w:r>
        <w:rPr>
          <w:sz w:val="24"/>
        </w:rPr>
        <w:t>policy</w:t>
      </w:r>
      <w:r>
        <w:rPr>
          <w:spacing w:val="-2"/>
          <w:sz w:val="24"/>
        </w:rPr>
        <w:t> </w:t>
      </w:r>
      <w:r>
        <w:rPr>
          <w:sz w:val="24"/>
        </w:rPr>
        <w:t>and for determined and vigorous action to vitalize, improve and expand education.</w:t>
      </w:r>
    </w:p>
    <w:p>
      <w:pPr>
        <w:pStyle w:val="BodyText"/>
        <w:spacing w:before="5"/>
      </w:pPr>
    </w:p>
    <w:p>
      <w:pPr>
        <w:pStyle w:val="ListParagraph"/>
        <w:numPr>
          <w:ilvl w:val="1"/>
          <w:numId w:val="11"/>
        </w:numPr>
        <w:tabs>
          <w:tab w:pos="650" w:val="left" w:leader="none"/>
        </w:tabs>
        <w:spacing w:line="240" w:lineRule="auto" w:before="0" w:after="0"/>
        <w:ind w:left="159" w:right="495" w:firstLine="0"/>
        <w:jc w:val="both"/>
        <w:rPr>
          <w:sz w:val="24"/>
        </w:rPr>
      </w:pPr>
      <w:r>
        <w:rPr>
          <w:sz w:val="24"/>
        </w:rPr>
        <w:t>The population of India is now about 500 million, and half of it is below the age of 18 years-India today is essentially a land of youth. Over the next 20 years, the population is likely to increase by 230 million. The total number of educational institutions in the country is over 500,000. The number of teachers exceeds two million. The total student population, which is now about 70 million, will be more than doubled in the next twenty years; and by 1985, it will become about 170 million or about equal to the total</w:t>
      </w:r>
      <w:r>
        <w:rPr>
          <w:spacing w:val="40"/>
          <w:sz w:val="24"/>
        </w:rPr>
        <w:t> </w:t>
      </w:r>
      <w:r>
        <w:rPr>
          <w:sz w:val="24"/>
        </w:rPr>
        <w:t>population</w:t>
      </w:r>
      <w:r>
        <w:rPr>
          <w:spacing w:val="-2"/>
          <w:sz w:val="24"/>
        </w:rPr>
        <w:t> </w:t>
      </w:r>
      <w:r>
        <w:rPr>
          <w:sz w:val="24"/>
        </w:rPr>
        <w:t>of</w:t>
      </w:r>
      <w:r>
        <w:rPr>
          <w:spacing w:val="-2"/>
          <w:sz w:val="24"/>
        </w:rPr>
        <w:t> </w:t>
      </w:r>
      <w:r>
        <w:rPr>
          <w:sz w:val="24"/>
        </w:rPr>
        <w:t>Europe.</w:t>
      </w:r>
      <w:r>
        <w:rPr>
          <w:spacing w:val="-2"/>
          <w:sz w:val="24"/>
        </w:rPr>
        <w:t> </w:t>
      </w:r>
      <w:r>
        <w:rPr>
          <w:sz w:val="24"/>
        </w:rPr>
        <w:t>The</w:t>
      </w:r>
      <w:r>
        <w:rPr>
          <w:spacing w:val="-2"/>
          <w:sz w:val="24"/>
        </w:rPr>
        <w:t> </w:t>
      </w:r>
      <w:r>
        <w:rPr>
          <w:sz w:val="24"/>
        </w:rPr>
        <w:t>size</w:t>
      </w:r>
      <w:r>
        <w:rPr>
          <w:spacing w:val="-2"/>
          <w:sz w:val="24"/>
        </w:rPr>
        <w:t> </w:t>
      </w:r>
      <w:r>
        <w:rPr>
          <w:sz w:val="24"/>
        </w:rPr>
        <w:t>and</w:t>
      </w:r>
      <w:r>
        <w:rPr>
          <w:spacing w:val="-2"/>
          <w:sz w:val="24"/>
        </w:rPr>
        <w:t> </w:t>
      </w:r>
      <w:r>
        <w:rPr>
          <w:sz w:val="24"/>
        </w:rPr>
        <w:t>complexity</w:t>
      </w:r>
      <w:r>
        <w:rPr>
          <w:spacing w:val="-4"/>
          <w:sz w:val="24"/>
        </w:rPr>
        <w:t> </w:t>
      </w:r>
      <w:r>
        <w:rPr>
          <w:sz w:val="24"/>
        </w:rPr>
        <w:t>of</w:t>
      </w:r>
      <w:r>
        <w:rPr>
          <w:spacing w:val="-2"/>
          <w:sz w:val="24"/>
        </w:rPr>
        <w:t> </w:t>
      </w:r>
      <w:r>
        <w:rPr>
          <w:sz w:val="24"/>
        </w:rPr>
        <w:t>these</w:t>
      </w:r>
      <w:r>
        <w:rPr>
          <w:spacing w:val="-2"/>
          <w:sz w:val="24"/>
        </w:rPr>
        <w:t> </w:t>
      </w:r>
      <w:r>
        <w:rPr>
          <w:sz w:val="24"/>
        </w:rPr>
        <w:t>problems</w:t>
      </w:r>
      <w:r>
        <w:rPr>
          <w:spacing w:val="-2"/>
          <w:sz w:val="24"/>
        </w:rPr>
        <w:t> </w:t>
      </w:r>
      <w:r>
        <w:rPr>
          <w:sz w:val="24"/>
        </w:rPr>
        <w:t>argue</w:t>
      </w:r>
      <w:r>
        <w:rPr>
          <w:spacing w:val="-4"/>
          <w:sz w:val="24"/>
        </w:rPr>
        <w:t> </w:t>
      </w:r>
      <w:r>
        <w:rPr>
          <w:sz w:val="24"/>
        </w:rPr>
        <w:t>the</w:t>
      </w:r>
      <w:r>
        <w:rPr>
          <w:spacing w:val="-2"/>
          <w:sz w:val="24"/>
        </w:rPr>
        <w:t> </w:t>
      </w:r>
      <w:r>
        <w:rPr>
          <w:sz w:val="24"/>
        </w:rPr>
        <w:t>need</w:t>
      </w:r>
      <w:r>
        <w:rPr>
          <w:spacing w:val="-2"/>
          <w:sz w:val="24"/>
        </w:rPr>
        <w:t> </w:t>
      </w:r>
      <w:r>
        <w:rPr>
          <w:sz w:val="24"/>
        </w:rPr>
        <w:t>for</w:t>
      </w:r>
      <w:r>
        <w:rPr>
          <w:spacing w:val="-2"/>
          <w:sz w:val="24"/>
        </w:rPr>
        <w:t> </w:t>
      </w:r>
      <w:r>
        <w:rPr>
          <w:sz w:val="24"/>
        </w:rPr>
        <w:t>rapid action in evolving an appropriate educational policy; given this, the numbers involved constitute a rich promise for education's contribution to national development.</w:t>
      </w:r>
    </w:p>
    <w:p>
      <w:pPr>
        <w:pStyle w:val="BodyText"/>
        <w:spacing w:before="4"/>
      </w:pPr>
    </w:p>
    <w:p>
      <w:pPr>
        <w:pStyle w:val="ListParagraph"/>
        <w:numPr>
          <w:ilvl w:val="1"/>
          <w:numId w:val="11"/>
        </w:numPr>
        <w:tabs>
          <w:tab w:pos="697" w:val="left" w:leader="none"/>
        </w:tabs>
        <w:spacing w:line="240" w:lineRule="auto" w:before="0" w:after="0"/>
        <w:ind w:left="159" w:right="497" w:firstLine="0"/>
        <w:jc w:val="both"/>
        <w:rPr>
          <w:sz w:val="24"/>
        </w:rPr>
      </w:pPr>
      <w:r>
        <w:rPr>
          <w:sz w:val="24"/>
        </w:rPr>
        <w:t>This Report is concerned with a synoptic appraisal of the existing educational situation in the country and presentation of an overall programme of educational development. But education cannot be considered in isolation or planned in a vacuum. It has to be used as a powerful instrument of social, economic and political change and will therefore, have to be related to the long-term national aspirations, the programmes of national development on which the country is engaged and the difficult short-term problems it is called upon to face.</w:t>
      </w:r>
    </w:p>
    <w:p>
      <w:pPr>
        <w:spacing w:after="0" w:line="240" w:lineRule="auto"/>
        <w:jc w:val="both"/>
        <w:rPr>
          <w:sz w:val="24"/>
        </w:rPr>
        <w:sectPr>
          <w:footerReference w:type="default" r:id="rId7"/>
          <w:pgSz w:w="12240" w:h="15840"/>
          <w:pgMar w:header="0" w:footer="743" w:top="1360" w:bottom="940" w:left="1640" w:right="1300"/>
          <w:pgNumType w:start="2"/>
        </w:sectPr>
      </w:pPr>
    </w:p>
    <w:p>
      <w:pPr>
        <w:pStyle w:val="Heading1"/>
        <w:spacing w:before="79"/>
      </w:pPr>
      <w:bookmarkStart w:name="_TOC_250024" w:id="5"/>
      <w:r>
        <w:rPr/>
        <w:t>SOME</w:t>
      </w:r>
      <w:r>
        <w:rPr>
          <w:spacing w:val="-5"/>
        </w:rPr>
        <w:t> </w:t>
      </w:r>
      <w:r>
        <w:rPr/>
        <w:t>PROBLEMS</w:t>
      </w:r>
      <w:r>
        <w:rPr>
          <w:spacing w:val="-4"/>
        </w:rPr>
        <w:t> </w:t>
      </w:r>
      <w:r>
        <w:rPr/>
        <w:t>OF</w:t>
      </w:r>
      <w:r>
        <w:rPr>
          <w:spacing w:val="-5"/>
        </w:rPr>
        <w:t> </w:t>
      </w:r>
      <w:r>
        <w:rPr/>
        <w:t>NATIONAL</w:t>
      </w:r>
      <w:r>
        <w:rPr>
          <w:spacing w:val="-3"/>
        </w:rPr>
        <w:t> </w:t>
      </w:r>
      <w:bookmarkEnd w:id="5"/>
      <w:r>
        <w:rPr>
          <w:spacing w:val="-2"/>
        </w:rPr>
        <w:t>DEVELOPMENT</w:t>
      </w:r>
    </w:p>
    <w:p>
      <w:pPr>
        <w:pStyle w:val="BodyText"/>
        <w:spacing w:before="2"/>
        <w:rPr>
          <w:b/>
        </w:rPr>
      </w:pPr>
    </w:p>
    <w:p>
      <w:pPr>
        <w:pStyle w:val="ListParagraph"/>
        <w:numPr>
          <w:ilvl w:val="1"/>
          <w:numId w:val="11"/>
        </w:numPr>
        <w:tabs>
          <w:tab w:pos="708" w:val="left" w:leader="none"/>
        </w:tabs>
        <w:spacing w:line="240" w:lineRule="auto" w:before="0" w:after="0"/>
        <w:ind w:left="159" w:right="495" w:firstLine="0"/>
        <w:jc w:val="both"/>
        <w:rPr>
          <w:b/>
          <w:sz w:val="24"/>
        </w:rPr>
      </w:pPr>
      <w:r>
        <w:rPr>
          <w:b/>
          <w:sz w:val="24"/>
        </w:rPr>
        <w:t>Self-sufficiency in Food. </w:t>
      </w:r>
      <w:r>
        <w:rPr>
          <w:sz w:val="24"/>
        </w:rPr>
        <w:t>The first and the most important of these is food. Mahatma Gandhi said: 'If God were to appear in India, He will have to take the form of a loaf of bread'. Even at its present level of population, the country is in short supply for food. Every five years, the addition to the population is greater than the entire population of the U.K. During the next two decades, there will be an addition of about 230 million persons (or 46 per cent of the population of 1966) even on the assumption that the existing birth- rate of 40 per thousand persons is reduced to half by 1986. If it is not, this increase may be 320 million or 65 per cent of the present population. On the basis of present trends, in another 10-15 years, no country is likely to have a surplus of food to export. Even if such surpluses existed, we would have no resources to import the huge quantities of food required, or even to import the fertilizers needed. Self-sufficiency in food thus becomes not merely a desirable goal but a condition for survival.</w:t>
      </w:r>
    </w:p>
    <w:p>
      <w:pPr>
        <w:pStyle w:val="BodyText"/>
        <w:spacing w:before="3"/>
      </w:pPr>
    </w:p>
    <w:p>
      <w:pPr>
        <w:pStyle w:val="ListParagraph"/>
        <w:numPr>
          <w:ilvl w:val="1"/>
          <w:numId w:val="11"/>
        </w:numPr>
        <w:tabs>
          <w:tab w:pos="650" w:val="left" w:leader="none"/>
        </w:tabs>
        <w:spacing w:line="240" w:lineRule="auto" w:before="0" w:after="0"/>
        <w:ind w:left="159" w:right="496" w:firstLine="0"/>
        <w:jc w:val="both"/>
        <w:rPr>
          <w:b/>
          <w:sz w:val="24"/>
        </w:rPr>
      </w:pPr>
      <w:r>
        <w:rPr>
          <w:b/>
          <w:sz w:val="24"/>
        </w:rPr>
        <w:t>Economic Growth and Full Employment. </w:t>
      </w:r>
      <w:r>
        <w:rPr>
          <w:sz w:val="24"/>
        </w:rPr>
        <w:t>Allied to this is the colossal poverty of the masses and the large incidence of underemployment or unemployment among the people, particularly among the educated. India is one of the poorest countries of the world. The national income per capita, which was practically stationary for some</w:t>
      </w:r>
      <w:r>
        <w:rPr>
          <w:spacing w:val="40"/>
          <w:sz w:val="24"/>
        </w:rPr>
        <w:t> </w:t>
      </w:r>
      <w:r>
        <w:rPr>
          <w:sz w:val="24"/>
        </w:rPr>
        <w:t>decades, rose from Rs. 256.5 in 1950-51 to Rs. 348.6 in 1964-65-an increase of 2.2 per cent per year (at 1960-61 prices). Both the rate of growth as well as the level of national income are unsatisfactory. What is worse, even this income is very unevenly distributed. It has been suggested that our immediate objective should be to assure a minimum consumption of Rs. 35 per month to every citizen, sufficient to cover the balanced diet recommended by the Nutrition Advisory Committee and leave a modest allowance for other essential items (at 1960-61 prices). This, by itself, is no high standard. But at present, only the top 20 per cent of the population can afford it. The lowest 30 per cent have</w:t>
      </w:r>
      <w:r>
        <w:rPr>
          <w:spacing w:val="18"/>
          <w:sz w:val="24"/>
        </w:rPr>
        <w:t> </w:t>
      </w:r>
      <w:r>
        <w:rPr>
          <w:sz w:val="24"/>
        </w:rPr>
        <w:t>a</w:t>
      </w:r>
      <w:r>
        <w:rPr>
          <w:spacing w:val="19"/>
          <w:sz w:val="24"/>
        </w:rPr>
        <w:t> </w:t>
      </w:r>
      <w:r>
        <w:rPr>
          <w:sz w:val="24"/>
        </w:rPr>
        <w:t>monthly</w:t>
      </w:r>
      <w:r>
        <w:rPr>
          <w:spacing w:val="19"/>
          <w:sz w:val="24"/>
        </w:rPr>
        <w:t> </w:t>
      </w:r>
      <w:r>
        <w:rPr>
          <w:sz w:val="24"/>
        </w:rPr>
        <w:t>income</w:t>
      </w:r>
      <w:r>
        <w:rPr>
          <w:spacing w:val="18"/>
          <w:sz w:val="24"/>
        </w:rPr>
        <w:t> </w:t>
      </w:r>
      <w:r>
        <w:rPr>
          <w:sz w:val="24"/>
        </w:rPr>
        <w:t>of</w:t>
      </w:r>
      <w:r>
        <w:rPr>
          <w:spacing w:val="19"/>
          <w:sz w:val="24"/>
        </w:rPr>
        <w:t> </w:t>
      </w:r>
      <w:r>
        <w:rPr>
          <w:sz w:val="24"/>
        </w:rPr>
        <w:t>less</w:t>
      </w:r>
      <w:r>
        <w:rPr>
          <w:spacing w:val="19"/>
          <w:sz w:val="24"/>
        </w:rPr>
        <w:t> </w:t>
      </w:r>
      <w:r>
        <w:rPr>
          <w:sz w:val="24"/>
        </w:rPr>
        <w:t>than</w:t>
      </w:r>
      <w:r>
        <w:rPr>
          <w:spacing w:val="19"/>
          <w:sz w:val="24"/>
        </w:rPr>
        <w:t> </w:t>
      </w:r>
      <w:r>
        <w:rPr>
          <w:sz w:val="24"/>
        </w:rPr>
        <w:t>Rs.</w:t>
      </w:r>
      <w:r>
        <w:rPr>
          <w:spacing w:val="18"/>
          <w:sz w:val="24"/>
        </w:rPr>
        <w:t> </w:t>
      </w:r>
      <w:r>
        <w:rPr>
          <w:sz w:val="24"/>
        </w:rPr>
        <w:t>15</w:t>
      </w:r>
      <w:r>
        <w:rPr>
          <w:spacing w:val="19"/>
          <w:sz w:val="24"/>
        </w:rPr>
        <w:t> </w:t>
      </w:r>
      <w:r>
        <w:rPr>
          <w:sz w:val="24"/>
        </w:rPr>
        <w:t>and</w:t>
      </w:r>
      <w:r>
        <w:rPr>
          <w:spacing w:val="19"/>
          <w:sz w:val="24"/>
        </w:rPr>
        <w:t> </w:t>
      </w:r>
      <w:r>
        <w:rPr>
          <w:sz w:val="24"/>
        </w:rPr>
        <w:t>the</w:t>
      </w:r>
      <w:r>
        <w:rPr>
          <w:spacing w:val="18"/>
          <w:sz w:val="24"/>
        </w:rPr>
        <w:t> </w:t>
      </w:r>
      <w:r>
        <w:rPr>
          <w:sz w:val="24"/>
        </w:rPr>
        <w:t>lowest</w:t>
      </w:r>
      <w:r>
        <w:rPr>
          <w:spacing w:val="19"/>
          <w:sz w:val="24"/>
        </w:rPr>
        <w:t> </w:t>
      </w:r>
      <w:r>
        <w:rPr>
          <w:sz w:val="24"/>
        </w:rPr>
        <w:t>ten</w:t>
      </w:r>
      <w:r>
        <w:rPr>
          <w:spacing w:val="19"/>
          <w:sz w:val="24"/>
        </w:rPr>
        <w:t> </w:t>
      </w:r>
      <w:r>
        <w:rPr>
          <w:sz w:val="24"/>
        </w:rPr>
        <w:t>per</w:t>
      </w:r>
      <w:r>
        <w:rPr>
          <w:spacing w:val="19"/>
          <w:sz w:val="24"/>
        </w:rPr>
        <w:t> </w:t>
      </w:r>
      <w:r>
        <w:rPr>
          <w:sz w:val="24"/>
        </w:rPr>
        <w:t>cent,</w:t>
      </w:r>
      <w:r>
        <w:rPr>
          <w:spacing w:val="18"/>
          <w:sz w:val="24"/>
        </w:rPr>
        <w:t> </w:t>
      </w:r>
      <w:r>
        <w:rPr>
          <w:sz w:val="24"/>
        </w:rPr>
        <w:t>of</w:t>
      </w:r>
      <w:r>
        <w:rPr>
          <w:spacing w:val="18"/>
          <w:sz w:val="24"/>
        </w:rPr>
        <w:t> </w:t>
      </w:r>
      <w:r>
        <w:rPr>
          <w:sz w:val="24"/>
        </w:rPr>
        <w:t>less</w:t>
      </w:r>
      <w:r>
        <w:rPr>
          <w:spacing w:val="19"/>
          <w:sz w:val="24"/>
        </w:rPr>
        <w:t> </w:t>
      </w:r>
      <w:r>
        <w:rPr>
          <w:sz w:val="24"/>
        </w:rPr>
        <w:t>than</w:t>
      </w:r>
      <w:r>
        <w:rPr>
          <w:spacing w:val="19"/>
          <w:sz w:val="24"/>
        </w:rPr>
        <w:t> </w:t>
      </w:r>
      <w:r>
        <w:rPr>
          <w:spacing w:val="-5"/>
          <w:sz w:val="24"/>
        </w:rPr>
        <w:t>Rs.</w:t>
      </w:r>
    </w:p>
    <w:p>
      <w:pPr>
        <w:pStyle w:val="BodyText"/>
        <w:ind w:left="160" w:right="496"/>
        <w:jc w:val="both"/>
      </w:pPr>
      <w:r>
        <w:rPr/>
        <w:t>10. If this minimum standard of Rs. 35 per month is to be reached by 1986, great effort will have to be made on three fronts. The first is to secure a rapid rate of economic growth, at not less than six per cent per year and if possible at about seven percent per year. The second is to distribute income more equitably so that the more deprived</w:t>
      </w:r>
      <w:r>
        <w:rPr>
          <w:spacing w:val="40"/>
        </w:rPr>
        <w:t> </w:t>
      </w:r>
      <w:r>
        <w:rPr/>
        <w:t>sections of the population could have a comparatively larger share in the total national income.</w:t>
      </w:r>
      <w:r>
        <w:rPr>
          <w:spacing w:val="-2"/>
        </w:rPr>
        <w:t> </w:t>
      </w:r>
      <w:r>
        <w:rPr/>
        <w:t>The</w:t>
      </w:r>
      <w:r>
        <w:rPr>
          <w:spacing w:val="-1"/>
        </w:rPr>
        <w:t> </w:t>
      </w:r>
      <w:r>
        <w:rPr/>
        <w:t>third</w:t>
      </w:r>
      <w:r>
        <w:rPr>
          <w:spacing w:val="-2"/>
        </w:rPr>
        <w:t> </w:t>
      </w:r>
      <w:r>
        <w:rPr/>
        <w:t>is</w:t>
      </w:r>
      <w:r>
        <w:rPr>
          <w:spacing w:val="-2"/>
        </w:rPr>
        <w:t> </w:t>
      </w:r>
      <w:r>
        <w:rPr/>
        <w:t>to</w:t>
      </w:r>
      <w:r>
        <w:rPr>
          <w:spacing w:val="-2"/>
        </w:rPr>
        <w:t> </w:t>
      </w:r>
      <w:r>
        <w:rPr/>
        <w:t>control</w:t>
      </w:r>
      <w:r>
        <w:rPr>
          <w:spacing w:val="-2"/>
        </w:rPr>
        <w:t> </w:t>
      </w:r>
      <w:r>
        <w:rPr/>
        <w:t>the</w:t>
      </w:r>
      <w:r>
        <w:rPr>
          <w:spacing w:val="-2"/>
        </w:rPr>
        <w:t> </w:t>
      </w:r>
      <w:r>
        <w:rPr/>
        <w:t>growth</w:t>
      </w:r>
      <w:r>
        <w:rPr>
          <w:spacing w:val="-2"/>
        </w:rPr>
        <w:t> </w:t>
      </w:r>
      <w:r>
        <w:rPr/>
        <w:t>of</w:t>
      </w:r>
      <w:r>
        <w:rPr>
          <w:spacing w:val="-2"/>
        </w:rPr>
        <w:t> </w:t>
      </w:r>
      <w:r>
        <w:rPr/>
        <w:t>population</w:t>
      </w:r>
      <w:r>
        <w:rPr>
          <w:spacing w:val="-2"/>
        </w:rPr>
        <w:t> </w:t>
      </w:r>
      <w:r>
        <w:rPr/>
        <w:t>so</w:t>
      </w:r>
      <w:r>
        <w:rPr>
          <w:spacing w:val="-2"/>
        </w:rPr>
        <w:t> </w:t>
      </w:r>
      <w:r>
        <w:rPr/>
        <w:t>that</w:t>
      </w:r>
      <w:r>
        <w:rPr>
          <w:spacing w:val="-2"/>
        </w:rPr>
        <w:t> </w:t>
      </w:r>
      <w:r>
        <w:rPr/>
        <w:t>the</w:t>
      </w:r>
      <w:r>
        <w:rPr>
          <w:spacing w:val="-2"/>
        </w:rPr>
        <w:t> </w:t>
      </w:r>
      <w:r>
        <w:rPr/>
        <w:t>birth-rate</w:t>
      </w:r>
      <w:r>
        <w:rPr>
          <w:spacing w:val="-2"/>
        </w:rPr>
        <w:t> </w:t>
      </w:r>
      <w:r>
        <w:rPr/>
        <w:t>is</w:t>
      </w:r>
      <w:r>
        <w:rPr>
          <w:spacing w:val="-2"/>
        </w:rPr>
        <w:t> </w:t>
      </w:r>
      <w:r>
        <w:rPr/>
        <w:t>reduced</w:t>
      </w:r>
      <w:r>
        <w:rPr>
          <w:spacing w:val="-2"/>
        </w:rPr>
        <w:t> </w:t>
      </w:r>
      <w:r>
        <w:rPr/>
        <w:t>at least by one-third and preferably by half. The least to be at- tempted would be to double the national income per capita (at constant prices) in the next twenty years. Similarly, steps will have to be taken to provide full employment to the people, especially to the </w:t>
      </w:r>
      <w:r>
        <w:rPr>
          <w:spacing w:val="-2"/>
        </w:rPr>
        <w:t>educated.</w:t>
      </w:r>
    </w:p>
    <w:p>
      <w:pPr>
        <w:pStyle w:val="BodyText"/>
        <w:spacing w:before="4"/>
      </w:pPr>
    </w:p>
    <w:p>
      <w:pPr>
        <w:pStyle w:val="ListParagraph"/>
        <w:numPr>
          <w:ilvl w:val="1"/>
          <w:numId w:val="11"/>
        </w:numPr>
        <w:tabs>
          <w:tab w:pos="657" w:val="left" w:leader="none"/>
        </w:tabs>
        <w:spacing w:line="240" w:lineRule="auto" w:before="0" w:after="0"/>
        <w:ind w:left="159" w:right="496" w:firstLine="0"/>
        <w:jc w:val="both"/>
        <w:rPr>
          <w:b/>
          <w:sz w:val="24"/>
        </w:rPr>
      </w:pPr>
      <w:r>
        <w:rPr>
          <w:b/>
          <w:sz w:val="24"/>
        </w:rPr>
        <w:t>Social and National Integration. </w:t>
      </w:r>
      <w:r>
        <w:rPr>
          <w:sz w:val="24"/>
        </w:rPr>
        <w:t>Even more important is the role of education in achieving social and national integration. Indian society is hierarchical, stratified and deficient in vertical mobility. The social distance between the different classes, particularly between the rich and the poor, the educated and the uneducated, is large and is tending to widen. Our people profess a number of different religions; and the picture becomes even more complicated because of caste, an undemocratic institution which is still</w:t>
      </w:r>
      <w:r>
        <w:rPr>
          <w:spacing w:val="74"/>
          <w:sz w:val="24"/>
        </w:rPr>
        <w:t> </w:t>
      </w:r>
      <w:r>
        <w:rPr>
          <w:sz w:val="24"/>
        </w:rPr>
        <w:t>powerful</w:t>
      </w:r>
      <w:r>
        <w:rPr>
          <w:spacing w:val="75"/>
          <w:sz w:val="24"/>
        </w:rPr>
        <w:t> </w:t>
      </w:r>
      <w:r>
        <w:rPr>
          <w:sz w:val="24"/>
        </w:rPr>
        <w:t>and</w:t>
      </w:r>
      <w:r>
        <w:rPr>
          <w:spacing w:val="75"/>
          <w:sz w:val="24"/>
        </w:rPr>
        <w:t> </w:t>
      </w:r>
      <w:r>
        <w:rPr>
          <w:sz w:val="24"/>
        </w:rPr>
        <w:t>which,</w:t>
      </w:r>
      <w:r>
        <w:rPr>
          <w:spacing w:val="75"/>
          <w:sz w:val="24"/>
        </w:rPr>
        <w:t> </w:t>
      </w:r>
      <w:r>
        <w:rPr>
          <w:sz w:val="24"/>
        </w:rPr>
        <w:t>strangely</w:t>
      </w:r>
      <w:r>
        <w:rPr>
          <w:spacing w:val="74"/>
          <w:sz w:val="24"/>
        </w:rPr>
        <w:t> </w:t>
      </w:r>
      <w:r>
        <w:rPr>
          <w:sz w:val="24"/>
        </w:rPr>
        <w:t>enough,</w:t>
      </w:r>
      <w:r>
        <w:rPr>
          <w:spacing w:val="75"/>
          <w:sz w:val="24"/>
        </w:rPr>
        <w:t> </w:t>
      </w:r>
      <w:r>
        <w:rPr>
          <w:sz w:val="24"/>
        </w:rPr>
        <w:t>seems</w:t>
      </w:r>
      <w:r>
        <w:rPr>
          <w:spacing w:val="75"/>
          <w:sz w:val="24"/>
        </w:rPr>
        <w:t> </w:t>
      </w:r>
      <w:r>
        <w:rPr>
          <w:sz w:val="24"/>
        </w:rPr>
        <w:t>to</w:t>
      </w:r>
      <w:r>
        <w:rPr>
          <w:spacing w:val="75"/>
          <w:sz w:val="24"/>
        </w:rPr>
        <w:t> </w:t>
      </w:r>
      <w:r>
        <w:rPr>
          <w:sz w:val="24"/>
        </w:rPr>
        <w:t>have</w:t>
      </w:r>
      <w:r>
        <w:rPr>
          <w:spacing w:val="74"/>
          <w:sz w:val="24"/>
        </w:rPr>
        <w:t> </w:t>
      </w:r>
      <w:r>
        <w:rPr>
          <w:sz w:val="24"/>
        </w:rPr>
        <w:t>extended</w:t>
      </w:r>
      <w:r>
        <w:rPr>
          <w:spacing w:val="75"/>
          <w:sz w:val="24"/>
        </w:rPr>
        <w:t> </w:t>
      </w:r>
      <w:r>
        <w:rPr>
          <w:sz w:val="24"/>
        </w:rPr>
        <w:t>its</w:t>
      </w:r>
      <w:r>
        <w:rPr>
          <w:spacing w:val="75"/>
          <w:sz w:val="24"/>
        </w:rPr>
        <w:t> </w:t>
      </w:r>
      <w:r>
        <w:rPr>
          <w:sz w:val="24"/>
        </w:rPr>
        <w:t>sphere</w:t>
      </w:r>
      <w:r>
        <w:rPr>
          <w:spacing w:val="75"/>
          <w:sz w:val="24"/>
        </w:rPr>
        <w:t> </w:t>
      </w:r>
      <w:r>
        <w:rPr>
          <w:spacing w:val="-5"/>
          <w:sz w:val="24"/>
        </w:rPr>
        <w:t>of</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influence under the very democratic processes of the Constitution itself. The situation, complex as it was, has been made critical by recent developments which threaten both national unity and social progress. As education is not rooted in the traditions of the people, the educated persons tend to be alienated from their own culture. The growth of local, regional, linguistic and state loyalties tends to make the people forget 'India'. The old values, which held society together, are disappearing, and as there is no effective programme to replace them by a new sense of social responsibility, innumerable signs of social disorganization are. evident everywhere and are continually on the increase. These include strikes, increasing lawlessness and a disregard for public property, corruption in public life, and communal tensions and troubles. Student unrest, of which so much is written, is only one, and probably a minor one, of these symptoms. Against this background, the task to be attempted-the creation of an integrated and egalitarian society- is indeed extremely difficult and challenging.</w:t>
      </w:r>
    </w:p>
    <w:p>
      <w:pPr>
        <w:pStyle w:val="BodyText"/>
        <w:spacing w:before="4"/>
      </w:pPr>
    </w:p>
    <w:p>
      <w:pPr>
        <w:pStyle w:val="ListParagraph"/>
        <w:numPr>
          <w:ilvl w:val="1"/>
          <w:numId w:val="11"/>
        </w:numPr>
        <w:tabs>
          <w:tab w:pos="669" w:val="left" w:leader="none"/>
        </w:tabs>
        <w:spacing w:line="240" w:lineRule="auto" w:before="0" w:after="0"/>
        <w:ind w:left="159" w:right="496" w:firstLine="0"/>
        <w:jc w:val="both"/>
        <w:rPr>
          <w:b/>
          <w:sz w:val="24"/>
        </w:rPr>
      </w:pPr>
      <w:r>
        <w:rPr>
          <w:b/>
          <w:sz w:val="24"/>
        </w:rPr>
        <w:t>Political Development. </w:t>
      </w:r>
      <w:r>
        <w:rPr>
          <w:sz w:val="24"/>
        </w:rPr>
        <w:t>The political challenge has many aspects, but three stand out. The first is the need to strengthen democracy. In spite of all odds, Indian democracy has given a fairly good account of itself so far. But it will not be permanently viable unless its foundations are deepened by the creation of an educated electorate, and a dedicated and competent leadership, and the cultivation of essential values like self- control, tolerance, mutual goodwill and consideration for others, all of which make democracy not only a form of government, but a way of life. The second is related to the defence of the country's freedom. The overriding priority of this challenge is recognized, for one must live before one can grow. But it cannot be met only by maintaining a large and efficient army or training all able-bodied youth for military service. The defence of freedom is a national concern, to which every citizen contributes his best in order to achieve self-sufficiency in food and other essentials, to strength- en the country's economy, and to create a secular, united and strong democratic State. The third is the growing awakening among the masses who, suppressed for centuries, have now</w:t>
      </w:r>
      <w:r>
        <w:rPr>
          <w:spacing w:val="40"/>
          <w:sz w:val="24"/>
        </w:rPr>
        <w:t> </w:t>
      </w:r>
      <w:r>
        <w:rPr>
          <w:sz w:val="24"/>
        </w:rPr>
        <w:t>awakened to a sense of their rights and are demanding education, equality, higher standards of living and better civic amenities. This 'explosion of expectations' has also to be met through a planned programme of national development.</w:t>
      </w:r>
    </w:p>
    <w:p>
      <w:pPr>
        <w:pStyle w:val="BodyText"/>
        <w:spacing w:before="4"/>
      </w:pPr>
    </w:p>
    <w:p>
      <w:pPr>
        <w:pStyle w:val="ListParagraph"/>
        <w:numPr>
          <w:ilvl w:val="1"/>
          <w:numId w:val="11"/>
        </w:numPr>
        <w:tabs>
          <w:tab w:pos="735" w:val="left" w:leader="none"/>
        </w:tabs>
        <w:spacing w:line="240" w:lineRule="auto" w:before="0" w:after="0"/>
        <w:ind w:left="159" w:right="496" w:firstLine="0"/>
        <w:jc w:val="both"/>
        <w:rPr>
          <w:sz w:val="24"/>
        </w:rPr>
      </w:pPr>
      <w:r>
        <w:rPr>
          <w:sz w:val="24"/>
        </w:rPr>
        <w:t>Internationally, the country is facing another equally significant and urgent challenge. The gap between the standards of living in India and those of industrialized nations is very large. The first scientific industrial revolution which developed in the</w:t>
      </w:r>
      <w:r>
        <w:rPr>
          <w:spacing w:val="40"/>
          <w:sz w:val="24"/>
        </w:rPr>
        <w:t> </w:t>
      </w:r>
      <w:r>
        <w:rPr>
          <w:sz w:val="24"/>
        </w:rPr>
        <w:t>West over the last 200 years almost passed us by. The agro-industrial revolution which is even more crucial for us has yet to begin in our country. The world is now at the beginning of the second scientific industrial revolution of automation and cybernetics, which is likely to be in full swing before the close of the century. It is difficult to</w:t>
      </w:r>
      <w:r>
        <w:rPr>
          <w:spacing w:val="40"/>
          <w:sz w:val="24"/>
        </w:rPr>
        <w:t> </w:t>
      </w:r>
      <w:r>
        <w:rPr>
          <w:sz w:val="24"/>
        </w:rPr>
        <w:t>visualize the changes it will make in man's life. One thing, however, is certain: unless proper</w:t>
      </w:r>
      <w:r>
        <w:rPr>
          <w:spacing w:val="-3"/>
          <w:sz w:val="24"/>
        </w:rPr>
        <w:t> </w:t>
      </w:r>
      <w:r>
        <w:rPr>
          <w:sz w:val="24"/>
        </w:rPr>
        <w:t>steps</w:t>
      </w:r>
      <w:r>
        <w:rPr>
          <w:spacing w:val="-3"/>
          <w:sz w:val="24"/>
        </w:rPr>
        <w:t> </w:t>
      </w:r>
      <w:r>
        <w:rPr>
          <w:sz w:val="24"/>
        </w:rPr>
        <w:t>are</w:t>
      </w:r>
      <w:r>
        <w:rPr>
          <w:spacing w:val="-3"/>
          <w:sz w:val="24"/>
        </w:rPr>
        <w:t> </w:t>
      </w:r>
      <w:r>
        <w:rPr>
          <w:sz w:val="24"/>
        </w:rPr>
        <w:t>taken</w:t>
      </w:r>
      <w:r>
        <w:rPr>
          <w:spacing w:val="-3"/>
          <w:sz w:val="24"/>
        </w:rPr>
        <w:t> </w:t>
      </w:r>
      <w:r>
        <w:rPr>
          <w:sz w:val="24"/>
        </w:rPr>
        <w:t>right</w:t>
      </w:r>
      <w:r>
        <w:rPr>
          <w:spacing w:val="-3"/>
          <w:sz w:val="24"/>
        </w:rPr>
        <w:t> </w:t>
      </w:r>
      <w:r>
        <w:rPr>
          <w:sz w:val="24"/>
        </w:rPr>
        <w:t>from</w:t>
      </w:r>
      <w:r>
        <w:rPr>
          <w:spacing w:val="-4"/>
          <w:sz w:val="24"/>
        </w:rPr>
        <w:t> </w:t>
      </w:r>
      <w:r>
        <w:rPr>
          <w:sz w:val="24"/>
        </w:rPr>
        <w:t>now,</w:t>
      </w:r>
      <w:r>
        <w:rPr>
          <w:spacing w:val="-2"/>
          <w:sz w:val="24"/>
        </w:rPr>
        <w:t> </w:t>
      </w:r>
      <w:r>
        <w:rPr>
          <w:sz w:val="24"/>
        </w:rPr>
        <w:t>the</w:t>
      </w:r>
      <w:r>
        <w:rPr>
          <w:spacing w:val="-2"/>
          <w:sz w:val="24"/>
        </w:rPr>
        <w:t> </w:t>
      </w:r>
      <w:r>
        <w:rPr>
          <w:sz w:val="24"/>
        </w:rPr>
        <w:t>gap</w:t>
      </w:r>
      <w:r>
        <w:rPr>
          <w:spacing w:val="-2"/>
          <w:sz w:val="24"/>
        </w:rPr>
        <w:t> </w:t>
      </w:r>
      <w:r>
        <w:rPr>
          <w:sz w:val="24"/>
        </w:rPr>
        <w:t>between</w:t>
      </w:r>
      <w:r>
        <w:rPr>
          <w:spacing w:val="-2"/>
          <w:sz w:val="24"/>
        </w:rPr>
        <w:t> </w:t>
      </w:r>
      <w:r>
        <w:rPr>
          <w:sz w:val="24"/>
        </w:rPr>
        <w:t>us</w:t>
      </w:r>
      <w:r>
        <w:rPr>
          <w:spacing w:val="-2"/>
          <w:sz w:val="24"/>
        </w:rPr>
        <w:t> </w:t>
      </w:r>
      <w:r>
        <w:rPr>
          <w:sz w:val="24"/>
        </w:rPr>
        <w:t>and</w:t>
      </w:r>
      <w:r>
        <w:rPr>
          <w:spacing w:val="-2"/>
          <w:sz w:val="24"/>
        </w:rPr>
        <w:t> </w:t>
      </w:r>
      <w:r>
        <w:rPr>
          <w:sz w:val="24"/>
        </w:rPr>
        <w:t>the</w:t>
      </w:r>
      <w:r>
        <w:rPr>
          <w:spacing w:val="-2"/>
          <w:sz w:val="24"/>
        </w:rPr>
        <w:t> </w:t>
      </w:r>
      <w:r>
        <w:rPr>
          <w:sz w:val="24"/>
        </w:rPr>
        <w:t>industrialized</w:t>
      </w:r>
      <w:r>
        <w:rPr>
          <w:spacing w:val="-2"/>
          <w:sz w:val="24"/>
        </w:rPr>
        <w:t> </w:t>
      </w:r>
      <w:r>
        <w:rPr>
          <w:sz w:val="24"/>
        </w:rPr>
        <w:t>countries following this second revolution may become too wide to be bridged.</w:t>
      </w:r>
    </w:p>
    <w:p>
      <w:pPr>
        <w:pStyle w:val="BodyText"/>
        <w:spacing w:before="4"/>
      </w:pPr>
    </w:p>
    <w:p>
      <w:pPr>
        <w:pStyle w:val="ListParagraph"/>
        <w:numPr>
          <w:ilvl w:val="1"/>
          <w:numId w:val="12"/>
        </w:numPr>
        <w:tabs>
          <w:tab w:pos="728" w:val="left" w:leader="none"/>
        </w:tabs>
        <w:spacing w:line="240" w:lineRule="auto" w:before="0" w:after="0"/>
        <w:ind w:left="160" w:right="497" w:firstLine="0"/>
        <w:jc w:val="both"/>
        <w:rPr>
          <w:sz w:val="24"/>
        </w:rPr>
      </w:pPr>
      <w:r>
        <w:rPr>
          <w:sz w:val="24"/>
        </w:rPr>
        <w:t>There is still another aspect to the challenge. It is true that knowledge is international</w:t>
      </w:r>
      <w:r>
        <w:rPr>
          <w:spacing w:val="-3"/>
          <w:sz w:val="24"/>
        </w:rPr>
        <w:t> </w:t>
      </w:r>
      <w:r>
        <w:rPr>
          <w:sz w:val="24"/>
        </w:rPr>
        <w:t>and</w:t>
      </w:r>
      <w:r>
        <w:rPr>
          <w:spacing w:val="-3"/>
          <w:sz w:val="24"/>
        </w:rPr>
        <w:t> </w:t>
      </w:r>
      <w:r>
        <w:rPr>
          <w:sz w:val="24"/>
        </w:rPr>
        <w:t>that</w:t>
      </w:r>
      <w:r>
        <w:rPr>
          <w:spacing w:val="-3"/>
          <w:sz w:val="24"/>
        </w:rPr>
        <w:t> </w:t>
      </w:r>
      <w:r>
        <w:rPr>
          <w:sz w:val="24"/>
        </w:rPr>
        <w:t>there</w:t>
      </w:r>
      <w:r>
        <w:rPr>
          <w:spacing w:val="-3"/>
          <w:sz w:val="24"/>
        </w:rPr>
        <w:t> </w:t>
      </w:r>
      <w:r>
        <w:rPr>
          <w:sz w:val="24"/>
        </w:rPr>
        <w:t>can</w:t>
      </w:r>
      <w:r>
        <w:rPr>
          <w:spacing w:val="-3"/>
          <w:sz w:val="24"/>
        </w:rPr>
        <w:t> </w:t>
      </w:r>
      <w:r>
        <w:rPr>
          <w:sz w:val="24"/>
        </w:rPr>
        <w:t>be</w:t>
      </w:r>
      <w:r>
        <w:rPr>
          <w:spacing w:val="-3"/>
          <w:sz w:val="24"/>
        </w:rPr>
        <w:t> </w:t>
      </w:r>
      <w:r>
        <w:rPr>
          <w:sz w:val="24"/>
        </w:rPr>
        <w:t>no</w:t>
      </w:r>
      <w:r>
        <w:rPr>
          <w:spacing w:val="-3"/>
          <w:sz w:val="24"/>
        </w:rPr>
        <w:t> </w:t>
      </w:r>
      <w:r>
        <w:rPr>
          <w:sz w:val="24"/>
        </w:rPr>
        <w:t>barriers,</w:t>
      </w:r>
      <w:r>
        <w:rPr>
          <w:spacing w:val="-2"/>
          <w:sz w:val="24"/>
        </w:rPr>
        <w:t> </w:t>
      </w:r>
      <w:r>
        <w:rPr>
          <w:sz w:val="24"/>
        </w:rPr>
        <w:t>except</w:t>
      </w:r>
      <w:r>
        <w:rPr>
          <w:spacing w:val="-2"/>
          <w:sz w:val="24"/>
        </w:rPr>
        <w:t> </w:t>
      </w:r>
      <w:r>
        <w:rPr>
          <w:sz w:val="24"/>
        </w:rPr>
        <w:t>those</w:t>
      </w:r>
      <w:r>
        <w:rPr>
          <w:spacing w:val="-2"/>
          <w:sz w:val="24"/>
        </w:rPr>
        <w:t> </w:t>
      </w:r>
      <w:r>
        <w:rPr>
          <w:sz w:val="24"/>
        </w:rPr>
        <w:t>of</w:t>
      </w:r>
      <w:r>
        <w:rPr>
          <w:spacing w:val="-2"/>
          <w:sz w:val="24"/>
        </w:rPr>
        <w:t> </w:t>
      </w:r>
      <w:r>
        <w:rPr>
          <w:sz w:val="24"/>
        </w:rPr>
        <w:t>our</w:t>
      </w:r>
      <w:r>
        <w:rPr>
          <w:spacing w:val="-2"/>
          <w:sz w:val="24"/>
        </w:rPr>
        <w:t> </w:t>
      </w:r>
      <w:r>
        <w:rPr>
          <w:sz w:val="24"/>
        </w:rPr>
        <w:t>own</w:t>
      </w:r>
      <w:r>
        <w:rPr>
          <w:spacing w:val="-3"/>
          <w:sz w:val="24"/>
        </w:rPr>
        <w:t> </w:t>
      </w:r>
      <w:r>
        <w:rPr>
          <w:sz w:val="24"/>
        </w:rPr>
        <w:t>creation,</w:t>
      </w:r>
      <w:r>
        <w:rPr>
          <w:spacing w:val="-3"/>
          <w:sz w:val="24"/>
        </w:rPr>
        <w:t> </w:t>
      </w:r>
      <w:r>
        <w:rPr>
          <w:sz w:val="24"/>
        </w:rPr>
        <w:t>to</w:t>
      </w:r>
      <w:r>
        <w:rPr>
          <w:spacing w:val="-3"/>
          <w:sz w:val="24"/>
        </w:rPr>
        <w:t> </w:t>
      </w:r>
      <w:r>
        <w:rPr>
          <w:sz w:val="24"/>
        </w:rPr>
        <w:t>its</w:t>
      </w:r>
      <w:r>
        <w:rPr>
          <w:spacing w:val="-3"/>
          <w:sz w:val="24"/>
        </w:rPr>
        <w:t> </w:t>
      </w:r>
      <w:r>
        <w:rPr>
          <w:sz w:val="24"/>
        </w:rPr>
        <w:t>free import.</w:t>
      </w:r>
      <w:r>
        <w:rPr>
          <w:spacing w:val="19"/>
          <w:sz w:val="24"/>
        </w:rPr>
        <w:t> </w:t>
      </w:r>
      <w:r>
        <w:rPr>
          <w:sz w:val="24"/>
        </w:rPr>
        <w:t>But</w:t>
      </w:r>
      <w:r>
        <w:rPr>
          <w:spacing w:val="22"/>
          <w:sz w:val="24"/>
        </w:rPr>
        <w:t> </w:t>
      </w:r>
      <w:r>
        <w:rPr>
          <w:sz w:val="24"/>
        </w:rPr>
        <w:t>India</w:t>
      </w:r>
      <w:r>
        <w:rPr>
          <w:spacing w:val="22"/>
          <w:sz w:val="24"/>
        </w:rPr>
        <w:t> </w:t>
      </w:r>
      <w:r>
        <w:rPr>
          <w:sz w:val="24"/>
        </w:rPr>
        <w:t>cannot</w:t>
      </w:r>
      <w:r>
        <w:rPr>
          <w:spacing w:val="21"/>
          <w:sz w:val="24"/>
        </w:rPr>
        <w:t> </w:t>
      </w:r>
      <w:r>
        <w:rPr>
          <w:sz w:val="24"/>
        </w:rPr>
        <w:t>for</w:t>
      </w:r>
      <w:r>
        <w:rPr>
          <w:spacing w:val="22"/>
          <w:sz w:val="24"/>
        </w:rPr>
        <w:t> </w:t>
      </w:r>
      <w:r>
        <w:rPr>
          <w:sz w:val="24"/>
        </w:rPr>
        <w:t>ever</w:t>
      </w:r>
      <w:r>
        <w:rPr>
          <w:spacing w:val="22"/>
          <w:sz w:val="24"/>
        </w:rPr>
        <w:t> </w:t>
      </w:r>
      <w:r>
        <w:rPr>
          <w:sz w:val="24"/>
        </w:rPr>
        <w:t>remain</w:t>
      </w:r>
      <w:r>
        <w:rPr>
          <w:spacing w:val="21"/>
          <w:sz w:val="24"/>
        </w:rPr>
        <w:t> </w:t>
      </w:r>
      <w:r>
        <w:rPr>
          <w:sz w:val="24"/>
        </w:rPr>
        <w:t>at</w:t>
      </w:r>
      <w:r>
        <w:rPr>
          <w:spacing w:val="21"/>
          <w:sz w:val="24"/>
        </w:rPr>
        <w:t> </w:t>
      </w:r>
      <w:r>
        <w:rPr>
          <w:sz w:val="24"/>
        </w:rPr>
        <w:t>the</w:t>
      </w:r>
      <w:r>
        <w:rPr>
          <w:spacing w:val="22"/>
          <w:sz w:val="24"/>
        </w:rPr>
        <w:t> </w:t>
      </w:r>
      <w:r>
        <w:rPr>
          <w:sz w:val="24"/>
        </w:rPr>
        <w:t>receiving</w:t>
      </w:r>
      <w:r>
        <w:rPr>
          <w:spacing w:val="21"/>
          <w:sz w:val="24"/>
        </w:rPr>
        <w:t> </w:t>
      </w:r>
      <w:r>
        <w:rPr>
          <w:sz w:val="24"/>
        </w:rPr>
        <w:t>end</w:t>
      </w:r>
      <w:r>
        <w:rPr>
          <w:spacing w:val="22"/>
          <w:sz w:val="24"/>
        </w:rPr>
        <w:t> </w:t>
      </w:r>
      <w:r>
        <w:rPr>
          <w:sz w:val="24"/>
        </w:rPr>
        <w:t>of</w:t>
      </w:r>
      <w:r>
        <w:rPr>
          <w:spacing w:val="22"/>
          <w:sz w:val="24"/>
        </w:rPr>
        <w:t> </w:t>
      </w:r>
      <w:r>
        <w:rPr>
          <w:sz w:val="24"/>
        </w:rPr>
        <w:t>the</w:t>
      </w:r>
      <w:r>
        <w:rPr>
          <w:spacing w:val="21"/>
          <w:sz w:val="24"/>
        </w:rPr>
        <w:t> </w:t>
      </w:r>
      <w:r>
        <w:rPr>
          <w:sz w:val="24"/>
        </w:rPr>
        <w:t>pipeline.</w:t>
      </w:r>
      <w:r>
        <w:rPr>
          <w:spacing w:val="22"/>
          <w:sz w:val="24"/>
        </w:rPr>
        <w:t> </w:t>
      </w:r>
      <w:r>
        <w:rPr>
          <w:sz w:val="24"/>
        </w:rPr>
        <w:t>She</w:t>
      </w:r>
      <w:r>
        <w:rPr>
          <w:spacing w:val="22"/>
          <w:sz w:val="24"/>
        </w:rPr>
        <w:t> </w:t>
      </w:r>
      <w:r>
        <w:rPr>
          <w:spacing w:val="-4"/>
          <w:sz w:val="24"/>
        </w:rPr>
        <w:t>must</w:t>
      </w:r>
    </w:p>
    <w:p>
      <w:pPr>
        <w:spacing w:after="0" w:line="240" w:lineRule="auto"/>
        <w:jc w:val="both"/>
        <w:rPr>
          <w:sz w:val="24"/>
        </w:rPr>
        <w:sectPr>
          <w:pgSz w:w="12240" w:h="15840"/>
          <w:pgMar w:header="0" w:footer="743" w:top="1360" w:bottom="940" w:left="1640" w:right="1300"/>
        </w:sectPr>
      </w:pPr>
    </w:p>
    <w:p>
      <w:pPr>
        <w:pStyle w:val="BodyText"/>
        <w:spacing w:before="76"/>
        <w:ind w:left="159" w:right="495"/>
        <w:jc w:val="both"/>
      </w:pPr>
      <w:r>
        <w:rPr/>
        <w:t>make her own contribution as an intellectual and cultural equal to the eternal human endeavour to extend the frontiers of knowledge. This demands a large-scale programme for the discovery and development of talent and the creation of centres of excellence in higher education which can compare favourably with the best of their kind in the world.</w:t>
      </w:r>
    </w:p>
    <w:p>
      <w:pPr>
        <w:pStyle w:val="BodyText"/>
        <w:spacing w:before="4"/>
      </w:pPr>
    </w:p>
    <w:p>
      <w:pPr>
        <w:pStyle w:val="ListParagraph"/>
        <w:numPr>
          <w:ilvl w:val="1"/>
          <w:numId w:val="12"/>
        </w:numPr>
        <w:tabs>
          <w:tab w:pos="648" w:val="left" w:leader="none"/>
        </w:tabs>
        <w:spacing w:line="240" w:lineRule="auto" w:before="0" w:after="0"/>
        <w:ind w:left="159" w:right="494" w:firstLine="0"/>
        <w:jc w:val="both"/>
        <w:rPr>
          <w:sz w:val="24"/>
        </w:rPr>
      </w:pPr>
      <w:r>
        <w:rPr>
          <w:sz w:val="24"/>
        </w:rPr>
        <w:t>The difficulty of these problems is equalled only by the complexity of the situation, the gravity and urgency of the challenge, and the magnitude of the stakes involved. The Indian situation with its federal constitution (wherein several constituent States are larger than</w:t>
      </w:r>
      <w:r>
        <w:rPr>
          <w:spacing w:val="-1"/>
          <w:sz w:val="24"/>
        </w:rPr>
        <w:t> </w:t>
      </w:r>
      <w:r>
        <w:rPr>
          <w:sz w:val="24"/>
        </w:rPr>
        <w:t>many</w:t>
      </w:r>
      <w:r>
        <w:rPr>
          <w:spacing w:val="-1"/>
          <w:sz w:val="24"/>
        </w:rPr>
        <w:t> </w:t>
      </w:r>
      <w:r>
        <w:rPr>
          <w:sz w:val="24"/>
        </w:rPr>
        <w:t>European</w:t>
      </w:r>
      <w:r>
        <w:rPr>
          <w:spacing w:val="-1"/>
          <w:sz w:val="24"/>
        </w:rPr>
        <w:t> </w:t>
      </w:r>
      <w:r>
        <w:rPr>
          <w:sz w:val="24"/>
        </w:rPr>
        <w:t>nations),</w:t>
      </w:r>
      <w:r>
        <w:rPr>
          <w:spacing w:val="-1"/>
          <w:sz w:val="24"/>
        </w:rPr>
        <w:t> </w:t>
      </w:r>
      <w:r>
        <w:rPr>
          <w:sz w:val="24"/>
        </w:rPr>
        <w:t>its</w:t>
      </w:r>
      <w:r>
        <w:rPr>
          <w:spacing w:val="-1"/>
          <w:sz w:val="24"/>
        </w:rPr>
        <w:t> </w:t>
      </w:r>
      <w:r>
        <w:rPr>
          <w:sz w:val="24"/>
        </w:rPr>
        <w:t>multi-party</w:t>
      </w:r>
      <w:r>
        <w:rPr>
          <w:spacing w:val="-2"/>
          <w:sz w:val="24"/>
        </w:rPr>
        <w:t> </w:t>
      </w:r>
      <w:r>
        <w:rPr>
          <w:sz w:val="24"/>
        </w:rPr>
        <w:t>system</w:t>
      </w:r>
      <w:r>
        <w:rPr>
          <w:spacing w:val="-3"/>
          <w:sz w:val="24"/>
        </w:rPr>
        <w:t> </w:t>
      </w:r>
      <w:r>
        <w:rPr>
          <w:sz w:val="24"/>
        </w:rPr>
        <w:t>of</w:t>
      </w:r>
      <w:r>
        <w:rPr>
          <w:spacing w:val="-2"/>
          <w:sz w:val="24"/>
        </w:rPr>
        <w:t> </w:t>
      </w:r>
      <w:r>
        <w:rPr>
          <w:sz w:val="24"/>
        </w:rPr>
        <w:t>democratic</w:t>
      </w:r>
      <w:r>
        <w:rPr>
          <w:spacing w:val="-1"/>
          <w:sz w:val="24"/>
        </w:rPr>
        <w:t> </w:t>
      </w:r>
      <w:r>
        <w:rPr>
          <w:sz w:val="24"/>
        </w:rPr>
        <w:t>government,</w:t>
      </w:r>
      <w:r>
        <w:rPr>
          <w:spacing w:val="-1"/>
          <w:sz w:val="24"/>
        </w:rPr>
        <w:t> </w:t>
      </w:r>
      <w:r>
        <w:rPr>
          <w:sz w:val="24"/>
        </w:rPr>
        <w:t>its</w:t>
      </w:r>
      <w:r>
        <w:rPr>
          <w:spacing w:val="-1"/>
          <w:sz w:val="24"/>
        </w:rPr>
        <w:t> </w:t>
      </w:r>
      <w:r>
        <w:rPr>
          <w:sz w:val="24"/>
        </w:rPr>
        <w:t>multi- religious and mixed society consisting of highly sophisticated groups who live side by side with primitive ones, its mixed economy which includes modern factories as well as traditional agriculture, and its multiplicity of languages, presents such a complex picture that it almost resembles a miniature world. In India's attempts at national development, the welfare of one-seventh of the world's population is at stake and the future of democracy and free societies is in the balance. She is heir to an ancient and great civilization which can make a contribution to human progress by striving to create what Acharya Vinobaji has described as the 'age of science and spirituality'. She has to raise herself from her present standards of living which are amongst the lowest in the world</w:t>
      </w:r>
      <w:r>
        <w:rPr>
          <w:spacing w:val="40"/>
          <w:sz w:val="24"/>
        </w:rPr>
        <w:t> </w:t>
      </w:r>
      <w:r>
        <w:rPr>
          <w:sz w:val="24"/>
        </w:rPr>
        <w:t>and to take her rightful place in the comity of nations as soon as possible-a task to be accomplished within a generation at the most. Obviously, the solution of these problems makes large demands on us, the Indian people of this generation-we need a clear focus, deeper understanding, collective discipline, hard and sustained work, and dedicated leadership. The solution of these problems also needs the cooperation and assistance of the richer industrialized nations which share India's faith in democratic socialism and sympathize with her struggle to create a new social order.</w:t>
      </w:r>
    </w:p>
    <w:p>
      <w:pPr>
        <w:pStyle w:val="BodyText"/>
        <w:spacing w:before="6"/>
      </w:pPr>
    </w:p>
    <w:p>
      <w:pPr>
        <w:pStyle w:val="Heading1"/>
        <w:spacing w:before="1"/>
        <w:ind w:left="292"/>
      </w:pPr>
      <w:bookmarkStart w:name="_TOC_250023" w:id="6"/>
      <w:r>
        <w:rPr/>
        <w:t>EDUCATION:</w:t>
      </w:r>
      <w:r>
        <w:rPr>
          <w:spacing w:val="-7"/>
        </w:rPr>
        <w:t> </w:t>
      </w:r>
      <w:r>
        <w:rPr/>
        <w:t>THE</w:t>
      </w:r>
      <w:r>
        <w:rPr>
          <w:spacing w:val="-5"/>
        </w:rPr>
        <w:t> </w:t>
      </w:r>
      <w:r>
        <w:rPr/>
        <w:t>MAIN</w:t>
      </w:r>
      <w:r>
        <w:rPr>
          <w:spacing w:val="-5"/>
        </w:rPr>
        <w:t> </w:t>
      </w:r>
      <w:r>
        <w:rPr/>
        <w:t>INSTRUMENT</w:t>
      </w:r>
      <w:r>
        <w:rPr>
          <w:spacing w:val="-4"/>
        </w:rPr>
        <w:t> </w:t>
      </w:r>
      <w:r>
        <w:rPr/>
        <w:t>OF</w:t>
      </w:r>
      <w:r>
        <w:rPr>
          <w:spacing w:val="-4"/>
        </w:rPr>
        <w:t> </w:t>
      </w:r>
      <w:bookmarkEnd w:id="6"/>
      <w:r>
        <w:rPr>
          <w:spacing w:val="-2"/>
        </w:rPr>
        <w:t>CHANGE</w:t>
      </w:r>
    </w:p>
    <w:p>
      <w:pPr>
        <w:pStyle w:val="BodyText"/>
        <w:spacing w:before="2"/>
        <w:rPr>
          <w:b/>
        </w:rPr>
      </w:pPr>
    </w:p>
    <w:p>
      <w:pPr>
        <w:pStyle w:val="ListParagraph"/>
        <w:numPr>
          <w:ilvl w:val="1"/>
          <w:numId w:val="12"/>
        </w:numPr>
        <w:tabs>
          <w:tab w:pos="706" w:val="left" w:leader="none"/>
        </w:tabs>
        <w:spacing w:line="240" w:lineRule="auto" w:before="0" w:after="0"/>
        <w:ind w:left="159" w:right="497" w:firstLine="0"/>
        <w:jc w:val="both"/>
        <w:rPr>
          <w:b/>
          <w:sz w:val="24"/>
        </w:rPr>
      </w:pPr>
      <w:r>
        <w:rPr>
          <w:b/>
          <w:sz w:val="24"/>
        </w:rPr>
        <w:t>Development of Human Resources. </w:t>
      </w:r>
      <w:r>
        <w:rPr>
          <w:sz w:val="24"/>
        </w:rPr>
        <w:t>These difficult, complex, significant and urgent problems are all interdependent, and the shortest and most effective way to their solution is obviously to make a simultaneous attack on all fronts. This will have to be attempted through two main programmes:</w:t>
      </w:r>
    </w:p>
    <w:p>
      <w:pPr>
        <w:pStyle w:val="BodyText"/>
        <w:spacing w:before="4"/>
      </w:pPr>
    </w:p>
    <w:p>
      <w:pPr>
        <w:pStyle w:val="ListParagraph"/>
        <w:numPr>
          <w:ilvl w:val="0"/>
          <w:numId w:val="13"/>
        </w:numPr>
        <w:tabs>
          <w:tab w:pos="513" w:val="left" w:leader="none"/>
        </w:tabs>
        <w:spacing w:line="240" w:lineRule="auto" w:before="0" w:after="0"/>
        <w:ind w:left="159" w:right="497" w:firstLine="0"/>
        <w:jc w:val="both"/>
        <w:rPr>
          <w:sz w:val="24"/>
        </w:rPr>
      </w:pPr>
      <w:r>
        <w:rPr>
          <w:sz w:val="24"/>
        </w:rPr>
        <w:t>The development of physical resources through the modernization of agriculture and rapid industrialization. This requires the adoption of a science-based technology, heavy capital formation and investment, and the provision of the essential infrastructure of transport, credit, marketing and other institutions; and</w:t>
      </w:r>
    </w:p>
    <w:p>
      <w:pPr>
        <w:pStyle w:val="BodyText"/>
        <w:spacing w:before="3"/>
      </w:pPr>
    </w:p>
    <w:p>
      <w:pPr>
        <w:pStyle w:val="ListParagraph"/>
        <w:numPr>
          <w:ilvl w:val="0"/>
          <w:numId w:val="13"/>
        </w:numPr>
        <w:tabs>
          <w:tab w:pos="535" w:val="left" w:leader="none"/>
        </w:tabs>
        <w:spacing w:line="240" w:lineRule="auto" w:before="1" w:after="0"/>
        <w:ind w:left="159" w:right="498" w:firstLine="0"/>
        <w:jc w:val="both"/>
        <w:rPr>
          <w:sz w:val="24"/>
        </w:rPr>
      </w:pPr>
      <w:r>
        <w:rPr>
          <w:sz w:val="24"/>
        </w:rPr>
        <w:t>The development of human resources through a properly organized programme of </w:t>
      </w:r>
      <w:r>
        <w:rPr>
          <w:spacing w:val="-2"/>
          <w:sz w:val="24"/>
        </w:rPr>
        <w:t>education.</w:t>
      </w:r>
    </w:p>
    <w:p>
      <w:pPr>
        <w:pStyle w:val="BodyText"/>
        <w:spacing w:before="3"/>
      </w:pPr>
    </w:p>
    <w:p>
      <w:pPr>
        <w:pStyle w:val="BodyText"/>
        <w:ind w:left="159" w:right="496"/>
        <w:jc w:val="both"/>
      </w:pPr>
      <w:r>
        <w:rPr/>
        <w:t>It is the latter programme, namely, the development of human resources through education, which is the more crucial of the two. While the development of physical resources is a means to an end, that of human resources is an end in itself; and without it, even the adequate development of physical resources is not possible.</w:t>
      </w:r>
    </w:p>
    <w:p>
      <w:pPr>
        <w:spacing w:after="0"/>
        <w:jc w:val="both"/>
        <w:sectPr>
          <w:pgSz w:w="12240" w:h="15840"/>
          <w:pgMar w:header="0" w:footer="743" w:top="1360" w:bottom="940" w:left="1640" w:right="1300"/>
        </w:sectPr>
      </w:pPr>
    </w:p>
    <w:p>
      <w:pPr>
        <w:pStyle w:val="ListParagraph"/>
        <w:numPr>
          <w:ilvl w:val="1"/>
          <w:numId w:val="12"/>
        </w:numPr>
        <w:tabs>
          <w:tab w:pos="680" w:val="left" w:leader="none"/>
        </w:tabs>
        <w:spacing w:line="240" w:lineRule="auto" w:before="76" w:after="0"/>
        <w:ind w:left="160" w:right="496" w:firstLine="0"/>
        <w:jc w:val="both"/>
        <w:rPr>
          <w:sz w:val="24"/>
        </w:rPr>
      </w:pPr>
      <w:r>
        <w:rPr>
          <w:sz w:val="24"/>
        </w:rPr>
        <w:t>The reason for this is clear. The realization of the country's aspirations involves changes in the knowledge, skills, interests and values of the people as a whole. This is basic to every programme of social and economic betterment of which India stands in </w:t>
      </w:r>
      <w:r>
        <w:rPr>
          <w:spacing w:val="-2"/>
          <w:sz w:val="24"/>
        </w:rPr>
        <w:t>need.</w:t>
      </w:r>
    </w:p>
    <w:p>
      <w:pPr>
        <w:pStyle w:val="BodyText"/>
        <w:spacing w:before="4"/>
      </w:pPr>
    </w:p>
    <w:p>
      <w:pPr>
        <w:pStyle w:val="BodyText"/>
        <w:ind w:left="159" w:right="496"/>
        <w:jc w:val="both"/>
      </w:pPr>
      <w:r>
        <w:rPr/>
        <w:t>For instance, there can be no hope of making the country self- sufficient in food unless</w:t>
      </w:r>
      <w:r>
        <w:rPr>
          <w:spacing w:val="40"/>
        </w:rPr>
        <w:t> </w:t>
      </w:r>
      <w:r>
        <w:rPr/>
        <w:t>the farmer himself is moved out of his age- long conservatism through a science-based education, becomes interested in experimentation, and is ready to adopt techniques that increase yields. The same is true of industry. The skilled manpower needed for </w:t>
      </w:r>
      <w:r>
        <w:rPr/>
        <w:t>the relevant research and its systematic application to agriculture, industry and other sectors of life can only come from a development of scientific and technological education. Similarly, economic growth is not merely a matter of physical resources or of training skilled workers; it needs the education of the whole population in new ways of life, thought and work. Robert Heilbroner describes the journey to economic development undertaken by a traditional society as 'the great ascent' and points out that the essential condition for its success is human 'change on a grand scale'. He observes: 'The mere lay- in of a core of capital equipment, indispensable as that is for further economic expansion, does not yet catalyse a tradition-bound society into a modern one. For that catalysis to take place, nothing short of a pervasive social transformation will suffice; a wholesale metamorphosis of habits, a wrenching reorientation of values concerning time, status, money, work; and an unweaving and reweaving of the fabric of daily existence itself.'</w:t>
      </w:r>
      <w:r>
        <w:rPr>
          <w:b/>
          <w:vertAlign w:val="superscript"/>
        </w:rPr>
        <w:t>1</w:t>
      </w:r>
      <w:r>
        <w:rPr>
          <w:b/>
          <w:vertAlign w:val="baseline"/>
        </w:rPr>
        <w:t> </w:t>
      </w:r>
      <w:r>
        <w:rPr>
          <w:vertAlign w:val="baseline"/>
        </w:rPr>
        <w:t>These observations are applicable to advances on the social, political and cultural fronts as well.</w:t>
      </w:r>
    </w:p>
    <w:p>
      <w:pPr>
        <w:pStyle w:val="BodyText"/>
        <w:spacing w:before="4"/>
      </w:pPr>
    </w:p>
    <w:p>
      <w:pPr>
        <w:pStyle w:val="ListParagraph"/>
        <w:numPr>
          <w:ilvl w:val="1"/>
          <w:numId w:val="12"/>
        </w:numPr>
        <w:tabs>
          <w:tab w:pos="674" w:val="left" w:leader="none"/>
        </w:tabs>
        <w:spacing w:line="240" w:lineRule="auto" w:before="0" w:after="0"/>
        <w:ind w:left="159" w:right="496" w:firstLine="0"/>
        <w:jc w:val="both"/>
        <w:rPr>
          <w:b/>
          <w:sz w:val="24"/>
        </w:rPr>
      </w:pPr>
      <w:r>
        <w:rPr>
          <w:b/>
          <w:sz w:val="24"/>
        </w:rPr>
        <w:t>Education as Instrument of Change</w:t>
      </w:r>
      <w:r>
        <w:rPr>
          <w:sz w:val="24"/>
        </w:rPr>
        <w:t>. If this 'change, on a grand scale' is to be achieved without violent revolution (and even for that it would be necessary) there is one instrument, and one instrument only, that can be used: EDUCATION. Other agencies</w:t>
      </w:r>
      <w:r>
        <w:rPr>
          <w:spacing w:val="40"/>
          <w:sz w:val="24"/>
        </w:rPr>
        <w:t> </w:t>
      </w:r>
      <w:r>
        <w:rPr>
          <w:sz w:val="24"/>
        </w:rPr>
        <w:t>may help, and can indeed sometimes have a more apparent impact. But the national system of education is the only instrument that can reach all the people. It is not,</w:t>
      </w:r>
      <w:r>
        <w:rPr>
          <w:spacing w:val="40"/>
          <w:sz w:val="24"/>
        </w:rPr>
        <w:t> </w:t>
      </w:r>
      <w:r>
        <w:rPr>
          <w:sz w:val="24"/>
        </w:rPr>
        <w:t>however, a magic wand to wave wishes into existence. it is a difficult instrument, whose effective use requires strength of Will, dedicated work and sacrifice. But it is a sure and tried instrument, which has served other countries well in their struggle for development. It can, given the will and the skill, do so for India.</w:t>
      </w:r>
    </w:p>
    <w:p>
      <w:pPr>
        <w:pStyle w:val="BodyText"/>
        <w:spacing w:before="4"/>
      </w:pPr>
    </w:p>
    <w:p>
      <w:pPr>
        <w:pStyle w:val="ListParagraph"/>
        <w:numPr>
          <w:ilvl w:val="1"/>
          <w:numId w:val="12"/>
        </w:numPr>
        <w:tabs>
          <w:tab w:pos="643" w:val="left" w:leader="none"/>
        </w:tabs>
        <w:spacing w:line="240" w:lineRule="auto" w:before="0" w:after="0"/>
        <w:ind w:left="159" w:right="496" w:firstLine="0"/>
        <w:jc w:val="both"/>
        <w:rPr>
          <w:sz w:val="24"/>
        </w:rPr>
      </w:pPr>
      <w:r>
        <w:rPr>
          <w:sz w:val="24"/>
        </w:rPr>
        <w:t>This emphasis on the social purposes of education, on the need to use it as a tool for the realization of national aspirations or for meeting national challenges, does not imply any underestimation of values for the individual. In a democracy, the individual is an end in himself and the primary purpose of education is to provide him with the widest opportunity to develop his potentialities to the full. But the path to this goal lies through social reorganization and emphasis on social perspectives. In fact, one of the important principles to be emphasized in the socialistic pattern of society, which the nation desires to create, is that individual fulfillment will come, not through selfish and narrow loyalties to personal or group interests, but through the dedication of all to the wider loyalties of national development in all its parameters.</w:t>
      </w:r>
    </w:p>
    <w:p>
      <w:pPr>
        <w:pStyle w:val="BodyText"/>
        <w:spacing w:before="6"/>
      </w:pPr>
    </w:p>
    <w:p>
      <w:pPr>
        <w:pStyle w:val="BodyText"/>
        <w:ind w:left="160"/>
        <w:jc w:val="both"/>
      </w:pPr>
      <w:r>
        <w:rPr>
          <w:b/>
          <w:vertAlign w:val="superscript"/>
        </w:rPr>
        <w:t>1</w:t>
      </w:r>
      <w:r>
        <w:rPr>
          <w:vertAlign w:val="baseline"/>
        </w:rPr>
        <w:t>1Robert</w:t>
      </w:r>
      <w:r>
        <w:rPr>
          <w:spacing w:val="-6"/>
          <w:vertAlign w:val="baseline"/>
        </w:rPr>
        <w:t> </w:t>
      </w:r>
      <w:r>
        <w:rPr>
          <w:vertAlign w:val="baseline"/>
        </w:rPr>
        <w:t>Heilbroner,</w:t>
      </w:r>
      <w:r>
        <w:rPr>
          <w:spacing w:val="-5"/>
          <w:vertAlign w:val="baseline"/>
        </w:rPr>
        <w:t> </w:t>
      </w:r>
      <w:r>
        <w:rPr>
          <w:vertAlign w:val="baseline"/>
        </w:rPr>
        <w:t>The</w:t>
      </w:r>
      <w:r>
        <w:rPr>
          <w:spacing w:val="-5"/>
          <w:vertAlign w:val="baseline"/>
        </w:rPr>
        <w:t> </w:t>
      </w:r>
      <w:r>
        <w:rPr>
          <w:vertAlign w:val="baseline"/>
        </w:rPr>
        <w:t>Great</w:t>
      </w:r>
      <w:r>
        <w:rPr>
          <w:spacing w:val="-5"/>
          <w:vertAlign w:val="baseline"/>
        </w:rPr>
        <w:t> </w:t>
      </w:r>
      <w:r>
        <w:rPr>
          <w:vertAlign w:val="baseline"/>
        </w:rPr>
        <w:t>Ascent,</w:t>
      </w:r>
      <w:r>
        <w:rPr>
          <w:spacing w:val="-5"/>
          <w:vertAlign w:val="baseline"/>
        </w:rPr>
        <w:t> </w:t>
      </w:r>
      <w:r>
        <w:rPr>
          <w:vertAlign w:val="baseline"/>
        </w:rPr>
        <w:t>Harper</w:t>
      </w:r>
      <w:r>
        <w:rPr>
          <w:spacing w:val="-5"/>
          <w:vertAlign w:val="baseline"/>
        </w:rPr>
        <w:t> </w:t>
      </w:r>
      <w:r>
        <w:rPr>
          <w:vertAlign w:val="baseline"/>
        </w:rPr>
        <w:t>and</w:t>
      </w:r>
      <w:r>
        <w:rPr>
          <w:spacing w:val="-5"/>
          <w:vertAlign w:val="baseline"/>
        </w:rPr>
        <w:t> </w:t>
      </w:r>
      <w:r>
        <w:rPr>
          <w:vertAlign w:val="baseline"/>
        </w:rPr>
        <w:t>Row,</w:t>
      </w:r>
      <w:r>
        <w:rPr>
          <w:spacing w:val="-5"/>
          <w:vertAlign w:val="baseline"/>
        </w:rPr>
        <w:t> </w:t>
      </w:r>
      <w:r>
        <w:rPr>
          <w:vertAlign w:val="baseline"/>
        </w:rPr>
        <w:t>Inc.,</w:t>
      </w:r>
      <w:r>
        <w:rPr>
          <w:spacing w:val="-5"/>
          <w:vertAlign w:val="baseline"/>
        </w:rPr>
        <w:t> </w:t>
      </w:r>
      <w:r>
        <w:rPr>
          <w:vertAlign w:val="baseline"/>
        </w:rPr>
        <w:t>New</w:t>
      </w:r>
      <w:r>
        <w:rPr>
          <w:spacing w:val="-5"/>
          <w:vertAlign w:val="baseline"/>
        </w:rPr>
        <w:t> </w:t>
      </w:r>
      <w:r>
        <w:rPr>
          <w:vertAlign w:val="baseline"/>
        </w:rPr>
        <w:t>York,</w:t>
      </w:r>
      <w:r>
        <w:rPr>
          <w:spacing w:val="-5"/>
          <w:vertAlign w:val="baseline"/>
        </w:rPr>
        <w:t> </w:t>
      </w:r>
      <w:r>
        <w:rPr>
          <w:vertAlign w:val="baseline"/>
        </w:rPr>
        <w:t>1963,</w:t>
      </w:r>
      <w:r>
        <w:rPr>
          <w:spacing w:val="-5"/>
          <w:vertAlign w:val="baseline"/>
        </w:rPr>
        <w:t> </w:t>
      </w:r>
      <w:r>
        <w:rPr>
          <w:vertAlign w:val="baseline"/>
        </w:rPr>
        <w:t>p.</w:t>
      </w:r>
      <w:r>
        <w:rPr>
          <w:spacing w:val="-5"/>
          <w:vertAlign w:val="baseline"/>
        </w:rPr>
        <w:t> 66.</w:t>
      </w:r>
    </w:p>
    <w:p>
      <w:pPr>
        <w:spacing w:after="0"/>
        <w:jc w:val="both"/>
        <w:sectPr>
          <w:pgSz w:w="12240" w:h="15840"/>
          <w:pgMar w:header="0" w:footer="743" w:top="1360" w:bottom="940" w:left="1640" w:right="1300"/>
        </w:sectPr>
      </w:pPr>
    </w:p>
    <w:p>
      <w:pPr>
        <w:pStyle w:val="Heading1"/>
        <w:spacing w:before="79"/>
        <w:ind w:right="630"/>
      </w:pPr>
      <w:bookmarkStart w:name="_TOC_250022" w:id="7"/>
      <w:r>
        <w:rPr/>
        <w:t>THE</w:t>
      </w:r>
      <w:r>
        <w:rPr>
          <w:spacing w:val="-7"/>
        </w:rPr>
        <w:t> </w:t>
      </w:r>
      <w:r>
        <w:rPr/>
        <w:t>EDUCATIONAL</w:t>
      </w:r>
      <w:r>
        <w:rPr>
          <w:spacing w:val="-7"/>
        </w:rPr>
        <w:t> </w:t>
      </w:r>
      <w:bookmarkEnd w:id="7"/>
      <w:r>
        <w:rPr>
          <w:spacing w:val="-2"/>
        </w:rPr>
        <w:t>REVOLUTION</w:t>
      </w:r>
    </w:p>
    <w:p>
      <w:pPr>
        <w:pStyle w:val="BodyText"/>
        <w:spacing w:before="2"/>
        <w:rPr>
          <w:b/>
        </w:rPr>
      </w:pPr>
    </w:p>
    <w:p>
      <w:pPr>
        <w:pStyle w:val="ListParagraph"/>
        <w:numPr>
          <w:ilvl w:val="1"/>
          <w:numId w:val="12"/>
        </w:numPr>
        <w:tabs>
          <w:tab w:pos="659" w:val="left" w:leader="none"/>
        </w:tabs>
        <w:spacing w:line="240" w:lineRule="auto" w:before="0" w:after="0"/>
        <w:ind w:left="159" w:right="495" w:firstLine="0"/>
        <w:jc w:val="both"/>
        <w:rPr>
          <w:sz w:val="24"/>
        </w:rPr>
      </w:pPr>
      <w:r>
        <w:rPr>
          <w:sz w:val="24"/>
        </w:rPr>
        <w:t>This direct link between education, national development and prosperity which we have emphasized and in which we deeply believe, exists only when the national system</w:t>
      </w:r>
      <w:r>
        <w:rPr>
          <w:spacing w:val="80"/>
          <w:sz w:val="24"/>
        </w:rPr>
        <w:t> </w:t>
      </w:r>
      <w:r>
        <w:rPr>
          <w:sz w:val="24"/>
        </w:rPr>
        <w:t>of education is properly organized, both qualitatively and quantitatively. The naive belief that all education is necessarily good, both for the individual and for society, and that it will necessarily lead to progress, can be as harmful as it is misplaced. Quantitatively, education can be organized to promote social justice or to retard it. History shows numerous instances where small social groups and elites have used education as a prerogative of their rule and as a tool for maintaining their hegemony and perpetuating</w:t>
      </w:r>
      <w:r>
        <w:rPr>
          <w:spacing w:val="40"/>
          <w:sz w:val="24"/>
        </w:rPr>
        <w:t> </w:t>
      </w:r>
      <w:r>
        <w:rPr>
          <w:sz w:val="24"/>
        </w:rPr>
        <w:t>the values upon which it has rested. On the other hand, there are cases in which a social and cultural revolution has been brought about in a system where equality of educational opportunity is provided and education is deliberately used to develop more and more potential talent and to harness it to the solution of national problems. The same is even more true of the quality of education. A system of university education which produces a high proportion of competent professional manpower is of great assistance in increasing productivity and promoting economic growth. Another system of higher education with the same total output but producing a large proportion of indifferently educated graduates of arts, many of whom remain unemployed or are even unemployable, could create social tensions and retard economic growth. It is only the right type of education, provided on</w:t>
      </w:r>
      <w:r>
        <w:rPr>
          <w:spacing w:val="40"/>
          <w:sz w:val="24"/>
        </w:rPr>
        <w:t> </w:t>
      </w:r>
      <w:r>
        <w:rPr>
          <w:sz w:val="24"/>
        </w:rPr>
        <w:t>an adequate scale, that can lead to national development; when these conditions are not satisfied, the opposite effect may result.</w:t>
      </w:r>
    </w:p>
    <w:p>
      <w:pPr>
        <w:pStyle w:val="BodyText"/>
        <w:spacing w:before="3"/>
      </w:pPr>
    </w:p>
    <w:p>
      <w:pPr>
        <w:pStyle w:val="ListParagraph"/>
        <w:numPr>
          <w:ilvl w:val="1"/>
          <w:numId w:val="12"/>
        </w:numPr>
        <w:tabs>
          <w:tab w:pos="693" w:val="left" w:leader="none"/>
        </w:tabs>
        <w:spacing w:line="240" w:lineRule="auto" w:before="0" w:after="0"/>
        <w:ind w:left="159" w:right="494" w:firstLine="0"/>
        <w:jc w:val="both"/>
        <w:rPr>
          <w:sz w:val="24"/>
        </w:rPr>
      </w:pPr>
      <w:r>
        <w:rPr>
          <w:sz w:val="24"/>
        </w:rPr>
        <w:t>judged from this point of view, it becomes evident that the present system of education,</w:t>
      </w:r>
      <w:r>
        <w:rPr>
          <w:spacing w:val="-1"/>
          <w:sz w:val="24"/>
        </w:rPr>
        <w:t> </w:t>
      </w:r>
      <w:r>
        <w:rPr>
          <w:sz w:val="24"/>
        </w:rPr>
        <w:t>designed</w:t>
      </w:r>
      <w:r>
        <w:rPr>
          <w:spacing w:val="-1"/>
          <w:sz w:val="24"/>
        </w:rPr>
        <w:t> </w:t>
      </w:r>
      <w:r>
        <w:rPr>
          <w:sz w:val="24"/>
        </w:rPr>
        <w:t>to</w:t>
      </w:r>
      <w:r>
        <w:rPr>
          <w:spacing w:val="-1"/>
          <w:sz w:val="24"/>
        </w:rPr>
        <w:t> </w:t>
      </w:r>
      <w:r>
        <w:rPr>
          <w:sz w:val="24"/>
        </w:rPr>
        <w:t>meet</w:t>
      </w:r>
      <w:r>
        <w:rPr>
          <w:spacing w:val="-1"/>
          <w:sz w:val="24"/>
        </w:rPr>
        <w:t> </w:t>
      </w:r>
      <w:r>
        <w:rPr>
          <w:sz w:val="24"/>
        </w:rPr>
        <w:t>the</w:t>
      </w:r>
      <w:r>
        <w:rPr>
          <w:spacing w:val="-1"/>
          <w:sz w:val="24"/>
        </w:rPr>
        <w:t> </w:t>
      </w:r>
      <w:r>
        <w:rPr>
          <w:sz w:val="24"/>
        </w:rPr>
        <w:t>needs</w:t>
      </w:r>
      <w:r>
        <w:rPr>
          <w:spacing w:val="-1"/>
          <w:sz w:val="24"/>
        </w:rPr>
        <w:t> </w:t>
      </w:r>
      <w:r>
        <w:rPr>
          <w:sz w:val="24"/>
        </w:rPr>
        <w:t>of</w:t>
      </w:r>
      <w:r>
        <w:rPr>
          <w:spacing w:val="-1"/>
          <w:sz w:val="24"/>
        </w:rPr>
        <w:t> </w:t>
      </w:r>
      <w:r>
        <w:rPr>
          <w:sz w:val="24"/>
        </w:rPr>
        <w:t>ail</w:t>
      </w:r>
      <w:r>
        <w:rPr>
          <w:spacing w:val="-1"/>
          <w:sz w:val="24"/>
        </w:rPr>
        <w:t> </w:t>
      </w:r>
      <w:r>
        <w:rPr>
          <w:sz w:val="24"/>
        </w:rPr>
        <w:t>imperial</w:t>
      </w:r>
      <w:r>
        <w:rPr>
          <w:spacing w:val="-1"/>
          <w:sz w:val="24"/>
        </w:rPr>
        <w:t> </w:t>
      </w:r>
      <w:r>
        <w:rPr>
          <w:sz w:val="24"/>
        </w:rPr>
        <w:t>administration</w:t>
      </w:r>
      <w:r>
        <w:rPr>
          <w:spacing w:val="-1"/>
          <w:sz w:val="24"/>
        </w:rPr>
        <w:t> </w:t>
      </w:r>
      <w:r>
        <w:rPr>
          <w:sz w:val="24"/>
        </w:rPr>
        <w:t>within</w:t>
      </w:r>
      <w:r>
        <w:rPr>
          <w:spacing w:val="-1"/>
          <w:sz w:val="24"/>
        </w:rPr>
        <w:t> </w:t>
      </w:r>
      <w:r>
        <w:rPr>
          <w:sz w:val="24"/>
        </w:rPr>
        <w:t>the</w:t>
      </w:r>
      <w:r>
        <w:rPr>
          <w:spacing w:val="-1"/>
          <w:sz w:val="24"/>
        </w:rPr>
        <w:t> </w:t>
      </w:r>
      <w:r>
        <w:rPr>
          <w:sz w:val="24"/>
        </w:rPr>
        <w:t>limitations set by a feudal and traditional society, will need radical changes if it is to meet the purposes</w:t>
      </w:r>
      <w:r>
        <w:rPr>
          <w:spacing w:val="-1"/>
          <w:sz w:val="24"/>
        </w:rPr>
        <w:t> </w:t>
      </w:r>
      <w:r>
        <w:rPr>
          <w:sz w:val="24"/>
        </w:rPr>
        <w:t>of</w:t>
      </w:r>
      <w:r>
        <w:rPr>
          <w:spacing w:val="-1"/>
          <w:sz w:val="24"/>
        </w:rPr>
        <w:t> </w:t>
      </w:r>
      <w:r>
        <w:rPr>
          <w:sz w:val="24"/>
        </w:rPr>
        <w:t>a</w:t>
      </w:r>
      <w:r>
        <w:rPr>
          <w:spacing w:val="-1"/>
          <w:sz w:val="24"/>
        </w:rPr>
        <w:t> </w:t>
      </w:r>
      <w:r>
        <w:rPr>
          <w:sz w:val="24"/>
        </w:rPr>
        <w:t>modem</w:t>
      </w:r>
      <w:r>
        <w:rPr>
          <w:spacing w:val="-3"/>
          <w:sz w:val="24"/>
        </w:rPr>
        <w:t> </w:t>
      </w:r>
      <w:r>
        <w:rPr>
          <w:sz w:val="24"/>
        </w:rPr>
        <w:t>democratic</w:t>
      </w:r>
      <w:r>
        <w:rPr>
          <w:spacing w:val="-2"/>
          <w:sz w:val="24"/>
        </w:rPr>
        <w:t> </w:t>
      </w:r>
      <w:r>
        <w:rPr>
          <w:sz w:val="24"/>
        </w:rPr>
        <w:t>and</w:t>
      </w:r>
      <w:r>
        <w:rPr>
          <w:spacing w:val="-2"/>
          <w:sz w:val="24"/>
        </w:rPr>
        <w:t> </w:t>
      </w:r>
      <w:r>
        <w:rPr>
          <w:sz w:val="24"/>
        </w:rPr>
        <w:t>socialistic</w:t>
      </w:r>
      <w:r>
        <w:rPr>
          <w:spacing w:val="-2"/>
          <w:sz w:val="24"/>
        </w:rPr>
        <w:t> </w:t>
      </w:r>
      <w:r>
        <w:rPr>
          <w:sz w:val="24"/>
        </w:rPr>
        <w:t>society-changes</w:t>
      </w:r>
      <w:r>
        <w:rPr>
          <w:spacing w:val="-2"/>
          <w:sz w:val="24"/>
        </w:rPr>
        <w:t> </w:t>
      </w:r>
      <w:r>
        <w:rPr>
          <w:sz w:val="24"/>
        </w:rPr>
        <w:t>in</w:t>
      </w:r>
      <w:r>
        <w:rPr>
          <w:spacing w:val="-1"/>
          <w:sz w:val="24"/>
        </w:rPr>
        <w:t> </w:t>
      </w:r>
      <w:r>
        <w:rPr>
          <w:sz w:val="24"/>
        </w:rPr>
        <w:t>objectives,</w:t>
      </w:r>
      <w:r>
        <w:rPr>
          <w:spacing w:val="-1"/>
          <w:sz w:val="24"/>
        </w:rPr>
        <w:t> </w:t>
      </w:r>
      <w:r>
        <w:rPr>
          <w:sz w:val="24"/>
        </w:rPr>
        <w:t>in</w:t>
      </w:r>
      <w:r>
        <w:rPr>
          <w:spacing w:val="-1"/>
          <w:sz w:val="24"/>
        </w:rPr>
        <w:t> </w:t>
      </w:r>
      <w:r>
        <w:rPr>
          <w:sz w:val="24"/>
        </w:rPr>
        <w:t>content, in teaching methods, in programmes, in the size and composition of the student body, in the</w:t>
      </w:r>
      <w:r>
        <w:rPr>
          <w:spacing w:val="-2"/>
          <w:sz w:val="24"/>
        </w:rPr>
        <w:t> </w:t>
      </w:r>
      <w:r>
        <w:rPr>
          <w:sz w:val="24"/>
        </w:rPr>
        <w:t>selection</w:t>
      </w:r>
      <w:r>
        <w:rPr>
          <w:spacing w:val="-2"/>
          <w:sz w:val="24"/>
        </w:rPr>
        <w:t> </w:t>
      </w:r>
      <w:r>
        <w:rPr>
          <w:sz w:val="24"/>
        </w:rPr>
        <w:t>and</w:t>
      </w:r>
      <w:r>
        <w:rPr>
          <w:spacing w:val="-2"/>
          <w:sz w:val="24"/>
        </w:rPr>
        <w:t> </w:t>
      </w:r>
      <w:r>
        <w:rPr>
          <w:sz w:val="24"/>
        </w:rPr>
        <w:t>professional</w:t>
      </w:r>
      <w:r>
        <w:rPr>
          <w:spacing w:val="-2"/>
          <w:sz w:val="24"/>
        </w:rPr>
        <w:t> </w:t>
      </w:r>
      <w:r>
        <w:rPr>
          <w:sz w:val="24"/>
        </w:rPr>
        <w:t>preparation</w:t>
      </w:r>
      <w:r>
        <w:rPr>
          <w:spacing w:val="-2"/>
          <w:sz w:val="24"/>
        </w:rPr>
        <w:t> </w:t>
      </w:r>
      <w:r>
        <w:rPr>
          <w:sz w:val="24"/>
        </w:rPr>
        <w:t>of</w:t>
      </w:r>
      <w:r>
        <w:rPr>
          <w:spacing w:val="-2"/>
          <w:sz w:val="24"/>
        </w:rPr>
        <w:t> </w:t>
      </w:r>
      <w:r>
        <w:rPr>
          <w:sz w:val="24"/>
        </w:rPr>
        <w:t>teachers,</w:t>
      </w:r>
      <w:r>
        <w:rPr>
          <w:spacing w:val="-2"/>
          <w:sz w:val="24"/>
        </w:rPr>
        <w:t> </w:t>
      </w:r>
      <w:r>
        <w:rPr>
          <w:sz w:val="24"/>
        </w:rPr>
        <w:t>and</w:t>
      </w:r>
      <w:r>
        <w:rPr>
          <w:spacing w:val="-2"/>
          <w:sz w:val="24"/>
        </w:rPr>
        <w:t> </w:t>
      </w:r>
      <w:r>
        <w:rPr>
          <w:sz w:val="24"/>
        </w:rPr>
        <w:t>in</w:t>
      </w:r>
      <w:r>
        <w:rPr>
          <w:spacing w:val="-2"/>
          <w:sz w:val="24"/>
        </w:rPr>
        <w:t> </w:t>
      </w:r>
      <w:r>
        <w:rPr>
          <w:sz w:val="24"/>
        </w:rPr>
        <w:t>organization.</w:t>
      </w:r>
      <w:r>
        <w:rPr>
          <w:spacing w:val="-2"/>
          <w:sz w:val="24"/>
        </w:rPr>
        <w:t> </w:t>
      </w:r>
      <w:r>
        <w:rPr>
          <w:sz w:val="24"/>
        </w:rPr>
        <w:t>In</w:t>
      </w:r>
      <w:r>
        <w:rPr>
          <w:spacing w:val="-2"/>
          <w:sz w:val="24"/>
        </w:rPr>
        <w:t> </w:t>
      </w:r>
      <w:r>
        <w:rPr>
          <w:sz w:val="24"/>
        </w:rPr>
        <w:t>fact,</w:t>
      </w:r>
      <w:r>
        <w:rPr>
          <w:spacing w:val="-2"/>
          <w:sz w:val="24"/>
        </w:rPr>
        <w:t> </w:t>
      </w:r>
      <w:r>
        <w:rPr>
          <w:sz w:val="24"/>
        </w:rPr>
        <w:t>what</w:t>
      </w:r>
      <w:r>
        <w:rPr>
          <w:spacing w:val="-2"/>
          <w:sz w:val="24"/>
        </w:rPr>
        <w:t> </w:t>
      </w:r>
      <w:r>
        <w:rPr>
          <w:sz w:val="24"/>
        </w:rPr>
        <w:t>is needed is a revolution in education which in turn will set in motion the much desired social, economic and cultural revolution. The main concern of this Report is to identify the major programmes that can bring about this educational revolution which has three main aspects:</w:t>
      </w:r>
    </w:p>
    <w:p>
      <w:pPr>
        <w:pStyle w:val="BodyText"/>
        <w:spacing w:before="5"/>
      </w:pPr>
    </w:p>
    <w:p>
      <w:pPr>
        <w:pStyle w:val="ListParagraph"/>
        <w:numPr>
          <w:ilvl w:val="2"/>
          <w:numId w:val="12"/>
        </w:numPr>
        <w:tabs>
          <w:tab w:pos="297" w:val="left" w:leader="none"/>
        </w:tabs>
        <w:spacing w:line="240" w:lineRule="auto" w:before="0" w:after="0"/>
        <w:ind w:left="297" w:right="0" w:hanging="138"/>
        <w:jc w:val="both"/>
        <w:rPr>
          <w:sz w:val="24"/>
        </w:rPr>
      </w:pPr>
      <w:r>
        <w:rPr>
          <w:sz w:val="24"/>
        </w:rPr>
        <w:t>internal</w:t>
      </w:r>
      <w:r>
        <w:rPr>
          <w:spacing w:val="-3"/>
          <w:sz w:val="24"/>
        </w:rPr>
        <w:t> </w:t>
      </w:r>
      <w:r>
        <w:rPr>
          <w:sz w:val="24"/>
        </w:rPr>
        <w:t>transformation</w:t>
      </w:r>
      <w:r>
        <w:rPr>
          <w:spacing w:val="-2"/>
          <w:sz w:val="24"/>
        </w:rPr>
        <w:t> </w:t>
      </w:r>
      <w:r>
        <w:rPr>
          <w:sz w:val="24"/>
        </w:rPr>
        <w:t>so</w:t>
      </w:r>
      <w:r>
        <w:rPr>
          <w:spacing w:val="-2"/>
          <w:sz w:val="24"/>
        </w:rPr>
        <w:t> </w:t>
      </w:r>
      <w:r>
        <w:rPr>
          <w:sz w:val="24"/>
        </w:rPr>
        <w:t>as</w:t>
      </w:r>
      <w:r>
        <w:rPr>
          <w:spacing w:val="-2"/>
          <w:sz w:val="24"/>
        </w:rPr>
        <w:t> </w:t>
      </w:r>
      <w:r>
        <w:rPr>
          <w:sz w:val="24"/>
        </w:rPr>
        <w:t>to</w:t>
      </w:r>
      <w:r>
        <w:rPr>
          <w:spacing w:val="-1"/>
          <w:sz w:val="24"/>
        </w:rPr>
        <w:t> </w:t>
      </w:r>
      <w:r>
        <w:rPr>
          <w:sz w:val="24"/>
        </w:rPr>
        <w:t>relate</w:t>
      </w:r>
      <w:r>
        <w:rPr>
          <w:spacing w:val="-2"/>
          <w:sz w:val="24"/>
        </w:rPr>
        <w:t> </w:t>
      </w:r>
      <w:r>
        <w:rPr>
          <w:sz w:val="24"/>
        </w:rPr>
        <w:t>it</w:t>
      </w:r>
      <w:r>
        <w:rPr>
          <w:spacing w:val="-2"/>
          <w:sz w:val="24"/>
        </w:rPr>
        <w:t> </w:t>
      </w:r>
      <w:r>
        <w:rPr>
          <w:sz w:val="24"/>
        </w:rPr>
        <w:t>to</w:t>
      </w:r>
      <w:r>
        <w:rPr>
          <w:spacing w:val="-1"/>
          <w:sz w:val="24"/>
        </w:rPr>
        <w:t> </w:t>
      </w:r>
      <w:r>
        <w:rPr>
          <w:sz w:val="24"/>
        </w:rPr>
        <w:t>the</w:t>
      </w:r>
      <w:r>
        <w:rPr>
          <w:spacing w:val="-2"/>
          <w:sz w:val="24"/>
        </w:rPr>
        <w:t> </w:t>
      </w:r>
      <w:r>
        <w:rPr>
          <w:sz w:val="24"/>
        </w:rPr>
        <w:t>life,</w:t>
      </w:r>
      <w:r>
        <w:rPr>
          <w:spacing w:val="-2"/>
          <w:sz w:val="24"/>
        </w:rPr>
        <w:t> </w:t>
      </w:r>
      <w:r>
        <w:rPr>
          <w:sz w:val="24"/>
        </w:rPr>
        <w:t>needs</w:t>
      </w:r>
      <w:r>
        <w:rPr>
          <w:spacing w:val="-1"/>
          <w:sz w:val="24"/>
        </w:rPr>
        <w:t> </w:t>
      </w:r>
      <w:r>
        <w:rPr>
          <w:sz w:val="24"/>
        </w:rPr>
        <w:t>and</w:t>
      </w:r>
      <w:r>
        <w:rPr>
          <w:spacing w:val="-3"/>
          <w:sz w:val="24"/>
        </w:rPr>
        <w:t> </w:t>
      </w:r>
      <w:r>
        <w:rPr>
          <w:sz w:val="24"/>
        </w:rPr>
        <w:t>aspirations</w:t>
      </w:r>
      <w:r>
        <w:rPr>
          <w:spacing w:val="-2"/>
          <w:sz w:val="24"/>
        </w:rPr>
        <w:t> </w:t>
      </w:r>
      <w:r>
        <w:rPr>
          <w:sz w:val="24"/>
        </w:rPr>
        <w:t>of</w:t>
      </w:r>
      <w:r>
        <w:rPr>
          <w:spacing w:val="-2"/>
          <w:sz w:val="24"/>
        </w:rPr>
        <w:t> </w:t>
      </w:r>
      <w:r>
        <w:rPr>
          <w:sz w:val="24"/>
        </w:rPr>
        <w:t>the</w:t>
      </w:r>
      <w:r>
        <w:rPr>
          <w:spacing w:val="-1"/>
          <w:sz w:val="24"/>
        </w:rPr>
        <w:t> </w:t>
      </w:r>
      <w:r>
        <w:rPr>
          <w:spacing w:val="-2"/>
          <w:sz w:val="24"/>
        </w:rPr>
        <w:t>nation;</w:t>
      </w:r>
    </w:p>
    <w:p>
      <w:pPr>
        <w:pStyle w:val="BodyText"/>
        <w:spacing w:before="4"/>
      </w:pPr>
    </w:p>
    <w:p>
      <w:pPr>
        <w:pStyle w:val="ListParagraph"/>
        <w:numPr>
          <w:ilvl w:val="2"/>
          <w:numId w:val="12"/>
        </w:numPr>
        <w:tabs>
          <w:tab w:pos="319" w:val="left" w:leader="none"/>
        </w:tabs>
        <w:spacing w:line="240" w:lineRule="auto" w:before="0" w:after="0"/>
        <w:ind w:left="159" w:right="498" w:firstLine="0"/>
        <w:jc w:val="both"/>
        <w:rPr>
          <w:sz w:val="24"/>
        </w:rPr>
      </w:pPr>
      <w:r>
        <w:rPr>
          <w:sz w:val="24"/>
        </w:rPr>
        <w:t>qualitative improvement so that the standards achieved are adequate, keep continually rising and, at least in a few sectors, become internationally comparable; and</w:t>
      </w:r>
    </w:p>
    <w:p>
      <w:pPr>
        <w:pStyle w:val="BodyText"/>
        <w:spacing w:before="3"/>
      </w:pPr>
    </w:p>
    <w:p>
      <w:pPr>
        <w:pStyle w:val="ListParagraph"/>
        <w:numPr>
          <w:ilvl w:val="2"/>
          <w:numId w:val="12"/>
        </w:numPr>
        <w:tabs>
          <w:tab w:pos="306" w:val="left" w:leader="none"/>
        </w:tabs>
        <w:spacing w:line="240" w:lineRule="auto" w:before="1" w:after="0"/>
        <w:ind w:left="159" w:right="497" w:firstLine="0"/>
        <w:jc w:val="both"/>
        <w:rPr>
          <w:sz w:val="24"/>
        </w:rPr>
      </w:pPr>
      <w:r>
        <w:rPr>
          <w:sz w:val="24"/>
        </w:rPr>
        <w:t>expansion of educational facilities broadly on the basis of manpower needs and with an accent on equalization of educational opportunities.</w:t>
      </w:r>
    </w:p>
    <w:p>
      <w:pPr>
        <w:pStyle w:val="BodyText"/>
        <w:spacing w:before="3"/>
      </w:pPr>
    </w:p>
    <w:p>
      <w:pPr>
        <w:pStyle w:val="BodyText"/>
        <w:ind w:left="159" w:right="496"/>
        <w:jc w:val="both"/>
      </w:pPr>
      <w:r>
        <w:rPr/>
        <w:t>it is with the first group of the above programmes, namely, the transformation of the system</w:t>
      </w:r>
      <w:r>
        <w:rPr>
          <w:spacing w:val="-4"/>
        </w:rPr>
        <w:t> </w:t>
      </w:r>
      <w:r>
        <w:rPr/>
        <w:t>to</w:t>
      </w:r>
      <w:r>
        <w:rPr>
          <w:spacing w:val="-2"/>
        </w:rPr>
        <w:t> </w:t>
      </w:r>
      <w:r>
        <w:rPr/>
        <w:t>reflect</w:t>
      </w:r>
      <w:r>
        <w:rPr>
          <w:spacing w:val="-2"/>
        </w:rPr>
        <w:t> </w:t>
      </w:r>
      <w:r>
        <w:rPr/>
        <w:t>the</w:t>
      </w:r>
      <w:r>
        <w:rPr>
          <w:spacing w:val="-2"/>
        </w:rPr>
        <w:t> </w:t>
      </w:r>
      <w:r>
        <w:rPr/>
        <w:t>needs</w:t>
      </w:r>
      <w:r>
        <w:rPr>
          <w:spacing w:val="-2"/>
        </w:rPr>
        <w:t> </w:t>
      </w:r>
      <w:r>
        <w:rPr/>
        <w:t>and</w:t>
      </w:r>
      <w:r>
        <w:rPr>
          <w:spacing w:val="-2"/>
        </w:rPr>
        <w:t> </w:t>
      </w:r>
      <w:r>
        <w:rPr/>
        <w:t>aspirations</w:t>
      </w:r>
      <w:r>
        <w:rPr>
          <w:spacing w:val="-2"/>
        </w:rPr>
        <w:t> </w:t>
      </w:r>
      <w:r>
        <w:rPr/>
        <w:t>of</w:t>
      </w:r>
      <w:r>
        <w:rPr>
          <w:spacing w:val="-2"/>
        </w:rPr>
        <w:t> </w:t>
      </w:r>
      <w:r>
        <w:rPr/>
        <w:t>the</w:t>
      </w:r>
      <w:r>
        <w:rPr>
          <w:spacing w:val="-4"/>
        </w:rPr>
        <w:t> </w:t>
      </w:r>
      <w:r>
        <w:rPr/>
        <w:t>Indian</w:t>
      </w:r>
      <w:r>
        <w:rPr>
          <w:spacing w:val="-2"/>
        </w:rPr>
        <w:t> </w:t>
      </w:r>
      <w:r>
        <w:rPr/>
        <w:t>people,</w:t>
      </w:r>
      <w:r>
        <w:rPr>
          <w:spacing w:val="-2"/>
        </w:rPr>
        <w:t> </w:t>
      </w:r>
      <w:r>
        <w:rPr/>
        <w:t>that</w:t>
      </w:r>
      <w:r>
        <w:rPr>
          <w:spacing w:val="-2"/>
        </w:rPr>
        <w:t> </w:t>
      </w:r>
      <w:r>
        <w:rPr/>
        <w:t>this</w:t>
      </w:r>
      <w:r>
        <w:rPr>
          <w:spacing w:val="-2"/>
        </w:rPr>
        <w:t> </w:t>
      </w:r>
      <w:r>
        <w:rPr/>
        <w:t>chapter</w:t>
      </w:r>
      <w:r>
        <w:rPr>
          <w:spacing w:val="-2"/>
        </w:rPr>
        <w:t> </w:t>
      </w:r>
      <w:r>
        <w:rPr/>
        <w:t>is</w:t>
      </w:r>
      <w:r>
        <w:rPr>
          <w:spacing w:val="-2"/>
        </w:rPr>
        <w:t> </w:t>
      </w:r>
      <w:r>
        <w:rPr/>
        <w:t>mainly </w:t>
      </w:r>
      <w:r>
        <w:rPr>
          <w:spacing w:val="-2"/>
        </w:rPr>
        <w:t>concerned.</w:t>
      </w:r>
    </w:p>
    <w:p>
      <w:pPr>
        <w:spacing w:after="0"/>
        <w:jc w:val="both"/>
        <w:sectPr>
          <w:pgSz w:w="12240" w:h="15840"/>
          <w:pgMar w:header="0" w:footer="743" w:top="1360" w:bottom="940" w:left="1640" w:right="1300"/>
        </w:sectPr>
      </w:pPr>
    </w:p>
    <w:p>
      <w:pPr>
        <w:pStyle w:val="Heading1"/>
        <w:spacing w:before="79"/>
        <w:ind w:left="4000" w:right="506" w:hanging="3801"/>
        <w:jc w:val="left"/>
      </w:pPr>
      <w:r>
        <w:rPr/>
        <w:t>RELATING</w:t>
      </w:r>
      <w:r>
        <w:rPr>
          <w:spacing w:val="-5"/>
        </w:rPr>
        <w:t> </w:t>
      </w:r>
      <w:r>
        <w:rPr/>
        <w:t>EDUCATION</w:t>
      </w:r>
      <w:r>
        <w:rPr>
          <w:spacing w:val="-5"/>
        </w:rPr>
        <w:t> </w:t>
      </w:r>
      <w:r>
        <w:rPr/>
        <w:t>TO</w:t>
      </w:r>
      <w:r>
        <w:rPr>
          <w:spacing w:val="-5"/>
        </w:rPr>
        <w:t> </w:t>
      </w:r>
      <w:r>
        <w:rPr/>
        <w:t>THE</w:t>
      </w:r>
      <w:r>
        <w:rPr>
          <w:spacing w:val="-5"/>
        </w:rPr>
        <w:t> </w:t>
      </w:r>
      <w:r>
        <w:rPr/>
        <w:t>LIFE,</w:t>
      </w:r>
      <w:r>
        <w:rPr>
          <w:spacing w:val="-3"/>
        </w:rPr>
        <w:t> </w:t>
      </w:r>
      <w:r>
        <w:rPr/>
        <w:t>NEEDS</w:t>
      </w:r>
      <w:r>
        <w:rPr>
          <w:spacing w:val="-5"/>
        </w:rPr>
        <w:t> </w:t>
      </w:r>
      <w:r>
        <w:rPr/>
        <w:t>AND</w:t>
      </w:r>
      <w:r>
        <w:rPr>
          <w:spacing w:val="-5"/>
        </w:rPr>
        <w:t> </w:t>
      </w:r>
      <w:r>
        <w:rPr/>
        <w:t>ASPIRATIONS</w:t>
      </w:r>
      <w:r>
        <w:rPr>
          <w:spacing w:val="-5"/>
        </w:rPr>
        <w:t> </w:t>
      </w:r>
      <w:r>
        <w:rPr/>
        <w:t>OF</w:t>
      </w:r>
      <w:r>
        <w:rPr>
          <w:spacing w:val="-5"/>
        </w:rPr>
        <w:t> </w:t>
      </w:r>
      <w:r>
        <w:rPr/>
        <w:t>THE </w:t>
      </w:r>
      <w:r>
        <w:rPr>
          <w:spacing w:val="-2"/>
        </w:rPr>
        <w:t>PEOPLE</w:t>
      </w:r>
    </w:p>
    <w:p>
      <w:pPr>
        <w:pStyle w:val="BodyText"/>
        <w:spacing w:before="2"/>
        <w:rPr>
          <w:b/>
        </w:rPr>
      </w:pPr>
    </w:p>
    <w:p>
      <w:pPr>
        <w:pStyle w:val="ListParagraph"/>
        <w:numPr>
          <w:ilvl w:val="1"/>
          <w:numId w:val="12"/>
        </w:numPr>
        <w:tabs>
          <w:tab w:pos="661" w:val="left" w:leader="none"/>
        </w:tabs>
        <w:spacing w:line="240" w:lineRule="auto" w:before="0" w:after="0"/>
        <w:ind w:left="159" w:right="499" w:firstLine="0"/>
        <w:jc w:val="both"/>
        <w:rPr>
          <w:sz w:val="24"/>
        </w:rPr>
      </w:pPr>
      <w:r>
        <w:rPr>
          <w:sz w:val="24"/>
        </w:rPr>
        <w:t>As is well known, the existing system of education is largely unrelated to life and there is a wide gulf between its content and purposes and the concerns of national development. For instance,</w:t>
      </w:r>
    </w:p>
    <w:p>
      <w:pPr>
        <w:pStyle w:val="BodyText"/>
        <w:spacing w:before="4"/>
      </w:pPr>
    </w:p>
    <w:p>
      <w:pPr>
        <w:pStyle w:val="BodyText"/>
        <w:ind w:left="160" w:right="495"/>
        <w:jc w:val="both"/>
      </w:pPr>
      <w:r>
        <w:rPr/>
        <w:t>-the educational system does not reflect the supreme importance of agriculture which is neglected at all stages and does not attract an adequate share of the top talent in the country; enrolment in the agricultural faculties of universities is extremely low; and agricultural colleges are comparatively weak and underdeveloped;</w:t>
      </w:r>
    </w:p>
    <w:p>
      <w:pPr>
        <w:pStyle w:val="BodyText"/>
        <w:spacing w:before="4"/>
      </w:pPr>
    </w:p>
    <w:p>
      <w:pPr>
        <w:pStyle w:val="ListParagraph"/>
        <w:numPr>
          <w:ilvl w:val="2"/>
          <w:numId w:val="12"/>
        </w:numPr>
        <w:tabs>
          <w:tab w:pos="304" w:val="left" w:leader="none"/>
        </w:tabs>
        <w:spacing w:line="240" w:lineRule="auto" w:before="0" w:after="0"/>
        <w:ind w:left="159" w:right="497" w:firstLine="0"/>
        <w:jc w:val="both"/>
        <w:rPr>
          <w:sz w:val="24"/>
        </w:rPr>
      </w:pPr>
      <w:r>
        <w:rPr>
          <w:sz w:val="24"/>
        </w:rPr>
        <w:t>the main task before the nation is to secure rapid economic development. If this is to be successfully accomplished, education must be related to productivity. The present system is too academic to be of material help in increasing national wealth;</w:t>
      </w:r>
    </w:p>
    <w:p>
      <w:pPr>
        <w:pStyle w:val="BodyText"/>
        <w:spacing w:before="3"/>
      </w:pPr>
    </w:p>
    <w:p>
      <w:pPr>
        <w:pStyle w:val="BodyText"/>
        <w:ind w:left="160" w:right="496"/>
        <w:jc w:val="both"/>
      </w:pPr>
      <w:r>
        <w:rPr/>
        <w:t>-the schools and colleges are largely unconcerned with the great national effort at reconstruction and teachers and students generally remain uncommitted to it. They are often even unaware of its principles and very rarely have opportunities to participate </w:t>
      </w:r>
      <w:r>
        <w:rPr/>
        <w:t>ill</w:t>
      </w:r>
      <w:r>
        <w:rPr>
          <w:spacing w:val="40"/>
        </w:rPr>
        <w:t> </w:t>
      </w:r>
      <w:r>
        <w:rPr/>
        <w:t>its programmes;</w:t>
      </w:r>
    </w:p>
    <w:p>
      <w:pPr>
        <w:pStyle w:val="BodyText"/>
        <w:spacing w:before="4"/>
      </w:pPr>
    </w:p>
    <w:p>
      <w:pPr>
        <w:pStyle w:val="BodyText"/>
        <w:ind w:left="159" w:right="496"/>
        <w:jc w:val="both"/>
      </w:pPr>
      <w:r>
        <w:rPr/>
        <w:t>-instead of promoting social and national integration and making an active effort to promote national consciousness, several features of the educational system promote divisive tendencies; caste loyalties are encouraged in a number of private educational institutions; the rich and the poor are segregated, the former attending the better type of private schools which charge fees while the latter are forced, by circumstances, to attend free government or local authority schools of poor quality; and - at a time when the need to cultivate a sense of moral and social responsibility in the rising generation is paramount, education does not emphasize character-formation and makes little or no effort to cultivate moral and spiritual values, particularly the interests, attitudes and</w:t>
      </w:r>
      <w:r>
        <w:rPr>
          <w:spacing w:val="40"/>
        </w:rPr>
        <w:t> </w:t>
      </w:r>
      <w:r>
        <w:rPr/>
        <w:t>values needed for a democratic and socialistic society.</w:t>
      </w:r>
    </w:p>
    <w:p>
      <w:pPr>
        <w:pStyle w:val="BodyText"/>
        <w:spacing w:before="4"/>
      </w:pPr>
    </w:p>
    <w:p>
      <w:pPr>
        <w:pStyle w:val="ListParagraph"/>
        <w:numPr>
          <w:ilvl w:val="1"/>
          <w:numId w:val="12"/>
        </w:numPr>
        <w:tabs>
          <w:tab w:pos="752" w:val="left" w:leader="none"/>
        </w:tabs>
        <w:spacing w:line="240" w:lineRule="auto" w:before="0" w:after="0"/>
        <w:ind w:left="160" w:right="496" w:firstLine="0"/>
        <w:jc w:val="both"/>
        <w:rPr>
          <w:sz w:val="24"/>
        </w:rPr>
      </w:pPr>
      <w:r>
        <w:rPr>
          <w:sz w:val="24"/>
        </w:rPr>
        <w:t>There is hardly any need to multiply such instances. The nature of the transformation needed in our educational system is generally recognized. What we wish to emphasize is its urgency. Traditional societies which desire to modernize themselves have to transform their educational system before trying to expand it, because the greater the expansion of the traditional system of education, the more difficult and costly it becomes</w:t>
      </w:r>
      <w:r>
        <w:rPr>
          <w:spacing w:val="-2"/>
          <w:sz w:val="24"/>
        </w:rPr>
        <w:t> </w:t>
      </w:r>
      <w:r>
        <w:rPr>
          <w:sz w:val="24"/>
        </w:rPr>
        <w:t>to</w:t>
      </w:r>
      <w:r>
        <w:rPr>
          <w:spacing w:val="-2"/>
          <w:sz w:val="24"/>
        </w:rPr>
        <w:t> </w:t>
      </w:r>
      <w:r>
        <w:rPr>
          <w:sz w:val="24"/>
        </w:rPr>
        <w:t>change</w:t>
      </w:r>
      <w:r>
        <w:rPr>
          <w:spacing w:val="-2"/>
          <w:sz w:val="24"/>
        </w:rPr>
        <w:t> </w:t>
      </w:r>
      <w:r>
        <w:rPr>
          <w:sz w:val="24"/>
        </w:rPr>
        <w:t>its</w:t>
      </w:r>
      <w:r>
        <w:rPr>
          <w:spacing w:val="-2"/>
          <w:sz w:val="24"/>
        </w:rPr>
        <w:t> </w:t>
      </w:r>
      <w:r>
        <w:rPr>
          <w:sz w:val="24"/>
        </w:rPr>
        <w:t>character.</w:t>
      </w:r>
      <w:r>
        <w:rPr>
          <w:spacing w:val="-2"/>
          <w:sz w:val="24"/>
        </w:rPr>
        <w:t> </w:t>
      </w:r>
      <w:r>
        <w:rPr>
          <w:sz w:val="24"/>
        </w:rPr>
        <w:t>This</w:t>
      </w:r>
      <w:r>
        <w:rPr>
          <w:spacing w:val="-2"/>
          <w:sz w:val="24"/>
        </w:rPr>
        <w:t> </w:t>
      </w:r>
      <w:r>
        <w:rPr>
          <w:sz w:val="24"/>
        </w:rPr>
        <w:t>truth</w:t>
      </w:r>
      <w:r>
        <w:rPr>
          <w:spacing w:val="-2"/>
          <w:sz w:val="24"/>
        </w:rPr>
        <w:t> </w:t>
      </w:r>
      <w:r>
        <w:rPr>
          <w:sz w:val="24"/>
        </w:rPr>
        <w:t>has</w:t>
      </w:r>
      <w:r>
        <w:rPr>
          <w:spacing w:val="-2"/>
          <w:sz w:val="24"/>
        </w:rPr>
        <w:t> </w:t>
      </w:r>
      <w:r>
        <w:rPr>
          <w:sz w:val="24"/>
        </w:rPr>
        <w:t>been</w:t>
      </w:r>
      <w:r>
        <w:rPr>
          <w:spacing w:val="-2"/>
          <w:sz w:val="24"/>
        </w:rPr>
        <w:t> </w:t>
      </w:r>
      <w:r>
        <w:rPr>
          <w:sz w:val="24"/>
        </w:rPr>
        <w:t>lost</w:t>
      </w:r>
      <w:r>
        <w:rPr>
          <w:spacing w:val="-2"/>
          <w:sz w:val="24"/>
        </w:rPr>
        <w:t> </w:t>
      </w:r>
      <w:r>
        <w:rPr>
          <w:sz w:val="24"/>
        </w:rPr>
        <w:t>sight</w:t>
      </w:r>
      <w:r>
        <w:rPr>
          <w:spacing w:val="-2"/>
          <w:sz w:val="24"/>
        </w:rPr>
        <w:t> </w:t>
      </w:r>
      <w:r>
        <w:rPr>
          <w:sz w:val="24"/>
        </w:rPr>
        <w:t>of</w:t>
      </w:r>
      <w:r>
        <w:rPr>
          <w:spacing w:val="-2"/>
          <w:sz w:val="24"/>
        </w:rPr>
        <w:t> </w:t>
      </w:r>
      <w:r>
        <w:rPr>
          <w:sz w:val="24"/>
        </w:rPr>
        <w:t>and,</w:t>
      </w:r>
      <w:r>
        <w:rPr>
          <w:spacing w:val="-2"/>
          <w:sz w:val="24"/>
        </w:rPr>
        <w:t> </w:t>
      </w:r>
      <w:r>
        <w:rPr>
          <w:sz w:val="24"/>
        </w:rPr>
        <w:t>during</w:t>
      </w:r>
      <w:r>
        <w:rPr>
          <w:spacing w:val="-2"/>
          <w:sz w:val="24"/>
        </w:rPr>
        <w:t> </w:t>
      </w:r>
      <w:r>
        <w:rPr>
          <w:sz w:val="24"/>
        </w:rPr>
        <w:t>recent</w:t>
      </w:r>
      <w:r>
        <w:rPr>
          <w:spacing w:val="-2"/>
          <w:sz w:val="24"/>
        </w:rPr>
        <w:t> </w:t>
      </w:r>
      <w:r>
        <w:rPr>
          <w:sz w:val="24"/>
        </w:rPr>
        <w:t>years, we have greatly expanded a system which continues to have essentially the same features it had at its creation about a century ago.</w:t>
      </w:r>
    </w:p>
    <w:p>
      <w:pPr>
        <w:pStyle w:val="BodyText"/>
        <w:spacing w:before="5"/>
      </w:pPr>
    </w:p>
    <w:p>
      <w:pPr>
        <w:pStyle w:val="ListParagraph"/>
        <w:numPr>
          <w:ilvl w:val="1"/>
          <w:numId w:val="12"/>
        </w:numPr>
        <w:tabs>
          <w:tab w:pos="694" w:val="left" w:leader="none"/>
        </w:tabs>
        <w:spacing w:line="240" w:lineRule="auto" w:before="0" w:after="0"/>
        <w:ind w:left="160" w:right="497" w:firstLine="0"/>
        <w:jc w:val="both"/>
        <w:rPr>
          <w:sz w:val="24"/>
        </w:rPr>
      </w:pPr>
      <w:r>
        <w:rPr>
          <w:sz w:val="24"/>
        </w:rPr>
        <w:t>In our opinion, therefore, no reform is more important or more urgent than to transform education, to endeavour to relate it to the life, needs and aspirations of the people and thereby make it a powerful instrument of social, economic and cultural transformation necessary for the realization of our national goals. This can be done if education is related to productivity;</w:t>
      </w:r>
    </w:p>
    <w:p>
      <w:pPr>
        <w:spacing w:after="0" w:line="240" w:lineRule="auto"/>
        <w:jc w:val="both"/>
        <w:rPr>
          <w:sz w:val="24"/>
        </w:rPr>
        <w:sectPr>
          <w:pgSz w:w="12240" w:h="15840"/>
          <w:pgMar w:header="0" w:footer="743" w:top="1360" w:bottom="940" w:left="1640" w:right="1300"/>
        </w:sectPr>
      </w:pPr>
    </w:p>
    <w:p>
      <w:pPr>
        <w:pStyle w:val="ListParagraph"/>
        <w:numPr>
          <w:ilvl w:val="2"/>
          <w:numId w:val="12"/>
        </w:numPr>
        <w:tabs>
          <w:tab w:pos="372" w:val="left" w:leader="none"/>
        </w:tabs>
        <w:spacing w:line="240" w:lineRule="auto" w:before="76" w:after="0"/>
        <w:ind w:left="160" w:right="497" w:firstLine="0"/>
        <w:jc w:val="left"/>
        <w:rPr>
          <w:sz w:val="24"/>
        </w:rPr>
      </w:pPr>
      <w:r>
        <w:rPr>
          <w:sz w:val="24"/>
        </w:rPr>
        <w:t>strengthens</w:t>
      </w:r>
      <w:r>
        <w:rPr>
          <w:spacing w:val="40"/>
          <w:sz w:val="24"/>
        </w:rPr>
        <w:t> </w:t>
      </w:r>
      <w:r>
        <w:rPr>
          <w:sz w:val="24"/>
        </w:rPr>
        <w:t>social</w:t>
      </w:r>
      <w:r>
        <w:rPr>
          <w:spacing w:val="40"/>
          <w:sz w:val="24"/>
        </w:rPr>
        <w:t> </w:t>
      </w:r>
      <w:r>
        <w:rPr>
          <w:sz w:val="24"/>
        </w:rPr>
        <w:t>and</w:t>
      </w:r>
      <w:r>
        <w:rPr>
          <w:spacing w:val="40"/>
          <w:sz w:val="24"/>
        </w:rPr>
        <w:t> </w:t>
      </w:r>
      <w:r>
        <w:rPr>
          <w:sz w:val="24"/>
        </w:rPr>
        <w:t>national</w:t>
      </w:r>
      <w:r>
        <w:rPr>
          <w:spacing w:val="40"/>
          <w:sz w:val="24"/>
        </w:rPr>
        <w:t> </w:t>
      </w:r>
      <w:r>
        <w:rPr>
          <w:sz w:val="24"/>
        </w:rPr>
        <w:t>integration;</w:t>
      </w:r>
      <w:r>
        <w:rPr>
          <w:spacing w:val="40"/>
          <w:sz w:val="24"/>
        </w:rPr>
        <w:t> </w:t>
      </w:r>
      <w:r>
        <w:rPr>
          <w:sz w:val="24"/>
        </w:rPr>
        <w:t>consolidates</w:t>
      </w:r>
      <w:r>
        <w:rPr>
          <w:spacing w:val="40"/>
          <w:sz w:val="24"/>
        </w:rPr>
        <w:t> </w:t>
      </w:r>
      <w:r>
        <w:rPr>
          <w:sz w:val="24"/>
        </w:rPr>
        <w:t>democracy</w:t>
      </w:r>
      <w:r>
        <w:rPr>
          <w:spacing w:val="40"/>
          <w:sz w:val="24"/>
        </w:rPr>
        <w:t> </w:t>
      </w:r>
      <w:r>
        <w:rPr>
          <w:sz w:val="24"/>
        </w:rPr>
        <w:t>as</w:t>
      </w:r>
      <w:r>
        <w:rPr>
          <w:spacing w:val="40"/>
          <w:sz w:val="24"/>
        </w:rPr>
        <w:t> </w:t>
      </w:r>
      <w:r>
        <w:rPr>
          <w:sz w:val="24"/>
        </w:rPr>
        <w:t>a</w:t>
      </w:r>
      <w:r>
        <w:rPr>
          <w:spacing w:val="40"/>
          <w:sz w:val="24"/>
        </w:rPr>
        <w:t> </w:t>
      </w:r>
      <w:r>
        <w:rPr>
          <w:sz w:val="24"/>
        </w:rPr>
        <w:t>form</w:t>
      </w:r>
      <w:r>
        <w:rPr>
          <w:spacing w:val="40"/>
          <w:sz w:val="24"/>
        </w:rPr>
        <w:t> </w:t>
      </w:r>
      <w:r>
        <w:rPr>
          <w:sz w:val="24"/>
        </w:rPr>
        <w:t>of</w:t>
      </w:r>
      <w:r>
        <w:rPr>
          <w:spacing w:val="80"/>
          <w:w w:val="150"/>
          <w:sz w:val="24"/>
        </w:rPr>
        <w:t> </w:t>
      </w:r>
      <w:r>
        <w:rPr>
          <w:sz w:val="24"/>
        </w:rPr>
        <w:t>government and helps the country to adopt it as a way of life;</w:t>
      </w:r>
    </w:p>
    <w:p>
      <w:pPr>
        <w:pStyle w:val="BodyText"/>
        <w:spacing w:before="5"/>
      </w:pPr>
    </w:p>
    <w:p>
      <w:pPr>
        <w:pStyle w:val="ListParagraph"/>
        <w:numPr>
          <w:ilvl w:val="2"/>
          <w:numId w:val="12"/>
        </w:numPr>
        <w:tabs>
          <w:tab w:pos="298" w:val="left" w:leader="none"/>
        </w:tabs>
        <w:spacing w:line="240" w:lineRule="auto" w:before="0" w:after="0"/>
        <w:ind w:left="298" w:right="0" w:hanging="138"/>
        <w:jc w:val="left"/>
        <w:rPr>
          <w:sz w:val="24"/>
        </w:rPr>
      </w:pPr>
      <w:r>
        <w:rPr>
          <w:sz w:val="24"/>
        </w:rPr>
        <w:t>hastens</w:t>
      </w:r>
      <w:r>
        <w:rPr>
          <w:spacing w:val="-1"/>
          <w:sz w:val="24"/>
        </w:rPr>
        <w:t> </w:t>
      </w:r>
      <w:r>
        <w:rPr>
          <w:sz w:val="24"/>
        </w:rPr>
        <w:t>the</w:t>
      </w:r>
      <w:r>
        <w:rPr>
          <w:spacing w:val="-1"/>
          <w:sz w:val="24"/>
        </w:rPr>
        <w:t> </w:t>
      </w:r>
      <w:r>
        <w:rPr>
          <w:sz w:val="24"/>
        </w:rPr>
        <w:t>process</w:t>
      </w:r>
      <w:r>
        <w:rPr>
          <w:spacing w:val="-1"/>
          <w:sz w:val="24"/>
        </w:rPr>
        <w:t> </w:t>
      </w:r>
      <w:r>
        <w:rPr>
          <w:sz w:val="24"/>
        </w:rPr>
        <w:t>of</w:t>
      </w:r>
      <w:r>
        <w:rPr>
          <w:spacing w:val="-1"/>
          <w:sz w:val="24"/>
        </w:rPr>
        <w:t> </w:t>
      </w:r>
      <w:r>
        <w:rPr>
          <w:sz w:val="24"/>
        </w:rPr>
        <w:t>modernization;</w:t>
      </w:r>
      <w:r>
        <w:rPr>
          <w:spacing w:val="-1"/>
          <w:sz w:val="24"/>
        </w:rPr>
        <w:t> </w:t>
      </w:r>
      <w:r>
        <w:rPr>
          <w:spacing w:val="-5"/>
          <w:sz w:val="24"/>
        </w:rPr>
        <w:t>and</w:t>
      </w:r>
    </w:p>
    <w:p>
      <w:pPr>
        <w:pStyle w:val="BodyText"/>
        <w:spacing w:before="5"/>
      </w:pPr>
    </w:p>
    <w:p>
      <w:pPr>
        <w:pStyle w:val="ListParagraph"/>
        <w:numPr>
          <w:ilvl w:val="2"/>
          <w:numId w:val="12"/>
        </w:numPr>
        <w:tabs>
          <w:tab w:pos="299" w:val="left" w:leader="none"/>
        </w:tabs>
        <w:spacing w:line="240" w:lineRule="auto" w:before="0" w:after="0"/>
        <w:ind w:left="299" w:right="0" w:hanging="139"/>
        <w:jc w:val="left"/>
        <w:rPr>
          <w:sz w:val="24"/>
        </w:rPr>
      </w:pPr>
      <w:r>
        <w:rPr>
          <w:sz w:val="24"/>
        </w:rPr>
        <w:t>strives</w:t>
      </w:r>
      <w:r>
        <w:rPr>
          <w:spacing w:val="-3"/>
          <w:sz w:val="24"/>
        </w:rPr>
        <w:t> </w:t>
      </w:r>
      <w:r>
        <w:rPr>
          <w:sz w:val="24"/>
        </w:rPr>
        <w:t>to</w:t>
      </w:r>
      <w:r>
        <w:rPr>
          <w:spacing w:val="-1"/>
          <w:sz w:val="24"/>
        </w:rPr>
        <w:t> </w:t>
      </w:r>
      <w:r>
        <w:rPr>
          <w:sz w:val="24"/>
        </w:rPr>
        <w:t>build</w:t>
      </w:r>
      <w:r>
        <w:rPr>
          <w:spacing w:val="-1"/>
          <w:sz w:val="24"/>
        </w:rPr>
        <w:t> </w:t>
      </w:r>
      <w:r>
        <w:rPr>
          <w:sz w:val="24"/>
        </w:rPr>
        <w:t>character by</w:t>
      </w:r>
      <w:r>
        <w:rPr>
          <w:spacing w:val="-1"/>
          <w:sz w:val="24"/>
        </w:rPr>
        <w:t> </w:t>
      </w:r>
      <w:r>
        <w:rPr>
          <w:sz w:val="24"/>
        </w:rPr>
        <w:t>cultivating</w:t>
      </w:r>
      <w:r>
        <w:rPr>
          <w:spacing w:val="-2"/>
          <w:sz w:val="24"/>
        </w:rPr>
        <w:t> </w:t>
      </w:r>
      <w:r>
        <w:rPr>
          <w:sz w:val="24"/>
        </w:rPr>
        <w:t>social,</w:t>
      </w:r>
      <w:r>
        <w:rPr>
          <w:spacing w:val="-1"/>
          <w:sz w:val="24"/>
        </w:rPr>
        <w:t> </w:t>
      </w:r>
      <w:r>
        <w:rPr>
          <w:sz w:val="24"/>
        </w:rPr>
        <w:t>moral</w:t>
      </w:r>
      <w:r>
        <w:rPr>
          <w:spacing w:val="-2"/>
          <w:sz w:val="24"/>
        </w:rPr>
        <w:t> </w:t>
      </w:r>
      <w:r>
        <w:rPr>
          <w:sz w:val="24"/>
        </w:rPr>
        <w:t>and</w:t>
      </w:r>
      <w:r>
        <w:rPr>
          <w:spacing w:val="-2"/>
          <w:sz w:val="24"/>
        </w:rPr>
        <w:t> </w:t>
      </w:r>
      <w:r>
        <w:rPr>
          <w:sz w:val="24"/>
        </w:rPr>
        <w:t>spiritual</w:t>
      </w:r>
      <w:r>
        <w:rPr>
          <w:spacing w:val="-1"/>
          <w:sz w:val="24"/>
        </w:rPr>
        <w:t> </w:t>
      </w:r>
      <w:r>
        <w:rPr>
          <w:spacing w:val="-2"/>
          <w:sz w:val="24"/>
        </w:rPr>
        <w:t>values.</w:t>
      </w:r>
    </w:p>
    <w:p>
      <w:pPr>
        <w:pStyle w:val="BodyText"/>
        <w:spacing w:before="2"/>
      </w:pPr>
    </w:p>
    <w:p>
      <w:pPr>
        <w:pStyle w:val="BodyText"/>
        <w:spacing w:before="1"/>
        <w:ind w:left="159"/>
      </w:pPr>
      <w:r>
        <w:rPr/>
        <w:t>All these aspects are interrelated and in the complex process of social change, we cannot achieve even one without striving for all.</w:t>
      </w:r>
    </w:p>
    <w:p>
      <w:pPr>
        <w:pStyle w:val="BodyText"/>
        <w:spacing w:before="5"/>
      </w:pPr>
    </w:p>
    <w:p>
      <w:pPr>
        <w:pStyle w:val="Heading1"/>
        <w:spacing w:before="1"/>
        <w:ind w:left="291"/>
      </w:pPr>
      <w:bookmarkStart w:name="_TOC_250021" w:id="8"/>
      <w:r>
        <w:rPr/>
        <w:t>EDUCATION</w:t>
      </w:r>
      <w:r>
        <w:rPr>
          <w:spacing w:val="-5"/>
        </w:rPr>
        <w:t> </w:t>
      </w:r>
      <w:r>
        <w:rPr/>
        <w:t>AND</w:t>
      </w:r>
      <w:r>
        <w:rPr>
          <w:spacing w:val="-4"/>
        </w:rPr>
        <w:t> </w:t>
      </w:r>
      <w:bookmarkEnd w:id="8"/>
      <w:r>
        <w:rPr>
          <w:spacing w:val="-2"/>
        </w:rPr>
        <w:t>PRODUCTIVITY</w:t>
      </w:r>
    </w:p>
    <w:p>
      <w:pPr>
        <w:pStyle w:val="BodyText"/>
        <w:spacing w:before="2"/>
        <w:rPr>
          <w:b/>
        </w:rPr>
      </w:pPr>
    </w:p>
    <w:p>
      <w:pPr>
        <w:pStyle w:val="ListParagraph"/>
        <w:numPr>
          <w:ilvl w:val="1"/>
          <w:numId w:val="12"/>
        </w:numPr>
        <w:tabs>
          <w:tab w:pos="674" w:val="left" w:leader="none"/>
        </w:tabs>
        <w:spacing w:line="240" w:lineRule="auto" w:before="0" w:after="0"/>
        <w:ind w:left="159" w:right="496" w:firstLine="0"/>
        <w:jc w:val="both"/>
        <w:rPr>
          <w:sz w:val="24"/>
        </w:rPr>
      </w:pPr>
      <w:r>
        <w:rPr>
          <w:sz w:val="24"/>
        </w:rPr>
        <w:t>India is in transition from a society in which education is a privilege of a small minority to one in which it could be made available to the masses of the people. The immense resources needed for this programme can be generated only if education </w:t>
      </w:r>
      <w:r>
        <w:rPr>
          <w:sz w:val="24"/>
        </w:rPr>
        <w:t>is related to productivity so that an expansion of education leads to an increase in national income which, in turn, may provide the means for a larger investment in education. Education and productivity call thus constitute a 'rising spiral' whose different parts sustain and support one another.</w:t>
      </w:r>
    </w:p>
    <w:p>
      <w:pPr>
        <w:pStyle w:val="BodyText"/>
        <w:spacing w:before="4"/>
      </w:pPr>
    </w:p>
    <w:p>
      <w:pPr>
        <w:pStyle w:val="ListParagraph"/>
        <w:numPr>
          <w:ilvl w:val="1"/>
          <w:numId w:val="12"/>
        </w:numPr>
        <w:tabs>
          <w:tab w:pos="641" w:val="left" w:leader="none"/>
        </w:tabs>
        <w:spacing w:line="240" w:lineRule="auto" w:before="0" w:after="0"/>
        <w:ind w:left="159" w:right="498" w:firstLine="0"/>
        <w:jc w:val="both"/>
        <w:rPr>
          <w:sz w:val="24"/>
        </w:rPr>
      </w:pPr>
      <w:r>
        <w:rPr>
          <w:sz w:val="24"/>
        </w:rPr>
        <w:t>The</w:t>
      </w:r>
      <w:r>
        <w:rPr>
          <w:spacing w:val="-1"/>
          <w:sz w:val="24"/>
        </w:rPr>
        <w:t> </w:t>
      </w:r>
      <w:r>
        <w:rPr>
          <w:sz w:val="24"/>
        </w:rPr>
        <w:t>link</w:t>
      </w:r>
      <w:r>
        <w:rPr>
          <w:spacing w:val="-1"/>
          <w:sz w:val="24"/>
        </w:rPr>
        <w:t> </w:t>
      </w:r>
      <w:r>
        <w:rPr>
          <w:sz w:val="24"/>
        </w:rPr>
        <w:t>between</w:t>
      </w:r>
      <w:r>
        <w:rPr>
          <w:spacing w:val="-1"/>
          <w:sz w:val="24"/>
        </w:rPr>
        <w:t> </w:t>
      </w:r>
      <w:r>
        <w:rPr>
          <w:sz w:val="24"/>
        </w:rPr>
        <w:t>education</w:t>
      </w:r>
      <w:r>
        <w:rPr>
          <w:spacing w:val="-1"/>
          <w:sz w:val="24"/>
        </w:rPr>
        <w:t> </w:t>
      </w:r>
      <w:r>
        <w:rPr>
          <w:sz w:val="24"/>
        </w:rPr>
        <w:t>and</w:t>
      </w:r>
      <w:r>
        <w:rPr>
          <w:spacing w:val="-1"/>
          <w:sz w:val="24"/>
        </w:rPr>
        <w:t> </w:t>
      </w:r>
      <w:r>
        <w:rPr>
          <w:sz w:val="24"/>
        </w:rPr>
        <w:t>productivity</w:t>
      </w:r>
      <w:r>
        <w:rPr>
          <w:spacing w:val="-1"/>
          <w:sz w:val="24"/>
        </w:rPr>
        <w:t> </w:t>
      </w:r>
      <w:r>
        <w:rPr>
          <w:sz w:val="24"/>
        </w:rPr>
        <w:t>can</w:t>
      </w:r>
      <w:r>
        <w:rPr>
          <w:spacing w:val="-1"/>
          <w:sz w:val="24"/>
        </w:rPr>
        <w:t> </w:t>
      </w:r>
      <w:r>
        <w:rPr>
          <w:sz w:val="24"/>
        </w:rPr>
        <w:t>be</w:t>
      </w:r>
      <w:r>
        <w:rPr>
          <w:spacing w:val="-1"/>
          <w:sz w:val="24"/>
        </w:rPr>
        <w:t> </w:t>
      </w:r>
      <w:r>
        <w:rPr>
          <w:sz w:val="24"/>
        </w:rPr>
        <w:t>forged</w:t>
      </w:r>
      <w:r>
        <w:rPr>
          <w:spacing w:val="-1"/>
          <w:sz w:val="24"/>
        </w:rPr>
        <w:t> </w:t>
      </w:r>
      <w:r>
        <w:rPr>
          <w:sz w:val="24"/>
        </w:rPr>
        <w:t>through</w:t>
      </w:r>
      <w:r>
        <w:rPr>
          <w:spacing w:val="-1"/>
          <w:sz w:val="24"/>
        </w:rPr>
        <w:t> </w:t>
      </w:r>
      <w:r>
        <w:rPr>
          <w:sz w:val="24"/>
        </w:rPr>
        <w:t>the</w:t>
      </w:r>
      <w:r>
        <w:rPr>
          <w:spacing w:val="-1"/>
          <w:sz w:val="24"/>
        </w:rPr>
        <w:t> </w:t>
      </w:r>
      <w:r>
        <w:rPr>
          <w:sz w:val="24"/>
        </w:rPr>
        <w:t>development of the following programmes which should receive high priority in the plans of educational reconstruction:</w:t>
      </w:r>
    </w:p>
    <w:p>
      <w:pPr>
        <w:pStyle w:val="BodyText"/>
        <w:spacing w:before="5"/>
      </w:pPr>
    </w:p>
    <w:p>
      <w:pPr>
        <w:pStyle w:val="ListParagraph"/>
        <w:numPr>
          <w:ilvl w:val="2"/>
          <w:numId w:val="12"/>
        </w:numPr>
        <w:tabs>
          <w:tab w:pos="298" w:val="left" w:leader="none"/>
        </w:tabs>
        <w:spacing w:line="240" w:lineRule="auto" w:before="0" w:after="0"/>
        <w:ind w:left="298" w:right="0" w:hanging="139"/>
        <w:jc w:val="left"/>
        <w:rPr>
          <w:sz w:val="24"/>
        </w:rPr>
      </w:pPr>
      <w:r>
        <w:rPr>
          <w:sz w:val="24"/>
        </w:rPr>
        <w:t>making</w:t>
      </w:r>
      <w:r>
        <w:rPr>
          <w:spacing w:val="-1"/>
          <w:sz w:val="24"/>
        </w:rPr>
        <w:t> </w:t>
      </w:r>
      <w:r>
        <w:rPr>
          <w:sz w:val="24"/>
        </w:rPr>
        <w:t>science a</w:t>
      </w:r>
      <w:r>
        <w:rPr>
          <w:spacing w:val="-1"/>
          <w:sz w:val="24"/>
        </w:rPr>
        <w:t> </w:t>
      </w:r>
      <w:r>
        <w:rPr>
          <w:sz w:val="24"/>
        </w:rPr>
        <w:t>basic component</w:t>
      </w:r>
      <w:r>
        <w:rPr>
          <w:spacing w:val="-1"/>
          <w:sz w:val="24"/>
        </w:rPr>
        <w:t> </w:t>
      </w:r>
      <w:r>
        <w:rPr>
          <w:sz w:val="24"/>
        </w:rPr>
        <w:t>of education</w:t>
      </w:r>
      <w:r>
        <w:rPr>
          <w:spacing w:val="-1"/>
          <w:sz w:val="24"/>
        </w:rPr>
        <w:t> </w:t>
      </w:r>
      <w:r>
        <w:rPr>
          <w:sz w:val="24"/>
        </w:rPr>
        <w:t>and </w:t>
      </w:r>
      <w:r>
        <w:rPr>
          <w:spacing w:val="-2"/>
          <w:sz w:val="24"/>
        </w:rPr>
        <w:t>culture;</w:t>
      </w:r>
    </w:p>
    <w:p>
      <w:pPr>
        <w:pStyle w:val="BodyText"/>
        <w:spacing w:before="3"/>
      </w:pPr>
    </w:p>
    <w:p>
      <w:pPr>
        <w:pStyle w:val="ListParagraph"/>
        <w:numPr>
          <w:ilvl w:val="2"/>
          <w:numId w:val="12"/>
        </w:numPr>
        <w:tabs>
          <w:tab w:pos="298" w:val="left" w:leader="none"/>
        </w:tabs>
        <w:spacing w:line="240" w:lineRule="auto" w:before="0" w:after="0"/>
        <w:ind w:left="298" w:right="0" w:hanging="139"/>
        <w:jc w:val="left"/>
        <w:rPr>
          <w:sz w:val="24"/>
        </w:rPr>
      </w:pPr>
      <w:r>
        <w:rPr>
          <w:sz w:val="24"/>
        </w:rPr>
        <w:t>making</w:t>
      </w:r>
      <w:r>
        <w:rPr>
          <w:spacing w:val="-1"/>
          <w:sz w:val="24"/>
        </w:rPr>
        <w:t> </w:t>
      </w:r>
      <w:r>
        <w:rPr>
          <w:sz w:val="24"/>
        </w:rPr>
        <w:t>work-experience an</w:t>
      </w:r>
      <w:r>
        <w:rPr>
          <w:spacing w:val="-1"/>
          <w:sz w:val="24"/>
        </w:rPr>
        <w:t> </w:t>
      </w:r>
      <w:r>
        <w:rPr>
          <w:sz w:val="24"/>
        </w:rPr>
        <w:t>integral</w:t>
      </w:r>
      <w:r>
        <w:rPr>
          <w:spacing w:val="-1"/>
          <w:sz w:val="24"/>
        </w:rPr>
        <w:t> </w:t>
      </w:r>
      <w:r>
        <w:rPr>
          <w:sz w:val="24"/>
        </w:rPr>
        <w:t>part</w:t>
      </w:r>
      <w:r>
        <w:rPr>
          <w:spacing w:val="-1"/>
          <w:sz w:val="24"/>
        </w:rPr>
        <w:t> </w:t>
      </w:r>
      <w:r>
        <w:rPr>
          <w:sz w:val="24"/>
        </w:rPr>
        <w:t>of general </w:t>
      </w:r>
      <w:r>
        <w:rPr>
          <w:spacing w:val="-2"/>
          <w:sz w:val="24"/>
        </w:rPr>
        <w:t>education;</w:t>
      </w:r>
    </w:p>
    <w:p>
      <w:pPr>
        <w:pStyle w:val="BodyText"/>
        <w:spacing w:before="4"/>
      </w:pPr>
    </w:p>
    <w:p>
      <w:pPr>
        <w:pStyle w:val="ListParagraph"/>
        <w:numPr>
          <w:ilvl w:val="2"/>
          <w:numId w:val="12"/>
        </w:numPr>
        <w:tabs>
          <w:tab w:pos="338" w:val="left" w:leader="none"/>
        </w:tabs>
        <w:spacing w:line="240" w:lineRule="auto" w:before="0" w:after="0"/>
        <w:ind w:left="159" w:right="497" w:firstLine="0"/>
        <w:jc w:val="left"/>
        <w:rPr>
          <w:sz w:val="24"/>
        </w:rPr>
      </w:pPr>
      <w:r>
        <w:rPr>
          <w:sz w:val="24"/>
        </w:rPr>
        <w:t>vocationalization</w:t>
      </w:r>
      <w:r>
        <w:rPr>
          <w:spacing w:val="38"/>
          <w:sz w:val="24"/>
        </w:rPr>
        <w:t> </w:t>
      </w:r>
      <w:r>
        <w:rPr>
          <w:sz w:val="24"/>
        </w:rPr>
        <w:t>of</w:t>
      </w:r>
      <w:r>
        <w:rPr>
          <w:spacing w:val="38"/>
          <w:sz w:val="24"/>
        </w:rPr>
        <w:t> </w:t>
      </w:r>
      <w:r>
        <w:rPr>
          <w:sz w:val="24"/>
        </w:rPr>
        <w:t>education,</w:t>
      </w:r>
      <w:r>
        <w:rPr>
          <w:spacing w:val="38"/>
          <w:sz w:val="24"/>
        </w:rPr>
        <w:t> </w:t>
      </w:r>
      <w:r>
        <w:rPr>
          <w:sz w:val="24"/>
        </w:rPr>
        <w:t>especially</w:t>
      </w:r>
      <w:r>
        <w:rPr>
          <w:spacing w:val="38"/>
          <w:sz w:val="24"/>
        </w:rPr>
        <w:t> </w:t>
      </w:r>
      <w:r>
        <w:rPr>
          <w:sz w:val="24"/>
        </w:rPr>
        <w:t>at</w:t>
      </w:r>
      <w:r>
        <w:rPr>
          <w:spacing w:val="38"/>
          <w:sz w:val="24"/>
        </w:rPr>
        <w:t> </w:t>
      </w:r>
      <w:r>
        <w:rPr>
          <w:sz w:val="24"/>
        </w:rPr>
        <w:t>the</w:t>
      </w:r>
      <w:r>
        <w:rPr>
          <w:spacing w:val="38"/>
          <w:sz w:val="24"/>
        </w:rPr>
        <w:t> </w:t>
      </w:r>
      <w:r>
        <w:rPr>
          <w:sz w:val="24"/>
        </w:rPr>
        <w:t>secondary</w:t>
      </w:r>
      <w:r>
        <w:rPr>
          <w:spacing w:val="38"/>
          <w:sz w:val="24"/>
        </w:rPr>
        <w:t> </w:t>
      </w:r>
      <w:r>
        <w:rPr>
          <w:sz w:val="24"/>
        </w:rPr>
        <w:t>school</w:t>
      </w:r>
      <w:r>
        <w:rPr>
          <w:spacing w:val="38"/>
          <w:sz w:val="24"/>
        </w:rPr>
        <w:t> </w:t>
      </w:r>
      <w:r>
        <w:rPr>
          <w:sz w:val="24"/>
        </w:rPr>
        <w:t>level,</w:t>
      </w:r>
      <w:r>
        <w:rPr>
          <w:spacing w:val="38"/>
          <w:sz w:val="24"/>
        </w:rPr>
        <w:t> </w:t>
      </w:r>
      <w:r>
        <w:rPr>
          <w:sz w:val="24"/>
        </w:rPr>
        <w:t>to</w:t>
      </w:r>
      <w:r>
        <w:rPr>
          <w:spacing w:val="38"/>
          <w:sz w:val="24"/>
        </w:rPr>
        <w:t> </w:t>
      </w:r>
      <w:r>
        <w:rPr>
          <w:sz w:val="24"/>
        </w:rPr>
        <w:t>meet</w:t>
      </w:r>
      <w:r>
        <w:rPr>
          <w:spacing w:val="38"/>
          <w:sz w:val="24"/>
        </w:rPr>
        <w:t> </w:t>
      </w:r>
      <w:r>
        <w:rPr>
          <w:sz w:val="24"/>
        </w:rPr>
        <w:t>the needs of industry, agriculture and trade; and</w:t>
      </w:r>
    </w:p>
    <w:p>
      <w:pPr>
        <w:pStyle w:val="BodyText"/>
        <w:spacing w:before="4"/>
      </w:pPr>
    </w:p>
    <w:p>
      <w:pPr>
        <w:pStyle w:val="ListParagraph"/>
        <w:numPr>
          <w:ilvl w:val="2"/>
          <w:numId w:val="12"/>
        </w:numPr>
        <w:tabs>
          <w:tab w:pos="334" w:val="left" w:leader="none"/>
        </w:tabs>
        <w:spacing w:line="240" w:lineRule="auto" w:before="0" w:after="0"/>
        <w:ind w:left="159" w:right="497" w:firstLine="0"/>
        <w:jc w:val="left"/>
        <w:rPr>
          <w:sz w:val="24"/>
        </w:rPr>
      </w:pPr>
      <w:r>
        <w:rPr>
          <w:sz w:val="24"/>
        </w:rPr>
        <w:t>improvement</w:t>
      </w:r>
      <w:r>
        <w:rPr>
          <w:spacing w:val="33"/>
          <w:sz w:val="24"/>
        </w:rPr>
        <w:t> </w:t>
      </w:r>
      <w:r>
        <w:rPr>
          <w:sz w:val="24"/>
        </w:rPr>
        <w:t>of</w:t>
      </w:r>
      <w:r>
        <w:rPr>
          <w:spacing w:val="33"/>
          <w:sz w:val="24"/>
        </w:rPr>
        <w:t> </w:t>
      </w:r>
      <w:r>
        <w:rPr>
          <w:sz w:val="24"/>
        </w:rPr>
        <w:t>scientific</w:t>
      </w:r>
      <w:r>
        <w:rPr>
          <w:spacing w:val="32"/>
          <w:sz w:val="24"/>
        </w:rPr>
        <w:t> </w:t>
      </w:r>
      <w:r>
        <w:rPr>
          <w:sz w:val="24"/>
        </w:rPr>
        <w:t>and</w:t>
      </w:r>
      <w:r>
        <w:rPr>
          <w:spacing w:val="32"/>
          <w:sz w:val="24"/>
        </w:rPr>
        <w:t> </w:t>
      </w:r>
      <w:r>
        <w:rPr>
          <w:sz w:val="24"/>
        </w:rPr>
        <w:t>technological</w:t>
      </w:r>
      <w:r>
        <w:rPr>
          <w:spacing w:val="32"/>
          <w:sz w:val="24"/>
        </w:rPr>
        <w:t> </w:t>
      </w:r>
      <w:r>
        <w:rPr>
          <w:sz w:val="24"/>
        </w:rPr>
        <w:t>education</w:t>
      </w:r>
      <w:r>
        <w:rPr>
          <w:spacing w:val="32"/>
          <w:sz w:val="24"/>
        </w:rPr>
        <w:t> </w:t>
      </w:r>
      <w:r>
        <w:rPr>
          <w:sz w:val="24"/>
        </w:rPr>
        <w:t>and</w:t>
      </w:r>
      <w:r>
        <w:rPr>
          <w:spacing w:val="32"/>
          <w:sz w:val="24"/>
        </w:rPr>
        <w:t> </w:t>
      </w:r>
      <w:r>
        <w:rPr>
          <w:sz w:val="24"/>
        </w:rPr>
        <w:t>research</w:t>
      </w:r>
      <w:r>
        <w:rPr>
          <w:spacing w:val="32"/>
          <w:sz w:val="24"/>
        </w:rPr>
        <w:t> </w:t>
      </w:r>
      <w:r>
        <w:rPr>
          <w:sz w:val="24"/>
        </w:rPr>
        <w:t>at</w:t>
      </w:r>
      <w:r>
        <w:rPr>
          <w:spacing w:val="32"/>
          <w:sz w:val="24"/>
        </w:rPr>
        <w:t> </w:t>
      </w:r>
      <w:r>
        <w:rPr>
          <w:sz w:val="24"/>
        </w:rPr>
        <w:t>the</w:t>
      </w:r>
      <w:r>
        <w:rPr>
          <w:spacing w:val="32"/>
          <w:sz w:val="24"/>
        </w:rPr>
        <w:t> </w:t>
      </w:r>
      <w:r>
        <w:rPr>
          <w:sz w:val="24"/>
        </w:rPr>
        <w:t>university stage with special emphasis on agriculture and allied sciences.</w:t>
      </w:r>
    </w:p>
    <w:p>
      <w:pPr>
        <w:pStyle w:val="BodyText"/>
        <w:spacing w:before="3"/>
      </w:pPr>
    </w:p>
    <w:p>
      <w:pPr>
        <w:pStyle w:val="ListParagraph"/>
        <w:numPr>
          <w:ilvl w:val="1"/>
          <w:numId w:val="12"/>
        </w:numPr>
        <w:tabs>
          <w:tab w:pos="678" w:val="left" w:leader="none"/>
        </w:tabs>
        <w:spacing w:line="240" w:lineRule="auto" w:before="0" w:after="0"/>
        <w:ind w:left="159" w:right="496" w:firstLine="0"/>
        <w:jc w:val="both"/>
        <w:rPr>
          <w:b/>
          <w:sz w:val="24"/>
        </w:rPr>
      </w:pPr>
      <w:r>
        <w:rPr>
          <w:b/>
          <w:sz w:val="24"/>
        </w:rPr>
        <w:t>Science as a Basic Component of Education and Culture. </w:t>
      </w:r>
      <w:r>
        <w:rPr>
          <w:sz w:val="24"/>
        </w:rPr>
        <w:t>A basic distinction between traditional and modem societies is the development and use by the latter of science-based technology which helps modernization of agriculture and the development of industries. In a traditional society, production is based largely on empirical processes, experience, and trial and error, rather than on science; in a modern society, it is basically rooted in science. The electrical industry was probably the first to become science-based; next came the chemical industry; and now, in industrialized countries, agriculture is fast becoming a branch of applied science. This close interlocking and interdependence between science and technology is a characteristic of the contemporary world. In recent years, several countries have been able to raise their GNP very rapidly because of their investment in basic science, technology and education. We are at a crucial stage ill the process</w:t>
      </w:r>
      <w:r>
        <w:rPr>
          <w:spacing w:val="5"/>
          <w:sz w:val="24"/>
        </w:rPr>
        <w:t> </w:t>
      </w:r>
      <w:r>
        <w:rPr>
          <w:sz w:val="24"/>
        </w:rPr>
        <w:t>of</w:t>
      </w:r>
      <w:r>
        <w:rPr>
          <w:spacing w:val="7"/>
          <w:sz w:val="24"/>
        </w:rPr>
        <w:t> </w:t>
      </w:r>
      <w:r>
        <w:rPr>
          <w:sz w:val="24"/>
        </w:rPr>
        <w:t>development</w:t>
      </w:r>
      <w:r>
        <w:rPr>
          <w:spacing w:val="8"/>
          <w:sz w:val="24"/>
        </w:rPr>
        <w:t> </w:t>
      </w:r>
      <w:r>
        <w:rPr>
          <w:sz w:val="24"/>
        </w:rPr>
        <w:t>and</w:t>
      </w:r>
      <w:r>
        <w:rPr>
          <w:spacing w:val="7"/>
          <w:sz w:val="24"/>
        </w:rPr>
        <w:t> </w:t>
      </w:r>
      <w:r>
        <w:rPr>
          <w:sz w:val="24"/>
        </w:rPr>
        <w:t>transformation;</w:t>
      </w:r>
      <w:r>
        <w:rPr>
          <w:spacing w:val="8"/>
          <w:sz w:val="24"/>
        </w:rPr>
        <w:t> </w:t>
      </w:r>
      <w:r>
        <w:rPr>
          <w:sz w:val="24"/>
        </w:rPr>
        <w:t>and</w:t>
      </w:r>
      <w:r>
        <w:rPr>
          <w:spacing w:val="8"/>
          <w:sz w:val="24"/>
        </w:rPr>
        <w:t> </w:t>
      </w:r>
      <w:r>
        <w:rPr>
          <w:sz w:val="24"/>
        </w:rPr>
        <w:t>in</w:t>
      </w:r>
      <w:r>
        <w:rPr>
          <w:spacing w:val="8"/>
          <w:sz w:val="24"/>
        </w:rPr>
        <w:t> </w:t>
      </w:r>
      <w:r>
        <w:rPr>
          <w:sz w:val="24"/>
        </w:rPr>
        <w:t>this</w:t>
      </w:r>
      <w:r>
        <w:rPr>
          <w:spacing w:val="7"/>
          <w:sz w:val="24"/>
        </w:rPr>
        <w:t> </w:t>
      </w:r>
      <w:r>
        <w:rPr>
          <w:sz w:val="24"/>
        </w:rPr>
        <w:t>context</w:t>
      </w:r>
      <w:r>
        <w:rPr>
          <w:spacing w:val="8"/>
          <w:sz w:val="24"/>
        </w:rPr>
        <w:t> </w:t>
      </w:r>
      <w:r>
        <w:rPr>
          <w:sz w:val="24"/>
        </w:rPr>
        <w:t>the</w:t>
      </w:r>
      <w:r>
        <w:rPr>
          <w:spacing w:val="7"/>
          <w:sz w:val="24"/>
        </w:rPr>
        <w:t> </w:t>
      </w:r>
      <w:r>
        <w:rPr>
          <w:sz w:val="24"/>
        </w:rPr>
        <w:t>role</w:t>
      </w:r>
      <w:r>
        <w:rPr>
          <w:spacing w:val="8"/>
          <w:sz w:val="24"/>
        </w:rPr>
        <w:t> </w:t>
      </w:r>
      <w:r>
        <w:rPr>
          <w:sz w:val="24"/>
        </w:rPr>
        <w:t>of</w:t>
      </w:r>
      <w:r>
        <w:rPr>
          <w:spacing w:val="6"/>
          <w:sz w:val="24"/>
        </w:rPr>
        <w:t> </w:t>
      </w:r>
      <w:r>
        <w:rPr>
          <w:sz w:val="24"/>
        </w:rPr>
        <w:t>science</w:t>
      </w:r>
      <w:r>
        <w:rPr>
          <w:spacing w:val="8"/>
          <w:sz w:val="24"/>
        </w:rPr>
        <w:t> </w:t>
      </w:r>
      <w:r>
        <w:rPr>
          <w:spacing w:val="-2"/>
          <w:sz w:val="24"/>
        </w:rPr>
        <w:t>(using</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the word in its broadest sense) is of the utmost importance. Science education must become an integral part of school education; and ultimately some study of science should become a part of all courses in the humanities and social sciences at the university stage, even as the teaching of science can be enriched by the inclusion of some elements of the humanities and social sciences. The quality of science teaching has also to be raised considerably so as to achieve its proper objectives and purposes, namely, to promote an ever deepening understanding of basic principles, to develop problem-solving and analytical skills</w:t>
      </w:r>
      <w:r>
        <w:rPr>
          <w:spacing w:val="-1"/>
        </w:rPr>
        <w:t> </w:t>
      </w:r>
      <w:r>
        <w:rPr/>
        <w:t>and</w:t>
      </w:r>
      <w:r>
        <w:rPr>
          <w:spacing w:val="-1"/>
        </w:rPr>
        <w:t> </w:t>
      </w:r>
      <w:r>
        <w:rPr/>
        <w:t>the</w:t>
      </w:r>
      <w:r>
        <w:rPr>
          <w:spacing w:val="-1"/>
        </w:rPr>
        <w:t> </w:t>
      </w:r>
      <w:r>
        <w:rPr/>
        <w:t>ability to apply them</w:t>
      </w:r>
      <w:r>
        <w:rPr>
          <w:spacing w:val="-2"/>
        </w:rPr>
        <w:t> </w:t>
      </w:r>
      <w:r>
        <w:rPr/>
        <w:t>to the problems of</w:t>
      </w:r>
      <w:r>
        <w:rPr>
          <w:spacing w:val="-1"/>
        </w:rPr>
        <w:t> </w:t>
      </w:r>
      <w:r>
        <w:rPr/>
        <w:t>the</w:t>
      </w:r>
      <w:r>
        <w:rPr>
          <w:spacing w:val="-1"/>
        </w:rPr>
        <w:t> </w:t>
      </w:r>
      <w:r>
        <w:rPr/>
        <w:t>material environment and</w:t>
      </w:r>
      <w:r>
        <w:rPr>
          <w:spacing w:val="-1"/>
        </w:rPr>
        <w:t> </w:t>
      </w:r>
      <w:r>
        <w:rPr/>
        <w:t>social</w:t>
      </w:r>
      <w:r>
        <w:rPr>
          <w:spacing w:val="-1"/>
        </w:rPr>
        <w:t> </w:t>
      </w:r>
      <w:r>
        <w:rPr/>
        <w:t>living,</w:t>
      </w:r>
      <w:r>
        <w:rPr>
          <w:spacing w:val="-1"/>
        </w:rPr>
        <w:t> </w:t>
      </w:r>
      <w:r>
        <w:rPr/>
        <w:t>and</w:t>
      </w:r>
      <w:r>
        <w:rPr>
          <w:spacing w:val="-1"/>
        </w:rPr>
        <w:t> </w:t>
      </w:r>
      <w:r>
        <w:rPr/>
        <w:t>to</w:t>
      </w:r>
      <w:r>
        <w:rPr>
          <w:spacing w:val="-1"/>
        </w:rPr>
        <w:t> </w:t>
      </w:r>
      <w:r>
        <w:rPr/>
        <w:t>promote</w:t>
      </w:r>
      <w:r>
        <w:rPr>
          <w:spacing w:val="-1"/>
        </w:rPr>
        <w:t> </w:t>
      </w:r>
      <w:r>
        <w:rPr/>
        <w:t>the</w:t>
      </w:r>
      <w:r>
        <w:rPr>
          <w:spacing w:val="-1"/>
        </w:rPr>
        <w:t> </w:t>
      </w:r>
      <w:r>
        <w:rPr/>
        <w:t>spirit</w:t>
      </w:r>
      <w:r>
        <w:rPr>
          <w:spacing w:val="-1"/>
        </w:rPr>
        <w:t> </w:t>
      </w:r>
      <w:r>
        <w:rPr/>
        <w:t>of</w:t>
      </w:r>
      <w:r>
        <w:rPr>
          <w:spacing w:val="-2"/>
        </w:rPr>
        <w:t> </w:t>
      </w:r>
      <w:r>
        <w:rPr/>
        <w:t>enquiry and experimentation. Only then can a scientific outlook become part of our way of life and culture.</w:t>
      </w:r>
    </w:p>
    <w:p>
      <w:pPr>
        <w:pStyle w:val="BodyText"/>
        <w:spacing w:before="4"/>
      </w:pPr>
    </w:p>
    <w:p>
      <w:pPr>
        <w:pStyle w:val="ListParagraph"/>
        <w:numPr>
          <w:ilvl w:val="1"/>
          <w:numId w:val="12"/>
        </w:numPr>
        <w:tabs>
          <w:tab w:pos="700" w:val="left" w:leader="none"/>
        </w:tabs>
        <w:spacing w:line="240" w:lineRule="auto" w:before="0" w:after="0"/>
        <w:ind w:left="159" w:right="495" w:firstLine="0"/>
        <w:jc w:val="both"/>
        <w:rPr>
          <w:sz w:val="24"/>
        </w:rPr>
      </w:pPr>
      <w:r>
        <w:rPr>
          <w:sz w:val="24"/>
        </w:rPr>
        <w:t>It is necessary to highlight this last point which is sometimes underestimated. Science strengthens the commitment of man to free enquiry and to the quest for truth as his highest duty and obligation. It loosens the bonds of dogmatism and acts as a powerful dispeller of fear and superstition, fatalism and passive resignation. By its emphasis on reason and free enquiry, it even helps to lessen ideological tensions which often arise because of adherence to dogma and fanaticism. Although it is largely occupied with the understanding of Nature at present, its development is tending more and more to help</w:t>
      </w:r>
      <w:r>
        <w:rPr>
          <w:spacing w:val="40"/>
          <w:sz w:val="24"/>
        </w:rPr>
        <w:t> </w:t>
      </w:r>
      <w:r>
        <w:rPr>
          <w:sz w:val="24"/>
        </w:rPr>
        <w:t>man to understand himself and his place ID the universe. In the developments that we envisage in the future, we hope that the pursuit of mere material affluence and power would be subordinated to that of higher values and the fulfillment of the individual. This concept of the mingling of 'science and spirituality' is of special significance for Indian </w:t>
      </w:r>
      <w:r>
        <w:rPr>
          <w:spacing w:val="-2"/>
          <w:sz w:val="24"/>
        </w:rPr>
        <w:t>education.</w:t>
      </w:r>
    </w:p>
    <w:p>
      <w:pPr>
        <w:pStyle w:val="BodyText"/>
        <w:spacing w:before="4"/>
      </w:pPr>
    </w:p>
    <w:p>
      <w:pPr>
        <w:pStyle w:val="ListParagraph"/>
        <w:numPr>
          <w:ilvl w:val="1"/>
          <w:numId w:val="12"/>
        </w:numPr>
        <w:tabs>
          <w:tab w:pos="754" w:val="left" w:leader="none"/>
        </w:tabs>
        <w:spacing w:line="240" w:lineRule="auto" w:before="0" w:after="0"/>
        <w:ind w:left="159" w:right="497" w:firstLine="0"/>
        <w:jc w:val="both"/>
        <w:rPr>
          <w:b/>
          <w:sz w:val="24"/>
        </w:rPr>
      </w:pPr>
      <w:r>
        <w:rPr>
          <w:b/>
          <w:sz w:val="24"/>
        </w:rPr>
        <w:t>Work-experience. </w:t>
      </w:r>
      <w:r>
        <w:rPr>
          <w:sz w:val="24"/>
        </w:rPr>
        <w:t>As another programme to relate education to life and productivity, we recommend that work-experience should be introduced as an integral part of all education-general or vocational. We define work-experience as participation in productive work in the school, in the home, in a workshop, on a farm, in a factory or in any other productive situation. In our opinion, all good and purposeful education should consist of at least four basic elements:</w:t>
      </w:r>
    </w:p>
    <w:p>
      <w:pPr>
        <w:pStyle w:val="BodyText"/>
        <w:spacing w:before="5"/>
      </w:pPr>
    </w:p>
    <w:p>
      <w:pPr>
        <w:pStyle w:val="ListParagraph"/>
        <w:numPr>
          <w:ilvl w:val="2"/>
          <w:numId w:val="12"/>
        </w:numPr>
        <w:tabs>
          <w:tab w:pos="298" w:val="left" w:leader="none"/>
        </w:tabs>
        <w:spacing w:line="240" w:lineRule="auto" w:before="0" w:after="0"/>
        <w:ind w:left="298" w:right="0" w:hanging="139"/>
        <w:jc w:val="both"/>
        <w:rPr>
          <w:sz w:val="24"/>
        </w:rPr>
      </w:pPr>
      <w:r>
        <w:rPr>
          <w:sz w:val="24"/>
        </w:rPr>
        <w:t>'literacy'</w:t>
      </w:r>
      <w:r>
        <w:rPr>
          <w:spacing w:val="-3"/>
          <w:sz w:val="24"/>
        </w:rPr>
        <w:t> </w:t>
      </w:r>
      <w:r>
        <w:rPr>
          <w:sz w:val="24"/>
        </w:rPr>
        <w:t>or</w:t>
      </w:r>
      <w:r>
        <w:rPr>
          <w:spacing w:val="-1"/>
          <w:sz w:val="24"/>
        </w:rPr>
        <w:t> </w:t>
      </w:r>
      <w:r>
        <w:rPr>
          <w:sz w:val="24"/>
        </w:rPr>
        <w:t>a study</w:t>
      </w:r>
      <w:r>
        <w:rPr>
          <w:spacing w:val="-1"/>
          <w:sz w:val="24"/>
        </w:rPr>
        <w:t> </w:t>
      </w:r>
      <w:r>
        <w:rPr>
          <w:sz w:val="24"/>
        </w:rPr>
        <w:t>of</w:t>
      </w:r>
      <w:r>
        <w:rPr>
          <w:spacing w:val="-1"/>
          <w:sz w:val="24"/>
        </w:rPr>
        <w:t> </w:t>
      </w:r>
      <w:r>
        <w:rPr>
          <w:sz w:val="24"/>
        </w:rPr>
        <w:t>languages, the</w:t>
      </w:r>
      <w:r>
        <w:rPr>
          <w:spacing w:val="-1"/>
          <w:sz w:val="24"/>
        </w:rPr>
        <w:t> </w:t>
      </w:r>
      <w:r>
        <w:rPr>
          <w:sz w:val="24"/>
        </w:rPr>
        <w:t>humanities</w:t>
      </w:r>
      <w:r>
        <w:rPr>
          <w:spacing w:val="-3"/>
          <w:sz w:val="24"/>
        </w:rPr>
        <w:t> </w:t>
      </w:r>
      <w:r>
        <w:rPr>
          <w:sz w:val="24"/>
        </w:rPr>
        <w:t>and the</w:t>
      </w:r>
      <w:r>
        <w:rPr>
          <w:spacing w:val="-1"/>
          <w:sz w:val="24"/>
        </w:rPr>
        <w:t> </w:t>
      </w:r>
      <w:r>
        <w:rPr>
          <w:sz w:val="24"/>
        </w:rPr>
        <w:t>social </w:t>
      </w:r>
      <w:r>
        <w:rPr>
          <w:spacing w:val="-2"/>
          <w:sz w:val="24"/>
        </w:rPr>
        <w:t>sciences;</w:t>
      </w:r>
    </w:p>
    <w:p>
      <w:pPr>
        <w:pStyle w:val="BodyText"/>
        <w:spacing w:before="5"/>
      </w:pPr>
    </w:p>
    <w:p>
      <w:pPr>
        <w:pStyle w:val="ListParagraph"/>
        <w:numPr>
          <w:ilvl w:val="2"/>
          <w:numId w:val="12"/>
        </w:numPr>
        <w:tabs>
          <w:tab w:pos="298" w:val="left" w:leader="none"/>
        </w:tabs>
        <w:spacing w:line="240" w:lineRule="auto" w:before="0" w:after="0"/>
        <w:ind w:left="298" w:right="0" w:hanging="139"/>
        <w:jc w:val="both"/>
        <w:rPr>
          <w:sz w:val="24"/>
        </w:rPr>
      </w:pPr>
      <w:r>
        <w:rPr>
          <w:sz w:val="24"/>
        </w:rPr>
        <w:t>'numeracy'</w:t>
      </w:r>
      <w:r>
        <w:rPr>
          <w:spacing w:val="-1"/>
          <w:sz w:val="24"/>
        </w:rPr>
        <w:t> </w:t>
      </w:r>
      <w:r>
        <w:rPr>
          <w:sz w:val="24"/>
        </w:rPr>
        <w:t>or</w:t>
      </w:r>
      <w:r>
        <w:rPr>
          <w:spacing w:val="-1"/>
          <w:sz w:val="24"/>
        </w:rPr>
        <w:t> </w:t>
      </w:r>
      <w:r>
        <w:rPr>
          <w:sz w:val="24"/>
        </w:rPr>
        <w:t>a</w:t>
      </w:r>
      <w:r>
        <w:rPr>
          <w:spacing w:val="-1"/>
          <w:sz w:val="24"/>
        </w:rPr>
        <w:t> </w:t>
      </w:r>
      <w:r>
        <w:rPr>
          <w:sz w:val="24"/>
        </w:rPr>
        <w:t>study</w:t>
      </w:r>
      <w:r>
        <w:rPr>
          <w:spacing w:val="-1"/>
          <w:sz w:val="24"/>
        </w:rPr>
        <w:t> </w:t>
      </w:r>
      <w:r>
        <w:rPr>
          <w:sz w:val="24"/>
        </w:rPr>
        <w:t>of</w:t>
      </w:r>
      <w:r>
        <w:rPr>
          <w:spacing w:val="-1"/>
          <w:sz w:val="24"/>
        </w:rPr>
        <w:t> </w:t>
      </w:r>
      <w:r>
        <w:rPr>
          <w:sz w:val="24"/>
        </w:rPr>
        <w:t>mathematics</w:t>
      </w:r>
      <w:r>
        <w:rPr>
          <w:spacing w:val="-1"/>
          <w:sz w:val="24"/>
        </w:rPr>
        <w:t> </w:t>
      </w:r>
      <w:r>
        <w:rPr>
          <w:sz w:val="24"/>
        </w:rPr>
        <w:t>and</w:t>
      </w:r>
      <w:r>
        <w:rPr>
          <w:spacing w:val="-1"/>
          <w:sz w:val="24"/>
        </w:rPr>
        <w:t> </w:t>
      </w:r>
      <w:r>
        <w:rPr>
          <w:sz w:val="24"/>
        </w:rPr>
        <w:t>the</w:t>
      </w:r>
      <w:r>
        <w:rPr>
          <w:spacing w:val="-1"/>
          <w:sz w:val="24"/>
        </w:rPr>
        <w:t> </w:t>
      </w:r>
      <w:r>
        <w:rPr>
          <w:sz w:val="24"/>
        </w:rPr>
        <w:t>natural</w:t>
      </w:r>
      <w:r>
        <w:rPr>
          <w:spacing w:val="-1"/>
          <w:sz w:val="24"/>
        </w:rPr>
        <w:t> </w:t>
      </w:r>
      <w:r>
        <w:rPr>
          <w:sz w:val="24"/>
        </w:rPr>
        <w:t>sciences;</w:t>
      </w:r>
      <w:r>
        <w:rPr>
          <w:spacing w:val="-1"/>
          <w:sz w:val="24"/>
        </w:rPr>
        <w:t> </w:t>
      </w:r>
      <w:r>
        <w:rPr>
          <w:sz w:val="24"/>
        </w:rPr>
        <w:t>work-experience; </w:t>
      </w:r>
      <w:r>
        <w:rPr>
          <w:spacing w:val="-5"/>
          <w:sz w:val="24"/>
        </w:rPr>
        <w:t>and</w:t>
      </w:r>
    </w:p>
    <w:p>
      <w:pPr>
        <w:pStyle w:val="BodyText"/>
        <w:spacing w:before="3"/>
      </w:pPr>
    </w:p>
    <w:p>
      <w:pPr>
        <w:pStyle w:val="ListParagraph"/>
        <w:numPr>
          <w:ilvl w:val="2"/>
          <w:numId w:val="12"/>
        </w:numPr>
        <w:tabs>
          <w:tab w:pos="298" w:val="left" w:leader="none"/>
        </w:tabs>
        <w:spacing w:line="240" w:lineRule="auto" w:before="1" w:after="0"/>
        <w:ind w:left="298" w:right="0" w:hanging="139"/>
        <w:jc w:val="both"/>
        <w:rPr>
          <w:sz w:val="24"/>
        </w:rPr>
      </w:pPr>
      <w:r>
        <w:rPr>
          <w:sz w:val="24"/>
        </w:rPr>
        <w:t>social </w:t>
      </w:r>
      <w:r>
        <w:rPr>
          <w:spacing w:val="-2"/>
          <w:sz w:val="24"/>
        </w:rPr>
        <w:t>service.</w:t>
      </w:r>
    </w:p>
    <w:p>
      <w:pPr>
        <w:pStyle w:val="BodyText"/>
        <w:spacing w:before="2"/>
      </w:pPr>
    </w:p>
    <w:p>
      <w:pPr>
        <w:pStyle w:val="BodyText"/>
        <w:ind w:left="159" w:right="497"/>
        <w:jc w:val="both"/>
      </w:pPr>
      <w:r>
        <w:rPr/>
        <w:t>In the present educational system, most of the time is taken up with the first, although even in this limited sphere, the attainments are not appreciable. The second, as indicated above, is still quite weak and needs a great deal of emphasis. But the third and </w:t>
      </w:r>
      <w:r>
        <w:rPr/>
        <w:t>fourth</w:t>
      </w:r>
      <w:r>
        <w:rPr>
          <w:spacing w:val="40"/>
        </w:rPr>
        <w:t> </w:t>
      </w:r>
      <w:r>
        <w:rPr/>
        <w:t>have been almost totally absent till recently and need to be highlighted-the former mainly for relating education to productivity, and the latter as a means of social and national </w:t>
      </w:r>
      <w:r>
        <w:rPr>
          <w:spacing w:val="-2"/>
        </w:rPr>
        <w:t>integration.</w:t>
      </w:r>
    </w:p>
    <w:p>
      <w:pPr>
        <w:pStyle w:val="BodyText"/>
        <w:spacing w:before="5"/>
      </w:pPr>
    </w:p>
    <w:p>
      <w:pPr>
        <w:pStyle w:val="ListParagraph"/>
        <w:numPr>
          <w:ilvl w:val="1"/>
          <w:numId w:val="12"/>
        </w:numPr>
        <w:tabs>
          <w:tab w:pos="674" w:val="left" w:leader="none"/>
        </w:tabs>
        <w:spacing w:line="240" w:lineRule="auto" w:before="0" w:after="0"/>
        <w:ind w:left="159" w:right="497" w:firstLine="0"/>
        <w:jc w:val="both"/>
        <w:rPr>
          <w:sz w:val="24"/>
        </w:rPr>
      </w:pPr>
      <w:r>
        <w:rPr>
          <w:sz w:val="24"/>
        </w:rPr>
        <w:t>The need to include work-experience as an integral part of education is to some extent inherent in the very nature and organization of formal education. Traditionally, an</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individual grew up in society through participation in its activities, and work-experience formed</w:t>
      </w:r>
      <w:r>
        <w:rPr>
          <w:spacing w:val="-1"/>
        </w:rPr>
        <w:t> </w:t>
      </w:r>
      <w:r>
        <w:rPr/>
        <w:t>the</w:t>
      </w:r>
      <w:r>
        <w:rPr>
          <w:spacing w:val="-1"/>
        </w:rPr>
        <w:t> </w:t>
      </w:r>
      <w:r>
        <w:rPr/>
        <w:t>bulk</w:t>
      </w:r>
      <w:r>
        <w:rPr>
          <w:spacing w:val="-1"/>
        </w:rPr>
        <w:t> </w:t>
      </w:r>
      <w:r>
        <w:rPr/>
        <w:t>of</w:t>
      </w:r>
      <w:r>
        <w:rPr>
          <w:spacing w:val="-1"/>
        </w:rPr>
        <w:t> </w:t>
      </w:r>
      <w:r>
        <w:rPr/>
        <w:t>his</w:t>
      </w:r>
      <w:r>
        <w:rPr>
          <w:spacing w:val="-1"/>
        </w:rPr>
        <w:t> </w:t>
      </w:r>
      <w:r>
        <w:rPr/>
        <w:t>education.</w:t>
      </w:r>
      <w:r>
        <w:rPr>
          <w:spacing w:val="-1"/>
        </w:rPr>
        <w:t> </w:t>
      </w:r>
      <w:r>
        <w:rPr/>
        <w:t>While</w:t>
      </w:r>
      <w:r>
        <w:rPr>
          <w:spacing w:val="-1"/>
        </w:rPr>
        <w:t> </w:t>
      </w:r>
      <w:r>
        <w:rPr/>
        <w:t>this</w:t>
      </w:r>
      <w:r>
        <w:rPr>
          <w:spacing w:val="-5"/>
        </w:rPr>
        <w:t> </w:t>
      </w:r>
      <w:r>
        <w:rPr/>
        <w:t>method</w:t>
      </w:r>
      <w:r>
        <w:rPr>
          <w:spacing w:val="-1"/>
        </w:rPr>
        <w:t> </w:t>
      </w:r>
      <w:r>
        <w:rPr/>
        <w:t>had</w:t>
      </w:r>
      <w:r>
        <w:rPr>
          <w:spacing w:val="-1"/>
        </w:rPr>
        <w:t> </w:t>
      </w:r>
      <w:r>
        <w:rPr/>
        <w:t>several</w:t>
      </w:r>
      <w:r>
        <w:rPr>
          <w:spacing w:val="-1"/>
        </w:rPr>
        <w:t> </w:t>
      </w:r>
      <w:r>
        <w:rPr/>
        <w:t>advantages,</w:t>
      </w:r>
      <w:r>
        <w:rPr>
          <w:spacing w:val="-1"/>
        </w:rPr>
        <w:t> </w:t>
      </w:r>
      <w:r>
        <w:rPr/>
        <w:t>its</w:t>
      </w:r>
      <w:r>
        <w:rPr>
          <w:spacing w:val="-1"/>
        </w:rPr>
        <w:t> </w:t>
      </w:r>
      <w:r>
        <w:rPr/>
        <w:t>weakness consisted in that it was not essentially dynamic and forward-looking and tended </w:t>
      </w:r>
      <w:r>
        <w:rPr/>
        <w:t>to perpetuate traditional patterns of behaviour. Formal education, on the other hand, tended to withdraw the child temporarily from participation in community activities and to train him, in an artificial environment for his anticipated future role in society. This created a cleavage between the world of work and the world of study. This defect is particularly conspicuous in our system of education which tends to strengthen the tradition of denigrating work and alienates the students, particularly the first-generation learners,</w:t>
      </w:r>
      <w:r>
        <w:rPr>
          <w:spacing w:val="40"/>
        </w:rPr>
        <w:t> </w:t>
      </w:r>
      <w:r>
        <w:rPr/>
        <w:t>from their homes and communities. The introduction of work- experience is intended to overcome, to some extent, these weaknesses and to combine the advantages of the formal and informal systems of education.</w:t>
      </w:r>
    </w:p>
    <w:p>
      <w:pPr>
        <w:pStyle w:val="BodyText"/>
        <w:spacing w:before="4"/>
      </w:pPr>
    </w:p>
    <w:p>
      <w:pPr>
        <w:pStyle w:val="ListParagraph"/>
        <w:numPr>
          <w:ilvl w:val="1"/>
          <w:numId w:val="12"/>
        </w:numPr>
        <w:tabs>
          <w:tab w:pos="665" w:val="left" w:leader="none"/>
        </w:tabs>
        <w:spacing w:line="240" w:lineRule="auto" w:before="0" w:after="0"/>
        <w:ind w:left="159" w:right="495" w:firstLine="0"/>
        <w:jc w:val="both"/>
        <w:rPr>
          <w:sz w:val="24"/>
        </w:rPr>
      </w:pPr>
      <w:r>
        <w:rPr>
          <w:sz w:val="24"/>
        </w:rPr>
        <w:t>Work-experience is thus a method of integrating education with work. This is not only possible but essential in modern societies which adopt science-based technology. In all traditional societies, an antithesis between education and work is usually postulated, partly because the techniques of production are primitive and do not necessarily require formal education, special skills or high intellectual ability, and partly because the work is generally manual, low-paid, akin to drudgery and confined mostly to the uneducated 'lower' classes. As against this, education is generally the privilege of the upper classes who are interested, not in working for a living, but in the cultivation of interests which may help them in the enjoyment of life. The educated elite thus become largely</w:t>
      </w:r>
      <w:r>
        <w:rPr>
          <w:spacing w:val="40"/>
          <w:sz w:val="24"/>
        </w:rPr>
        <w:t> </w:t>
      </w:r>
      <w:r>
        <w:rPr>
          <w:sz w:val="24"/>
        </w:rPr>
        <w:t>parasitical in character and the real productive workers-at a low level of efficiency, generally-are the unlettered peasants and artisans. The complex techniques of production (including those in agriculture) adopted in modern societies, on the other hand, require higher forms of general or technical education and a comparatively higher level of intellectual ability. High talent is required for research in technology, and even at the lower levels of work, brains become more important than physical strength. The traditional resistance of educated persons to engage themselves in productive work tends to disappear because, with the adoption of the new technology, work in industry or on the farm becomes more productive and remunerative and ceases to be looked down upon socially. The educated person thus becomes an important source of production and the uneducated person, an unproductive burden on society. This process, which has already started in our country, needs to be accelerated and therefore the inclusion of work- experience as an integral part of all education acquires an urgent significance.</w:t>
      </w:r>
    </w:p>
    <w:p>
      <w:pPr>
        <w:pStyle w:val="BodyText"/>
        <w:spacing w:before="4"/>
      </w:pPr>
    </w:p>
    <w:p>
      <w:pPr>
        <w:pStyle w:val="ListParagraph"/>
        <w:numPr>
          <w:ilvl w:val="1"/>
          <w:numId w:val="12"/>
        </w:numPr>
        <w:tabs>
          <w:tab w:pos="667" w:val="left" w:leader="none"/>
        </w:tabs>
        <w:spacing w:line="240" w:lineRule="auto" w:before="0" w:after="0"/>
        <w:ind w:left="159" w:right="497" w:firstLine="0"/>
        <w:jc w:val="both"/>
        <w:rPr>
          <w:sz w:val="24"/>
        </w:rPr>
      </w:pPr>
      <w:r>
        <w:rPr>
          <w:sz w:val="24"/>
        </w:rPr>
        <w:t>The need to provide some such corrective to the over- academic nature of formal education has been widely recognized. In the curricula of most contemporary school systems, particularly in the socialist countries of Europe, a place is found for what is variously called 'manual work' or 'work-experience'. In our country, a revolutionary experiment was launched by Mahatma Gandhi in the form of basic education. The concept of work-experience is essentially similar. It may be described as a redefinition of his educational thinking in terms of a society on the road to industrialization.</w:t>
      </w:r>
    </w:p>
    <w:p>
      <w:pPr>
        <w:pStyle w:val="BodyText"/>
        <w:spacing w:before="4"/>
      </w:pPr>
    </w:p>
    <w:p>
      <w:pPr>
        <w:pStyle w:val="ListParagraph"/>
        <w:numPr>
          <w:ilvl w:val="1"/>
          <w:numId w:val="12"/>
        </w:numPr>
        <w:tabs>
          <w:tab w:pos="642" w:val="left" w:leader="none"/>
        </w:tabs>
        <w:spacing w:line="240" w:lineRule="auto" w:before="0" w:after="0"/>
        <w:ind w:left="160" w:right="497" w:firstLine="0"/>
        <w:jc w:val="both"/>
        <w:rPr>
          <w:sz w:val="24"/>
        </w:rPr>
      </w:pPr>
      <w:r>
        <w:rPr>
          <w:sz w:val="24"/>
        </w:rPr>
        <w:t>In</w:t>
      </w:r>
      <w:r>
        <w:rPr>
          <w:spacing w:val="-1"/>
          <w:sz w:val="24"/>
        </w:rPr>
        <w:t> </w:t>
      </w:r>
      <w:r>
        <w:rPr>
          <w:sz w:val="24"/>
        </w:rPr>
        <w:t>addition</w:t>
      </w:r>
      <w:r>
        <w:rPr>
          <w:spacing w:val="-1"/>
          <w:sz w:val="24"/>
        </w:rPr>
        <w:t> </w:t>
      </w:r>
      <w:r>
        <w:rPr>
          <w:sz w:val="24"/>
        </w:rPr>
        <w:t>to</w:t>
      </w:r>
      <w:r>
        <w:rPr>
          <w:spacing w:val="-1"/>
          <w:sz w:val="24"/>
        </w:rPr>
        <w:t> </w:t>
      </w:r>
      <w:r>
        <w:rPr>
          <w:sz w:val="24"/>
        </w:rPr>
        <w:t>being</w:t>
      </w:r>
      <w:r>
        <w:rPr>
          <w:spacing w:val="-1"/>
          <w:sz w:val="24"/>
        </w:rPr>
        <w:t> </w:t>
      </w:r>
      <w:r>
        <w:rPr>
          <w:sz w:val="24"/>
        </w:rPr>
        <w:t>an</w:t>
      </w:r>
      <w:r>
        <w:rPr>
          <w:spacing w:val="-1"/>
          <w:sz w:val="24"/>
        </w:rPr>
        <w:t> </w:t>
      </w:r>
      <w:r>
        <w:rPr>
          <w:sz w:val="24"/>
        </w:rPr>
        <w:t>effective</w:t>
      </w:r>
      <w:r>
        <w:rPr>
          <w:spacing w:val="-1"/>
          <w:sz w:val="24"/>
        </w:rPr>
        <w:t> </w:t>
      </w:r>
      <w:r>
        <w:rPr>
          <w:sz w:val="24"/>
        </w:rPr>
        <w:t>educational</w:t>
      </w:r>
      <w:r>
        <w:rPr>
          <w:spacing w:val="-1"/>
          <w:sz w:val="24"/>
        </w:rPr>
        <w:t> </w:t>
      </w:r>
      <w:r>
        <w:rPr>
          <w:sz w:val="24"/>
        </w:rPr>
        <w:t>tool,</w:t>
      </w:r>
      <w:r>
        <w:rPr>
          <w:spacing w:val="-1"/>
          <w:sz w:val="24"/>
        </w:rPr>
        <w:t> </w:t>
      </w:r>
      <w:r>
        <w:rPr>
          <w:sz w:val="24"/>
        </w:rPr>
        <w:t>work-</w:t>
      </w:r>
      <w:r>
        <w:rPr>
          <w:spacing w:val="-1"/>
          <w:sz w:val="24"/>
        </w:rPr>
        <w:t> </w:t>
      </w:r>
      <w:r>
        <w:rPr>
          <w:sz w:val="24"/>
        </w:rPr>
        <w:t>experience</w:t>
      </w:r>
      <w:r>
        <w:rPr>
          <w:spacing w:val="-1"/>
          <w:sz w:val="24"/>
        </w:rPr>
        <w:t> </w:t>
      </w:r>
      <w:r>
        <w:rPr>
          <w:sz w:val="24"/>
        </w:rPr>
        <w:t>can,</w:t>
      </w:r>
      <w:r>
        <w:rPr>
          <w:spacing w:val="-1"/>
          <w:sz w:val="24"/>
        </w:rPr>
        <w:t> </w:t>
      </w:r>
      <w:r>
        <w:rPr>
          <w:sz w:val="24"/>
        </w:rPr>
        <w:t>in</w:t>
      </w:r>
      <w:r>
        <w:rPr>
          <w:spacing w:val="-1"/>
          <w:sz w:val="24"/>
        </w:rPr>
        <w:t> </w:t>
      </w:r>
      <w:r>
        <w:rPr>
          <w:sz w:val="24"/>
        </w:rPr>
        <w:t>our</w:t>
      </w:r>
      <w:r>
        <w:rPr>
          <w:spacing w:val="-1"/>
          <w:sz w:val="24"/>
        </w:rPr>
        <w:t> </w:t>
      </w:r>
      <w:r>
        <w:rPr>
          <w:sz w:val="24"/>
        </w:rPr>
        <w:t>view, serve</w:t>
      </w:r>
      <w:r>
        <w:rPr>
          <w:spacing w:val="69"/>
          <w:sz w:val="24"/>
        </w:rPr>
        <w:t> </w:t>
      </w:r>
      <w:r>
        <w:rPr>
          <w:sz w:val="24"/>
        </w:rPr>
        <w:t>some</w:t>
      </w:r>
      <w:r>
        <w:rPr>
          <w:spacing w:val="69"/>
          <w:sz w:val="24"/>
        </w:rPr>
        <w:t> </w:t>
      </w:r>
      <w:r>
        <w:rPr>
          <w:sz w:val="24"/>
        </w:rPr>
        <w:t>other</w:t>
      </w:r>
      <w:r>
        <w:rPr>
          <w:spacing w:val="69"/>
          <w:sz w:val="24"/>
        </w:rPr>
        <w:t> </w:t>
      </w:r>
      <w:r>
        <w:rPr>
          <w:sz w:val="24"/>
        </w:rPr>
        <w:t>important</w:t>
      </w:r>
      <w:r>
        <w:rPr>
          <w:spacing w:val="69"/>
          <w:sz w:val="24"/>
        </w:rPr>
        <w:t> </w:t>
      </w:r>
      <w:r>
        <w:rPr>
          <w:sz w:val="24"/>
        </w:rPr>
        <w:t>purposes.</w:t>
      </w:r>
      <w:r>
        <w:rPr>
          <w:spacing w:val="69"/>
          <w:sz w:val="24"/>
        </w:rPr>
        <w:t> </w:t>
      </w:r>
      <w:r>
        <w:rPr>
          <w:sz w:val="24"/>
        </w:rPr>
        <w:t>It</w:t>
      </w:r>
      <w:r>
        <w:rPr>
          <w:spacing w:val="69"/>
          <w:sz w:val="24"/>
        </w:rPr>
        <w:t> </w:t>
      </w:r>
      <w:r>
        <w:rPr>
          <w:sz w:val="24"/>
        </w:rPr>
        <w:t>can</w:t>
      </w:r>
      <w:r>
        <w:rPr>
          <w:spacing w:val="66"/>
          <w:sz w:val="24"/>
        </w:rPr>
        <w:t> </w:t>
      </w:r>
      <w:r>
        <w:rPr>
          <w:sz w:val="24"/>
        </w:rPr>
        <w:t>help</w:t>
      </w:r>
      <w:r>
        <w:rPr>
          <w:spacing w:val="69"/>
          <w:sz w:val="24"/>
        </w:rPr>
        <w:t> </w:t>
      </w:r>
      <w:r>
        <w:rPr>
          <w:sz w:val="24"/>
        </w:rPr>
        <w:t>to</w:t>
      </w:r>
      <w:r>
        <w:rPr>
          <w:spacing w:val="67"/>
          <w:sz w:val="24"/>
        </w:rPr>
        <w:t> </w:t>
      </w:r>
      <w:r>
        <w:rPr>
          <w:sz w:val="24"/>
        </w:rPr>
        <w:t>make</w:t>
      </w:r>
      <w:r>
        <w:rPr>
          <w:spacing w:val="69"/>
          <w:sz w:val="24"/>
        </w:rPr>
        <w:t> </w:t>
      </w:r>
      <w:r>
        <w:rPr>
          <w:sz w:val="24"/>
        </w:rPr>
        <w:t>the</w:t>
      </w:r>
      <w:r>
        <w:rPr>
          <w:spacing w:val="69"/>
          <w:sz w:val="24"/>
        </w:rPr>
        <w:t> </w:t>
      </w:r>
      <w:r>
        <w:rPr>
          <w:sz w:val="24"/>
        </w:rPr>
        <w:t>distinction</w:t>
      </w:r>
      <w:r>
        <w:rPr>
          <w:spacing w:val="69"/>
          <w:sz w:val="24"/>
        </w:rPr>
        <w:t> </w:t>
      </w:r>
      <w:r>
        <w:rPr>
          <w:sz w:val="24"/>
        </w:rPr>
        <w:t>between</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intellectual and manual work less marked as also the social stratification based on it. It could make the entry of youth into the world of work and employment easier by enabling them</w:t>
      </w:r>
      <w:r>
        <w:rPr>
          <w:spacing w:val="-1"/>
        </w:rPr>
        <w:t> </w:t>
      </w:r>
      <w:r>
        <w:rPr/>
        <w:t>to adjust themselves to it. It could contribute to the increase of national productivity both by helping students to develop insights into productive processes and the use of science, and by generating in them the habit of hard and responsible work. And it might help social and national integration by strengthening the links between the individual and the</w:t>
      </w:r>
      <w:r>
        <w:rPr>
          <w:spacing w:val="-2"/>
        </w:rPr>
        <w:t> </w:t>
      </w:r>
      <w:r>
        <w:rPr/>
        <w:t>community</w:t>
      </w:r>
      <w:r>
        <w:rPr>
          <w:spacing w:val="-2"/>
        </w:rPr>
        <w:t> </w:t>
      </w:r>
      <w:r>
        <w:rPr/>
        <w:t>and</w:t>
      </w:r>
      <w:r>
        <w:rPr>
          <w:spacing w:val="-2"/>
        </w:rPr>
        <w:t> </w:t>
      </w:r>
      <w:r>
        <w:rPr/>
        <w:t>by</w:t>
      </w:r>
      <w:r>
        <w:rPr>
          <w:spacing w:val="-2"/>
        </w:rPr>
        <w:t> </w:t>
      </w:r>
      <w:r>
        <w:rPr/>
        <w:t>creating</w:t>
      </w:r>
      <w:r>
        <w:rPr>
          <w:spacing w:val="-2"/>
        </w:rPr>
        <w:t> </w:t>
      </w:r>
      <w:r>
        <w:rPr/>
        <w:t>bonds</w:t>
      </w:r>
      <w:r>
        <w:rPr>
          <w:spacing w:val="-2"/>
        </w:rPr>
        <w:t> </w:t>
      </w:r>
      <w:r>
        <w:rPr/>
        <w:t>of</w:t>
      </w:r>
      <w:r>
        <w:rPr>
          <w:spacing w:val="-2"/>
        </w:rPr>
        <w:t> </w:t>
      </w:r>
      <w:r>
        <w:rPr/>
        <w:t>understanding</w:t>
      </w:r>
      <w:r>
        <w:rPr>
          <w:spacing w:val="-2"/>
        </w:rPr>
        <w:t> </w:t>
      </w:r>
      <w:r>
        <w:rPr/>
        <w:t>between</w:t>
      </w:r>
      <w:r>
        <w:rPr>
          <w:spacing w:val="-2"/>
        </w:rPr>
        <w:t> </w:t>
      </w:r>
      <w:r>
        <w:rPr/>
        <w:t>the</w:t>
      </w:r>
      <w:r>
        <w:rPr>
          <w:spacing w:val="-2"/>
        </w:rPr>
        <w:t> </w:t>
      </w:r>
      <w:r>
        <w:rPr/>
        <w:t>educated</w:t>
      </w:r>
      <w:r>
        <w:rPr>
          <w:spacing w:val="-2"/>
        </w:rPr>
        <w:t> </w:t>
      </w:r>
      <w:r>
        <w:rPr/>
        <w:t>persons</w:t>
      </w:r>
      <w:r>
        <w:rPr>
          <w:spacing w:val="-2"/>
        </w:rPr>
        <w:t> </w:t>
      </w:r>
      <w:r>
        <w:rPr/>
        <w:t>and the masses.</w:t>
      </w:r>
    </w:p>
    <w:p>
      <w:pPr>
        <w:pStyle w:val="BodyText"/>
        <w:spacing w:before="4"/>
      </w:pPr>
    </w:p>
    <w:p>
      <w:pPr>
        <w:pStyle w:val="ListParagraph"/>
        <w:numPr>
          <w:ilvl w:val="1"/>
          <w:numId w:val="12"/>
        </w:numPr>
        <w:tabs>
          <w:tab w:pos="672" w:val="left" w:leader="none"/>
        </w:tabs>
        <w:spacing w:line="240" w:lineRule="auto" w:before="0" w:after="0"/>
        <w:ind w:left="160" w:right="497" w:firstLine="0"/>
        <w:jc w:val="both"/>
        <w:rPr>
          <w:sz w:val="24"/>
        </w:rPr>
      </w:pPr>
      <w:r>
        <w:rPr>
          <w:sz w:val="24"/>
        </w:rPr>
        <w:t>In providing work-experience, every attempt should be made to link </w:t>
      </w:r>
      <w:r>
        <w:rPr>
          <w:sz w:val="24"/>
        </w:rPr>
        <w:t>programmes realistically to technology, to industrialization and to the application of science to productive processes, including agriculture. This 'forward look' in work-experience is important for a country which has embarked on a programme of industrialization. These problems will be discussed in detail elsewhere.</w:t>
      </w:r>
      <w:r>
        <w:rPr>
          <w:b/>
          <w:sz w:val="24"/>
          <w:vertAlign w:val="superscript"/>
        </w:rPr>
        <w:t>2</w:t>
      </w:r>
    </w:p>
    <w:p>
      <w:pPr>
        <w:pStyle w:val="BodyText"/>
        <w:spacing w:before="4"/>
        <w:rPr>
          <w:b/>
        </w:rPr>
      </w:pPr>
    </w:p>
    <w:p>
      <w:pPr>
        <w:pStyle w:val="ListParagraph"/>
        <w:numPr>
          <w:ilvl w:val="1"/>
          <w:numId w:val="12"/>
        </w:numPr>
        <w:tabs>
          <w:tab w:pos="659" w:val="left" w:leader="none"/>
        </w:tabs>
        <w:spacing w:line="240" w:lineRule="auto" w:before="0" w:after="0"/>
        <w:ind w:left="159" w:right="496" w:firstLine="0"/>
        <w:jc w:val="both"/>
        <w:rPr>
          <w:sz w:val="24"/>
        </w:rPr>
      </w:pPr>
      <w:r>
        <w:rPr>
          <w:sz w:val="24"/>
        </w:rPr>
        <w:t>In a well-organized programme, work-experience, at least from the higher primary stage, should also result in some earning for the student-either in cash or in kind. This would meet, to some extent, the expenditure which the students have to incur on their education or on their maintenance while at study. The amount of this earning will naturally increase as the students go up the educational ladder and it becomes possible to organize work-experience in a manner that would enable them to 'earn and learn'. The ultimate objective should be to move towards a situation in which the education. of a student is not held to be complete unless he participates in some type of work-experience in real-life conditions and earns some amount, however small, towards his own maintenance. This will also help to develop in him values which promote economic growth, such as appreciating the importance of productive work and manual </w:t>
      </w:r>
      <w:r>
        <w:rPr>
          <w:sz w:val="24"/>
        </w:rPr>
        <w:t>labour, willingness and capacity for hard work, and thrift. We realize that this is no easy task.</w:t>
      </w:r>
      <w:r>
        <w:rPr>
          <w:spacing w:val="80"/>
          <w:sz w:val="24"/>
        </w:rPr>
        <w:t> </w:t>
      </w:r>
      <w:r>
        <w:rPr>
          <w:sz w:val="24"/>
        </w:rPr>
        <w:t>But it will pay adequate dividends in the long run.</w:t>
      </w:r>
    </w:p>
    <w:p>
      <w:pPr>
        <w:pStyle w:val="BodyText"/>
        <w:spacing w:before="4"/>
      </w:pPr>
    </w:p>
    <w:p>
      <w:pPr>
        <w:pStyle w:val="ListParagraph"/>
        <w:numPr>
          <w:ilvl w:val="1"/>
          <w:numId w:val="12"/>
        </w:numPr>
        <w:tabs>
          <w:tab w:pos="708" w:val="left" w:leader="none"/>
        </w:tabs>
        <w:spacing w:line="240" w:lineRule="auto" w:before="0" w:after="0"/>
        <w:ind w:left="159" w:right="497" w:firstLine="0"/>
        <w:jc w:val="both"/>
        <w:rPr>
          <w:b/>
          <w:sz w:val="24"/>
        </w:rPr>
      </w:pPr>
      <w:r>
        <w:rPr>
          <w:b/>
          <w:sz w:val="24"/>
        </w:rPr>
        <w:t>Vocationalization. </w:t>
      </w:r>
      <w:r>
        <w:rPr>
          <w:sz w:val="24"/>
        </w:rPr>
        <w:t>Another programme which can bring education into closer relationship with productivity is to give a strong vocational bias to secondary education and to increase the emphasis on agricultural and technological education at the university stage. This is of special significance in the Indian situation. where, as we have pointed out,</w:t>
      </w:r>
      <w:r>
        <w:rPr>
          <w:spacing w:val="-2"/>
          <w:sz w:val="24"/>
        </w:rPr>
        <w:t> </w:t>
      </w:r>
      <w:r>
        <w:rPr>
          <w:sz w:val="24"/>
        </w:rPr>
        <w:t>the</w:t>
      </w:r>
      <w:r>
        <w:rPr>
          <w:spacing w:val="-2"/>
          <w:sz w:val="24"/>
        </w:rPr>
        <w:t> </w:t>
      </w:r>
      <w:r>
        <w:rPr>
          <w:sz w:val="24"/>
        </w:rPr>
        <w:t>educational</w:t>
      </w:r>
      <w:r>
        <w:rPr>
          <w:spacing w:val="-2"/>
          <w:sz w:val="24"/>
        </w:rPr>
        <w:t> </w:t>
      </w:r>
      <w:r>
        <w:rPr>
          <w:sz w:val="24"/>
        </w:rPr>
        <w:t>system</w:t>
      </w:r>
      <w:r>
        <w:rPr>
          <w:spacing w:val="-4"/>
          <w:sz w:val="24"/>
        </w:rPr>
        <w:t> </w:t>
      </w:r>
      <w:r>
        <w:rPr>
          <w:sz w:val="24"/>
        </w:rPr>
        <w:t>has</w:t>
      </w:r>
      <w:r>
        <w:rPr>
          <w:spacing w:val="-2"/>
          <w:sz w:val="24"/>
        </w:rPr>
        <w:t> </w:t>
      </w:r>
      <w:r>
        <w:rPr>
          <w:sz w:val="24"/>
        </w:rPr>
        <w:t>been</w:t>
      </w:r>
      <w:r>
        <w:rPr>
          <w:spacing w:val="-2"/>
          <w:sz w:val="24"/>
        </w:rPr>
        <w:t> </w:t>
      </w:r>
      <w:r>
        <w:rPr>
          <w:sz w:val="24"/>
        </w:rPr>
        <w:t>training</w:t>
      </w:r>
      <w:r>
        <w:rPr>
          <w:spacing w:val="-2"/>
          <w:sz w:val="24"/>
        </w:rPr>
        <w:t> </w:t>
      </w:r>
      <w:r>
        <w:rPr>
          <w:sz w:val="24"/>
        </w:rPr>
        <w:t>young</w:t>
      </w:r>
      <w:r>
        <w:rPr>
          <w:spacing w:val="-2"/>
          <w:sz w:val="24"/>
        </w:rPr>
        <w:t> </w:t>
      </w:r>
      <w:r>
        <w:rPr>
          <w:sz w:val="24"/>
        </w:rPr>
        <w:t>persons</w:t>
      </w:r>
      <w:r>
        <w:rPr>
          <w:spacing w:val="-2"/>
          <w:sz w:val="24"/>
        </w:rPr>
        <w:t> </w:t>
      </w:r>
      <w:r>
        <w:rPr>
          <w:sz w:val="24"/>
        </w:rPr>
        <w:t>so</w:t>
      </w:r>
      <w:r>
        <w:rPr>
          <w:spacing w:val="-2"/>
          <w:sz w:val="24"/>
        </w:rPr>
        <w:t> </w:t>
      </w:r>
      <w:r>
        <w:rPr>
          <w:sz w:val="24"/>
        </w:rPr>
        <w:t>far</w:t>
      </w:r>
      <w:r>
        <w:rPr>
          <w:spacing w:val="-2"/>
          <w:sz w:val="24"/>
        </w:rPr>
        <w:t> </w:t>
      </w:r>
      <w:r>
        <w:rPr>
          <w:sz w:val="24"/>
        </w:rPr>
        <w:t>mostly</w:t>
      </w:r>
      <w:r>
        <w:rPr>
          <w:spacing w:val="-2"/>
          <w:sz w:val="24"/>
        </w:rPr>
        <w:t> </w:t>
      </w:r>
      <w:r>
        <w:rPr>
          <w:sz w:val="24"/>
        </w:rPr>
        <w:t>for</w:t>
      </w:r>
      <w:r>
        <w:rPr>
          <w:spacing w:val="-2"/>
          <w:sz w:val="24"/>
        </w:rPr>
        <w:t> </w:t>
      </w:r>
      <w:r>
        <w:rPr>
          <w:sz w:val="24"/>
        </w:rPr>
        <w:t>government services and</w:t>
      </w:r>
      <w:r>
        <w:rPr>
          <w:spacing w:val="-1"/>
          <w:sz w:val="24"/>
        </w:rPr>
        <w:t> </w:t>
      </w:r>
      <w:r>
        <w:rPr>
          <w:sz w:val="24"/>
        </w:rPr>
        <w:t>the so-called white- collar professions. The introduction of practical subjects in secondary schools so as to divert them into different walks of life was first recommended, as far back as in 1882, by the Indian Education Commission. But little or no effective action was taken to implement the recommendations and even today the enrolment in the vocational courses at the secondary stage is only nine per cent of the total enrolment, which is among the lowest in the world. Even at the university stage, vocational education (other than for law, medicine, or teaching) was mostly ignored throughout the last century. Even as late as in 1917, the Calcutta University Commission pointed out that the great majority of university students about 22,000 out of 26,000-</w:t>
      </w:r>
    </w:p>
    <w:p>
      <w:pPr>
        <w:pStyle w:val="BodyText"/>
        <w:tabs>
          <w:tab w:pos="3603" w:val="left" w:leader="none"/>
          <w:tab w:pos="5934" w:val="left" w:leader="none"/>
          <w:tab w:pos="8800" w:val="right" w:leader="none"/>
        </w:tabs>
        <w:spacing w:before="281"/>
        <w:ind w:left="160"/>
        <w:jc w:val="both"/>
      </w:pPr>
      <w:r>
        <w:rPr>
          <w:b/>
          <w:spacing w:val="-10"/>
          <w:vertAlign w:val="superscript"/>
        </w:rPr>
        <w:t>2</w:t>
      </w:r>
      <w:r>
        <w:rPr>
          <w:b/>
          <w:vertAlign w:val="baseline"/>
        </w:rPr>
        <w:tab/>
      </w:r>
      <w:r>
        <w:rPr>
          <w:spacing w:val="-2"/>
          <w:vertAlign w:val="baseline"/>
        </w:rPr>
        <w:t>Vol.II,</w:t>
      </w:r>
      <w:r>
        <w:rPr>
          <w:vertAlign w:val="baseline"/>
        </w:rPr>
        <w:tab/>
      </w:r>
      <w:r>
        <w:rPr>
          <w:spacing w:val="-2"/>
          <w:vertAlign w:val="baseline"/>
        </w:rPr>
        <w:t>Chapter</w:t>
      </w:r>
      <w:r>
        <w:rPr>
          <w:vertAlign w:val="baseline"/>
        </w:rPr>
        <w:tab/>
      </w:r>
      <w:r>
        <w:rPr>
          <w:spacing w:val="-4"/>
          <w:vertAlign w:val="baseline"/>
        </w:rPr>
        <w:t>VIII</w:t>
      </w:r>
    </w:p>
    <w:p>
      <w:pPr>
        <w:spacing w:after="0"/>
        <w:jc w:val="both"/>
        <w:sectPr>
          <w:pgSz w:w="12240" w:h="15840"/>
          <w:pgMar w:header="0" w:footer="743" w:top="1360" w:bottom="940" w:left="1640" w:right="1300"/>
        </w:sectPr>
      </w:pPr>
    </w:p>
    <w:p>
      <w:pPr>
        <w:pStyle w:val="BodyText"/>
        <w:spacing w:before="76"/>
        <w:ind w:left="160" w:right="496"/>
        <w:jc w:val="both"/>
      </w:pPr>
      <w:r>
        <w:rPr/>
        <w:t>pursue purely literary courses which do not fit them for any but administrative, clerical, teaching and (indirectly) legal careers.</w:t>
      </w:r>
      <w:r>
        <w:rPr>
          <w:b/>
          <w:vertAlign w:val="superscript"/>
        </w:rPr>
        <w:t>3</w:t>
      </w:r>
      <w:r>
        <w:rPr>
          <w:b/>
          <w:vertAlign w:val="baseline"/>
        </w:rPr>
        <w:t> </w:t>
      </w:r>
      <w:r>
        <w:rPr>
          <w:vertAlign w:val="baseline"/>
        </w:rPr>
        <w:t>About fifty years later, we find that the overall picture has improved only slightly and the proportion of students at the university stage enrolled</w:t>
      </w:r>
      <w:r>
        <w:rPr>
          <w:spacing w:val="-2"/>
          <w:vertAlign w:val="baseline"/>
        </w:rPr>
        <w:t> </w:t>
      </w:r>
      <w:r>
        <w:rPr>
          <w:vertAlign w:val="baseline"/>
        </w:rPr>
        <w:t>in</w:t>
      </w:r>
      <w:r>
        <w:rPr>
          <w:spacing w:val="-2"/>
          <w:vertAlign w:val="baseline"/>
        </w:rPr>
        <w:t> </w:t>
      </w:r>
      <w:r>
        <w:rPr>
          <w:vertAlign w:val="baseline"/>
        </w:rPr>
        <w:t>all</w:t>
      </w:r>
      <w:r>
        <w:rPr>
          <w:spacing w:val="-2"/>
          <w:vertAlign w:val="baseline"/>
        </w:rPr>
        <w:t> </w:t>
      </w:r>
      <w:r>
        <w:rPr>
          <w:vertAlign w:val="baseline"/>
        </w:rPr>
        <w:t>courses</w:t>
      </w:r>
      <w:r>
        <w:rPr>
          <w:spacing w:val="-2"/>
          <w:vertAlign w:val="baseline"/>
        </w:rPr>
        <w:t> </w:t>
      </w:r>
      <w:r>
        <w:rPr>
          <w:vertAlign w:val="baseline"/>
        </w:rPr>
        <w:t>of</w:t>
      </w:r>
      <w:r>
        <w:rPr>
          <w:spacing w:val="-4"/>
          <w:vertAlign w:val="baseline"/>
        </w:rPr>
        <w:t> </w:t>
      </w:r>
      <w:r>
        <w:rPr>
          <w:vertAlign w:val="baseline"/>
        </w:rPr>
        <w:t>professional</w:t>
      </w:r>
      <w:r>
        <w:rPr>
          <w:spacing w:val="-2"/>
          <w:vertAlign w:val="baseline"/>
        </w:rPr>
        <w:t> </w:t>
      </w:r>
      <w:r>
        <w:rPr>
          <w:vertAlign w:val="baseline"/>
        </w:rPr>
        <w:t>education</w:t>
      </w:r>
      <w:r>
        <w:rPr>
          <w:spacing w:val="-2"/>
          <w:vertAlign w:val="baseline"/>
        </w:rPr>
        <w:t> </w:t>
      </w:r>
      <w:r>
        <w:rPr>
          <w:vertAlign w:val="baseline"/>
        </w:rPr>
        <w:t>is</w:t>
      </w:r>
      <w:r>
        <w:rPr>
          <w:spacing w:val="-2"/>
          <w:vertAlign w:val="baseline"/>
        </w:rPr>
        <w:t> </w:t>
      </w:r>
      <w:r>
        <w:rPr>
          <w:vertAlign w:val="baseline"/>
        </w:rPr>
        <w:t>only</w:t>
      </w:r>
      <w:r>
        <w:rPr>
          <w:spacing w:val="-2"/>
          <w:vertAlign w:val="baseline"/>
        </w:rPr>
        <w:t> </w:t>
      </w:r>
      <w:r>
        <w:rPr>
          <w:vertAlign w:val="baseline"/>
        </w:rPr>
        <w:t>23</w:t>
      </w:r>
      <w:r>
        <w:rPr>
          <w:spacing w:val="-2"/>
          <w:vertAlign w:val="baseline"/>
        </w:rPr>
        <w:t> </w:t>
      </w:r>
      <w:r>
        <w:rPr>
          <w:vertAlign w:val="baseline"/>
        </w:rPr>
        <w:t>per</w:t>
      </w:r>
      <w:r>
        <w:rPr>
          <w:spacing w:val="-2"/>
          <w:vertAlign w:val="baseline"/>
        </w:rPr>
        <w:t> </w:t>
      </w:r>
      <w:r>
        <w:rPr>
          <w:vertAlign w:val="baseline"/>
        </w:rPr>
        <w:t>cent</w:t>
      </w:r>
      <w:r>
        <w:rPr>
          <w:spacing w:val="-2"/>
          <w:vertAlign w:val="baseline"/>
        </w:rPr>
        <w:t> </w:t>
      </w:r>
      <w:r>
        <w:rPr>
          <w:vertAlign w:val="baseline"/>
        </w:rPr>
        <w:t>of</w:t>
      </w:r>
      <w:r>
        <w:rPr>
          <w:spacing w:val="-4"/>
          <w:vertAlign w:val="baseline"/>
        </w:rPr>
        <w:t> </w:t>
      </w:r>
      <w:r>
        <w:rPr>
          <w:vertAlign w:val="baseline"/>
        </w:rPr>
        <w:t>the</w:t>
      </w:r>
      <w:r>
        <w:rPr>
          <w:spacing w:val="-2"/>
          <w:vertAlign w:val="baseline"/>
        </w:rPr>
        <w:t> </w:t>
      </w:r>
      <w:r>
        <w:rPr>
          <w:vertAlign w:val="baseline"/>
        </w:rPr>
        <w:t>total</w:t>
      </w:r>
      <w:r>
        <w:rPr>
          <w:spacing w:val="-2"/>
          <w:vertAlign w:val="baseline"/>
        </w:rPr>
        <w:t> </w:t>
      </w:r>
      <w:r>
        <w:rPr>
          <w:vertAlign w:val="baseline"/>
        </w:rPr>
        <w:t>enrolment. Our proposals on this subject are discussed elsewhere.</w:t>
      </w:r>
      <w:r>
        <w:rPr>
          <w:b/>
          <w:vertAlign w:val="superscript"/>
        </w:rPr>
        <w:t>4</w:t>
      </w:r>
      <w:r>
        <w:rPr>
          <w:b/>
          <w:vertAlign w:val="baseline"/>
        </w:rPr>
        <w:t> </w:t>
      </w:r>
      <w:r>
        <w:rPr>
          <w:vertAlign w:val="baseline"/>
        </w:rPr>
        <w:t>But it may be briefly stated here that we visualize the future trend of school education to be towards a fruitful mingling of general and vocational education-general education containing some elements of pre- vocational and technical education, and vocational education, in its turn, having an element of general education. In the kind of society in which we will be living in the coming years, a complete separation between the two will not only be undesirable but impossible. We also expect a considerable expansion of professional education at the university stage, especially in the agricultural and technological fields.</w:t>
      </w:r>
    </w:p>
    <w:p>
      <w:pPr>
        <w:pStyle w:val="BodyText"/>
        <w:spacing w:before="7"/>
      </w:pPr>
    </w:p>
    <w:p>
      <w:pPr>
        <w:pStyle w:val="ListParagraph"/>
        <w:numPr>
          <w:ilvl w:val="1"/>
          <w:numId w:val="12"/>
        </w:numPr>
        <w:tabs>
          <w:tab w:pos="718" w:val="left" w:leader="none"/>
        </w:tabs>
        <w:spacing w:line="240" w:lineRule="auto" w:before="0" w:after="0"/>
        <w:ind w:left="160" w:right="495" w:firstLine="0"/>
        <w:jc w:val="both"/>
        <w:rPr>
          <w:b/>
          <w:sz w:val="24"/>
        </w:rPr>
      </w:pPr>
      <w:r>
        <w:rPr>
          <w:b/>
          <w:sz w:val="24"/>
        </w:rPr>
        <w:t>Improvement of Scientific and Technological Education and Research at University Stage with Special Emphasis on Agriculture and Allied Sciences. </w:t>
      </w:r>
      <w:r>
        <w:rPr>
          <w:sz w:val="24"/>
        </w:rPr>
        <w:t>For the planned development of the national economy we need a large-scale expansion of enrolment in engineering and agriculture, and at the postgraduate level, in pure science subjects. The increase has to be several times the present enrolments. The quality of education</w:t>
      </w:r>
      <w:r>
        <w:rPr>
          <w:spacing w:val="-1"/>
          <w:sz w:val="24"/>
        </w:rPr>
        <w:t> </w:t>
      </w:r>
      <w:r>
        <w:rPr>
          <w:sz w:val="24"/>
        </w:rPr>
        <w:t>and</w:t>
      </w:r>
      <w:r>
        <w:rPr>
          <w:spacing w:val="-1"/>
          <w:sz w:val="24"/>
        </w:rPr>
        <w:t> </w:t>
      </w:r>
      <w:r>
        <w:rPr>
          <w:sz w:val="24"/>
        </w:rPr>
        <w:t>research</w:t>
      </w:r>
      <w:r>
        <w:rPr>
          <w:spacing w:val="-2"/>
          <w:sz w:val="24"/>
        </w:rPr>
        <w:t> </w:t>
      </w:r>
      <w:r>
        <w:rPr>
          <w:sz w:val="24"/>
        </w:rPr>
        <w:t>needs</w:t>
      </w:r>
      <w:r>
        <w:rPr>
          <w:spacing w:val="-1"/>
          <w:sz w:val="24"/>
        </w:rPr>
        <w:t> </w:t>
      </w:r>
      <w:r>
        <w:rPr>
          <w:sz w:val="24"/>
        </w:rPr>
        <w:t>a</w:t>
      </w:r>
      <w:r>
        <w:rPr>
          <w:spacing w:val="-1"/>
          <w:sz w:val="24"/>
        </w:rPr>
        <w:t> </w:t>
      </w:r>
      <w:r>
        <w:rPr>
          <w:sz w:val="24"/>
        </w:rPr>
        <w:t>radical</w:t>
      </w:r>
      <w:r>
        <w:rPr>
          <w:spacing w:val="-1"/>
          <w:sz w:val="24"/>
        </w:rPr>
        <w:t> </w:t>
      </w:r>
      <w:r>
        <w:rPr>
          <w:sz w:val="24"/>
        </w:rPr>
        <w:t>improvement.</w:t>
      </w:r>
      <w:r>
        <w:rPr>
          <w:spacing w:val="-1"/>
          <w:sz w:val="24"/>
        </w:rPr>
        <w:t> </w:t>
      </w:r>
      <w:r>
        <w:rPr>
          <w:sz w:val="24"/>
        </w:rPr>
        <w:t>We</w:t>
      </w:r>
      <w:r>
        <w:rPr>
          <w:spacing w:val="-1"/>
          <w:sz w:val="24"/>
        </w:rPr>
        <w:t> </w:t>
      </w:r>
      <w:r>
        <w:rPr>
          <w:sz w:val="24"/>
        </w:rPr>
        <w:t>propose</w:t>
      </w:r>
      <w:r>
        <w:rPr>
          <w:spacing w:val="-1"/>
          <w:sz w:val="24"/>
        </w:rPr>
        <w:t> </w:t>
      </w:r>
      <w:r>
        <w:rPr>
          <w:sz w:val="24"/>
        </w:rPr>
        <w:t>to</w:t>
      </w:r>
      <w:r>
        <w:rPr>
          <w:spacing w:val="-1"/>
          <w:sz w:val="24"/>
        </w:rPr>
        <w:t> </w:t>
      </w:r>
      <w:r>
        <w:rPr>
          <w:sz w:val="24"/>
        </w:rPr>
        <w:t>discuss</w:t>
      </w:r>
      <w:r>
        <w:rPr>
          <w:spacing w:val="-1"/>
          <w:sz w:val="24"/>
        </w:rPr>
        <w:t> </w:t>
      </w:r>
      <w:r>
        <w:rPr>
          <w:sz w:val="24"/>
        </w:rPr>
        <w:t>these</w:t>
      </w:r>
      <w:r>
        <w:rPr>
          <w:spacing w:val="-1"/>
          <w:sz w:val="24"/>
        </w:rPr>
        <w:t> </w:t>
      </w:r>
      <w:r>
        <w:rPr>
          <w:sz w:val="24"/>
        </w:rPr>
        <w:t>matters at some length in the subsequent chapters.</w:t>
      </w:r>
      <w:r>
        <w:rPr>
          <w:b/>
          <w:sz w:val="24"/>
          <w:vertAlign w:val="superscript"/>
        </w:rPr>
        <w:t>5</w:t>
      </w:r>
    </w:p>
    <w:p>
      <w:pPr>
        <w:pStyle w:val="BodyText"/>
        <w:spacing w:before="3"/>
        <w:rPr>
          <w:b/>
        </w:rPr>
      </w:pPr>
    </w:p>
    <w:p>
      <w:pPr>
        <w:pStyle w:val="Heading1"/>
        <w:spacing w:before="1"/>
      </w:pPr>
      <w:bookmarkStart w:name="_TOC_250020" w:id="9"/>
      <w:r>
        <w:rPr/>
        <w:t>EDUCATION</w:t>
      </w:r>
      <w:r>
        <w:rPr>
          <w:spacing w:val="-7"/>
        </w:rPr>
        <w:t> </w:t>
      </w:r>
      <w:r>
        <w:rPr/>
        <w:t>AND</w:t>
      </w:r>
      <w:r>
        <w:rPr>
          <w:spacing w:val="-5"/>
        </w:rPr>
        <w:t> </w:t>
      </w:r>
      <w:r>
        <w:rPr/>
        <w:t>SOCIAL</w:t>
      </w:r>
      <w:r>
        <w:rPr>
          <w:spacing w:val="-5"/>
        </w:rPr>
        <w:t> </w:t>
      </w:r>
      <w:r>
        <w:rPr/>
        <w:t>AND</w:t>
      </w:r>
      <w:r>
        <w:rPr>
          <w:spacing w:val="-5"/>
        </w:rPr>
        <w:t> </w:t>
      </w:r>
      <w:r>
        <w:rPr/>
        <w:t>NATIONAL</w:t>
      </w:r>
      <w:r>
        <w:rPr>
          <w:spacing w:val="-4"/>
        </w:rPr>
        <w:t> </w:t>
      </w:r>
      <w:bookmarkEnd w:id="9"/>
      <w:r>
        <w:rPr>
          <w:spacing w:val="-2"/>
        </w:rPr>
        <w:t>INTEGRATION</w:t>
      </w:r>
    </w:p>
    <w:p>
      <w:pPr>
        <w:pStyle w:val="BodyText"/>
        <w:spacing w:before="2"/>
        <w:rPr>
          <w:b/>
        </w:rPr>
      </w:pPr>
    </w:p>
    <w:p>
      <w:pPr>
        <w:pStyle w:val="ListParagraph"/>
        <w:numPr>
          <w:ilvl w:val="1"/>
          <w:numId w:val="12"/>
        </w:numPr>
        <w:tabs>
          <w:tab w:pos="650" w:val="left" w:leader="none"/>
        </w:tabs>
        <w:spacing w:line="240" w:lineRule="auto" w:before="0" w:after="0"/>
        <w:ind w:left="159" w:right="500" w:firstLine="0"/>
        <w:jc w:val="both"/>
        <w:rPr>
          <w:sz w:val="24"/>
        </w:rPr>
      </w:pPr>
      <w:r>
        <w:rPr>
          <w:sz w:val="24"/>
        </w:rPr>
        <w:t>Social and national integration is crucial to the creation of a strong, united country, which is an essential pre-condition for all progress. It has a varied content-economic, social, cultural and political-and its different facets are closely interconnected. It needs:</w:t>
      </w:r>
    </w:p>
    <w:p>
      <w:pPr>
        <w:pStyle w:val="BodyText"/>
        <w:spacing w:before="5"/>
      </w:pPr>
    </w:p>
    <w:p>
      <w:pPr>
        <w:pStyle w:val="ListParagraph"/>
        <w:numPr>
          <w:ilvl w:val="2"/>
          <w:numId w:val="12"/>
        </w:numPr>
        <w:tabs>
          <w:tab w:pos="299" w:val="left" w:leader="none"/>
        </w:tabs>
        <w:spacing w:line="240" w:lineRule="auto" w:before="0" w:after="0"/>
        <w:ind w:left="299" w:right="0" w:hanging="139"/>
        <w:jc w:val="both"/>
        <w:rPr>
          <w:sz w:val="24"/>
        </w:rPr>
      </w:pPr>
      <w:r>
        <w:rPr>
          <w:sz w:val="24"/>
        </w:rPr>
        <w:t>confidence</w:t>
      </w:r>
      <w:r>
        <w:rPr>
          <w:spacing w:val="-3"/>
          <w:sz w:val="24"/>
        </w:rPr>
        <w:t> </w:t>
      </w:r>
      <w:r>
        <w:rPr>
          <w:sz w:val="24"/>
        </w:rPr>
        <w:t>in</w:t>
      </w:r>
      <w:r>
        <w:rPr>
          <w:spacing w:val="-1"/>
          <w:sz w:val="24"/>
        </w:rPr>
        <w:t> </w:t>
      </w:r>
      <w:r>
        <w:rPr>
          <w:sz w:val="24"/>
        </w:rPr>
        <w:t>the</w:t>
      </w:r>
      <w:r>
        <w:rPr>
          <w:spacing w:val="-2"/>
          <w:sz w:val="24"/>
        </w:rPr>
        <w:t> </w:t>
      </w:r>
      <w:r>
        <w:rPr>
          <w:sz w:val="24"/>
        </w:rPr>
        <w:t>nation's</w:t>
      </w:r>
      <w:r>
        <w:rPr>
          <w:spacing w:val="-1"/>
          <w:sz w:val="24"/>
        </w:rPr>
        <w:t> </w:t>
      </w:r>
      <w:r>
        <w:rPr>
          <w:spacing w:val="-2"/>
          <w:sz w:val="24"/>
        </w:rPr>
        <w:t>future;</w:t>
      </w:r>
    </w:p>
    <w:p>
      <w:pPr>
        <w:pStyle w:val="BodyText"/>
        <w:spacing w:before="2"/>
      </w:pPr>
    </w:p>
    <w:p>
      <w:pPr>
        <w:pStyle w:val="ListParagraph"/>
        <w:numPr>
          <w:ilvl w:val="2"/>
          <w:numId w:val="12"/>
        </w:numPr>
        <w:tabs>
          <w:tab w:pos="373" w:val="left" w:leader="none"/>
        </w:tabs>
        <w:spacing w:line="240" w:lineRule="auto" w:before="0" w:after="0"/>
        <w:ind w:left="160" w:right="495" w:firstLine="0"/>
        <w:jc w:val="both"/>
        <w:rPr>
          <w:sz w:val="24"/>
        </w:rPr>
      </w:pPr>
      <w:r>
        <w:rPr>
          <w:sz w:val="24"/>
        </w:rPr>
        <w:t>a continuous rise in the standard of living for the masses and the reduction in unemployment and in the disparities in development between different parts of the country, all of which are essential to promote a sense of equality of opportunity in political, economic and social terms;</w:t>
      </w:r>
    </w:p>
    <w:p>
      <w:pPr>
        <w:pStyle w:val="BodyText"/>
        <w:spacing w:before="4"/>
      </w:pPr>
    </w:p>
    <w:p>
      <w:pPr>
        <w:pStyle w:val="ListParagraph"/>
        <w:numPr>
          <w:ilvl w:val="2"/>
          <w:numId w:val="12"/>
        </w:numPr>
        <w:tabs>
          <w:tab w:pos="305" w:val="left" w:leader="none"/>
        </w:tabs>
        <w:spacing w:line="240" w:lineRule="auto" w:before="0" w:after="0"/>
        <w:ind w:left="160" w:right="497" w:firstLine="0"/>
        <w:jc w:val="both"/>
        <w:rPr>
          <w:sz w:val="24"/>
        </w:rPr>
      </w:pPr>
      <w:r>
        <w:rPr>
          <w:sz w:val="24"/>
        </w:rPr>
        <w:t>a deep sense of the values and obligations of citizenship and a growing identification of the people, not with sectional loyalties but with the 'nation' as a whole;</w:t>
      </w:r>
    </w:p>
    <w:p>
      <w:pPr>
        <w:pStyle w:val="BodyText"/>
        <w:spacing w:before="5"/>
      </w:pPr>
    </w:p>
    <w:p>
      <w:pPr>
        <w:pStyle w:val="ListParagraph"/>
        <w:numPr>
          <w:ilvl w:val="2"/>
          <w:numId w:val="12"/>
        </w:numPr>
        <w:tabs>
          <w:tab w:pos="300" w:val="left" w:leader="none"/>
        </w:tabs>
        <w:spacing w:line="240" w:lineRule="auto" w:before="0" w:after="0"/>
        <w:ind w:left="160" w:right="497" w:firstLine="0"/>
        <w:jc w:val="both"/>
        <w:rPr>
          <w:sz w:val="24"/>
        </w:rPr>
      </w:pPr>
      <w:r>
        <w:rPr>
          <w:sz w:val="24"/>
        </w:rPr>
        <w:t>assurance</w:t>
      </w:r>
      <w:r>
        <w:rPr>
          <w:spacing w:val="-1"/>
          <w:sz w:val="24"/>
        </w:rPr>
        <w:t> </w:t>
      </w:r>
      <w:r>
        <w:rPr>
          <w:sz w:val="24"/>
        </w:rPr>
        <w:t>of</w:t>
      </w:r>
      <w:r>
        <w:rPr>
          <w:spacing w:val="-1"/>
          <w:sz w:val="24"/>
        </w:rPr>
        <w:t> </w:t>
      </w:r>
      <w:r>
        <w:rPr>
          <w:sz w:val="24"/>
        </w:rPr>
        <w:t>good</w:t>
      </w:r>
      <w:r>
        <w:rPr>
          <w:spacing w:val="-1"/>
          <w:sz w:val="24"/>
        </w:rPr>
        <w:t> </w:t>
      </w:r>
      <w:r>
        <w:rPr>
          <w:sz w:val="24"/>
        </w:rPr>
        <w:t>and</w:t>
      </w:r>
      <w:r>
        <w:rPr>
          <w:spacing w:val="-1"/>
          <w:sz w:val="24"/>
        </w:rPr>
        <w:t> </w:t>
      </w:r>
      <w:r>
        <w:rPr>
          <w:sz w:val="24"/>
        </w:rPr>
        <w:t>impartial</w:t>
      </w:r>
      <w:r>
        <w:rPr>
          <w:spacing w:val="-1"/>
          <w:sz w:val="24"/>
        </w:rPr>
        <w:t> </w:t>
      </w:r>
      <w:r>
        <w:rPr>
          <w:sz w:val="24"/>
        </w:rPr>
        <w:t>administration,</w:t>
      </w:r>
      <w:r>
        <w:rPr>
          <w:spacing w:val="-4"/>
          <w:sz w:val="24"/>
        </w:rPr>
        <w:t> </w:t>
      </w:r>
      <w:r>
        <w:rPr>
          <w:sz w:val="24"/>
        </w:rPr>
        <w:t>equal</w:t>
      </w:r>
      <w:r>
        <w:rPr>
          <w:spacing w:val="-1"/>
          <w:sz w:val="24"/>
        </w:rPr>
        <w:t> </w:t>
      </w:r>
      <w:r>
        <w:rPr>
          <w:sz w:val="24"/>
        </w:rPr>
        <w:t>treatment</w:t>
      </w:r>
      <w:r>
        <w:rPr>
          <w:spacing w:val="-1"/>
          <w:sz w:val="24"/>
        </w:rPr>
        <w:t> </w:t>
      </w:r>
      <w:r>
        <w:rPr>
          <w:sz w:val="24"/>
        </w:rPr>
        <w:t>for</w:t>
      </w:r>
      <w:r>
        <w:rPr>
          <w:spacing w:val="-1"/>
          <w:sz w:val="24"/>
        </w:rPr>
        <w:t> </w:t>
      </w:r>
      <w:r>
        <w:rPr>
          <w:sz w:val="24"/>
        </w:rPr>
        <w:t>every</w:t>
      </w:r>
      <w:r>
        <w:rPr>
          <w:spacing w:val="-1"/>
          <w:sz w:val="24"/>
        </w:rPr>
        <w:t> </w:t>
      </w:r>
      <w:r>
        <w:rPr>
          <w:sz w:val="24"/>
        </w:rPr>
        <w:t>citizen,</w:t>
      </w:r>
      <w:r>
        <w:rPr>
          <w:spacing w:val="-1"/>
          <w:sz w:val="24"/>
        </w:rPr>
        <w:t> </w:t>
      </w:r>
      <w:r>
        <w:rPr>
          <w:sz w:val="24"/>
        </w:rPr>
        <w:t>in</w:t>
      </w:r>
      <w:r>
        <w:rPr>
          <w:spacing w:val="-1"/>
          <w:sz w:val="24"/>
        </w:rPr>
        <w:t> </w:t>
      </w:r>
      <w:r>
        <w:rPr>
          <w:sz w:val="24"/>
        </w:rPr>
        <w:t>fact and not merely in law, based on the integrity of the public services; and</w:t>
      </w:r>
    </w:p>
    <w:p>
      <w:pPr>
        <w:pStyle w:val="BodyText"/>
        <w:spacing w:before="3"/>
      </w:pPr>
    </w:p>
    <w:p>
      <w:pPr>
        <w:pStyle w:val="ListParagraph"/>
        <w:numPr>
          <w:ilvl w:val="2"/>
          <w:numId w:val="12"/>
        </w:numPr>
        <w:tabs>
          <w:tab w:pos="349" w:val="left" w:leader="none"/>
        </w:tabs>
        <w:spacing w:line="240" w:lineRule="auto" w:before="1" w:after="0"/>
        <w:ind w:left="160" w:right="498" w:firstLine="0"/>
        <w:jc w:val="both"/>
        <w:rPr>
          <w:sz w:val="24"/>
        </w:rPr>
      </w:pPr>
      <w:r>
        <w:rPr>
          <w:sz w:val="24"/>
        </w:rPr>
        <w:t>mutual understanding of and respect for the culture, traditions and ways of life of different sections of the nation.</w:t>
      </w:r>
    </w:p>
    <w:p>
      <w:pPr>
        <w:pStyle w:val="BodyText"/>
        <w:spacing w:before="3"/>
      </w:pPr>
    </w:p>
    <w:p>
      <w:pPr>
        <w:pStyle w:val="BodyText"/>
        <w:ind w:left="160" w:right="497"/>
        <w:jc w:val="both"/>
      </w:pPr>
      <w:r>
        <w:rPr>
          <w:b/>
          <w:vertAlign w:val="superscript"/>
        </w:rPr>
        <w:t>3</w:t>
      </w:r>
      <w:r>
        <w:rPr>
          <w:vertAlign w:val="baseline"/>
        </w:rPr>
        <w:t>Report of the Calcutta University Commission, Vol. 1, p. 21. </w:t>
      </w:r>
      <w:r>
        <w:rPr>
          <w:b/>
          <w:vertAlign w:val="superscript"/>
        </w:rPr>
        <w:t>4</w:t>
      </w:r>
      <w:r>
        <w:rPr>
          <w:vertAlign w:val="baseline"/>
        </w:rPr>
        <w:t>Chapters VII, XII, XIV and XV. </w:t>
      </w:r>
      <w:r>
        <w:rPr>
          <w:b/>
          <w:vertAlign w:val="superscript"/>
        </w:rPr>
        <w:t>5</w:t>
      </w:r>
      <w:r>
        <w:rPr>
          <w:vertAlign w:val="baseline"/>
        </w:rPr>
        <w:t>Chapters XIV, XV and XVI.</w:t>
      </w:r>
    </w:p>
    <w:p>
      <w:pPr>
        <w:spacing w:after="0"/>
        <w:jc w:val="both"/>
        <w:sectPr>
          <w:pgSz w:w="12240" w:h="15840"/>
          <w:pgMar w:header="0" w:footer="743" w:top="1360" w:bottom="940" w:left="1640" w:right="1300"/>
        </w:sectPr>
      </w:pPr>
    </w:p>
    <w:p>
      <w:pPr>
        <w:pStyle w:val="BodyText"/>
        <w:spacing w:before="76"/>
        <w:ind w:left="159" w:right="496"/>
        <w:jc w:val="both"/>
      </w:pPr>
      <w:r>
        <w:rPr/>
        <w:t>To make this social and psychological revolution possible, it is necessary to deal with the short-term problems facing the country in this field, particularly in regard to the growing and dangerous symptoms of social disorganization. These express themselves as the widening gulf between the rich and the poor, the privileged and the unprivileged, the urban and the rural, the educated and the uneducated. They are reflected in the general weakening of the feeling of national solidarity under the increasing impact of local, regional, linguistic, religious and other sectional or parochial loyalties. Effective steps must be taken to bridge these dangerous gulfs and strengthen national consciousness and </w:t>
      </w:r>
      <w:r>
        <w:rPr>
          <w:spacing w:val="-2"/>
        </w:rPr>
        <w:t>unity.</w:t>
      </w:r>
    </w:p>
    <w:p>
      <w:pPr>
        <w:pStyle w:val="BodyText"/>
        <w:spacing w:before="4"/>
      </w:pPr>
    </w:p>
    <w:p>
      <w:pPr>
        <w:pStyle w:val="ListParagraph"/>
        <w:numPr>
          <w:ilvl w:val="1"/>
          <w:numId w:val="12"/>
        </w:numPr>
        <w:tabs>
          <w:tab w:pos="651" w:val="left" w:leader="none"/>
        </w:tabs>
        <w:spacing w:line="240" w:lineRule="auto" w:before="0" w:after="0"/>
        <w:ind w:left="160" w:right="497" w:firstLine="0"/>
        <w:jc w:val="both"/>
        <w:rPr>
          <w:sz w:val="24"/>
        </w:rPr>
      </w:pPr>
      <w:r>
        <w:rPr>
          <w:sz w:val="24"/>
        </w:rPr>
        <w:t>Social and national integration is a major problem which will have to be tackled on several fronts, including education. In our view, education can and should play a very significant role in it by</w:t>
      </w:r>
    </w:p>
    <w:p>
      <w:pPr>
        <w:pStyle w:val="BodyText"/>
        <w:spacing w:before="5"/>
      </w:pPr>
    </w:p>
    <w:p>
      <w:pPr>
        <w:pStyle w:val="ListParagraph"/>
        <w:numPr>
          <w:ilvl w:val="2"/>
          <w:numId w:val="12"/>
        </w:numPr>
        <w:tabs>
          <w:tab w:pos="299" w:val="left" w:leader="none"/>
        </w:tabs>
        <w:spacing w:line="240" w:lineRule="auto" w:before="0" w:after="0"/>
        <w:ind w:left="299" w:right="0" w:hanging="139"/>
        <w:jc w:val="both"/>
        <w:rPr>
          <w:sz w:val="24"/>
        </w:rPr>
      </w:pPr>
      <w:r>
        <w:rPr>
          <w:sz w:val="24"/>
        </w:rPr>
        <w:t>introducing a common school system of public </w:t>
      </w:r>
      <w:r>
        <w:rPr>
          <w:spacing w:val="-2"/>
          <w:sz w:val="24"/>
        </w:rPr>
        <w:t>education;</w:t>
      </w:r>
    </w:p>
    <w:p>
      <w:pPr>
        <w:pStyle w:val="BodyText"/>
        <w:spacing w:before="5"/>
      </w:pPr>
    </w:p>
    <w:p>
      <w:pPr>
        <w:pStyle w:val="ListParagraph"/>
        <w:numPr>
          <w:ilvl w:val="2"/>
          <w:numId w:val="12"/>
        </w:numPr>
        <w:tabs>
          <w:tab w:pos="298" w:val="left" w:leader="none"/>
        </w:tabs>
        <w:spacing w:line="240" w:lineRule="auto" w:before="0" w:after="0"/>
        <w:ind w:left="298" w:right="0" w:hanging="138"/>
        <w:jc w:val="both"/>
        <w:rPr>
          <w:sz w:val="24"/>
        </w:rPr>
      </w:pPr>
      <w:r>
        <w:rPr>
          <w:sz w:val="24"/>
        </w:rPr>
        <w:t>making</w:t>
      </w:r>
      <w:r>
        <w:rPr>
          <w:spacing w:val="-2"/>
          <w:sz w:val="24"/>
        </w:rPr>
        <w:t> </w:t>
      </w:r>
      <w:r>
        <w:rPr>
          <w:sz w:val="24"/>
        </w:rPr>
        <w:t>social</w:t>
      </w:r>
      <w:r>
        <w:rPr>
          <w:spacing w:val="-1"/>
          <w:sz w:val="24"/>
        </w:rPr>
        <w:t> </w:t>
      </w:r>
      <w:r>
        <w:rPr>
          <w:sz w:val="24"/>
        </w:rPr>
        <w:t>and</w:t>
      </w:r>
      <w:r>
        <w:rPr>
          <w:spacing w:val="-1"/>
          <w:sz w:val="24"/>
        </w:rPr>
        <w:t> </w:t>
      </w:r>
      <w:r>
        <w:rPr>
          <w:sz w:val="24"/>
        </w:rPr>
        <w:t>national</w:t>
      </w:r>
      <w:r>
        <w:rPr>
          <w:spacing w:val="-1"/>
          <w:sz w:val="24"/>
        </w:rPr>
        <w:t> </w:t>
      </w:r>
      <w:r>
        <w:rPr>
          <w:sz w:val="24"/>
        </w:rPr>
        <w:t>service</w:t>
      </w:r>
      <w:r>
        <w:rPr>
          <w:spacing w:val="-1"/>
          <w:sz w:val="24"/>
        </w:rPr>
        <w:t> </w:t>
      </w:r>
      <w:r>
        <w:rPr>
          <w:sz w:val="24"/>
        </w:rPr>
        <w:t>an</w:t>
      </w:r>
      <w:r>
        <w:rPr>
          <w:spacing w:val="-1"/>
          <w:sz w:val="24"/>
        </w:rPr>
        <w:t> </w:t>
      </w:r>
      <w:r>
        <w:rPr>
          <w:sz w:val="24"/>
        </w:rPr>
        <w:t>integral</w:t>
      </w:r>
      <w:r>
        <w:rPr>
          <w:spacing w:val="-1"/>
          <w:sz w:val="24"/>
        </w:rPr>
        <w:t> </w:t>
      </w:r>
      <w:r>
        <w:rPr>
          <w:sz w:val="24"/>
        </w:rPr>
        <w:t>part of education at all </w:t>
      </w:r>
      <w:r>
        <w:rPr>
          <w:spacing w:val="-2"/>
          <w:sz w:val="24"/>
        </w:rPr>
        <w:t>stages;</w:t>
      </w:r>
    </w:p>
    <w:p>
      <w:pPr>
        <w:pStyle w:val="BodyText"/>
        <w:spacing w:before="2"/>
      </w:pPr>
    </w:p>
    <w:p>
      <w:pPr>
        <w:pStyle w:val="ListParagraph"/>
        <w:numPr>
          <w:ilvl w:val="2"/>
          <w:numId w:val="12"/>
        </w:numPr>
        <w:tabs>
          <w:tab w:pos="317" w:val="left" w:leader="none"/>
        </w:tabs>
        <w:spacing w:line="240" w:lineRule="auto" w:before="0" w:after="0"/>
        <w:ind w:left="160" w:right="496" w:firstLine="0"/>
        <w:jc w:val="both"/>
        <w:rPr>
          <w:sz w:val="24"/>
        </w:rPr>
      </w:pPr>
      <w:r>
        <w:rPr>
          <w:sz w:val="24"/>
        </w:rPr>
        <w:t>developing all modem Indian languages, and taking necessary steps to enrich Hindi as quickly as possible so that it is able to function effectively as the official language of the Union; and</w:t>
      </w:r>
    </w:p>
    <w:p>
      <w:pPr>
        <w:pStyle w:val="BodyText"/>
        <w:spacing w:before="5"/>
      </w:pPr>
    </w:p>
    <w:p>
      <w:pPr>
        <w:pStyle w:val="ListParagraph"/>
        <w:numPr>
          <w:ilvl w:val="2"/>
          <w:numId w:val="12"/>
        </w:numPr>
        <w:tabs>
          <w:tab w:pos="298" w:val="left" w:leader="none"/>
        </w:tabs>
        <w:spacing w:line="240" w:lineRule="auto" w:before="0" w:after="0"/>
        <w:ind w:left="298" w:right="0" w:hanging="138"/>
        <w:jc w:val="both"/>
        <w:rPr>
          <w:sz w:val="24"/>
        </w:rPr>
      </w:pPr>
      <w:r>
        <w:rPr>
          <w:sz w:val="24"/>
        </w:rPr>
        <w:t>promoting</w:t>
      </w:r>
      <w:r>
        <w:rPr>
          <w:spacing w:val="-4"/>
          <w:sz w:val="24"/>
        </w:rPr>
        <w:t> </w:t>
      </w:r>
      <w:r>
        <w:rPr>
          <w:sz w:val="24"/>
        </w:rPr>
        <w:t>national</w:t>
      </w:r>
      <w:r>
        <w:rPr>
          <w:spacing w:val="-2"/>
          <w:sz w:val="24"/>
        </w:rPr>
        <w:t> consciousness.</w:t>
      </w:r>
    </w:p>
    <w:p>
      <w:pPr>
        <w:pStyle w:val="BodyText"/>
        <w:spacing w:before="5"/>
      </w:pPr>
    </w:p>
    <w:p>
      <w:pPr>
        <w:pStyle w:val="BodyText"/>
        <w:ind w:left="160"/>
        <w:jc w:val="both"/>
      </w:pPr>
      <w:r>
        <w:rPr/>
        <w:t>We propose to discuss these briefly in the paragraphs that </w:t>
      </w:r>
      <w:r>
        <w:rPr>
          <w:spacing w:val="-2"/>
        </w:rPr>
        <w:t>follow.</w:t>
      </w:r>
    </w:p>
    <w:p>
      <w:pPr>
        <w:pStyle w:val="BodyText"/>
        <w:spacing w:before="2"/>
      </w:pPr>
    </w:p>
    <w:p>
      <w:pPr>
        <w:pStyle w:val="ListParagraph"/>
        <w:numPr>
          <w:ilvl w:val="1"/>
          <w:numId w:val="12"/>
        </w:numPr>
        <w:tabs>
          <w:tab w:pos="706" w:val="left" w:leader="none"/>
        </w:tabs>
        <w:spacing w:line="240" w:lineRule="auto" w:before="1" w:after="0"/>
        <w:ind w:left="160" w:right="495" w:firstLine="0"/>
        <w:jc w:val="both"/>
        <w:rPr>
          <w:b/>
          <w:sz w:val="24"/>
        </w:rPr>
      </w:pPr>
      <w:r>
        <w:rPr>
          <w:b/>
          <w:sz w:val="24"/>
        </w:rPr>
        <w:t>The Common School. </w:t>
      </w:r>
      <w:r>
        <w:rPr>
          <w:sz w:val="24"/>
        </w:rPr>
        <w:t>In a situation of the type we have ill India, it is the responsibility of the educational system to bring the different social classes and groups together and thus promote the emergence of an egalitarian and integrated society. But at present instead of doing so, education itself is tending to increase social segregation and to perpetuate and widen class distinctions. At the primary stage, the free schools to which the</w:t>
      </w:r>
      <w:r>
        <w:rPr>
          <w:spacing w:val="-2"/>
          <w:sz w:val="24"/>
        </w:rPr>
        <w:t> </w:t>
      </w:r>
      <w:r>
        <w:rPr>
          <w:sz w:val="24"/>
        </w:rPr>
        <w:t>masses</w:t>
      </w:r>
      <w:r>
        <w:rPr>
          <w:spacing w:val="-2"/>
          <w:sz w:val="24"/>
        </w:rPr>
        <w:t> </w:t>
      </w:r>
      <w:r>
        <w:rPr>
          <w:sz w:val="24"/>
        </w:rPr>
        <w:t>send</w:t>
      </w:r>
      <w:r>
        <w:rPr>
          <w:spacing w:val="-2"/>
          <w:sz w:val="24"/>
        </w:rPr>
        <w:t> </w:t>
      </w:r>
      <w:r>
        <w:rPr>
          <w:sz w:val="24"/>
        </w:rPr>
        <w:t>their</w:t>
      </w:r>
      <w:r>
        <w:rPr>
          <w:spacing w:val="-2"/>
          <w:sz w:val="24"/>
        </w:rPr>
        <w:t> </w:t>
      </w:r>
      <w:r>
        <w:rPr>
          <w:sz w:val="24"/>
        </w:rPr>
        <w:t>children</w:t>
      </w:r>
      <w:r>
        <w:rPr>
          <w:spacing w:val="-2"/>
          <w:sz w:val="24"/>
        </w:rPr>
        <w:t> </w:t>
      </w:r>
      <w:r>
        <w:rPr>
          <w:sz w:val="24"/>
        </w:rPr>
        <w:t>are</w:t>
      </w:r>
      <w:r>
        <w:rPr>
          <w:spacing w:val="-2"/>
          <w:sz w:val="24"/>
        </w:rPr>
        <w:t> </w:t>
      </w:r>
      <w:r>
        <w:rPr>
          <w:sz w:val="24"/>
        </w:rPr>
        <w:t>maintained</w:t>
      </w:r>
      <w:r>
        <w:rPr>
          <w:spacing w:val="-2"/>
          <w:sz w:val="24"/>
        </w:rPr>
        <w:t> </w:t>
      </w:r>
      <w:r>
        <w:rPr>
          <w:sz w:val="24"/>
        </w:rPr>
        <w:t>by</w:t>
      </w:r>
      <w:r>
        <w:rPr>
          <w:spacing w:val="-3"/>
          <w:sz w:val="24"/>
        </w:rPr>
        <w:t> </w:t>
      </w:r>
      <w:r>
        <w:rPr>
          <w:sz w:val="24"/>
        </w:rPr>
        <w:t>the</w:t>
      </w:r>
      <w:r>
        <w:rPr>
          <w:spacing w:val="-3"/>
          <w:sz w:val="24"/>
        </w:rPr>
        <w:t> </w:t>
      </w:r>
      <w:r>
        <w:rPr>
          <w:sz w:val="24"/>
        </w:rPr>
        <w:t>government</w:t>
      </w:r>
      <w:r>
        <w:rPr>
          <w:spacing w:val="-3"/>
          <w:sz w:val="24"/>
        </w:rPr>
        <w:t> </w:t>
      </w:r>
      <w:r>
        <w:rPr>
          <w:sz w:val="24"/>
        </w:rPr>
        <w:t>and</w:t>
      </w:r>
      <w:r>
        <w:rPr>
          <w:spacing w:val="-3"/>
          <w:sz w:val="24"/>
        </w:rPr>
        <w:t> </w:t>
      </w:r>
      <w:r>
        <w:rPr>
          <w:sz w:val="24"/>
        </w:rPr>
        <w:t>local</w:t>
      </w:r>
      <w:r>
        <w:rPr>
          <w:spacing w:val="-3"/>
          <w:sz w:val="24"/>
        </w:rPr>
        <w:t> </w:t>
      </w:r>
      <w:r>
        <w:rPr>
          <w:sz w:val="24"/>
        </w:rPr>
        <w:t>authorities</w:t>
      </w:r>
      <w:r>
        <w:rPr>
          <w:spacing w:val="-3"/>
          <w:sz w:val="24"/>
        </w:rPr>
        <w:t> </w:t>
      </w:r>
      <w:r>
        <w:rPr>
          <w:sz w:val="24"/>
        </w:rPr>
        <w:t>and are generally of poor quality. Some of the private schools are definitely better; but since many of them charge high fees, they are availed of only by the middle and the higher classes. At the secondary stage, a large proportion of the good schools are private but many of them also charge high fees which are normally beyond the means of any but the top ten per cent of the people, though some of the middle class parents make great sacrifices to send their children to them. There is thus segregation in education itself-the minority of private, fee-charging, better schools meeting the needs of the upper classes and the vast bulk of free, publicly maintained, but poor schools being utilized by the rest. What is worse, this segregation is 'increasing and tending to widen the gulf between the classes and the masses.</w:t>
      </w:r>
    </w:p>
    <w:p>
      <w:pPr>
        <w:pStyle w:val="BodyText"/>
        <w:spacing w:before="3"/>
      </w:pPr>
    </w:p>
    <w:p>
      <w:pPr>
        <w:pStyle w:val="ListParagraph"/>
        <w:numPr>
          <w:ilvl w:val="1"/>
          <w:numId w:val="12"/>
        </w:numPr>
        <w:tabs>
          <w:tab w:pos="695" w:val="left" w:leader="none"/>
        </w:tabs>
        <w:spacing w:line="240" w:lineRule="auto" w:before="1" w:after="0"/>
        <w:ind w:left="160" w:right="496" w:firstLine="0"/>
        <w:jc w:val="both"/>
        <w:rPr>
          <w:sz w:val="24"/>
        </w:rPr>
      </w:pPr>
      <w:r>
        <w:rPr>
          <w:sz w:val="24"/>
        </w:rPr>
        <w:t>This is one of the major weaknesses of the existing educational system. Good education, instead of being available to all children, or at least to all the able children from</w:t>
      </w:r>
      <w:r>
        <w:rPr>
          <w:spacing w:val="38"/>
          <w:sz w:val="24"/>
        </w:rPr>
        <w:t> </w:t>
      </w:r>
      <w:r>
        <w:rPr>
          <w:sz w:val="24"/>
        </w:rPr>
        <w:t>every</w:t>
      </w:r>
      <w:r>
        <w:rPr>
          <w:spacing w:val="42"/>
          <w:sz w:val="24"/>
        </w:rPr>
        <w:t> </w:t>
      </w:r>
      <w:r>
        <w:rPr>
          <w:sz w:val="24"/>
        </w:rPr>
        <w:t>stratum</w:t>
      </w:r>
      <w:r>
        <w:rPr>
          <w:spacing w:val="41"/>
          <w:sz w:val="24"/>
        </w:rPr>
        <w:t> </w:t>
      </w:r>
      <w:r>
        <w:rPr>
          <w:sz w:val="24"/>
        </w:rPr>
        <w:t>of</w:t>
      </w:r>
      <w:r>
        <w:rPr>
          <w:spacing w:val="41"/>
          <w:sz w:val="24"/>
        </w:rPr>
        <w:t> </w:t>
      </w:r>
      <w:r>
        <w:rPr>
          <w:sz w:val="24"/>
        </w:rPr>
        <w:t>society,</w:t>
      </w:r>
      <w:r>
        <w:rPr>
          <w:spacing w:val="42"/>
          <w:sz w:val="24"/>
        </w:rPr>
        <w:t> </w:t>
      </w:r>
      <w:r>
        <w:rPr>
          <w:sz w:val="24"/>
        </w:rPr>
        <w:t>is</w:t>
      </w:r>
      <w:r>
        <w:rPr>
          <w:spacing w:val="43"/>
          <w:sz w:val="24"/>
        </w:rPr>
        <w:t> </w:t>
      </w:r>
      <w:r>
        <w:rPr>
          <w:sz w:val="24"/>
        </w:rPr>
        <w:t>available</w:t>
      </w:r>
      <w:r>
        <w:rPr>
          <w:spacing w:val="42"/>
          <w:sz w:val="24"/>
        </w:rPr>
        <w:t> </w:t>
      </w:r>
      <w:r>
        <w:rPr>
          <w:sz w:val="24"/>
        </w:rPr>
        <w:t>only</w:t>
      </w:r>
      <w:r>
        <w:rPr>
          <w:spacing w:val="42"/>
          <w:sz w:val="24"/>
        </w:rPr>
        <w:t> </w:t>
      </w:r>
      <w:r>
        <w:rPr>
          <w:sz w:val="24"/>
        </w:rPr>
        <w:t>to</w:t>
      </w:r>
      <w:r>
        <w:rPr>
          <w:spacing w:val="43"/>
          <w:sz w:val="24"/>
        </w:rPr>
        <w:t> </w:t>
      </w:r>
      <w:r>
        <w:rPr>
          <w:sz w:val="24"/>
        </w:rPr>
        <w:t>a</w:t>
      </w:r>
      <w:r>
        <w:rPr>
          <w:spacing w:val="42"/>
          <w:sz w:val="24"/>
        </w:rPr>
        <w:t> </w:t>
      </w:r>
      <w:r>
        <w:rPr>
          <w:sz w:val="24"/>
        </w:rPr>
        <w:t>small</w:t>
      </w:r>
      <w:r>
        <w:rPr>
          <w:spacing w:val="42"/>
          <w:sz w:val="24"/>
        </w:rPr>
        <w:t> </w:t>
      </w:r>
      <w:r>
        <w:rPr>
          <w:sz w:val="24"/>
        </w:rPr>
        <w:t>minority</w:t>
      </w:r>
      <w:r>
        <w:rPr>
          <w:spacing w:val="43"/>
          <w:sz w:val="24"/>
        </w:rPr>
        <w:t> </w:t>
      </w:r>
      <w:r>
        <w:rPr>
          <w:sz w:val="24"/>
        </w:rPr>
        <w:t>which</w:t>
      </w:r>
      <w:r>
        <w:rPr>
          <w:spacing w:val="42"/>
          <w:sz w:val="24"/>
        </w:rPr>
        <w:t> </w:t>
      </w:r>
      <w:r>
        <w:rPr>
          <w:sz w:val="24"/>
        </w:rPr>
        <w:t>is</w:t>
      </w:r>
      <w:r>
        <w:rPr>
          <w:spacing w:val="43"/>
          <w:sz w:val="24"/>
        </w:rPr>
        <w:t> </w:t>
      </w:r>
      <w:r>
        <w:rPr>
          <w:spacing w:val="-2"/>
          <w:sz w:val="24"/>
        </w:rPr>
        <w:t>usually</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selected not on the basis of talent but on the basis of its capacity to pay fees. The identification and development of the total national pool of ability is greatly hampered. The position is thus undemocratic and inconsistent with the ideal of an egalitarian</w:t>
      </w:r>
      <w:r>
        <w:rPr>
          <w:spacing w:val="40"/>
        </w:rPr>
        <w:t> </w:t>
      </w:r>
      <w:r>
        <w:rPr/>
        <w:t>society. The children of the masses are compelled to receive sub- standard education and, as the programme of scholarships is not very large sometimes even the ablest among</w:t>
      </w:r>
      <w:r>
        <w:rPr>
          <w:spacing w:val="40"/>
        </w:rPr>
        <w:t> </w:t>
      </w:r>
      <w:r>
        <w:rPr/>
        <w:t>them are unable to find access to such good schools as exist, while the economically privileged parents are able to 'buy' good education for their children. This is bad not only for the children of the poor but also for the children from the rich and privileged groups.</w:t>
      </w:r>
      <w:r>
        <w:rPr>
          <w:spacing w:val="40"/>
        </w:rPr>
        <w:t> </w:t>
      </w:r>
      <w:r>
        <w:rPr/>
        <w:t>It gives them a short-term advantage in so far as it enables them to perpetuate and consolidate their position. But it must be realized that, in the long run, their self-interest lies in identifying themselves with the masses. By segregating their children, such privileged parents prevent them from sharing the life and experiences of the children of the poor and coming into contact with the realities of life. In addition to weakening social cohesion, they also render the education of their own children anemic and incomplete.</w:t>
      </w:r>
    </w:p>
    <w:p>
      <w:pPr>
        <w:pStyle w:val="BodyText"/>
        <w:spacing w:before="4"/>
      </w:pPr>
    </w:p>
    <w:p>
      <w:pPr>
        <w:pStyle w:val="ListParagraph"/>
        <w:numPr>
          <w:ilvl w:val="1"/>
          <w:numId w:val="12"/>
        </w:numPr>
        <w:tabs>
          <w:tab w:pos="698" w:val="left" w:leader="none"/>
        </w:tabs>
        <w:spacing w:line="240" w:lineRule="auto" w:before="0" w:after="0"/>
        <w:ind w:left="160" w:right="498" w:firstLine="0"/>
        <w:jc w:val="both"/>
        <w:rPr>
          <w:sz w:val="24"/>
        </w:rPr>
      </w:pPr>
      <w:r>
        <w:rPr>
          <w:sz w:val="24"/>
        </w:rPr>
        <w:t>If these evils are to be eliminated and the educational system is to become a powerful instrument of national development in general, and social and national integration in particular, we must move towards the goal of a common school system of public education</w:t>
      </w:r>
    </w:p>
    <w:p>
      <w:pPr>
        <w:pStyle w:val="BodyText"/>
        <w:spacing w:before="4"/>
      </w:pPr>
    </w:p>
    <w:p>
      <w:pPr>
        <w:pStyle w:val="ListParagraph"/>
        <w:numPr>
          <w:ilvl w:val="2"/>
          <w:numId w:val="12"/>
        </w:numPr>
        <w:tabs>
          <w:tab w:pos="332" w:val="left" w:leader="none"/>
        </w:tabs>
        <w:spacing w:line="240" w:lineRule="auto" w:before="0" w:after="0"/>
        <w:ind w:left="159" w:right="497" w:firstLine="0"/>
        <w:jc w:val="both"/>
        <w:rPr>
          <w:sz w:val="24"/>
        </w:rPr>
      </w:pPr>
      <w:r>
        <w:rPr>
          <w:sz w:val="24"/>
        </w:rPr>
        <w:t>which will be open to all children, irrespective of caste, creed, community, religion, economic conditions or social status;</w:t>
      </w:r>
    </w:p>
    <w:p>
      <w:pPr>
        <w:pStyle w:val="BodyText"/>
        <w:spacing w:before="6"/>
      </w:pPr>
    </w:p>
    <w:p>
      <w:pPr>
        <w:pStyle w:val="BodyText"/>
        <w:ind w:left="159"/>
        <w:jc w:val="both"/>
      </w:pPr>
      <w:r>
        <w:rPr/>
        <w:t>-where access to good education will depend not</w:t>
      </w:r>
      <w:r>
        <w:rPr>
          <w:spacing w:val="-2"/>
        </w:rPr>
        <w:t> </w:t>
      </w:r>
      <w:r>
        <w:rPr/>
        <w:t>oil wealth or class but on </w:t>
      </w:r>
      <w:r>
        <w:rPr>
          <w:spacing w:val="-2"/>
        </w:rPr>
        <w:t>talent;</w:t>
      </w:r>
    </w:p>
    <w:p>
      <w:pPr>
        <w:pStyle w:val="BodyText"/>
        <w:spacing w:before="2"/>
      </w:pPr>
    </w:p>
    <w:p>
      <w:pPr>
        <w:pStyle w:val="BodyText"/>
        <w:spacing w:before="1"/>
        <w:ind w:left="159" w:right="498"/>
        <w:jc w:val="both"/>
      </w:pPr>
      <w:r>
        <w:rPr/>
        <w:t>-Which will maintain adequate standards in all schools and provide at least a reasonable proportion of quality institutions;</w:t>
      </w:r>
    </w:p>
    <w:p>
      <w:pPr>
        <w:pStyle w:val="BodyText"/>
        <w:spacing w:before="4"/>
      </w:pPr>
    </w:p>
    <w:p>
      <w:pPr>
        <w:pStyle w:val="ListParagraph"/>
        <w:numPr>
          <w:ilvl w:val="2"/>
          <w:numId w:val="12"/>
        </w:numPr>
        <w:tabs>
          <w:tab w:pos="298" w:val="left" w:leader="none"/>
        </w:tabs>
        <w:spacing w:line="240" w:lineRule="auto" w:before="0" w:after="0"/>
        <w:ind w:left="298" w:right="0" w:hanging="139"/>
        <w:jc w:val="both"/>
        <w:rPr>
          <w:sz w:val="24"/>
        </w:rPr>
      </w:pPr>
      <w:r>
        <w:rPr>
          <w:sz w:val="24"/>
        </w:rPr>
        <w:t>in</w:t>
      </w:r>
      <w:r>
        <w:rPr>
          <w:spacing w:val="-1"/>
          <w:sz w:val="24"/>
        </w:rPr>
        <w:t> </w:t>
      </w:r>
      <w:r>
        <w:rPr>
          <w:sz w:val="24"/>
        </w:rPr>
        <w:t>which</w:t>
      </w:r>
      <w:r>
        <w:rPr>
          <w:spacing w:val="-1"/>
          <w:sz w:val="24"/>
        </w:rPr>
        <w:t> </w:t>
      </w:r>
      <w:r>
        <w:rPr>
          <w:sz w:val="24"/>
        </w:rPr>
        <w:t>no</w:t>
      </w:r>
      <w:r>
        <w:rPr>
          <w:spacing w:val="-2"/>
          <w:sz w:val="24"/>
        </w:rPr>
        <w:t> </w:t>
      </w:r>
      <w:r>
        <w:rPr>
          <w:sz w:val="24"/>
        </w:rPr>
        <w:t>tuition fee</w:t>
      </w:r>
      <w:r>
        <w:rPr>
          <w:spacing w:val="-1"/>
          <w:sz w:val="24"/>
        </w:rPr>
        <w:t> </w:t>
      </w:r>
      <w:r>
        <w:rPr>
          <w:sz w:val="24"/>
        </w:rPr>
        <w:t>will</w:t>
      </w:r>
      <w:r>
        <w:rPr>
          <w:spacing w:val="-1"/>
          <w:sz w:val="24"/>
        </w:rPr>
        <w:t> </w:t>
      </w:r>
      <w:r>
        <w:rPr>
          <w:sz w:val="24"/>
        </w:rPr>
        <w:t>be</w:t>
      </w:r>
      <w:r>
        <w:rPr>
          <w:spacing w:val="-1"/>
          <w:sz w:val="24"/>
        </w:rPr>
        <w:t> </w:t>
      </w:r>
      <w:r>
        <w:rPr>
          <w:sz w:val="24"/>
        </w:rPr>
        <w:t>charged; </w:t>
      </w:r>
      <w:r>
        <w:rPr>
          <w:spacing w:val="-5"/>
          <w:sz w:val="24"/>
        </w:rPr>
        <w:t>and</w:t>
      </w:r>
    </w:p>
    <w:p>
      <w:pPr>
        <w:pStyle w:val="BodyText"/>
        <w:spacing w:before="4"/>
      </w:pPr>
    </w:p>
    <w:p>
      <w:pPr>
        <w:pStyle w:val="BodyText"/>
        <w:ind w:left="159" w:right="496"/>
        <w:jc w:val="both"/>
      </w:pPr>
      <w:r>
        <w:rPr/>
        <w:t>-which would meet the needs of the average parent so that he would not ordinarily feel</w:t>
      </w:r>
      <w:r>
        <w:rPr>
          <w:spacing w:val="40"/>
        </w:rPr>
        <w:t> </w:t>
      </w:r>
      <w:r>
        <w:rPr/>
        <w:t>the need to send his children to expensive schools outside the system.</w:t>
      </w:r>
    </w:p>
    <w:p>
      <w:pPr>
        <w:pStyle w:val="BodyText"/>
        <w:spacing w:before="4"/>
      </w:pPr>
    </w:p>
    <w:p>
      <w:pPr>
        <w:pStyle w:val="BodyText"/>
        <w:ind w:left="159" w:right="496"/>
        <w:jc w:val="both"/>
      </w:pPr>
      <w:r>
        <w:rPr/>
        <w:t>Such an educational system has, for instance, been built up in the USSR and is one of the major factors which have contributed to its progress. It has also been developed, in different forms and to varying degrees, in other nations like the USA, France and the Scandinavian countries. The traditional English system has been different and has</w:t>
      </w:r>
      <w:r>
        <w:rPr>
          <w:spacing w:val="40"/>
        </w:rPr>
        <w:t> </w:t>
      </w:r>
      <w:r>
        <w:rPr/>
        <w:t>allowed good education, under private management, to be largely reserved for those </w:t>
      </w:r>
      <w:r>
        <w:rPr/>
        <w:t>who have the capacity to pay the necessary fees. But recently, the so-called Public Schools have come in for strong criticism in England itself and it is not unlikely that a radical change may be initiated to make them more democratic. A somewhat similar system was transplanted in India by British administrators and we have clung to it so long because it happened to be in tune with the traditional hierarchical structure of our society. Whatever its past history may be, such a system has no valid place in the new democratic and</w:t>
      </w:r>
    </w:p>
    <w:p>
      <w:pPr>
        <w:spacing w:after="0"/>
        <w:jc w:val="both"/>
        <w:sectPr>
          <w:pgSz w:w="12240" w:h="15840"/>
          <w:pgMar w:header="0" w:footer="743" w:top="1360" w:bottom="940" w:left="1640" w:right="1300"/>
        </w:sectPr>
      </w:pPr>
    </w:p>
    <w:p>
      <w:pPr>
        <w:pStyle w:val="BodyText"/>
        <w:spacing w:before="116"/>
        <w:ind w:left="160"/>
      </w:pPr>
      <w:r>
        <w:rPr/>
        <w:t>socialistic</w:t>
      </w:r>
      <w:r>
        <w:rPr>
          <w:spacing w:val="40"/>
        </w:rPr>
        <w:t> </w:t>
      </w:r>
      <w:r>
        <w:rPr/>
        <w:t>society</w:t>
      </w:r>
      <w:r>
        <w:rPr>
          <w:spacing w:val="40"/>
        </w:rPr>
        <w:t> </w:t>
      </w:r>
      <w:r>
        <w:rPr/>
        <w:t>we</w:t>
      </w:r>
      <w:r>
        <w:rPr>
          <w:spacing w:val="40"/>
        </w:rPr>
        <w:t> </w:t>
      </w:r>
      <w:r>
        <w:rPr/>
        <w:t>desire</w:t>
      </w:r>
      <w:r>
        <w:rPr>
          <w:spacing w:val="40"/>
        </w:rPr>
        <w:t> </w:t>
      </w:r>
      <w:r>
        <w:rPr/>
        <w:t>to</w:t>
      </w:r>
      <w:r>
        <w:rPr>
          <w:spacing w:val="40"/>
        </w:rPr>
        <w:t> </w:t>
      </w:r>
      <w:r>
        <w:rPr/>
        <w:t>create.</w:t>
      </w:r>
      <w:r>
        <w:rPr>
          <w:spacing w:val="40"/>
        </w:rPr>
        <w:t> </w:t>
      </w:r>
      <w:r>
        <w:rPr/>
        <w:t>We</w:t>
      </w:r>
      <w:r>
        <w:rPr>
          <w:spacing w:val="40"/>
        </w:rPr>
        <w:t> </w:t>
      </w:r>
      <w:r>
        <w:rPr/>
        <w:t>examine</w:t>
      </w:r>
      <w:r>
        <w:rPr>
          <w:spacing w:val="40"/>
        </w:rPr>
        <w:t> </w:t>
      </w:r>
      <w:r>
        <w:rPr/>
        <w:t>more</w:t>
      </w:r>
      <w:r>
        <w:rPr>
          <w:spacing w:val="40"/>
        </w:rPr>
        <w:t> </w:t>
      </w:r>
      <w:r>
        <w:rPr/>
        <w:t>fully</w:t>
      </w:r>
      <w:r>
        <w:rPr>
          <w:spacing w:val="40"/>
        </w:rPr>
        <w:t> </w:t>
      </w:r>
      <w:r>
        <w:rPr/>
        <w:t>elsewhere</w:t>
      </w:r>
      <w:r>
        <w:rPr>
          <w:b/>
          <w:vertAlign w:val="superscript"/>
        </w:rPr>
        <w:t>6</w:t>
      </w:r>
      <w:r>
        <w:rPr>
          <w:b/>
          <w:spacing w:val="40"/>
          <w:vertAlign w:val="baseline"/>
        </w:rPr>
        <w:t> </w:t>
      </w:r>
      <w:r>
        <w:rPr>
          <w:vertAlign w:val="baseline"/>
        </w:rPr>
        <w:t>how</w:t>
      </w:r>
      <w:r>
        <w:rPr>
          <w:spacing w:val="40"/>
          <w:vertAlign w:val="baseline"/>
        </w:rPr>
        <w:t> </w:t>
      </w:r>
      <w:r>
        <w:rPr>
          <w:vertAlign w:val="baseline"/>
        </w:rPr>
        <w:t>this programme can be implemented.</w:t>
      </w:r>
    </w:p>
    <w:p>
      <w:pPr>
        <w:pStyle w:val="BodyText"/>
        <w:spacing w:before="4"/>
      </w:pPr>
    </w:p>
    <w:p>
      <w:pPr>
        <w:pStyle w:val="ListParagraph"/>
        <w:numPr>
          <w:ilvl w:val="1"/>
          <w:numId w:val="12"/>
        </w:numPr>
        <w:tabs>
          <w:tab w:pos="733" w:val="left" w:leader="none"/>
        </w:tabs>
        <w:spacing w:line="240" w:lineRule="auto" w:before="0" w:after="0"/>
        <w:ind w:left="159" w:right="496" w:firstLine="0"/>
        <w:jc w:val="both"/>
        <w:rPr>
          <w:b/>
          <w:sz w:val="24"/>
        </w:rPr>
      </w:pPr>
      <w:r>
        <w:rPr>
          <w:b/>
          <w:sz w:val="24"/>
        </w:rPr>
        <w:t>Social and National Service. </w:t>
      </w:r>
      <w:r>
        <w:rPr>
          <w:sz w:val="24"/>
        </w:rPr>
        <w:t>The present educational system, as we have mentioned</w:t>
      </w:r>
      <w:r>
        <w:rPr>
          <w:spacing w:val="-2"/>
          <w:sz w:val="24"/>
        </w:rPr>
        <w:t> </w:t>
      </w:r>
      <w:r>
        <w:rPr>
          <w:sz w:val="24"/>
        </w:rPr>
        <w:t>earlier,</w:t>
      </w:r>
      <w:r>
        <w:rPr>
          <w:spacing w:val="-2"/>
          <w:sz w:val="24"/>
        </w:rPr>
        <w:t> </w:t>
      </w:r>
      <w:r>
        <w:rPr>
          <w:sz w:val="24"/>
        </w:rPr>
        <w:t>is</w:t>
      </w:r>
      <w:r>
        <w:rPr>
          <w:spacing w:val="-2"/>
          <w:sz w:val="24"/>
        </w:rPr>
        <w:t> </w:t>
      </w:r>
      <w:r>
        <w:rPr>
          <w:sz w:val="24"/>
        </w:rPr>
        <w:t>also</w:t>
      </w:r>
      <w:r>
        <w:rPr>
          <w:spacing w:val="-2"/>
          <w:sz w:val="24"/>
        </w:rPr>
        <w:t> </w:t>
      </w:r>
      <w:r>
        <w:rPr>
          <w:sz w:val="24"/>
        </w:rPr>
        <w:t>responsible</w:t>
      </w:r>
      <w:r>
        <w:rPr>
          <w:spacing w:val="-2"/>
          <w:sz w:val="24"/>
        </w:rPr>
        <w:t> </w:t>
      </w:r>
      <w:r>
        <w:rPr>
          <w:sz w:val="24"/>
        </w:rPr>
        <w:t>for</w:t>
      </w:r>
      <w:r>
        <w:rPr>
          <w:spacing w:val="-2"/>
          <w:sz w:val="24"/>
        </w:rPr>
        <w:t> </w:t>
      </w:r>
      <w:r>
        <w:rPr>
          <w:sz w:val="24"/>
        </w:rPr>
        <w:t>increasing</w:t>
      </w:r>
      <w:r>
        <w:rPr>
          <w:spacing w:val="-3"/>
          <w:sz w:val="24"/>
        </w:rPr>
        <w:t> </w:t>
      </w:r>
      <w:r>
        <w:rPr>
          <w:sz w:val="24"/>
        </w:rPr>
        <w:t>the</w:t>
      </w:r>
      <w:r>
        <w:rPr>
          <w:spacing w:val="-3"/>
          <w:sz w:val="24"/>
        </w:rPr>
        <w:t> </w:t>
      </w:r>
      <w:r>
        <w:rPr>
          <w:sz w:val="24"/>
        </w:rPr>
        <w:t>gulf</w:t>
      </w:r>
      <w:r>
        <w:rPr>
          <w:spacing w:val="-3"/>
          <w:sz w:val="24"/>
        </w:rPr>
        <w:t> </w:t>
      </w:r>
      <w:r>
        <w:rPr>
          <w:sz w:val="24"/>
        </w:rPr>
        <w:t>between</w:t>
      </w:r>
      <w:r>
        <w:rPr>
          <w:spacing w:val="-3"/>
          <w:sz w:val="24"/>
        </w:rPr>
        <w:t> </w:t>
      </w:r>
      <w:r>
        <w:rPr>
          <w:sz w:val="24"/>
        </w:rPr>
        <w:t>the</w:t>
      </w:r>
      <w:r>
        <w:rPr>
          <w:spacing w:val="-3"/>
          <w:sz w:val="24"/>
        </w:rPr>
        <w:t> </w:t>
      </w:r>
      <w:r>
        <w:rPr>
          <w:sz w:val="24"/>
        </w:rPr>
        <w:t>educated</w:t>
      </w:r>
      <w:r>
        <w:rPr>
          <w:spacing w:val="-3"/>
          <w:sz w:val="24"/>
        </w:rPr>
        <w:t> </w:t>
      </w:r>
      <w:r>
        <w:rPr>
          <w:sz w:val="24"/>
        </w:rPr>
        <w:t>and</w:t>
      </w:r>
      <w:r>
        <w:rPr>
          <w:spacing w:val="-3"/>
          <w:sz w:val="24"/>
        </w:rPr>
        <w:t> </w:t>
      </w:r>
      <w:r>
        <w:rPr>
          <w:sz w:val="24"/>
        </w:rPr>
        <w:t>the uneducated classes, between the intelligentsia and the masses. The intelligentsia should try to become a real service-group striving to uplift the masses and should resist the temptation to become a parasitical group living for itself and perpetuating its own privileged position. Our traditional 'elite' as a whole-with some noble exceptions-had no close ties with the masses, and the new 'elite' created by modern education also remained largely aloof from the people, except during the struggle for freedom under Mahatma Gandhi when he was able to inspire large numbers of educated and even well-to-do persons to identify themselves with the interests of the masses and the country as a</w:t>
      </w:r>
      <w:r>
        <w:rPr>
          <w:spacing w:val="40"/>
          <w:sz w:val="24"/>
        </w:rPr>
        <w:t> </w:t>
      </w:r>
      <w:r>
        <w:rPr>
          <w:sz w:val="24"/>
        </w:rPr>
        <w:t>whole. But from the time the struggle for freedom came to an end with the attainment of independence, they have again tended to move away from the people. This is a great danger and, with a view to meeting it, suitable programmes to help in the evolution of a well-knit and united nation have to be devised.</w:t>
      </w:r>
    </w:p>
    <w:p>
      <w:pPr>
        <w:pStyle w:val="BodyText"/>
        <w:spacing w:before="4"/>
      </w:pPr>
    </w:p>
    <w:p>
      <w:pPr>
        <w:pStyle w:val="ListParagraph"/>
        <w:numPr>
          <w:ilvl w:val="1"/>
          <w:numId w:val="12"/>
        </w:numPr>
        <w:tabs>
          <w:tab w:pos="684" w:val="left" w:leader="none"/>
        </w:tabs>
        <w:spacing w:line="240" w:lineRule="auto" w:before="0" w:after="0"/>
        <w:ind w:left="159" w:right="497" w:firstLine="0"/>
        <w:jc w:val="both"/>
        <w:rPr>
          <w:sz w:val="24"/>
        </w:rPr>
      </w:pPr>
      <w:r>
        <w:rPr>
          <w:sz w:val="24"/>
        </w:rPr>
        <w:t>For this purpose, we recommend that some form of social and national service should be made obligatory for all students and should form an integral part of education</w:t>
      </w:r>
      <w:r>
        <w:rPr>
          <w:spacing w:val="40"/>
          <w:sz w:val="24"/>
        </w:rPr>
        <w:t> </w:t>
      </w:r>
      <w:r>
        <w:rPr>
          <w:sz w:val="24"/>
        </w:rPr>
        <w:t>at all stages. This can become an instrument to build character, improve discipline, inculcate a faith in the dignity of manual labour and develop a sense of social </w:t>
      </w:r>
      <w:r>
        <w:rPr>
          <w:spacing w:val="-2"/>
          <w:sz w:val="24"/>
        </w:rPr>
        <w:t>responsibility</w:t>
      </w:r>
    </w:p>
    <w:p>
      <w:pPr>
        <w:pStyle w:val="BodyText"/>
        <w:spacing w:before="5"/>
      </w:pPr>
    </w:p>
    <w:p>
      <w:pPr>
        <w:pStyle w:val="ListParagraph"/>
        <w:numPr>
          <w:ilvl w:val="1"/>
          <w:numId w:val="12"/>
        </w:numPr>
        <w:tabs>
          <w:tab w:pos="672" w:val="left" w:leader="none"/>
        </w:tabs>
        <w:spacing w:line="240" w:lineRule="auto" w:before="0" w:after="0"/>
        <w:ind w:left="160" w:right="496" w:firstLine="0"/>
        <w:jc w:val="both"/>
        <w:rPr>
          <w:sz w:val="24"/>
        </w:rPr>
      </w:pPr>
      <w:r>
        <w:rPr>
          <w:sz w:val="24"/>
        </w:rPr>
        <w:t>Programmes of social and national service can be organized in one of two ways: they can either be carried out occasionally on a part-time basis during the period of education,</w:t>
      </w:r>
      <w:r>
        <w:rPr>
          <w:spacing w:val="-2"/>
          <w:sz w:val="24"/>
        </w:rPr>
        <w:t> </w:t>
      </w:r>
      <w:r>
        <w:rPr>
          <w:sz w:val="24"/>
        </w:rPr>
        <w:t>or</w:t>
      </w:r>
      <w:r>
        <w:rPr>
          <w:spacing w:val="-2"/>
          <w:sz w:val="24"/>
        </w:rPr>
        <w:t> </w:t>
      </w:r>
      <w:r>
        <w:rPr>
          <w:sz w:val="24"/>
        </w:rPr>
        <w:t>organized</w:t>
      </w:r>
      <w:r>
        <w:rPr>
          <w:spacing w:val="-2"/>
          <w:sz w:val="24"/>
        </w:rPr>
        <w:t> </w:t>
      </w:r>
      <w:r>
        <w:rPr>
          <w:sz w:val="24"/>
        </w:rPr>
        <w:t>as</w:t>
      </w:r>
      <w:r>
        <w:rPr>
          <w:spacing w:val="-2"/>
          <w:sz w:val="24"/>
        </w:rPr>
        <w:t> </w:t>
      </w:r>
      <w:r>
        <w:rPr>
          <w:sz w:val="24"/>
        </w:rPr>
        <w:t>a</w:t>
      </w:r>
      <w:r>
        <w:rPr>
          <w:spacing w:val="-2"/>
          <w:sz w:val="24"/>
        </w:rPr>
        <w:t> </w:t>
      </w:r>
      <w:r>
        <w:rPr>
          <w:sz w:val="24"/>
        </w:rPr>
        <w:t>period</w:t>
      </w:r>
      <w:r>
        <w:rPr>
          <w:spacing w:val="-2"/>
          <w:sz w:val="24"/>
        </w:rPr>
        <w:t> </w:t>
      </w:r>
      <w:r>
        <w:rPr>
          <w:sz w:val="24"/>
        </w:rPr>
        <w:t>of</w:t>
      </w:r>
      <w:r>
        <w:rPr>
          <w:spacing w:val="-3"/>
          <w:sz w:val="24"/>
        </w:rPr>
        <w:t> </w:t>
      </w:r>
      <w:r>
        <w:rPr>
          <w:sz w:val="24"/>
        </w:rPr>
        <w:t>full-time</w:t>
      </w:r>
      <w:r>
        <w:rPr>
          <w:spacing w:val="-3"/>
          <w:sz w:val="24"/>
        </w:rPr>
        <w:t> </w:t>
      </w:r>
      <w:r>
        <w:rPr>
          <w:sz w:val="24"/>
        </w:rPr>
        <w:t>service</w:t>
      </w:r>
      <w:r>
        <w:rPr>
          <w:spacing w:val="-3"/>
          <w:sz w:val="24"/>
        </w:rPr>
        <w:t> </w:t>
      </w:r>
      <w:r>
        <w:rPr>
          <w:sz w:val="24"/>
        </w:rPr>
        <w:t>in</w:t>
      </w:r>
      <w:r>
        <w:rPr>
          <w:spacing w:val="-3"/>
          <w:sz w:val="24"/>
        </w:rPr>
        <w:t> </w:t>
      </w:r>
      <w:r>
        <w:rPr>
          <w:sz w:val="24"/>
        </w:rPr>
        <w:t>addition</w:t>
      </w:r>
      <w:r>
        <w:rPr>
          <w:spacing w:val="-3"/>
          <w:sz w:val="24"/>
        </w:rPr>
        <w:t> </w:t>
      </w:r>
      <w:r>
        <w:rPr>
          <w:sz w:val="24"/>
        </w:rPr>
        <w:t>to</w:t>
      </w:r>
      <w:r>
        <w:rPr>
          <w:spacing w:val="-2"/>
          <w:sz w:val="24"/>
        </w:rPr>
        <w:t> </w:t>
      </w:r>
      <w:r>
        <w:rPr>
          <w:sz w:val="24"/>
        </w:rPr>
        <w:t>the</w:t>
      </w:r>
      <w:r>
        <w:rPr>
          <w:spacing w:val="-3"/>
          <w:sz w:val="24"/>
        </w:rPr>
        <w:t> </w:t>
      </w:r>
      <w:r>
        <w:rPr>
          <w:sz w:val="24"/>
        </w:rPr>
        <w:t>present</w:t>
      </w:r>
      <w:r>
        <w:rPr>
          <w:spacing w:val="-3"/>
          <w:sz w:val="24"/>
        </w:rPr>
        <w:t> </w:t>
      </w:r>
      <w:r>
        <w:rPr>
          <w:sz w:val="24"/>
        </w:rPr>
        <w:t>period</w:t>
      </w:r>
      <w:r>
        <w:rPr>
          <w:spacing w:val="-3"/>
          <w:sz w:val="24"/>
        </w:rPr>
        <w:t> </w:t>
      </w:r>
      <w:r>
        <w:rPr>
          <w:sz w:val="24"/>
        </w:rPr>
        <w:t>of education. The second approach was recommended by the National Service Committee appointed under the chairmanship of Dr. C. D. Deshmukh. It was suggested that national service should be a full- time programme of nine to twelve months for all young persons (except for those allowed deferment on valid academic or other grounds) after passing</w:t>
      </w:r>
      <w:r>
        <w:rPr>
          <w:spacing w:val="80"/>
          <w:sz w:val="24"/>
        </w:rPr>
        <w:t> </w:t>
      </w:r>
      <w:r>
        <w:rPr>
          <w:sz w:val="24"/>
        </w:rPr>
        <w:t>out of higher secondary schools or the pre-university course and before entering employment or the university. The programme was to include some military training, social service, manual labour and general education. These proposals have not been adopted so far; nor have the public reactions to them</w:t>
      </w:r>
      <w:r>
        <w:rPr>
          <w:spacing w:val="-1"/>
          <w:sz w:val="24"/>
        </w:rPr>
        <w:t> </w:t>
      </w:r>
      <w:r>
        <w:rPr>
          <w:sz w:val="24"/>
        </w:rPr>
        <w:t>been very favourable. Instead, at the time of the national emergency (1962), the scheme of compulsory National Cadet Corps (NCC) was introduced at the university stage.</w:t>
      </w:r>
    </w:p>
    <w:p>
      <w:pPr>
        <w:pStyle w:val="BodyText"/>
        <w:spacing w:before="4"/>
      </w:pPr>
    </w:p>
    <w:p>
      <w:pPr>
        <w:pStyle w:val="ListParagraph"/>
        <w:numPr>
          <w:ilvl w:val="1"/>
          <w:numId w:val="12"/>
        </w:numPr>
        <w:tabs>
          <w:tab w:pos="689" w:val="left" w:leader="none"/>
        </w:tabs>
        <w:spacing w:line="240" w:lineRule="auto" w:before="0" w:after="0"/>
        <w:ind w:left="160" w:right="496" w:firstLine="0"/>
        <w:jc w:val="both"/>
        <w:rPr>
          <w:sz w:val="24"/>
        </w:rPr>
      </w:pPr>
      <w:r>
        <w:rPr>
          <w:sz w:val="24"/>
        </w:rPr>
        <w:t>About the same time, the Ministry of Education, sponsored a study of national service in several countries including Yugoslavia, Czechoslovakia, Germany, Norway, Sweden, the UK, the USA, Japan and the Philippines. The report of this study has been published under the title National Service for Youth. Apart from discussing the salient features of such service in different countries, it made a number of recommendations</w:t>
      </w:r>
    </w:p>
    <w:p>
      <w:pPr>
        <w:pStyle w:val="BodyText"/>
        <w:spacing w:before="3"/>
      </w:pPr>
    </w:p>
    <w:p>
      <w:pPr>
        <w:pStyle w:val="BodyText"/>
        <w:spacing w:before="1"/>
        <w:ind w:left="160"/>
        <w:jc w:val="both"/>
      </w:pPr>
      <w:r>
        <w:rPr>
          <w:b/>
          <w:vertAlign w:val="superscript"/>
        </w:rPr>
        <w:t>6</w:t>
      </w:r>
      <w:r>
        <w:rPr>
          <w:b/>
          <w:spacing w:val="58"/>
          <w:vertAlign w:val="baseline"/>
        </w:rPr>
        <w:t> </w:t>
      </w:r>
      <w:r>
        <w:rPr>
          <w:vertAlign w:val="baseline"/>
        </w:rPr>
        <w:t>Vol. II,</w:t>
      </w:r>
      <w:r>
        <w:rPr>
          <w:spacing w:val="-1"/>
          <w:vertAlign w:val="baseline"/>
        </w:rPr>
        <w:t> </w:t>
      </w:r>
      <w:r>
        <w:rPr>
          <w:vertAlign w:val="baseline"/>
        </w:rPr>
        <w:t>Chapter </w:t>
      </w:r>
      <w:r>
        <w:rPr>
          <w:spacing w:val="-5"/>
          <w:vertAlign w:val="baseline"/>
        </w:rPr>
        <w:t>X.</w:t>
      </w:r>
    </w:p>
    <w:p>
      <w:pPr>
        <w:spacing w:after="0"/>
        <w:jc w:val="both"/>
        <w:sectPr>
          <w:pgSz w:w="12240" w:h="15840"/>
          <w:pgMar w:header="0" w:footer="743" w:top="1320" w:bottom="940" w:left="1640" w:right="1300"/>
        </w:sectPr>
      </w:pPr>
    </w:p>
    <w:p>
      <w:pPr>
        <w:pStyle w:val="BodyText"/>
        <w:spacing w:before="76"/>
        <w:ind w:left="159" w:right="510"/>
      </w:pPr>
      <w:r>
        <w:rPr/>
        <w:t>about what could be done in India to develop a practicable scheme. It did not favour the 'introduction of compulsion, which has not been tried or favoured in any of these countries, but recommended that national or social service should be introduced, at least to begin with, on a voluntary basis and extended as widely as possible and that it should provide a rich and varied programme of activities which will make an imaginative approach</w:t>
      </w:r>
      <w:r>
        <w:rPr>
          <w:spacing w:val="-3"/>
        </w:rPr>
        <w:t> </w:t>
      </w:r>
      <w:r>
        <w:rPr/>
        <w:t>to</w:t>
      </w:r>
      <w:r>
        <w:rPr>
          <w:spacing w:val="-3"/>
        </w:rPr>
        <w:t> </w:t>
      </w:r>
      <w:r>
        <w:rPr/>
        <w:t>youth.</w:t>
      </w:r>
      <w:r>
        <w:rPr>
          <w:spacing w:val="-3"/>
        </w:rPr>
        <w:t> </w:t>
      </w:r>
      <w:r>
        <w:rPr/>
        <w:t>We</w:t>
      </w:r>
      <w:r>
        <w:rPr>
          <w:spacing w:val="-3"/>
        </w:rPr>
        <w:t> </w:t>
      </w:r>
      <w:r>
        <w:rPr/>
        <w:t>believe</w:t>
      </w:r>
      <w:r>
        <w:rPr>
          <w:spacing w:val="-3"/>
        </w:rPr>
        <w:t> </w:t>
      </w:r>
      <w:r>
        <w:rPr/>
        <w:t>that</w:t>
      </w:r>
      <w:r>
        <w:rPr>
          <w:spacing w:val="-3"/>
        </w:rPr>
        <w:t> </w:t>
      </w:r>
      <w:r>
        <w:rPr/>
        <w:t>it</w:t>
      </w:r>
      <w:r>
        <w:rPr>
          <w:spacing w:val="-3"/>
        </w:rPr>
        <w:t> </w:t>
      </w:r>
      <w:r>
        <w:rPr/>
        <w:t>would</w:t>
      </w:r>
      <w:r>
        <w:rPr>
          <w:spacing w:val="-3"/>
        </w:rPr>
        <w:t> </w:t>
      </w:r>
      <w:r>
        <w:rPr/>
        <w:t>be</w:t>
      </w:r>
      <w:r>
        <w:rPr>
          <w:spacing w:val="-3"/>
        </w:rPr>
        <w:t> </w:t>
      </w:r>
      <w:r>
        <w:rPr/>
        <w:t>more</w:t>
      </w:r>
      <w:r>
        <w:rPr>
          <w:spacing w:val="-3"/>
        </w:rPr>
        <w:t> </w:t>
      </w:r>
      <w:r>
        <w:rPr/>
        <w:t>realistic</w:t>
      </w:r>
      <w:r>
        <w:rPr>
          <w:spacing w:val="-4"/>
        </w:rPr>
        <w:t> </w:t>
      </w:r>
      <w:r>
        <w:rPr/>
        <w:t>and</w:t>
      </w:r>
      <w:r>
        <w:rPr>
          <w:spacing w:val="-3"/>
        </w:rPr>
        <w:t> </w:t>
      </w:r>
      <w:r>
        <w:rPr/>
        <w:t>practicable</w:t>
      </w:r>
      <w:r>
        <w:rPr>
          <w:spacing w:val="-3"/>
        </w:rPr>
        <w:t> </w:t>
      </w:r>
      <w:r>
        <w:rPr/>
        <w:t>to</w:t>
      </w:r>
      <w:r>
        <w:rPr>
          <w:spacing w:val="-3"/>
        </w:rPr>
        <w:t> </w:t>
      </w:r>
      <w:r>
        <w:rPr/>
        <w:t>introduce the idea of social or national service broadly on the lines recommended in this study.</w:t>
      </w:r>
    </w:p>
    <w:p>
      <w:pPr>
        <w:pStyle w:val="BodyText"/>
        <w:spacing w:before="4"/>
      </w:pPr>
    </w:p>
    <w:p>
      <w:pPr>
        <w:pStyle w:val="ListParagraph"/>
        <w:numPr>
          <w:ilvl w:val="1"/>
          <w:numId w:val="12"/>
        </w:numPr>
        <w:tabs>
          <w:tab w:pos="668" w:val="left" w:leader="none"/>
        </w:tabs>
        <w:spacing w:line="240" w:lineRule="auto" w:before="0" w:after="0"/>
        <w:ind w:left="159" w:right="497" w:firstLine="0"/>
        <w:jc w:val="both"/>
        <w:rPr>
          <w:sz w:val="24"/>
        </w:rPr>
      </w:pPr>
      <w:r>
        <w:rPr>
          <w:sz w:val="24"/>
        </w:rPr>
        <w:t>Instead of adding one year to the total span of education for the purpose, a more feasible plan may be to develop, as an integral part of education, a programme which would run concurrently with academic studies in school and college. The programme should begin from the upper primary stage and continue up to the university so that the right attitudes are developed from an early age and every young person is ultimately brought within its ambit.</w:t>
      </w:r>
    </w:p>
    <w:p>
      <w:pPr>
        <w:pStyle w:val="BodyText"/>
        <w:spacing w:before="5"/>
      </w:pPr>
    </w:p>
    <w:p>
      <w:pPr>
        <w:pStyle w:val="ListParagraph"/>
        <w:numPr>
          <w:ilvl w:val="1"/>
          <w:numId w:val="12"/>
        </w:numPr>
        <w:tabs>
          <w:tab w:pos="639" w:val="left" w:leader="none"/>
        </w:tabs>
        <w:spacing w:line="240" w:lineRule="auto" w:before="0" w:after="0"/>
        <w:ind w:left="639" w:right="0" w:hanging="480"/>
        <w:jc w:val="both"/>
        <w:rPr>
          <w:sz w:val="24"/>
        </w:rPr>
      </w:pPr>
      <w:r>
        <w:rPr>
          <w:sz w:val="24"/>
        </w:rPr>
        <w:t>There</w:t>
      </w:r>
      <w:r>
        <w:rPr>
          <w:spacing w:val="-1"/>
          <w:sz w:val="24"/>
        </w:rPr>
        <w:t> </w:t>
      </w:r>
      <w:r>
        <w:rPr>
          <w:sz w:val="24"/>
        </w:rPr>
        <w:t>are two main</w:t>
      </w:r>
      <w:r>
        <w:rPr>
          <w:spacing w:val="-1"/>
          <w:sz w:val="24"/>
        </w:rPr>
        <w:t> </w:t>
      </w:r>
      <w:r>
        <w:rPr>
          <w:sz w:val="24"/>
        </w:rPr>
        <w:t>forms in which such</w:t>
      </w:r>
      <w:r>
        <w:rPr>
          <w:spacing w:val="-1"/>
          <w:sz w:val="24"/>
        </w:rPr>
        <w:t> </w:t>
      </w:r>
      <w:r>
        <w:rPr>
          <w:sz w:val="24"/>
        </w:rPr>
        <w:t>service can be </w:t>
      </w:r>
      <w:r>
        <w:rPr>
          <w:spacing w:val="-2"/>
          <w:sz w:val="24"/>
        </w:rPr>
        <w:t>organized:</w:t>
      </w:r>
    </w:p>
    <w:p>
      <w:pPr>
        <w:pStyle w:val="BodyText"/>
        <w:spacing w:before="4"/>
      </w:pPr>
    </w:p>
    <w:p>
      <w:pPr>
        <w:pStyle w:val="BodyText"/>
        <w:ind w:left="159" w:right="506"/>
      </w:pPr>
      <w:r>
        <w:rPr/>
        <w:t>-encouraging and enabling students to participate in community living on the school or</w:t>
      </w:r>
      <w:r>
        <w:rPr>
          <w:spacing w:val="80"/>
        </w:rPr>
        <w:t> </w:t>
      </w:r>
      <w:r>
        <w:rPr/>
        <w:t>college campus; and</w:t>
      </w:r>
    </w:p>
    <w:p>
      <w:pPr>
        <w:pStyle w:val="BodyText"/>
        <w:spacing w:before="3"/>
      </w:pPr>
    </w:p>
    <w:p>
      <w:pPr>
        <w:pStyle w:val="ListParagraph"/>
        <w:numPr>
          <w:ilvl w:val="2"/>
          <w:numId w:val="12"/>
        </w:numPr>
        <w:tabs>
          <w:tab w:pos="306" w:val="left" w:leader="none"/>
        </w:tabs>
        <w:spacing w:line="240" w:lineRule="auto" w:before="1" w:after="0"/>
        <w:ind w:left="159" w:right="498" w:firstLine="0"/>
        <w:jc w:val="left"/>
        <w:rPr>
          <w:sz w:val="24"/>
        </w:rPr>
      </w:pPr>
      <w:r>
        <w:rPr>
          <w:sz w:val="24"/>
        </w:rPr>
        <w:t>providing opportunities of participation in programmes of community development </w:t>
      </w:r>
      <w:r>
        <w:rPr>
          <w:sz w:val="24"/>
        </w:rPr>
        <w:t>and national service.</w:t>
      </w:r>
    </w:p>
    <w:p>
      <w:pPr>
        <w:pStyle w:val="BodyText"/>
        <w:spacing w:before="3"/>
      </w:pPr>
    </w:p>
    <w:p>
      <w:pPr>
        <w:pStyle w:val="ListParagraph"/>
        <w:numPr>
          <w:ilvl w:val="1"/>
          <w:numId w:val="12"/>
        </w:numPr>
        <w:tabs>
          <w:tab w:pos="654" w:val="left" w:leader="none"/>
        </w:tabs>
        <w:spacing w:line="240" w:lineRule="auto" w:before="0" w:after="0"/>
        <w:ind w:left="159" w:right="496" w:firstLine="0"/>
        <w:jc w:val="both"/>
        <w:rPr>
          <w:b/>
          <w:sz w:val="24"/>
        </w:rPr>
      </w:pPr>
      <w:r>
        <w:rPr>
          <w:b/>
          <w:sz w:val="24"/>
        </w:rPr>
        <w:t>Community Living in Schools and Colleges. </w:t>
      </w:r>
      <w:r>
        <w:rPr>
          <w:sz w:val="24"/>
        </w:rPr>
        <w:t>Every educational institution should try to develop a rich community life of its own and provide adequate and satisfying opportunities for students to participate in it and help in organizing it. Various opportunities for such work exist in the classroom, on the campuses of the schools and</w:t>
      </w:r>
      <w:r>
        <w:rPr>
          <w:spacing w:val="40"/>
          <w:sz w:val="24"/>
        </w:rPr>
        <w:t> </w:t>
      </w:r>
      <w:r>
        <w:rPr>
          <w:sz w:val="24"/>
        </w:rPr>
        <w:t>the colleges. in the hostels and on the playgrounds. For instance, instead of utilizing servants and hired labour for educational institutions and their hostels, it is possible to have much of the work done by students, not primarily to save money, but to provide valuable experience. Japan has followed this Practice in her national system, and many schools in India (including some schools for well-to-do children) are also doing so to some extent. This type of work-experience would cultivate in students the habit of work and a sense of the dignity of labour. If this is done on a nation-wide scale, it will incidentally effect some saving in expenditure which could be utilized for providing certain basic amenities for students. The training institutions for basic teachers have tried to develop such traditions of community living by eliminating the use of servants to a large extent. We recommend that this pattern of hostel life should be introduced in all schools and colleges so far as possible. The practice of making self-help and manual</w:t>
      </w:r>
      <w:r>
        <w:rPr>
          <w:spacing w:val="40"/>
          <w:sz w:val="24"/>
        </w:rPr>
        <w:t> </w:t>
      </w:r>
      <w:r>
        <w:rPr>
          <w:sz w:val="24"/>
        </w:rPr>
        <w:t>work a part of the daily life and training in all types of educational institutions-as was the case in many of the old Ashrams and Academies-would yield good educational </w:t>
      </w:r>
      <w:r>
        <w:rPr>
          <w:sz w:val="24"/>
        </w:rPr>
        <w:t>results. We cannot totally recreate the conditions of the past in our educational institutions; but we can certainly profit from the useful elements in past experience.</w:t>
      </w:r>
    </w:p>
    <w:p>
      <w:pPr>
        <w:pStyle w:val="BodyText"/>
        <w:spacing w:before="4"/>
      </w:pPr>
    </w:p>
    <w:p>
      <w:pPr>
        <w:pStyle w:val="ListParagraph"/>
        <w:numPr>
          <w:ilvl w:val="1"/>
          <w:numId w:val="12"/>
        </w:numPr>
        <w:tabs>
          <w:tab w:pos="665" w:val="left" w:leader="none"/>
        </w:tabs>
        <w:spacing w:line="240" w:lineRule="auto" w:before="0" w:after="0"/>
        <w:ind w:left="160" w:right="497" w:firstLine="0"/>
        <w:jc w:val="both"/>
        <w:rPr>
          <w:b/>
          <w:sz w:val="24"/>
        </w:rPr>
      </w:pPr>
      <w:r>
        <w:rPr>
          <w:b/>
          <w:sz w:val="24"/>
        </w:rPr>
        <w:t>Participation in Programmes of Community Development. </w:t>
      </w:r>
      <w:r>
        <w:rPr>
          <w:sz w:val="24"/>
        </w:rPr>
        <w:t>In addition to </w:t>
      </w:r>
      <w:r>
        <w:rPr>
          <w:sz w:val="24"/>
        </w:rPr>
        <w:t>these institutional</w:t>
      </w:r>
      <w:r>
        <w:rPr>
          <w:spacing w:val="9"/>
          <w:sz w:val="24"/>
        </w:rPr>
        <w:t> </w:t>
      </w:r>
      <w:r>
        <w:rPr>
          <w:sz w:val="24"/>
        </w:rPr>
        <w:t>programmes,</w:t>
      </w:r>
      <w:r>
        <w:rPr>
          <w:spacing w:val="9"/>
          <w:sz w:val="24"/>
        </w:rPr>
        <w:t> </w:t>
      </w:r>
      <w:r>
        <w:rPr>
          <w:sz w:val="24"/>
        </w:rPr>
        <w:t>it</w:t>
      </w:r>
      <w:r>
        <w:rPr>
          <w:spacing w:val="9"/>
          <w:sz w:val="24"/>
        </w:rPr>
        <w:t> </w:t>
      </w:r>
      <w:r>
        <w:rPr>
          <w:sz w:val="24"/>
        </w:rPr>
        <w:t>is</w:t>
      </w:r>
      <w:r>
        <w:rPr>
          <w:spacing w:val="9"/>
          <w:sz w:val="24"/>
        </w:rPr>
        <w:t> </w:t>
      </w:r>
      <w:r>
        <w:rPr>
          <w:sz w:val="24"/>
        </w:rPr>
        <w:t>essential</w:t>
      </w:r>
      <w:r>
        <w:rPr>
          <w:spacing w:val="9"/>
          <w:sz w:val="24"/>
        </w:rPr>
        <w:t> </w:t>
      </w:r>
      <w:r>
        <w:rPr>
          <w:sz w:val="24"/>
        </w:rPr>
        <w:t>to</w:t>
      </w:r>
      <w:r>
        <w:rPr>
          <w:spacing w:val="9"/>
          <w:sz w:val="24"/>
        </w:rPr>
        <w:t> </w:t>
      </w:r>
      <w:r>
        <w:rPr>
          <w:sz w:val="24"/>
        </w:rPr>
        <w:t>make</w:t>
      </w:r>
      <w:r>
        <w:rPr>
          <w:spacing w:val="9"/>
          <w:sz w:val="24"/>
        </w:rPr>
        <w:t> </w:t>
      </w:r>
      <w:r>
        <w:rPr>
          <w:sz w:val="24"/>
        </w:rPr>
        <w:t>participation</w:t>
      </w:r>
      <w:r>
        <w:rPr>
          <w:spacing w:val="9"/>
          <w:sz w:val="24"/>
        </w:rPr>
        <w:t> </w:t>
      </w:r>
      <w:r>
        <w:rPr>
          <w:sz w:val="24"/>
        </w:rPr>
        <w:t>in</w:t>
      </w:r>
      <w:r>
        <w:rPr>
          <w:spacing w:val="9"/>
          <w:sz w:val="24"/>
        </w:rPr>
        <w:t> </w:t>
      </w:r>
      <w:r>
        <w:rPr>
          <w:sz w:val="24"/>
        </w:rPr>
        <w:t>meaningful</w:t>
      </w:r>
      <w:r>
        <w:rPr>
          <w:spacing w:val="9"/>
          <w:sz w:val="24"/>
        </w:rPr>
        <w:t> </w:t>
      </w:r>
      <w:r>
        <w:rPr>
          <w:spacing w:val="-2"/>
          <w:sz w:val="24"/>
        </w:rPr>
        <w:t>programmes</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of community service an integral part of all education from the primary to the undergraduate stage. Such participation can help to create positive attitudes towards</w:t>
      </w:r>
      <w:r>
        <w:rPr>
          <w:spacing w:val="40"/>
        </w:rPr>
        <w:t> </w:t>
      </w:r>
      <w:r>
        <w:rPr/>
        <w:t>social service and to develop closer ties between the educated persons and the rest of the people. It can also help in building up a sense of social purpose and self-confidence and giving students a sense of participation in community life and activities.</w:t>
      </w:r>
    </w:p>
    <w:p>
      <w:pPr>
        <w:pStyle w:val="BodyText"/>
        <w:spacing w:before="5"/>
      </w:pPr>
    </w:p>
    <w:p>
      <w:pPr>
        <w:pStyle w:val="ListParagraph"/>
        <w:numPr>
          <w:ilvl w:val="1"/>
          <w:numId w:val="12"/>
        </w:numPr>
        <w:tabs>
          <w:tab w:pos="640" w:val="left" w:leader="none"/>
        </w:tabs>
        <w:spacing w:line="240" w:lineRule="auto" w:before="0" w:after="0"/>
        <w:ind w:left="640" w:right="0" w:hanging="480"/>
        <w:jc w:val="both"/>
        <w:rPr>
          <w:sz w:val="24"/>
        </w:rPr>
      </w:pPr>
      <w:r>
        <w:rPr>
          <w:sz w:val="24"/>
        </w:rPr>
        <w:t>The</w:t>
      </w:r>
      <w:r>
        <w:rPr>
          <w:spacing w:val="-3"/>
          <w:sz w:val="24"/>
        </w:rPr>
        <w:t> </w:t>
      </w:r>
      <w:r>
        <w:rPr>
          <w:sz w:val="24"/>
        </w:rPr>
        <w:t>organization of</w:t>
      </w:r>
      <w:r>
        <w:rPr>
          <w:spacing w:val="-1"/>
          <w:sz w:val="24"/>
        </w:rPr>
        <w:t> </w:t>
      </w:r>
      <w:r>
        <w:rPr>
          <w:sz w:val="24"/>
        </w:rPr>
        <w:t>the</w:t>
      </w:r>
      <w:r>
        <w:rPr>
          <w:spacing w:val="-1"/>
          <w:sz w:val="24"/>
        </w:rPr>
        <w:t> </w:t>
      </w:r>
      <w:r>
        <w:rPr>
          <w:sz w:val="24"/>
        </w:rPr>
        <w:t>programmes will naturally vary</w:t>
      </w:r>
      <w:r>
        <w:rPr>
          <w:spacing w:val="-3"/>
          <w:sz w:val="24"/>
        </w:rPr>
        <w:t> </w:t>
      </w:r>
      <w:r>
        <w:rPr>
          <w:sz w:val="24"/>
        </w:rPr>
        <w:t>from</w:t>
      </w:r>
      <w:r>
        <w:rPr>
          <w:spacing w:val="-2"/>
          <w:sz w:val="24"/>
        </w:rPr>
        <w:t> </w:t>
      </w:r>
      <w:r>
        <w:rPr>
          <w:sz w:val="24"/>
        </w:rPr>
        <w:t>stage to </w:t>
      </w:r>
      <w:r>
        <w:rPr>
          <w:spacing w:val="-2"/>
          <w:sz w:val="24"/>
        </w:rPr>
        <w:t>stage:</w:t>
      </w:r>
    </w:p>
    <w:p>
      <w:pPr>
        <w:pStyle w:val="BodyText"/>
        <w:spacing w:before="4"/>
      </w:pPr>
    </w:p>
    <w:p>
      <w:pPr>
        <w:pStyle w:val="ListParagraph"/>
        <w:numPr>
          <w:ilvl w:val="0"/>
          <w:numId w:val="14"/>
        </w:numPr>
        <w:tabs>
          <w:tab w:pos="554" w:val="left" w:leader="none"/>
        </w:tabs>
        <w:spacing w:line="240" w:lineRule="auto" w:before="0" w:after="0"/>
        <w:ind w:left="159" w:right="498" w:firstLine="0"/>
        <w:jc w:val="both"/>
        <w:rPr>
          <w:sz w:val="24"/>
        </w:rPr>
      </w:pPr>
      <w:r>
        <w:rPr>
          <w:sz w:val="24"/>
        </w:rPr>
        <w:t>At the primary stage, it will take the form of bringing the school closer to the community with an accent on serving the community in suitable ways.</w:t>
      </w:r>
    </w:p>
    <w:p>
      <w:pPr>
        <w:pStyle w:val="BodyText"/>
        <w:spacing w:before="4"/>
      </w:pPr>
    </w:p>
    <w:p>
      <w:pPr>
        <w:pStyle w:val="ListParagraph"/>
        <w:numPr>
          <w:ilvl w:val="0"/>
          <w:numId w:val="14"/>
        </w:numPr>
        <w:tabs>
          <w:tab w:pos="539" w:val="left" w:leader="none"/>
        </w:tabs>
        <w:spacing w:line="240" w:lineRule="auto" w:before="0" w:after="0"/>
        <w:ind w:left="160" w:right="494" w:firstLine="0"/>
        <w:jc w:val="both"/>
        <w:rPr>
          <w:b/>
          <w:sz w:val="24"/>
        </w:rPr>
      </w:pPr>
      <w:r>
        <w:rPr>
          <w:sz w:val="24"/>
        </w:rPr>
        <w:t>At the secondary stage, such programmes can be more ambitiously designed, and have a greater impact on young minds. Every secondary school should develop carefully planned programmes for promoting good school-community relations and suitable forms of service to the community. We recommend that about ten days a year (or a total of 30 days</w:t>
      </w:r>
      <w:r>
        <w:rPr>
          <w:spacing w:val="-2"/>
          <w:sz w:val="24"/>
        </w:rPr>
        <w:t> </w:t>
      </w:r>
      <w:r>
        <w:rPr>
          <w:sz w:val="24"/>
        </w:rPr>
        <w:t>at</w:t>
      </w:r>
      <w:r>
        <w:rPr>
          <w:spacing w:val="-2"/>
          <w:sz w:val="24"/>
        </w:rPr>
        <w:t> </w:t>
      </w:r>
      <w:r>
        <w:rPr>
          <w:sz w:val="24"/>
        </w:rPr>
        <w:t>the</w:t>
      </w:r>
      <w:r>
        <w:rPr>
          <w:spacing w:val="-2"/>
          <w:sz w:val="24"/>
        </w:rPr>
        <w:t> </w:t>
      </w:r>
      <w:r>
        <w:rPr>
          <w:sz w:val="24"/>
        </w:rPr>
        <w:t>lower</w:t>
      </w:r>
      <w:r>
        <w:rPr>
          <w:spacing w:val="-2"/>
          <w:sz w:val="24"/>
        </w:rPr>
        <w:t> </w:t>
      </w:r>
      <w:r>
        <w:rPr>
          <w:sz w:val="24"/>
        </w:rPr>
        <w:t>secondary</w:t>
      </w:r>
      <w:r>
        <w:rPr>
          <w:spacing w:val="-2"/>
          <w:sz w:val="24"/>
        </w:rPr>
        <w:t> </w:t>
      </w:r>
      <w:r>
        <w:rPr>
          <w:sz w:val="24"/>
        </w:rPr>
        <w:t>stage</w:t>
      </w:r>
      <w:r>
        <w:rPr>
          <w:spacing w:val="-1"/>
          <w:sz w:val="24"/>
        </w:rPr>
        <w:t> </w:t>
      </w:r>
      <w:r>
        <w:rPr>
          <w:sz w:val="24"/>
        </w:rPr>
        <w:t>and</w:t>
      </w:r>
      <w:r>
        <w:rPr>
          <w:spacing w:val="-1"/>
          <w:sz w:val="24"/>
        </w:rPr>
        <w:t> </w:t>
      </w:r>
      <w:r>
        <w:rPr>
          <w:sz w:val="24"/>
        </w:rPr>
        <w:t>20</w:t>
      </w:r>
      <w:r>
        <w:rPr>
          <w:spacing w:val="-1"/>
          <w:sz w:val="24"/>
        </w:rPr>
        <w:t> </w:t>
      </w:r>
      <w:r>
        <w:rPr>
          <w:sz w:val="24"/>
        </w:rPr>
        <w:t>days</w:t>
      </w:r>
      <w:r>
        <w:rPr>
          <w:spacing w:val="-1"/>
          <w:sz w:val="24"/>
        </w:rPr>
        <w:t> </w:t>
      </w:r>
      <w:r>
        <w:rPr>
          <w:sz w:val="24"/>
        </w:rPr>
        <w:t>at</w:t>
      </w:r>
      <w:r>
        <w:rPr>
          <w:spacing w:val="-1"/>
          <w:sz w:val="24"/>
        </w:rPr>
        <w:t> </w:t>
      </w:r>
      <w:r>
        <w:rPr>
          <w:sz w:val="24"/>
        </w:rPr>
        <w:t>the</w:t>
      </w:r>
      <w:r>
        <w:rPr>
          <w:spacing w:val="-1"/>
          <w:sz w:val="24"/>
        </w:rPr>
        <w:t> </w:t>
      </w:r>
      <w:r>
        <w:rPr>
          <w:sz w:val="24"/>
        </w:rPr>
        <w:t>higher</w:t>
      </w:r>
      <w:r>
        <w:rPr>
          <w:spacing w:val="-3"/>
          <w:sz w:val="24"/>
        </w:rPr>
        <w:t> </w:t>
      </w:r>
      <w:r>
        <w:rPr>
          <w:sz w:val="24"/>
        </w:rPr>
        <w:t>secondary</w:t>
      </w:r>
      <w:r>
        <w:rPr>
          <w:spacing w:val="-1"/>
          <w:sz w:val="24"/>
        </w:rPr>
        <w:t> </w:t>
      </w:r>
      <w:r>
        <w:rPr>
          <w:sz w:val="24"/>
        </w:rPr>
        <w:t>stage)</w:t>
      </w:r>
      <w:r>
        <w:rPr>
          <w:spacing w:val="-1"/>
          <w:sz w:val="24"/>
        </w:rPr>
        <w:t> </w:t>
      </w:r>
      <w:r>
        <w:rPr>
          <w:sz w:val="24"/>
        </w:rPr>
        <w:t>may</w:t>
      </w:r>
      <w:r>
        <w:rPr>
          <w:spacing w:val="-1"/>
          <w:sz w:val="24"/>
        </w:rPr>
        <w:t> </w:t>
      </w:r>
      <w:r>
        <w:rPr>
          <w:sz w:val="24"/>
        </w:rPr>
        <w:t>be</w:t>
      </w:r>
      <w:r>
        <w:rPr>
          <w:spacing w:val="-1"/>
          <w:sz w:val="24"/>
        </w:rPr>
        <w:t> </w:t>
      </w:r>
      <w:r>
        <w:rPr>
          <w:sz w:val="24"/>
        </w:rPr>
        <w:t>fully devoted to such programmes. Where this is not possible, it should be obligatory for the students to participate in the Labour Service Camps for secondary school students to be organized by the State Education Departments on a district basis. The programme is discussed more fully elsewhere.</w:t>
      </w:r>
      <w:r>
        <w:rPr>
          <w:b/>
          <w:sz w:val="24"/>
          <w:vertAlign w:val="superscript"/>
        </w:rPr>
        <w:t>7</w:t>
      </w:r>
    </w:p>
    <w:p>
      <w:pPr>
        <w:pStyle w:val="BodyText"/>
        <w:spacing w:before="3"/>
        <w:rPr>
          <w:b/>
        </w:rPr>
      </w:pPr>
    </w:p>
    <w:p>
      <w:pPr>
        <w:pStyle w:val="ListParagraph"/>
        <w:numPr>
          <w:ilvl w:val="0"/>
          <w:numId w:val="14"/>
        </w:numPr>
        <w:tabs>
          <w:tab w:pos="513" w:val="left" w:leader="none"/>
        </w:tabs>
        <w:spacing w:line="240" w:lineRule="auto" w:before="1" w:after="0"/>
        <w:ind w:left="160" w:right="495" w:firstLine="0"/>
        <w:jc w:val="both"/>
        <w:rPr>
          <w:sz w:val="24"/>
        </w:rPr>
      </w:pPr>
      <w:r>
        <w:rPr>
          <w:sz w:val="24"/>
        </w:rPr>
        <w:t>Similarly, it should be obligatory for every college student, before he is awarded his first degree, to put in at least 60 days of national service in one to three stretches. Each college should develop its own programme, suited to its objectives, its resources and the age and competence of its students. Participation in Labour and Social Welfare Camps or the NCC should also be regarded as alternative forms of such service.</w:t>
      </w:r>
    </w:p>
    <w:p>
      <w:pPr>
        <w:pStyle w:val="BodyText"/>
        <w:spacing w:before="3"/>
      </w:pPr>
    </w:p>
    <w:p>
      <w:pPr>
        <w:pStyle w:val="ListParagraph"/>
        <w:numPr>
          <w:ilvl w:val="1"/>
          <w:numId w:val="12"/>
        </w:numPr>
        <w:tabs>
          <w:tab w:pos="684" w:val="left" w:leader="none"/>
        </w:tabs>
        <w:spacing w:line="240" w:lineRule="auto" w:before="0" w:after="0"/>
        <w:ind w:left="160" w:right="496" w:firstLine="0"/>
        <w:jc w:val="both"/>
        <w:rPr>
          <w:sz w:val="24"/>
        </w:rPr>
      </w:pPr>
      <w:r>
        <w:rPr>
          <w:sz w:val="24"/>
        </w:rPr>
        <w:t>The NCC programme, which has been made compulsory at the university stage during the last three years, has shown some good results. It has possibilities of promoting national development by building up closer ties between the people and the defence services. It also helps to lessen the difference between the so-called 'martial' and other classes</w:t>
      </w:r>
      <w:r>
        <w:rPr>
          <w:spacing w:val="-2"/>
          <w:sz w:val="24"/>
        </w:rPr>
        <w:t> </w:t>
      </w:r>
      <w:r>
        <w:rPr>
          <w:sz w:val="24"/>
        </w:rPr>
        <w:t>and</w:t>
      </w:r>
      <w:r>
        <w:rPr>
          <w:spacing w:val="-2"/>
          <w:sz w:val="24"/>
        </w:rPr>
        <w:t> </w:t>
      </w:r>
      <w:r>
        <w:rPr>
          <w:sz w:val="24"/>
        </w:rPr>
        <w:t>inculcates</w:t>
      </w:r>
      <w:r>
        <w:rPr>
          <w:spacing w:val="-2"/>
          <w:sz w:val="24"/>
        </w:rPr>
        <w:t> </w:t>
      </w:r>
      <w:r>
        <w:rPr>
          <w:sz w:val="24"/>
        </w:rPr>
        <w:t>the</w:t>
      </w:r>
      <w:r>
        <w:rPr>
          <w:spacing w:val="-2"/>
          <w:sz w:val="24"/>
        </w:rPr>
        <w:t> </w:t>
      </w:r>
      <w:r>
        <w:rPr>
          <w:sz w:val="24"/>
        </w:rPr>
        <w:t>idea</w:t>
      </w:r>
      <w:r>
        <w:rPr>
          <w:spacing w:val="-2"/>
          <w:sz w:val="24"/>
        </w:rPr>
        <w:t> </w:t>
      </w:r>
      <w:r>
        <w:rPr>
          <w:sz w:val="24"/>
        </w:rPr>
        <w:t>of</w:t>
      </w:r>
      <w:r>
        <w:rPr>
          <w:spacing w:val="-2"/>
          <w:sz w:val="24"/>
        </w:rPr>
        <w:t> </w:t>
      </w:r>
      <w:r>
        <w:rPr>
          <w:sz w:val="24"/>
        </w:rPr>
        <w:t>the</w:t>
      </w:r>
      <w:r>
        <w:rPr>
          <w:spacing w:val="-2"/>
          <w:sz w:val="24"/>
        </w:rPr>
        <w:t> </w:t>
      </w:r>
      <w:r>
        <w:rPr>
          <w:sz w:val="24"/>
        </w:rPr>
        <w:t>defence</w:t>
      </w:r>
      <w:r>
        <w:rPr>
          <w:spacing w:val="-2"/>
          <w:sz w:val="24"/>
        </w:rPr>
        <w:t> </w:t>
      </w:r>
      <w:r>
        <w:rPr>
          <w:sz w:val="24"/>
        </w:rPr>
        <w:t>of</w:t>
      </w:r>
      <w:r>
        <w:rPr>
          <w:spacing w:val="-3"/>
          <w:sz w:val="24"/>
        </w:rPr>
        <w:t> </w:t>
      </w:r>
      <w:r>
        <w:rPr>
          <w:sz w:val="24"/>
        </w:rPr>
        <w:t>freedom</w:t>
      </w:r>
      <w:r>
        <w:rPr>
          <w:spacing w:val="-4"/>
          <w:sz w:val="24"/>
        </w:rPr>
        <w:t> </w:t>
      </w:r>
      <w:r>
        <w:rPr>
          <w:sz w:val="24"/>
        </w:rPr>
        <w:t>in</w:t>
      </w:r>
      <w:r>
        <w:rPr>
          <w:spacing w:val="-2"/>
          <w:sz w:val="24"/>
        </w:rPr>
        <w:t> </w:t>
      </w:r>
      <w:r>
        <w:rPr>
          <w:sz w:val="24"/>
        </w:rPr>
        <w:t>all</w:t>
      </w:r>
      <w:r>
        <w:rPr>
          <w:spacing w:val="-2"/>
          <w:sz w:val="24"/>
        </w:rPr>
        <w:t> </w:t>
      </w:r>
      <w:r>
        <w:rPr>
          <w:sz w:val="24"/>
        </w:rPr>
        <w:t>classes</w:t>
      </w:r>
      <w:r>
        <w:rPr>
          <w:spacing w:val="-2"/>
          <w:sz w:val="24"/>
        </w:rPr>
        <w:t> </w:t>
      </w:r>
      <w:r>
        <w:rPr>
          <w:sz w:val="24"/>
        </w:rPr>
        <w:t>of</w:t>
      </w:r>
      <w:r>
        <w:rPr>
          <w:spacing w:val="-2"/>
          <w:sz w:val="24"/>
        </w:rPr>
        <w:t> </w:t>
      </w:r>
      <w:r>
        <w:rPr>
          <w:sz w:val="24"/>
        </w:rPr>
        <w:t>people.</w:t>
      </w:r>
      <w:r>
        <w:rPr>
          <w:spacing w:val="-2"/>
          <w:sz w:val="24"/>
        </w:rPr>
        <w:t> </w:t>
      </w:r>
      <w:r>
        <w:rPr>
          <w:sz w:val="24"/>
        </w:rPr>
        <w:t>As</w:t>
      </w:r>
      <w:r>
        <w:rPr>
          <w:spacing w:val="-2"/>
          <w:sz w:val="24"/>
        </w:rPr>
        <w:t> </w:t>
      </w:r>
      <w:r>
        <w:rPr>
          <w:sz w:val="24"/>
        </w:rPr>
        <w:t>it</w:t>
      </w:r>
      <w:r>
        <w:rPr>
          <w:spacing w:val="-2"/>
          <w:sz w:val="24"/>
        </w:rPr>
        <w:t> </w:t>
      </w:r>
      <w:r>
        <w:rPr>
          <w:sz w:val="24"/>
        </w:rPr>
        <w:t>has been started comparatively recently, we think (and the NCC authorities have also pressed this point) that it should be continued on its present basis for some time longer, say, till the end of the Fourth Five Year Plan. We would, however, recommend that the</w:t>
      </w:r>
      <w:r>
        <w:rPr>
          <w:spacing w:val="40"/>
          <w:sz w:val="24"/>
        </w:rPr>
        <w:t> </w:t>
      </w:r>
      <w:r>
        <w:rPr>
          <w:sz w:val="24"/>
        </w:rPr>
        <w:t>authorities concerned explore the possibility of organizing this training, not throughout the period of three years as at present, but in a concentrated and whole-time programme spread over about 60 days which, as stated earlier, could be completed by students in one to three stretches according to their convenience. As alternative forms of social service come into being, NCC should be made voluntary, leaving the students free to opt for it or any other form of social service provided.</w:t>
      </w:r>
    </w:p>
    <w:p>
      <w:pPr>
        <w:pStyle w:val="BodyText"/>
        <w:spacing w:before="5"/>
      </w:pPr>
    </w:p>
    <w:p>
      <w:pPr>
        <w:pStyle w:val="BodyText"/>
        <w:ind w:left="160"/>
        <w:jc w:val="both"/>
      </w:pPr>
      <w:r>
        <w:rPr>
          <w:b/>
          <w:vertAlign w:val="superscript"/>
        </w:rPr>
        <w:t>7</w:t>
      </w:r>
      <w:r>
        <w:rPr>
          <w:b/>
          <w:spacing w:val="-20"/>
          <w:vertAlign w:val="baseline"/>
        </w:rPr>
        <w:t> </w:t>
      </w:r>
      <w:r>
        <w:rPr>
          <w:vertAlign w:val="baseline"/>
        </w:rPr>
        <w:t>Chapter</w:t>
      </w:r>
      <w:r>
        <w:rPr>
          <w:spacing w:val="-1"/>
          <w:vertAlign w:val="baseline"/>
        </w:rPr>
        <w:t> </w:t>
      </w:r>
      <w:r>
        <w:rPr>
          <w:spacing w:val="-2"/>
          <w:vertAlign w:val="baseline"/>
        </w:rPr>
        <w:t>VIII.</w:t>
      </w:r>
    </w:p>
    <w:p>
      <w:pPr>
        <w:spacing w:after="0"/>
        <w:jc w:val="both"/>
        <w:sectPr>
          <w:pgSz w:w="12240" w:h="15840"/>
          <w:pgMar w:header="0" w:footer="743" w:top="1360" w:bottom="940" w:left="1640" w:right="1300"/>
        </w:sectPr>
      </w:pPr>
    </w:p>
    <w:p>
      <w:pPr>
        <w:pStyle w:val="ListParagraph"/>
        <w:numPr>
          <w:ilvl w:val="1"/>
          <w:numId w:val="12"/>
        </w:numPr>
        <w:tabs>
          <w:tab w:pos="642" w:val="left" w:leader="none"/>
        </w:tabs>
        <w:spacing w:line="240" w:lineRule="auto" w:before="76" w:after="0"/>
        <w:ind w:left="160" w:right="497" w:firstLine="0"/>
        <w:jc w:val="both"/>
        <w:rPr>
          <w:b/>
          <w:sz w:val="24"/>
        </w:rPr>
      </w:pPr>
      <w:r>
        <w:rPr>
          <w:b/>
          <w:sz w:val="24"/>
        </w:rPr>
        <w:t>Evolution of a Language Policy. </w:t>
      </w:r>
      <w:r>
        <w:rPr>
          <w:sz w:val="24"/>
        </w:rPr>
        <w:t>The development of a proper language policy can also assist materially in social and national integration. Of the many problems which the country has faced since independence, the language question has been one of the most complex and intractable, and it still continues to be so. Its early and satisfactory solution is imperative for a variety of reasons- educational, cultural and political.</w:t>
      </w:r>
    </w:p>
    <w:p>
      <w:pPr>
        <w:pStyle w:val="BodyText"/>
        <w:spacing w:before="4"/>
      </w:pPr>
    </w:p>
    <w:p>
      <w:pPr>
        <w:pStyle w:val="ListParagraph"/>
        <w:numPr>
          <w:ilvl w:val="1"/>
          <w:numId w:val="12"/>
        </w:numPr>
        <w:tabs>
          <w:tab w:pos="666" w:val="left" w:leader="none"/>
        </w:tabs>
        <w:spacing w:line="240" w:lineRule="auto" w:before="0" w:after="0"/>
        <w:ind w:left="160" w:right="497" w:firstLine="0"/>
        <w:jc w:val="both"/>
        <w:rPr>
          <w:b/>
          <w:sz w:val="24"/>
        </w:rPr>
      </w:pPr>
      <w:r>
        <w:rPr>
          <w:b/>
          <w:sz w:val="24"/>
        </w:rPr>
        <w:t>Development of Modern Indian Languages. </w:t>
      </w:r>
      <w:r>
        <w:rPr>
          <w:sz w:val="24"/>
        </w:rPr>
        <w:t>It is hardly necessary to emphasize that the development of the Indian languages is both urgent and essential for the development of the Indian people and as a way of bringing together the elite and the masses. It can make scientific and technical knowledge more easily accessible to the people in their own languages and thus help not only in the progress of industrialization but also in the wider dissemination of science and the scientific outlook. Energetic action is needed to produce books and literature, particularly scientific and technical, in the regional languages. This should be regarded as a specific and imperative responsibility of the universities; and the UGC should provide general guidance and allot adequate funds for the programme.</w:t>
      </w:r>
    </w:p>
    <w:p>
      <w:pPr>
        <w:pStyle w:val="BodyText"/>
        <w:spacing w:before="4"/>
      </w:pPr>
    </w:p>
    <w:p>
      <w:pPr>
        <w:pStyle w:val="ListParagraph"/>
        <w:numPr>
          <w:ilvl w:val="1"/>
          <w:numId w:val="12"/>
        </w:numPr>
        <w:tabs>
          <w:tab w:pos="680" w:val="left" w:leader="none"/>
        </w:tabs>
        <w:spacing w:line="240" w:lineRule="auto" w:before="0" w:after="0"/>
        <w:ind w:left="160" w:right="496" w:firstLine="0"/>
        <w:jc w:val="both"/>
        <w:rPr>
          <w:sz w:val="24"/>
        </w:rPr>
      </w:pPr>
      <w:r>
        <w:rPr>
          <w:sz w:val="24"/>
        </w:rPr>
        <w:t>Medium of Education in Schools and Colleges. The development of the modem Indian languages is inextricably linked with the importance given to them in the educational system, specially at the university stage. The medium selected should enable students to acquire knowledge with facility, to express themselves with clarity and to think with precision and vigour. From this point of view, the claims of the mother-tongue are</w:t>
      </w:r>
      <w:r>
        <w:rPr>
          <w:spacing w:val="-3"/>
          <w:sz w:val="24"/>
        </w:rPr>
        <w:t> </w:t>
      </w:r>
      <w:r>
        <w:rPr>
          <w:sz w:val="24"/>
        </w:rPr>
        <w:t>preeminent.</w:t>
      </w:r>
      <w:r>
        <w:rPr>
          <w:spacing w:val="-3"/>
          <w:sz w:val="24"/>
        </w:rPr>
        <w:t> </w:t>
      </w:r>
      <w:r>
        <w:rPr>
          <w:sz w:val="24"/>
        </w:rPr>
        <w:t>About</w:t>
      </w:r>
      <w:r>
        <w:rPr>
          <w:spacing w:val="-3"/>
          <w:sz w:val="24"/>
        </w:rPr>
        <w:t> </w:t>
      </w:r>
      <w:r>
        <w:rPr>
          <w:sz w:val="24"/>
        </w:rPr>
        <w:t>thirty</w:t>
      </w:r>
      <w:r>
        <w:rPr>
          <w:spacing w:val="-3"/>
          <w:sz w:val="24"/>
        </w:rPr>
        <w:t> </w:t>
      </w:r>
      <w:r>
        <w:rPr>
          <w:sz w:val="24"/>
        </w:rPr>
        <w:t>years</w:t>
      </w:r>
      <w:r>
        <w:rPr>
          <w:spacing w:val="-3"/>
          <w:sz w:val="24"/>
        </w:rPr>
        <w:t> </w:t>
      </w:r>
      <w:r>
        <w:rPr>
          <w:sz w:val="24"/>
        </w:rPr>
        <w:t>ago,</w:t>
      </w:r>
      <w:r>
        <w:rPr>
          <w:spacing w:val="-3"/>
          <w:sz w:val="24"/>
        </w:rPr>
        <w:t> </w:t>
      </w:r>
      <w:r>
        <w:rPr>
          <w:sz w:val="24"/>
        </w:rPr>
        <w:t>delivering</w:t>
      </w:r>
      <w:r>
        <w:rPr>
          <w:spacing w:val="-4"/>
          <w:sz w:val="24"/>
        </w:rPr>
        <w:t> </w:t>
      </w:r>
      <w:r>
        <w:rPr>
          <w:sz w:val="24"/>
        </w:rPr>
        <w:t>the</w:t>
      </w:r>
      <w:r>
        <w:rPr>
          <w:spacing w:val="-4"/>
          <w:sz w:val="24"/>
        </w:rPr>
        <w:t> </w:t>
      </w:r>
      <w:r>
        <w:rPr>
          <w:sz w:val="24"/>
        </w:rPr>
        <w:t>convocation</w:t>
      </w:r>
      <w:r>
        <w:rPr>
          <w:spacing w:val="-4"/>
          <w:sz w:val="24"/>
        </w:rPr>
        <w:t> </w:t>
      </w:r>
      <w:r>
        <w:rPr>
          <w:sz w:val="24"/>
        </w:rPr>
        <w:t>address</w:t>
      </w:r>
      <w:r>
        <w:rPr>
          <w:spacing w:val="-3"/>
          <w:sz w:val="24"/>
        </w:rPr>
        <w:t> </w:t>
      </w:r>
      <w:r>
        <w:rPr>
          <w:sz w:val="24"/>
        </w:rPr>
        <w:t>of</w:t>
      </w:r>
      <w:r>
        <w:rPr>
          <w:spacing w:val="-3"/>
          <w:sz w:val="24"/>
        </w:rPr>
        <w:t> </w:t>
      </w:r>
      <w:r>
        <w:rPr>
          <w:sz w:val="24"/>
        </w:rPr>
        <w:t>the</w:t>
      </w:r>
      <w:r>
        <w:rPr>
          <w:spacing w:val="-3"/>
          <w:sz w:val="24"/>
        </w:rPr>
        <w:t> </w:t>
      </w:r>
      <w:r>
        <w:rPr>
          <w:sz w:val="24"/>
        </w:rPr>
        <w:t>Calcutta University, Rabindra Nath Tagore had expressed Ms views in this matter in no uncertain </w:t>
      </w:r>
      <w:r>
        <w:rPr>
          <w:spacing w:val="-2"/>
          <w:sz w:val="24"/>
        </w:rPr>
        <w:t>terms:</w:t>
      </w:r>
    </w:p>
    <w:p>
      <w:pPr>
        <w:pStyle w:val="BodyText"/>
        <w:spacing w:before="5"/>
      </w:pPr>
    </w:p>
    <w:p>
      <w:pPr>
        <w:pStyle w:val="BodyText"/>
        <w:ind w:left="160" w:right="495"/>
        <w:jc w:val="both"/>
      </w:pPr>
      <w:r>
        <w:rPr/>
        <w:t>In no country in the world, except India, is to be seen this divorce of the language of education from the language of the pupil. Full hundred years have not elapsed since</w:t>
      </w:r>
      <w:r>
        <w:rPr>
          <w:spacing w:val="80"/>
        </w:rPr>
        <w:t> </w:t>
      </w:r>
      <w:r>
        <w:rPr/>
        <w:t>Japan took its initiation into Western culture. At the outset she had to take recourse to textbooks written in foreign languages, but from the very first, her objective had been to arrive at the stage of ranging freely over the subjects of study in the language of the country. It was because Japan had recognized the need of such studies, not as an</w:t>
      </w:r>
      <w:r>
        <w:rPr>
          <w:spacing w:val="40"/>
        </w:rPr>
        <w:t> </w:t>
      </w:r>
      <w:r>
        <w:rPr/>
        <w:t>ornament for a select section of her citizens, but for giving power and culture to all of them, that she deemed it to be of prime importance to make them universally available to her people. And in this effort of Japan to gain proficiency in the Western arts and sciences, which was to give her the means of self-defence against the predatory cupidity of foreign powers, to qualify her to take an honoured place in the comity of nations, no trouble or expense was spared. Least of all was there the miserly folly of keeping such learning out of easy reach, within the confines of a foreign language.</w:t>
      </w:r>
    </w:p>
    <w:p>
      <w:pPr>
        <w:pStyle w:val="BodyText"/>
        <w:spacing w:before="4"/>
      </w:pPr>
    </w:p>
    <w:p>
      <w:pPr>
        <w:pStyle w:val="BodyText"/>
        <w:ind w:left="160" w:right="496"/>
        <w:jc w:val="both"/>
      </w:pPr>
      <w:r>
        <w:rPr/>
        <w:t>Learning through a foreign medium compels the students to concentrate on cramming instead of mastering the subject-matter. Moreover, as a matter of sound educational policy, the medium of education in school and higher education should generally be the same. Prior to 1937, the position was at least consistent. English was the medium both in the</w:t>
      </w:r>
      <w:r>
        <w:rPr>
          <w:spacing w:val="1"/>
        </w:rPr>
        <w:t> </w:t>
      </w:r>
      <w:r>
        <w:rPr/>
        <w:t>upper</w:t>
      </w:r>
      <w:r>
        <w:rPr>
          <w:spacing w:val="2"/>
        </w:rPr>
        <w:t> </w:t>
      </w:r>
      <w:r>
        <w:rPr/>
        <w:t>stages</w:t>
      </w:r>
      <w:r>
        <w:rPr>
          <w:spacing w:val="2"/>
        </w:rPr>
        <w:t> </w:t>
      </w:r>
      <w:r>
        <w:rPr/>
        <w:t>of</w:t>
      </w:r>
      <w:r>
        <w:rPr>
          <w:spacing w:val="2"/>
        </w:rPr>
        <w:t> </w:t>
      </w:r>
      <w:r>
        <w:rPr/>
        <w:t>school</w:t>
      </w:r>
      <w:r>
        <w:rPr>
          <w:spacing w:val="2"/>
        </w:rPr>
        <w:t> </w:t>
      </w:r>
      <w:r>
        <w:rPr/>
        <w:t>and</w:t>
      </w:r>
      <w:r>
        <w:rPr>
          <w:spacing w:val="2"/>
        </w:rPr>
        <w:t> </w:t>
      </w:r>
      <w:r>
        <w:rPr/>
        <w:t>college</w:t>
      </w:r>
      <w:r>
        <w:rPr>
          <w:spacing w:val="2"/>
        </w:rPr>
        <w:t> </w:t>
      </w:r>
      <w:r>
        <w:rPr/>
        <w:t>education.</w:t>
      </w:r>
      <w:r>
        <w:rPr>
          <w:spacing w:val="1"/>
        </w:rPr>
        <w:t> </w:t>
      </w:r>
      <w:r>
        <w:rPr/>
        <w:t>As</w:t>
      </w:r>
      <w:r>
        <w:rPr>
          <w:spacing w:val="2"/>
        </w:rPr>
        <w:t> </w:t>
      </w:r>
      <w:r>
        <w:rPr/>
        <w:t>we</w:t>
      </w:r>
      <w:r>
        <w:rPr>
          <w:spacing w:val="2"/>
        </w:rPr>
        <w:t> </w:t>
      </w:r>
      <w:r>
        <w:rPr/>
        <w:t>have</w:t>
      </w:r>
      <w:r>
        <w:rPr>
          <w:spacing w:val="2"/>
        </w:rPr>
        <w:t> </w:t>
      </w:r>
      <w:r>
        <w:rPr/>
        <w:t>rightly</w:t>
      </w:r>
      <w:r>
        <w:rPr>
          <w:spacing w:val="2"/>
        </w:rPr>
        <w:t> </w:t>
      </w:r>
      <w:r>
        <w:rPr/>
        <w:t>adopted</w:t>
      </w:r>
      <w:r>
        <w:rPr>
          <w:spacing w:val="2"/>
        </w:rPr>
        <w:t> </w:t>
      </w:r>
      <w:r>
        <w:rPr/>
        <w:t>the</w:t>
      </w:r>
      <w:r>
        <w:rPr>
          <w:spacing w:val="2"/>
        </w:rPr>
        <w:t> </w:t>
      </w:r>
      <w:r>
        <w:rPr>
          <w:spacing w:val="-2"/>
        </w:rPr>
        <w:t>regional</w:t>
      </w:r>
    </w:p>
    <w:p>
      <w:pPr>
        <w:spacing w:after="0"/>
        <w:jc w:val="both"/>
        <w:sectPr>
          <w:pgSz w:w="12240" w:h="15840"/>
          <w:pgMar w:header="0" w:footer="743" w:top="1360" w:bottom="940" w:left="1640" w:right="1300"/>
        </w:sectPr>
      </w:pPr>
    </w:p>
    <w:p>
      <w:pPr>
        <w:pStyle w:val="BodyText"/>
        <w:spacing w:before="76"/>
        <w:ind w:left="160" w:right="497"/>
        <w:jc w:val="both"/>
      </w:pPr>
      <w:r>
        <w:rPr/>
        <w:t>languages as the media of education at the school stage, it follows that we should adopt them increasingly at the higher stage also.</w:t>
      </w:r>
    </w:p>
    <w:p>
      <w:pPr>
        <w:pStyle w:val="BodyText"/>
        <w:spacing w:before="4"/>
      </w:pPr>
    </w:p>
    <w:p>
      <w:pPr>
        <w:pStyle w:val="ListParagraph"/>
        <w:numPr>
          <w:ilvl w:val="1"/>
          <w:numId w:val="12"/>
        </w:numPr>
        <w:tabs>
          <w:tab w:pos="656" w:val="left" w:leader="none"/>
        </w:tabs>
        <w:spacing w:line="240" w:lineRule="auto" w:before="0" w:after="0"/>
        <w:ind w:left="160" w:right="497" w:firstLine="0"/>
        <w:jc w:val="both"/>
        <w:rPr>
          <w:sz w:val="24"/>
        </w:rPr>
      </w:pPr>
      <w:r>
        <w:rPr>
          <w:sz w:val="24"/>
        </w:rPr>
        <w:t>This proposal has also been supported strongly as a measure to promote social and national integration. The Emotional Integration Committee was of the view that the use</w:t>
      </w:r>
      <w:r>
        <w:rPr>
          <w:spacing w:val="40"/>
          <w:sz w:val="24"/>
        </w:rPr>
        <w:t> </w:t>
      </w:r>
      <w:r>
        <w:rPr>
          <w:sz w:val="24"/>
        </w:rPr>
        <w:t>of regional languages as media of education from the lowest to the highest stage </w:t>
      </w:r>
      <w:r>
        <w:rPr>
          <w:sz w:val="24"/>
        </w:rPr>
        <w:t>of education was a matter of 'profound importance for national integration'. This was supported by the National Integration Council (June 1962) which said:</w:t>
      </w:r>
    </w:p>
    <w:p>
      <w:pPr>
        <w:pStyle w:val="BodyText"/>
        <w:spacing w:before="5"/>
      </w:pPr>
    </w:p>
    <w:p>
      <w:pPr>
        <w:pStyle w:val="BodyText"/>
        <w:ind w:left="159" w:right="496"/>
        <w:jc w:val="both"/>
      </w:pPr>
      <w:r>
        <w:rPr/>
        <w:t>The change in the medium of instruction is justified not so much by cultural or political sentiments as on the very important academic consideration of facilitating grasp and understanding of the subject-matter. Further, India's university men will be unable to make their maximum possible contribution to the advancement of learning generally, and science and technology in particular, unless there is a continuous means of communication in the shape of the region- al languages between its masses, its artisans and technicians and its university men. The development of the talent latent in the</w:t>
      </w:r>
      <w:r>
        <w:rPr>
          <w:spacing w:val="40"/>
        </w:rPr>
        <w:t> </w:t>
      </w:r>
      <w:r>
        <w:rPr/>
        <w:t>country will also, in the view of the Council, be retarded unless regional languages are employed as media of instruction at the university stage. We generally agree with these </w:t>
      </w:r>
      <w:r>
        <w:rPr>
          <w:spacing w:val="-2"/>
        </w:rPr>
        <w:t>observations.</w:t>
      </w:r>
    </w:p>
    <w:p>
      <w:pPr>
        <w:pStyle w:val="BodyText"/>
        <w:spacing w:before="4"/>
      </w:pPr>
    </w:p>
    <w:p>
      <w:pPr>
        <w:pStyle w:val="ListParagraph"/>
        <w:numPr>
          <w:ilvl w:val="1"/>
          <w:numId w:val="12"/>
        </w:numPr>
        <w:tabs>
          <w:tab w:pos="655" w:val="left" w:leader="none"/>
        </w:tabs>
        <w:spacing w:line="240" w:lineRule="auto" w:before="0" w:after="0"/>
        <w:ind w:left="160" w:right="496" w:firstLine="0"/>
        <w:jc w:val="both"/>
        <w:rPr>
          <w:sz w:val="24"/>
        </w:rPr>
      </w:pPr>
      <w:r>
        <w:rPr>
          <w:sz w:val="24"/>
        </w:rPr>
        <w:t>It has been sometimes argued that there should be a single medium of education at the university stage-English for the time being, to be ultimately replaced by Hindi-on the ground that it would promote mobility of teachers and students from one part of the country to another, provide for easy communication between academic and professional men</w:t>
      </w:r>
      <w:r>
        <w:rPr>
          <w:spacing w:val="-2"/>
          <w:sz w:val="24"/>
        </w:rPr>
        <w:t> </w:t>
      </w:r>
      <w:r>
        <w:rPr>
          <w:sz w:val="24"/>
        </w:rPr>
        <w:t>and</w:t>
      </w:r>
      <w:r>
        <w:rPr>
          <w:spacing w:val="-2"/>
          <w:sz w:val="24"/>
        </w:rPr>
        <w:t> </w:t>
      </w:r>
      <w:r>
        <w:rPr>
          <w:sz w:val="24"/>
        </w:rPr>
        <w:t>administrators,</w:t>
      </w:r>
      <w:r>
        <w:rPr>
          <w:spacing w:val="-2"/>
          <w:sz w:val="24"/>
        </w:rPr>
        <w:t> </w:t>
      </w:r>
      <w:r>
        <w:rPr>
          <w:sz w:val="24"/>
        </w:rPr>
        <w:t>further</w:t>
      </w:r>
      <w:r>
        <w:rPr>
          <w:spacing w:val="-2"/>
          <w:sz w:val="24"/>
        </w:rPr>
        <w:t> </w:t>
      </w:r>
      <w:r>
        <w:rPr>
          <w:sz w:val="24"/>
        </w:rPr>
        <w:t>intellectual</w:t>
      </w:r>
      <w:r>
        <w:rPr>
          <w:spacing w:val="-2"/>
          <w:sz w:val="24"/>
        </w:rPr>
        <w:t> </w:t>
      </w:r>
      <w:r>
        <w:rPr>
          <w:sz w:val="24"/>
        </w:rPr>
        <w:t>cooperation</w:t>
      </w:r>
      <w:r>
        <w:rPr>
          <w:spacing w:val="-2"/>
          <w:sz w:val="24"/>
        </w:rPr>
        <w:t> </w:t>
      </w:r>
      <w:r>
        <w:rPr>
          <w:sz w:val="24"/>
        </w:rPr>
        <w:t>amongst</w:t>
      </w:r>
      <w:r>
        <w:rPr>
          <w:spacing w:val="-2"/>
          <w:sz w:val="24"/>
        </w:rPr>
        <w:t> </w:t>
      </w:r>
      <w:r>
        <w:rPr>
          <w:sz w:val="24"/>
        </w:rPr>
        <w:t>the</w:t>
      </w:r>
      <w:r>
        <w:rPr>
          <w:spacing w:val="-2"/>
          <w:sz w:val="24"/>
        </w:rPr>
        <w:t> </w:t>
      </w:r>
      <w:r>
        <w:rPr>
          <w:sz w:val="24"/>
        </w:rPr>
        <w:t>universities</w:t>
      </w:r>
      <w:r>
        <w:rPr>
          <w:spacing w:val="-2"/>
          <w:sz w:val="24"/>
        </w:rPr>
        <w:t> </w:t>
      </w:r>
      <w:r>
        <w:rPr>
          <w:sz w:val="24"/>
        </w:rPr>
        <w:t>and</w:t>
      </w:r>
      <w:r>
        <w:rPr>
          <w:spacing w:val="-2"/>
          <w:sz w:val="24"/>
        </w:rPr>
        <w:t> </w:t>
      </w:r>
      <w:r>
        <w:rPr>
          <w:sz w:val="24"/>
        </w:rPr>
        <w:t>help in other ways in developing a corporate intellectual life in the country. We are inclined to think, on a balance of considerations, that this solution is not feasible. In practice, it will probably mean the indefinite continuance of English as the only medium of higher education, a development that we cannot support in the larger interests of the country.</w:t>
      </w:r>
      <w:r>
        <w:rPr>
          <w:spacing w:val="40"/>
          <w:sz w:val="24"/>
        </w:rPr>
        <w:t> </w:t>
      </w:r>
      <w:r>
        <w:rPr>
          <w:sz w:val="24"/>
        </w:rPr>
        <w:t>The adoption of Hindi as a common medium of education in all parts of India is not possible for some years to come, and in non-Hindi areas it will still have some of the disadvantages associated with the use of a foreign medium and is likely to be resisted. It would, therefore, be unwise to strive to reverse the present trend for the adoption of the regional</w:t>
      </w:r>
      <w:r>
        <w:rPr>
          <w:spacing w:val="-2"/>
          <w:sz w:val="24"/>
        </w:rPr>
        <w:t> </w:t>
      </w:r>
      <w:r>
        <w:rPr>
          <w:sz w:val="24"/>
        </w:rPr>
        <w:t>languages</w:t>
      </w:r>
      <w:r>
        <w:rPr>
          <w:spacing w:val="-2"/>
          <w:sz w:val="24"/>
        </w:rPr>
        <w:t> </w:t>
      </w:r>
      <w:r>
        <w:rPr>
          <w:sz w:val="24"/>
        </w:rPr>
        <w:t>as</w:t>
      </w:r>
      <w:r>
        <w:rPr>
          <w:spacing w:val="-2"/>
          <w:sz w:val="24"/>
        </w:rPr>
        <w:t> </w:t>
      </w:r>
      <w:r>
        <w:rPr>
          <w:sz w:val="24"/>
        </w:rPr>
        <w:t>media</w:t>
      </w:r>
      <w:r>
        <w:rPr>
          <w:spacing w:val="-2"/>
          <w:sz w:val="24"/>
        </w:rPr>
        <w:t> </w:t>
      </w:r>
      <w:r>
        <w:rPr>
          <w:sz w:val="24"/>
        </w:rPr>
        <w:t>of</w:t>
      </w:r>
      <w:r>
        <w:rPr>
          <w:spacing w:val="-2"/>
          <w:sz w:val="24"/>
        </w:rPr>
        <w:t> </w:t>
      </w:r>
      <w:r>
        <w:rPr>
          <w:sz w:val="24"/>
        </w:rPr>
        <w:t>education</w:t>
      </w:r>
      <w:r>
        <w:rPr>
          <w:spacing w:val="-2"/>
          <w:sz w:val="24"/>
        </w:rPr>
        <w:t> </w:t>
      </w:r>
      <w:r>
        <w:rPr>
          <w:sz w:val="24"/>
        </w:rPr>
        <w:t>at</w:t>
      </w:r>
      <w:r>
        <w:rPr>
          <w:spacing w:val="-2"/>
          <w:sz w:val="24"/>
        </w:rPr>
        <w:t> </w:t>
      </w:r>
      <w:r>
        <w:rPr>
          <w:sz w:val="24"/>
        </w:rPr>
        <w:t>the</w:t>
      </w:r>
      <w:r>
        <w:rPr>
          <w:spacing w:val="-3"/>
          <w:sz w:val="24"/>
        </w:rPr>
        <w:t> </w:t>
      </w:r>
      <w:r>
        <w:rPr>
          <w:sz w:val="24"/>
        </w:rPr>
        <w:t>university</w:t>
      </w:r>
      <w:r>
        <w:rPr>
          <w:spacing w:val="-3"/>
          <w:sz w:val="24"/>
        </w:rPr>
        <w:t> </w:t>
      </w:r>
      <w:r>
        <w:rPr>
          <w:sz w:val="24"/>
        </w:rPr>
        <w:t>stage</w:t>
      </w:r>
      <w:r>
        <w:rPr>
          <w:spacing w:val="-3"/>
          <w:sz w:val="24"/>
        </w:rPr>
        <w:t> </w:t>
      </w:r>
      <w:r>
        <w:rPr>
          <w:sz w:val="24"/>
        </w:rPr>
        <w:t>and</w:t>
      </w:r>
      <w:r>
        <w:rPr>
          <w:spacing w:val="-3"/>
          <w:sz w:val="24"/>
        </w:rPr>
        <w:t> </w:t>
      </w:r>
      <w:r>
        <w:rPr>
          <w:sz w:val="24"/>
        </w:rPr>
        <w:t>to</w:t>
      </w:r>
      <w:r>
        <w:rPr>
          <w:spacing w:val="-3"/>
          <w:sz w:val="24"/>
        </w:rPr>
        <w:t> </w:t>
      </w:r>
      <w:r>
        <w:rPr>
          <w:sz w:val="24"/>
        </w:rPr>
        <w:t>insist</w:t>
      </w:r>
      <w:r>
        <w:rPr>
          <w:spacing w:val="-3"/>
          <w:sz w:val="24"/>
        </w:rPr>
        <w:t> </w:t>
      </w:r>
      <w:r>
        <w:rPr>
          <w:sz w:val="24"/>
        </w:rPr>
        <w:t>on</w:t>
      </w:r>
      <w:r>
        <w:rPr>
          <w:spacing w:val="-3"/>
          <w:sz w:val="24"/>
        </w:rPr>
        <w:t> </w:t>
      </w:r>
      <w:r>
        <w:rPr>
          <w:sz w:val="24"/>
        </w:rPr>
        <w:t>the</w:t>
      </w:r>
      <w:r>
        <w:rPr>
          <w:spacing w:val="-3"/>
          <w:sz w:val="24"/>
        </w:rPr>
        <w:t> </w:t>
      </w:r>
      <w:r>
        <w:rPr>
          <w:sz w:val="24"/>
        </w:rPr>
        <w:t>use</w:t>
      </w:r>
      <w:r>
        <w:rPr>
          <w:spacing w:val="-3"/>
          <w:sz w:val="24"/>
        </w:rPr>
        <w:t> </w:t>
      </w:r>
      <w:r>
        <w:rPr>
          <w:sz w:val="24"/>
        </w:rPr>
        <w:t>of a common medium in higher education throughout the country.</w:t>
      </w:r>
    </w:p>
    <w:p>
      <w:pPr>
        <w:pStyle w:val="BodyText"/>
        <w:spacing w:before="5"/>
      </w:pPr>
    </w:p>
    <w:p>
      <w:pPr>
        <w:pStyle w:val="ListParagraph"/>
        <w:numPr>
          <w:ilvl w:val="1"/>
          <w:numId w:val="12"/>
        </w:numPr>
        <w:tabs>
          <w:tab w:pos="640" w:val="left" w:leader="none"/>
        </w:tabs>
        <w:spacing w:line="240" w:lineRule="auto" w:before="0" w:after="0"/>
        <w:ind w:left="640" w:right="0" w:hanging="480"/>
        <w:jc w:val="both"/>
        <w:rPr>
          <w:sz w:val="24"/>
        </w:rPr>
      </w:pPr>
      <w:r>
        <w:rPr>
          <w:sz w:val="24"/>
        </w:rPr>
        <w:t>To sum </w:t>
      </w:r>
      <w:r>
        <w:rPr>
          <w:spacing w:val="-5"/>
          <w:sz w:val="24"/>
        </w:rPr>
        <w:t>up:</w:t>
      </w:r>
    </w:p>
    <w:p>
      <w:pPr>
        <w:pStyle w:val="BodyText"/>
        <w:spacing w:before="2"/>
      </w:pPr>
    </w:p>
    <w:p>
      <w:pPr>
        <w:pStyle w:val="ListParagraph"/>
        <w:numPr>
          <w:ilvl w:val="0"/>
          <w:numId w:val="15"/>
        </w:numPr>
        <w:tabs>
          <w:tab w:pos="505" w:val="left" w:leader="none"/>
        </w:tabs>
        <w:spacing w:line="240" w:lineRule="auto" w:before="1" w:after="0"/>
        <w:ind w:left="159" w:right="496" w:firstLine="0"/>
        <w:jc w:val="both"/>
        <w:rPr>
          <w:sz w:val="24"/>
        </w:rPr>
      </w:pPr>
      <w:r>
        <w:rPr>
          <w:sz w:val="24"/>
        </w:rPr>
        <w:t>We are convinced of the advantages of education through the regional languages. We regard the development of regional languages as vital to the general progress of the country, and as an important step towards the improvement of quality in education. To avoid any misunderstanding we would emphasize</w:t>
      </w:r>
      <w:r>
        <w:rPr>
          <w:spacing w:val="-1"/>
          <w:sz w:val="24"/>
        </w:rPr>
        <w:t> </w:t>
      </w:r>
      <w:r>
        <w:rPr>
          <w:sz w:val="24"/>
        </w:rPr>
        <w:t>that this does not mean the shutting out of English, or other world languages. In fact we will profit from these languages all the more when our education becomes more effective and useful.</w:t>
      </w:r>
    </w:p>
    <w:p>
      <w:pPr>
        <w:spacing w:after="0" w:line="240" w:lineRule="auto"/>
        <w:jc w:val="both"/>
        <w:rPr>
          <w:sz w:val="24"/>
        </w:rPr>
        <w:sectPr>
          <w:pgSz w:w="12240" w:h="15840"/>
          <w:pgMar w:header="0" w:footer="743" w:top="1360" w:bottom="940" w:left="1640" w:right="1300"/>
        </w:sectPr>
      </w:pPr>
    </w:p>
    <w:p>
      <w:pPr>
        <w:pStyle w:val="ListParagraph"/>
        <w:numPr>
          <w:ilvl w:val="0"/>
          <w:numId w:val="15"/>
        </w:numPr>
        <w:tabs>
          <w:tab w:pos="571" w:val="left" w:leader="none"/>
        </w:tabs>
        <w:spacing w:line="240" w:lineRule="auto" w:before="76" w:after="0"/>
        <w:ind w:left="160" w:right="495" w:firstLine="0"/>
        <w:jc w:val="both"/>
        <w:rPr>
          <w:sz w:val="24"/>
        </w:rPr>
      </w:pPr>
      <w:r>
        <w:rPr>
          <w:sz w:val="24"/>
        </w:rPr>
        <w:t>in view of the importance of the problem, we suggest that the UGC and the universities</w:t>
      </w:r>
      <w:r>
        <w:rPr>
          <w:spacing w:val="-3"/>
          <w:sz w:val="24"/>
        </w:rPr>
        <w:t> </w:t>
      </w:r>
      <w:r>
        <w:rPr>
          <w:sz w:val="24"/>
        </w:rPr>
        <w:t>carefully</w:t>
      </w:r>
      <w:r>
        <w:rPr>
          <w:spacing w:val="-3"/>
          <w:sz w:val="24"/>
        </w:rPr>
        <w:t> </w:t>
      </w:r>
      <w:r>
        <w:rPr>
          <w:sz w:val="24"/>
        </w:rPr>
        <w:t>work</w:t>
      </w:r>
      <w:r>
        <w:rPr>
          <w:spacing w:val="-3"/>
          <w:sz w:val="24"/>
        </w:rPr>
        <w:t> </w:t>
      </w:r>
      <w:r>
        <w:rPr>
          <w:sz w:val="24"/>
        </w:rPr>
        <w:t>out</w:t>
      </w:r>
      <w:r>
        <w:rPr>
          <w:spacing w:val="-3"/>
          <w:sz w:val="24"/>
        </w:rPr>
        <w:t> </w:t>
      </w:r>
      <w:r>
        <w:rPr>
          <w:sz w:val="24"/>
        </w:rPr>
        <w:t>a</w:t>
      </w:r>
      <w:r>
        <w:rPr>
          <w:spacing w:val="-2"/>
          <w:sz w:val="24"/>
        </w:rPr>
        <w:t> </w:t>
      </w:r>
      <w:r>
        <w:rPr>
          <w:sz w:val="24"/>
        </w:rPr>
        <w:t>feasible</w:t>
      </w:r>
      <w:r>
        <w:rPr>
          <w:spacing w:val="-2"/>
          <w:sz w:val="24"/>
        </w:rPr>
        <w:t> </w:t>
      </w:r>
      <w:r>
        <w:rPr>
          <w:sz w:val="24"/>
        </w:rPr>
        <w:t>programme</w:t>
      </w:r>
      <w:r>
        <w:rPr>
          <w:spacing w:val="-2"/>
          <w:sz w:val="24"/>
        </w:rPr>
        <w:t> </w:t>
      </w:r>
      <w:r>
        <w:rPr>
          <w:sz w:val="24"/>
        </w:rPr>
        <w:t>suitable</w:t>
      </w:r>
      <w:r>
        <w:rPr>
          <w:spacing w:val="-2"/>
          <w:sz w:val="24"/>
        </w:rPr>
        <w:t> </w:t>
      </w:r>
      <w:r>
        <w:rPr>
          <w:sz w:val="24"/>
        </w:rPr>
        <w:t>for</w:t>
      </w:r>
      <w:r>
        <w:rPr>
          <w:spacing w:val="-2"/>
          <w:sz w:val="24"/>
        </w:rPr>
        <w:t> </w:t>
      </w:r>
      <w:r>
        <w:rPr>
          <w:sz w:val="24"/>
        </w:rPr>
        <w:t>each</w:t>
      </w:r>
      <w:r>
        <w:rPr>
          <w:spacing w:val="-2"/>
          <w:sz w:val="24"/>
        </w:rPr>
        <w:t> </w:t>
      </w:r>
      <w:r>
        <w:rPr>
          <w:sz w:val="24"/>
        </w:rPr>
        <w:t>university</w:t>
      </w:r>
      <w:r>
        <w:rPr>
          <w:spacing w:val="-2"/>
          <w:sz w:val="24"/>
        </w:rPr>
        <w:t> </w:t>
      </w:r>
      <w:r>
        <w:rPr>
          <w:sz w:val="24"/>
        </w:rPr>
        <w:t>or</w:t>
      </w:r>
      <w:r>
        <w:rPr>
          <w:spacing w:val="-2"/>
          <w:sz w:val="24"/>
        </w:rPr>
        <w:t> </w:t>
      </w:r>
      <w:r>
        <w:rPr>
          <w:sz w:val="24"/>
        </w:rPr>
        <w:t>group of universities. The change-over should take place as early as possible, and, in any case, within about ten years, since the problem will only become more complex and difficult with the passage of time. A large programme of producing the needed literature in the Indian languages will have to be undertaken, and adequate arrangements will have to be made for the training and re-training of teachers.</w:t>
      </w:r>
    </w:p>
    <w:p>
      <w:pPr>
        <w:pStyle w:val="BodyText"/>
        <w:spacing w:before="4"/>
      </w:pPr>
    </w:p>
    <w:p>
      <w:pPr>
        <w:pStyle w:val="ListParagraph"/>
        <w:numPr>
          <w:ilvl w:val="0"/>
          <w:numId w:val="15"/>
        </w:numPr>
        <w:tabs>
          <w:tab w:pos="522" w:val="left" w:leader="none"/>
        </w:tabs>
        <w:spacing w:line="240" w:lineRule="auto" w:before="0" w:after="0"/>
        <w:ind w:left="160" w:right="497" w:firstLine="0"/>
        <w:jc w:val="both"/>
        <w:rPr>
          <w:sz w:val="24"/>
        </w:rPr>
      </w:pPr>
      <w:r>
        <w:rPr>
          <w:sz w:val="24"/>
        </w:rPr>
        <w:t>What is required is to formulate a clear policy, to express it in unambiguous terms, and to follow it up with firm, bold and imaginative action. We should avoid a policy of drift which will only be harmful. Nor should we get involved in the vicious circle of no production because no demand' and 'no demand because no production'.</w:t>
      </w:r>
    </w:p>
    <w:p>
      <w:pPr>
        <w:pStyle w:val="BodyText"/>
        <w:spacing w:before="4"/>
      </w:pPr>
    </w:p>
    <w:p>
      <w:pPr>
        <w:pStyle w:val="ListParagraph"/>
        <w:numPr>
          <w:ilvl w:val="0"/>
          <w:numId w:val="15"/>
        </w:numPr>
        <w:tabs>
          <w:tab w:pos="526" w:val="left" w:leader="none"/>
        </w:tabs>
        <w:spacing w:line="240" w:lineRule="auto" w:before="0" w:after="0"/>
        <w:ind w:left="160" w:right="496" w:firstLine="0"/>
        <w:jc w:val="both"/>
        <w:rPr>
          <w:sz w:val="24"/>
        </w:rPr>
      </w:pPr>
      <w:r>
        <w:rPr>
          <w:sz w:val="24"/>
        </w:rPr>
        <w:t>We recognize that suitable safeguards would have to be devised, in the transitional stage, to prevent any lowering of standards during the process of change-over because </w:t>
      </w:r>
      <w:r>
        <w:rPr>
          <w:sz w:val="24"/>
        </w:rPr>
        <w:t>of inadequate preparation. In fact the desirability and success of the change should be</w:t>
      </w:r>
      <w:r>
        <w:rPr>
          <w:spacing w:val="40"/>
          <w:sz w:val="24"/>
        </w:rPr>
        <w:t> </w:t>
      </w:r>
      <w:r>
        <w:rPr>
          <w:sz w:val="24"/>
        </w:rPr>
        <w:t>judged in terms of the contribution it makes to raising the quality of education. But caution should not be equated with delay or procrastination. It is meaningful only if it is part of a policy of determined, deliberate and vigorous action.</w:t>
      </w:r>
    </w:p>
    <w:p>
      <w:pPr>
        <w:pStyle w:val="BodyText"/>
        <w:spacing w:before="5"/>
      </w:pPr>
    </w:p>
    <w:p>
      <w:pPr>
        <w:pStyle w:val="ListParagraph"/>
        <w:numPr>
          <w:ilvl w:val="1"/>
          <w:numId w:val="12"/>
        </w:numPr>
        <w:tabs>
          <w:tab w:pos="667" w:val="left" w:leader="none"/>
        </w:tabs>
        <w:spacing w:line="240" w:lineRule="auto" w:before="0" w:after="0"/>
        <w:ind w:left="160" w:right="496" w:firstLine="0"/>
        <w:jc w:val="both"/>
        <w:rPr>
          <w:sz w:val="24"/>
        </w:rPr>
      </w:pPr>
      <w:r>
        <w:rPr>
          <w:sz w:val="24"/>
        </w:rPr>
        <w:t>There will, however, be one important exception to this general rule, namely, all- India institutions which admit, in considerable numbers, students from different parts of the country. These now use English as the medium of education, which should continue undisturbed for the time being. A change-over to Hindi may be considered in due course provided two conditions are fulfilled. The first is the effective development of Hindi as a medium of education at this level. This is a matter which can be left to the UGC and the institutions concerned to decide. The second is the equally important political consideration that, in such a change-over, the chances of students from non-Hindi areas should</w:t>
      </w:r>
      <w:r>
        <w:rPr>
          <w:spacing w:val="-1"/>
          <w:sz w:val="24"/>
        </w:rPr>
        <w:t> </w:t>
      </w:r>
      <w:r>
        <w:rPr>
          <w:sz w:val="24"/>
        </w:rPr>
        <w:t>not</w:t>
      </w:r>
      <w:r>
        <w:rPr>
          <w:spacing w:val="-1"/>
          <w:sz w:val="24"/>
        </w:rPr>
        <w:t> </w:t>
      </w:r>
      <w:r>
        <w:rPr>
          <w:sz w:val="24"/>
        </w:rPr>
        <w:t>be</w:t>
      </w:r>
      <w:r>
        <w:rPr>
          <w:spacing w:val="-1"/>
          <w:sz w:val="24"/>
        </w:rPr>
        <w:t> </w:t>
      </w:r>
      <w:r>
        <w:rPr>
          <w:sz w:val="24"/>
        </w:rPr>
        <w:t>adversely</w:t>
      </w:r>
      <w:r>
        <w:rPr>
          <w:spacing w:val="-4"/>
          <w:sz w:val="24"/>
        </w:rPr>
        <w:t> </w:t>
      </w:r>
      <w:r>
        <w:rPr>
          <w:sz w:val="24"/>
        </w:rPr>
        <w:t>affected</w:t>
      </w:r>
      <w:r>
        <w:rPr>
          <w:spacing w:val="-4"/>
          <w:sz w:val="24"/>
        </w:rPr>
        <w:t> </w:t>
      </w:r>
      <w:r>
        <w:rPr>
          <w:sz w:val="24"/>
        </w:rPr>
        <w:t>and</w:t>
      </w:r>
      <w:r>
        <w:rPr>
          <w:spacing w:val="-2"/>
          <w:sz w:val="24"/>
        </w:rPr>
        <w:t> </w:t>
      </w:r>
      <w:r>
        <w:rPr>
          <w:sz w:val="24"/>
        </w:rPr>
        <w:t>that</w:t>
      </w:r>
      <w:r>
        <w:rPr>
          <w:spacing w:val="-2"/>
          <w:sz w:val="24"/>
        </w:rPr>
        <w:t> </w:t>
      </w:r>
      <w:r>
        <w:rPr>
          <w:sz w:val="24"/>
        </w:rPr>
        <w:t>the</w:t>
      </w:r>
      <w:r>
        <w:rPr>
          <w:spacing w:val="-2"/>
          <w:sz w:val="24"/>
        </w:rPr>
        <w:t> </w:t>
      </w:r>
      <w:r>
        <w:rPr>
          <w:sz w:val="24"/>
        </w:rPr>
        <w:t>proposal</w:t>
      </w:r>
      <w:r>
        <w:rPr>
          <w:spacing w:val="-2"/>
          <w:sz w:val="24"/>
        </w:rPr>
        <w:t> </w:t>
      </w:r>
      <w:r>
        <w:rPr>
          <w:sz w:val="24"/>
        </w:rPr>
        <w:t>should</w:t>
      </w:r>
      <w:r>
        <w:rPr>
          <w:spacing w:val="-2"/>
          <w:sz w:val="24"/>
        </w:rPr>
        <w:t> </w:t>
      </w:r>
      <w:r>
        <w:rPr>
          <w:sz w:val="24"/>
        </w:rPr>
        <w:t>have</w:t>
      </w:r>
      <w:r>
        <w:rPr>
          <w:spacing w:val="-2"/>
          <w:sz w:val="24"/>
        </w:rPr>
        <w:t> </w:t>
      </w:r>
      <w:r>
        <w:rPr>
          <w:sz w:val="24"/>
        </w:rPr>
        <w:t>the</w:t>
      </w:r>
      <w:r>
        <w:rPr>
          <w:spacing w:val="-2"/>
          <w:sz w:val="24"/>
        </w:rPr>
        <w:t> </w:t>
      </w:r>
      <w:r>
        <w:rPr>
          <w:sz w:val="24"/>
        </w:rPr>
        <w:t>support</w:t>
      </w:r>
      <w:r>
        <w:rPr>
          <w:spacing w:val="-2"/>
          <w:sz w:val="24"/>
        </w:rPr>
        <w:t> </w:t>
      </w:r>
      <w:r>
        <w:rPr>
          <w:sz w:val="24"/>
        </w:rPr>
        <w:t>of</w:t>
      </w:r>
      <w:r>
        <w:rPr>
          <w:spacing w:val="-2"/>
          <w:sz w:val="24"/>
        </w:rPr>
        <w:t> </w:t>
      </w:r>
      <w:r>
        <w:rPr>
          <w:sz w:val="24"/>
        </w:rPr>
        <w:t>the</w:t>
      </w:r>
      <w:r>
        <w:rPr>
          <w:spacing w:val="-2"/>
          <w:sz w:val="24"/>
        </w:rPr>
        <w:t> </w:t>
      </w:r>
      <w:r>
        <w:rPr>
          <w:sz w:val="24"/>
        </w:rPr>
        <w:t>non- Hindi States. The latter Principle has been already conceded by the Government of India even in the larger sphere of the use of Hindi in official communications between the States and the Centre.</w:t>
      </w:r>
    </w:p>
    <w:p>
      <w:pPr>
        <w:pStyle w:val="BodyText"/>
        <w:spacing w:before="4"/>
      </w:pPr>
    </w:p>
    <w:p>
      <w:pPr>
        <w:pStyle w:val="ListParagraph"/>
        <w:numPr>
          <w:ilvl w:val="1"/>
          <w:numId w:val="12"/>
        </w:numPr>
        <w:tabs>
          <w:tab w:pos="642" w:val="left" w:leader="none"/>
        </w:tabs>
        <w:spacing w:line="240" w:lineRule="auto" w:before="0" w:after="0"/>
        <w:ind w:left="160" w:right="496" w:firstLine="0"/>
        <w:jc w:val="both"/>
        <w:rPr>
          <w:sz w:val="24"/>
        </w:rPr>
      </w:pPr>
      <w:r>
        <w:rPr>
          <w:sz w:val="24"/>
        </w:rPr>
        <w:t>Simultaneously,</w:t>
      </w:r>
      <w:r>
        <w:rPr>
          <w:spacing w:val="-1"/>
          <w:sz w:val="24"/>
        </w:rPr>
        <w:t> </w:t>
      </w:r>
      <w:r>
        <w:rPr>
          <w:sz w:val="24"/>
        </w:rPr>
        <w:t>it</w:t>
      </w:r>
      <w:r>
        <w:rPr>
          <w:spacing w:val="-1"/>
          <w:sz w:val="24"/>
        </w:rPr>
        <w:t> </w:t>
      </w:r>
      <w:r>
        <w:rPr>
          <w:sz w:val="24"/>
        </w:rPr>
        <w:t>is</w:t>
      </w:r>
      <w:r>
        <w:rPr>
          <w:spacing w:val="-1"/>
          <w:sz w:val="24"/>
        </w:rPr>
        <w:t> </w:t>
      </w:r>
      <w:r>
        <w:rPr>
          <w:sz w:val="24"/>
        </w:rPr>
        <w:t>necessary</w:t>
      </w:r>
      <w:r>
        <w:rPr>
          <w:spacing w:val="-1"/>
          <w:sz w:val="24"/>
        </w:rPr>
        <w:t> </w:t>
      </w:r>
      <w:r>
        <w:rPr>
          <w:sz w:val="24"/>
        </w:rPr>
        <w:t>to</w:t>
      </w:r>
      <w:r>
        <w:rPr>
          <w:spacing w:val="-1"/>
          <w:sz w:val="24"/>
        </w:rPr>
        <w:t> </w:t>
      </w:r>
      <w:r>
        <w:rPr>
          <w:sz w:val="24"/>
        </w:rPr>
        <w:t>make</w:t>
      </w:r>
      <w:r>
        <w:rPr>
          <w:spacing w:val="-1"/>
          <w:sz w:val="24"/>
        </w:rPr>
        <w:t> </w:t>
      </w:r>
      <w:r>
        <w:rPr>
          <w:sz w:val="24"/>
        </w:rPr>
        <w:t>the</w:t>
      </w:r>
      <w:r>
        <w:rPr>
          <w:spacing w:val="-1"/>
          <w:sz w:val="24"/>
        </w:rPr>
        <w:t> </w:t>
      </w:r>
      <w:r>
        <w:rPr>
          <w:sz w:val="24"/>
        </w:rPr>
        <w:t>regional</w:t>
      </w:r>
      <w:r>
        <w:rPr>
          <w:spacing w:val="-1"/>
          <w:sz w:val="24"/>
        </w:rPr>
        <w:t> </w:t>
      </w:r>
      <w:r>
        <w:rPr>
          <w:sz w:val="24"/>
        </w:rPr>
        <w:t>languages</w:t>
      </w:r>
      <w:r>
        <w:rPr>
          <w:spacing w:val="-1"/>
          <w:sz w:val="24"/>
        </w:rPr>
        <w:t> </w:t>
      </w:r>
      <w:r>
        <w:rPr>
          <w:sz w:val="24"/>
        </w:rPr>
        <w:t>the</w:t>
      </w:r>
      <w:r>
        <w:rPr>
          <w:spacing w:val="-1"/>
          <w:sz w:val="24"/>
        </w:rPr>
        <w:t> </w:t>
      </w:r>
      <w:r>
        <w:rPr>
          <w:sz w:val="24"/>
        </w:rPr>
        <w:t>official</w:t>
      </w:r>
      <w:r>
        <w:rPr>
          <w:spacing w:val="-1"/>
          <w:sz w:val="24"/>
        </w:rPr>
        <w:t> </w:t>
      </w:r>
      <w:r>
        <w:rPr>
          <w:sz w:val="24"/>
        </w:rPr>
        <w:t>languages of the regions concerned as early as possible so that higher services are not de facto barred to those who study in the regional medium. The acceptance of the regional languages as media at the university is much more likely when good employment, which now depends largely on a knowledge of English and is more easily open to students who have studied through English, becomes available to those who have studied through the regional medium. We might also add here that, though Urdu is not a regional language in the ordinary sense of the word, it has an all-India significance since it is spoken by</w:t>
      </w:r>
      <w:r>
        <w:rPr>
          <w:spacing w:val="80"/>
          <w:sz w:val="24"/>
        </w:rPr>
        <w:t> </w:t>
      </w:r>
      <w:r>
        <w:rPr>
          <w:sz w:val="24"/>
        </w:rPr>
        <w:t>certain sections of the people in different parts of the country. Due encouragement must be given to it at all stages not only because of this peculiar character but also because of its close links with the official language, Hindi.</w:t>
      </w:r>
    </w:p>
    <w:p>
      <w:pPr>
        <w:spacing w:after="0" w:line="240" w:lineRule="auto"/>
        <w:jc w:val="both"/>
        <w:rPr>
          <w:sz w:val="24"/>
        </w:rPr>
        <w:sectPr>
          <w:pgSz w:w="12240" w:h="15840"/>
          <w:pgMar w:header="0" w:footer="743" w:top="1360" w:bottom="940" w:left="1640" w:right="1300"/>
        </w:sectPr>
      </w:pPr>
    </w:p>
    <w:p>
      <w:pPr>
        <w:pStyle w:val="ListParagraph"/>
        <w:numPr>
          <w:ilvl w:val="1"/>
          <w:numId w:val="12"/>
        </w:numPr>
        <w:tabs>
          <w:tab w:pos="707" w:val="left" w:leader="none"/>
        </w:tabs>
        <w:spacing w:line="240" w:lineRule="auto" w:before="76" w:after="0"/>
        <w:ind w:left="159" w:right="495" w:firstLine="0"/>
        <w:jc w:val="both"/>
        <w:rPr>
          <w:b/>
          <w:sz w:val="24"/>
        </w:rPr>
      </w:pPr>
      <w:r>
        <w:rPr>
          <w:b/>
          <w:sz w:val="24"/>
        </w:rPr>
        <w:t>Channels of International Communication. </w:t>
      </w:r>
      <w:r>
        <w:rPr>
          <w:sz w:val="24"/>
        </w:rPr>
        <w:t>The introduction of the regional languages as media of education should not be interpreted to mean underrating the importance of English in the university. For a successful completion of the first degree course, a student should possess an adequate command over English, be able to express himself in it with reasonable case and felicity, understand lectures in it and avail himself of its literature. Therefore, adequate emphasis will have to be laid on its study as a language right from the school stage. English should be the most useful 'library language' in higher education and our most significant window on the world. It is also important to encourage the study of other foreign languages on a more extensive scale for a variety of academic and practical purposes, Russian has a special significance for the study of science and technology in the present-day world.</w:t>
      </w:r>
      <w:r>
        <w:rPr>
          <w:b/>
          <w:sz w:val="24"/>
          <w:vertAlign w:val="superscript"/>
        </w:rPr>
        <w:t>8</w:t>
      </w:r>
      <w:r>
        <w:rPr>
          <w:b/>
          <w:sz w:val="24"/>
          <w:vertAlign w:val="baseline"/>
        </w:rPr>
        <w:t> </w:t>
      </w:r>
      <w:r>
        <w:rPr>
          <w:sz w:val="24"/>
          <w:vertAlign w:val="baseline"/>
        </w:rPr>
        <w:t>In addition, French, German, Japanese, Spanish and Chinese are important world languages for communication and for acquiring knowledge and culture. We recommend that all universities, some selected colleges, and also a small proportion of carefully selected schools should provide for the teaching of these languages. The knowledge of another foreign language (especially Russian) besides English should be a requirement for a doctorate degree, and in certain subjects, even for the Master's degree.</w:t>
      </w:r>
    </w:p>
    <w:p>
      <w:pPr>
        <w:pStyle w:val="BodyText"/>
        <w:spacing w:before="4"/>
      </w:pPr>
    </w:p>
    <w:p>
      <w:pPr>
        <w:pStyle w:val="ListParagraph"/>
        <w:numPr>
          <w:ilvl w:val="1"/>
          <w:numId w:val="12"/>
        </w:numPr>
        <w:tabs>
          <w:tab w:pos="639" w:val="left" w:leader="none"/>
        </w:tabs>
        <w:spacing w:line="240" w:lineRule="auto" w:before="0" w:after="0"/>
        <w:ind w:left="159" w:right="496" w:firstLine="0"/>
        <w:jc w:val="both"/>
        <w:rPr>
          <w:sz w:val="24"/>
        </w:rPr>
      </w:pPr>
      <w:r>
        <w:rPr>
          <w:sz w:val="24"/>
        </w:rPr>
        <w:t>The</w:t>
      </w:r>
      <w:r>
        <w:rPr>
          <w:spacing w:val="-3"/>
          <w:sz w:val="24"/>
        </w:rPr>
        <w:t> </w:t>
      </w:r>
      <w:r>
        <w:rPr>
          <w:sz w:val="24"/>
        </w:rPr>
        <w:t>country</w:t>
      </w:r>
      <w:r>
        <w:rPr>
          <w:spacing w:val="-3"/>
          <w:sz w:val="24"/>
        </w:rPr>
        <w:t> </w:t>
      </w:r>
      <w:r>
        <w:rPr>
          <w:sz w:val="24"/>
        </w:rPr>
        <w:t>will</w:t>
      </w:r>
      <w:r>
        <w:rPr>
          <w:spacing w:val="-3"/>
          <w:sz w:val="24"/>
        </w:rPr>
        <w:t> </w:t>
      </w:r>
      <w:r>
        <w:rPr>
          <w:sz w:val="24"/>
        </w:rPr>
        <w:t>need</w:t>
      </w:r>
      <w:r>
        <w:rPr>
          <w:spacing w:val="-3"/>
          <w:sz w:val="24"/>
        </w:rPr>
        <w:t> </w:t>
      </w:r>
      <w:r>
        <w:rPr>
          <w:sz w:val="24"/>
        </w:rPr>
        <w:t>in</w:t>
      </w:r>
      <w:r>
        <w:rPr>
          <w:spacing w:val="-3"/>
          <w:sz w:val="24"/>
        </w:rPr>
        <w:t> </w:t>
      </w:r>
      <w:r>
        <w:rPr>
          <w:sz w:val="24"/>
        </w:rPr>
        <w:t>increasing</w:t>
      </w:r>
      <w:r>
        <w:rPr>
          <w:spacing w:val="-3"/>
          <w:sz w:val="24"/>
        </w:rPr>
        <w:t> </w:t>
      </w:r>
      <w:r>
        <w:rPr>
          <w:sz w:val="24"/>
        </w:rPr>
        <w:t>numbers</w:t>
      </w:r>
      <w:r>
        <w:rPr>
          <w:spacing w:val="-3"/>
          <w:sz w:val="24"/>
        </w:rPr>
        <w:t> </w:t>
      </w:r>
      <w:r>
        <w:rPr>
          <w:sz w:val="24"/>
        </w:rPr>
        <w:t>a</w:t>
      </w:r>
      <w:r>
        <w:rPr>
          <w:spacing w:val="-3"/>
          <w:sz w:val="24"/>
        </w:rPr>
        <w:t> </w:t>
      </w:r>
      <w:r>
        <w:rPr>
          <w:sz w:val="24"/>
        </w:rPr>
        <w:t>group</w:t>
      </w:r>
      <w:r>
        <w:rPr>
          <w:spacing w:val="-3"/>
          <w:sz w:val="24"/>
        </w:rPr>
        <w:t> </w:t>
      </w:r>
      <w:r>
        <w:rPr>
          <w:sz w:val="24"/>
        </w:rPr>
        <w:t>of</w:t>
      </w:r>
      <w:r>
        <w:rPr>
          <w:spacing w:val="-3"/>
          <w:sz w:val="24"/>
        </w:rPr>
        <w:t> </w:t>
      </w:r>
      <w:r>
        <w:rPr>
          <w:sz w:val="24"/>
        </w:rPr>
        <w:t>persons,</w:t>
      </w:r>
      <w:r>
        <w:rPr>
          <w:spacing w:val="-3"/>
          <w:sz w:val="24"/>
        </w:rPr>
        <w:t> </w:t>
      </w:r>
      <w:r>
        <w:rPr>
          <w:sz w:val="24"/>
        </w:rPr>
        <w:t>small</w:t>
      </w:r>
      <w:r>
        <w:rPr>
          <w:spacing w:val="-3"/>
          <w:sz w:val="24"/>
        </w:rPr>
        <w:t> </w:t>
      </w:r>
      <w:r>
        <w:rPr>
          <w:sz w:val="24"/>
        </w:rPr>
        <w:t>but</w:t>
      </w:r>
      <w:r>
        <w:rPr>
          <w:spacing w:val="-3"/>
          <w:sz w:val="24"/>
        </w:rPr>
        <w:t> </w:t>
      </w:r>
      <w:r>
        <w:rPr>
          <w:sz w:val="24"/>
        </w:rPr>
        <w:t>extremely proficient in important foreign languages and their literature. From this point of view, it would be necessary to establish a few schools which will begin teaching, right from an early age, the important foreign languages referred to above and will use them also as media of education. The admission to these schools should be on a selective basis and there should be an adequate provision of scholarships.</w:t>
      </w:r>
    </w:p>
    <w:p>
      <w:pPr>
        <w:pStyle w:val="BodyText"/>
        <w:spacing w:before="4"/>
      </w:pPr>
    </w:p>
    <w:p>
      <w:pPr>
        <w:pStyle w:val="ListParagraph"/>
        <w:numPr>
          <w:ilvl w:val="1"/>
          <w:numId w:val="12"/>
        </w:numPr>
        <w:tabs>
          <w:tab w:pos="647" w:val="left" w:leader="none"/>
        </w:tabs>
        <w:spacing w:line="240" w:lineRule="auto" w:before="0" w:after="0"/>
        <w:ind w:left="159" w:right="496" w:firstLine="0"/>
        <w:jc w:val="both"/>
        <w:rPr>
          <w:sz w:val="24"/>
        </w:rPr>
      </w:pPr>
      <w:r>
        <w:rPr>
          <w:sz w:val="24"/>
        </w:rPr>
        <w:t>It would be an important step towards the general development of higher education, and also towards international cooperation and understanding, if there were established a small number of institutions, at university level, with some of the important 'world languages' as media of education. A beginning has already been made with the Institute</w:t>
      </w:r>
      <w:r>
        <w:rPr>
          <w:spacing w:val="40"/>
          <w:sz w:val="24"/>
        </w:rPr>
        <w:t> </w:t>
      </w:r>
      <w:r>
        <w:rPr>
          <w:sz w:val="24"/>
        </w:rPr>
        <w:t>of Russian Studies at New Delhi. It would be desirable to set up, during the Fourth Plan, institutions on somewhat similar lines for German, French, Spanish and Japanese languages. We could also establish one or two more institutions for Russian. The institutions will have to be largely residential. It will be an advantage to have them as constituent units of universities in their neighbourhood.</w:t>
      </w:r>
    </w:p>
    <w:p>
      <w:pPr>
        <w:pStyle w:val="BodyText"/>
        <w:spacing w:before="4"/>
      </w:pPr>
    </w:p>
    <w:p>
      <w:pPr>
        <w:pStyle w:val="ListParagraph"/>
        <w:numPr>
          <w:ilvl w:val="1"/>
          <w:numId w:val="12"/>
        </w:numPr>
        <w:tabs>
          <w:tab w:pos="639" w:val="left" w:leader="none"/>
        </w:tabs>
        <w:spacing w:line="240" w:lineRule="auto" w:before="0" w:after="0"/>
        <w:ind w:left="159" w:right="495" w:firstLine="0"/>
        <w:jc w:val="both"/>
        <w:rPr>
          <w:b/>
          <w:sz w:val="24"/>
        </w:rPr>
      </w:pPr>
      <w:r>
        <w:rPr>
          <w:b/>
          <w:sz w:val="24"/>
        </w:rPr>
        <w:t>Channels</w:t>
      </w:r>
      <w:r>
        <w:rPr>
          <w:b/>
          <w:spacing w:val="-3"/>
          <w:sz w:val="24"/>
        </w:rPr>
        <w:t> </w:t>
      </w:r>
      <w:r>
        <w:rPr>
          <w:b/>
          <w:sz w:val="24"/>
        </w:rPr>
        <w:t>of</w:t>
      </w:r>
      <w:r>
        <w:rPr>
          <w:b/>
          <w:spacing w:val="-3"/>
          <w:sz w:val="24"/>
        </w:rPr>
        <w:t> </w:t>
      </w:r>
      <w:r>
        <w:rPr>
          <w:b/>
          <w:sz w:val="24"/>
        </w:rPr>
        <w:t>Internal</w:t>
      </w:r>
      <w:r>
        <w:rPr>
          <w:b/>
          <w:spacing w:val="-3"/>
          <w:sz w:val="24"/>
        </w:rPr>
        <w:t> </w:t>
      </w:r>
      <w:r>
        <w:rPr>
          <w:b/>
          <w:sz w:val="24"/>
        </w:rPr>
        <w:t>Communication.</w:t>
      </w:r>
      <w:r>
        <w:rPr>
          <w:b/>
          <w:spacing w:val="-4"/>
          <w:sz w:val="24"/>
        </w:rPr>
        <w:t> </w:t>
      </w:r>
      <w:r>
        <w:rPr>
          <w:sz w:val="24"/>
        </w:rPr>
        <w:t>Hindi</w:t>
      </w:r>
      <w:r>
        <w:rPr>
          <w:spacing w:val="-4"/>
          <w:sz w:val="24"/>
        </w:rPr>
        <w:t> </w:t>
      </w:r>
      <w:r>
        <w:rPr>
          <w:sz w:val="24"/>
        </w:rPr>
        <w:t>(or</w:t>
      </w:r>
      <w:r>
        <w:rPr>
          <w:spacing w:val="-4"/>
          <w:sz w:val="24"/>
        </w:rPr>
        <w:t> </w:t>
      </w:r>
      <w:r>
        <w:rPr>
          <w:sz w:val="24"/>
        </w:rPr>
        <w:t>any</w:t>
      </w:r>
      <w:r>
        <w:rPr>
          <w:spacing w:val="-4"/>
          <w:sz w:val="24"/>
        </w:rPr>
        <w:t> </w:t>
      </w:r>
      <w:r>
        <w:rPr>
          <w:sz w:val="24"/>
        </w:rPr>
        <w:t>other</w:t>
      </w:r>
      <w:r>
        <w:rPr>
          <w:spacing w:val="-4"/>
          <w:sz w:val="24"/>
        </w:rPr>
        <w:t> </w:t>
      </w:r>
      <w:r>
        <w:rPr>
          <w:sz w:val="24"/>
        </w:rPr>
        <w:t>Indian</w:t>
      </w:r>
      <w:r>
        <w:rPr>
          <w:spacing w:val="-4"/>
          <w:sz w:val="24"/>
        </w:rPr>
        <w:t> </w:t>
      </w:r>
      <w:r>
        <w:rPr>
          <w:sz w:val="24"/>
        </w:rPr>
        <w:t>language</w:t>
      </w:r>
      <w:r>
        <w:rPr>
          <w:spacing w:val="-4"/>
          <w:sz w:val="24"/>
        </w:rPr>
        <w:t> </w:t>
      </w:r>
      <w:r>
        <w:rPr>
          <w:sz w:val="24"/>
        </w:rPr>
        <w:t>for</w:t>
      </w:r>
      <w:r>
        <w:rPr>
          <w:spacing w:val="-4"/>
          <w:sz w:val="24"/>
        </w:rPr>
        <w:t> </w:t>
      </w:r>
      <w:r>
        <w:rPr>
          <w:sz w:val="24"/>
        </w:rPr>
        <w:t>that matter) must be greatly developed and enriched before it can attain the status of a library language, that is, a language which can serve as a vehicle for acquiring a substantial part of the current and rapidly expanding stock of world knowledge. This has to be taken </w:t>
      </w:r>
      <w:r>
        <w:rPr>
          <w:sz w:val="24"/>
        </w:rPr>
        <w:t>into account fully in determining our language policy. This implies, as stated earlier, that every graduate will need to acquire a reasonable proficiency in a library language, which will be English for most students. It will thus serve as a link- language in higher</w:t>
      </w:r>
      <w:r>
        <w:rPr>
          <w:spacing w:val="40"/>
          <w:sz w:val="24"/>
        </w:rPr>
        <w:t> </w:t>
      </w:r>
      <w:r>
        <w:rPr>
          <w:sz w:val="24"/>
        </w:rPr>
        <w:t>education for academic work and intellectual inter- communication.</w:t>
      </w:r>
    </w:p>
    <w:p>
      <w:pPr>
        <w:pStyle w:val="BodyText"/>
        <w:spacing w:before="5"/>
      </w:pPr>
    </w:p>
    <w:p>
      <w:pPr>
        <w:pStyle w:val="BodyText"/>
        <w:ind w:left="159" w:right="506"/>
      </w:pPr>
      <w:r>
        <w:rPr>
          <w:b/>
          <w:vertAlign w:val="superscript"/>
        </w:rPr>
        <w:t>8</w:t>
      </w:r>
      <w:r>
        <w:rPr>
          <w:vertAlign w:val="baseline"/>
        </w:rPr>
        <w:t>It is interesting to note that the number of students studying Russian in the UK is larger than that of the students studying Russian in India.</w:t>
      </w:r>
    </w:p>
    <w:p>
      <w:pPr>
        <w:spacing w:after="0"/>
        <w:sectPr>
          <w:pgSz w:w="12240" w:h="15840"/>
          <w:pgMar w:header="0" w:footer="743" w:top="1360" w:bottom="940" w:left="1640" w:right="1300"/>
        </w:sectPr>
      </w:pPr>
    </w:p>
    <w:p>
      <w:pPr>
        <w:pStyle w:val="ListParagraph"/>
        <w:numPr>
          <w:ilvl w:val="1"/>
          <w:numId w:val="12"/>
        </w:numPr>
        <w:tabs>
          <w:tab w:pos="642" w:val="left" w:leader="none"/>
        </w:tabs>
        <w:spacing w:line="240" w:lineRule="auto" w:before="76" w:after="0"/>
        <w:ind w:left="160" w:right="496" w:firstLine="0"/>
        <w:jc w:val="both"/>
        <w:rPr>
          <w:sz w:val="24"/>
        </w:rPr>
      </w:pPr>
      <w:r>
        <w:rPr>
          <w:sz w:val="24"/>
        </w:rPr>
        <w:t>It</w:t>
      </w:r>
      <w:r>
        <w:rPr>
          <w:spacing w:val="-1"/>
          <w:sz w:val="24"/>
        </w:rPr>
        <w:t> </w:t>
      </w:r>
      <w:r>
        <w:rPr>
          <w:sz w:val="24"/>
        </w:rPr>
        <w:t>is,</w:t>
      </w:r>
      <w:r>
        <w:rPr>
          <w:spacing w:val="-1"/>
          <w:sz w:val="24"/>
        </w:rPr>
        <w:t> </w:t>
      </w:r>
      <w:r>
        <w:rPr>
          <w:sz w:val="24"/>
        </w:rPr>
        <w:t>however,</w:t>
      </w:r>
      <w:r>
        <w:rPr>
          <w:spacing w:val="-1"/>
          <w:sz w:val="24"/>
        </w:rPr>
        <w:t> </w:t>
      </w:r>
      <w:r>
        <w:rPr>
          <w:sz w:val="24"/>
        </w:rPr>
        <w:t>equally</w:t>
      </w:r>
      <w:r>
        <w:rPr>
          <w:spacing w:val="-1"/>
          <w:sz w:val="24"/>
        </w:rPr>
        <w:t> </w:t>
      </w:r>
      <w:r>
        <w:rPr>
          <w:sz w:val="24"/>
        </w:rPr>
        <w:t>obvious</w:t>
      </w:r>
      <w:r>
        <w:rPr>
          <w:spacing w:val="-1"/>
          <w:sz w:val="24"/>
        </w:rPr>
        <w:t> </w:t>
      </w:r>
      <w:r>
        <w:rPr>
          <w:sz w:val="24"/>
        </w:rPr>
        <w:t>that</w:t>
      </w:r>
      <w:r>
        <w:rPr>
          <w:spacing w:val="-1"/>
          <w:sz w:val="24"/>
        </w:rPr>
        <w:t> </w:t>
      </w:r>
      <w:r>
        <w:rPr>
          <w:sz w:val="24"/>
        </w:rPr>
        <w:t>English</w:t>
      </w:r>
      <w:r>
        <w:rPr>
          <w:spacing w:val="-1"/>
          <w:sz w:val="24"/>
        </w:rPr>
        <w:t> </w:t>
      </w:r>
      <w:r>
        <w:rPr>
          <w:sz w:val="24"/>
        </w:rPr>
        <w:t>cannot</w:t>
      </w:r>
      <w:r>
        <w:rPr>
          <w:spacing w:val="-1"/>
          <w:sz w:val="24"/>
        </w:rPr>
        <w:t> </w:t>
      </w:r>
      <w:r>
        <w:rPr>
          <w:sz w:val="24"/>
        </w:rPr>
        <w:t>serve</w:t>
      </w:r>
      <w:r>
        <w:rPr>
          <w:spacing w:val="-1"/>
          <w:sz w:val="24"/>
        </w:rPr>
        <w:t> </w:t>
      </w:r>
      <w:r>
        <w:rPr>
          <w:sz w:val="24"/>
        </w:rPr>
        <w:t>as</w:t>
      </w:r>
      <w:r>
        <w:rPr>
          <w:spacing w:val="-1"/>
          <w:sz w:val="24"/>
        </w:rPr>
        <w:t> </w:t>
      </w:r>
      <w:r>
        <w:rPr>
          <w:sz w:val="24"/>
        </w:rPr>
        <w:t>the</w:t>
      </w:r>
      <w:r>
        <w:rPr>
          <w:spacing w:val="-1"/>
          <w:sz w:val="24"/>
        </w:rPr>
        <w:t> </w:t>
      </w:r>
      <w:r>
        <w:rPr>
          <w:sz w:val="24"/>
        </w:rPr>
        <w:t>link-language</w:t>
      </w:r>
      <w:r>
        <w:rPr>
          <w:spacing w:val="-1"/>
          <w:sz w:val="24"/>
        </w:rPr>
        <w:t> </w:t>
      </w:r>
      <w:r>
        <w:rPr>
          <w:sz w:val="24"/>
        </w:rPr>
        <w:t>for</w:t>
      </w:r>
      <w:r>
        <w:rPr>
          <w:spacing w:val="-1"/>
          <w:sz w:val="24"/>
        </w:rPr>
        <w:t> </w:t>
      </w:r>
      <w:r>
        <w:rPr>
          <w:sz w:val="24"/>
        </w:rPr>
        <w:t>the majority of our people. It is only Hindi which can and should take this place in due course. As it is the official language of the Union and the link-language of the people, all measures should be adopted to spread it in the non-Hindi areas. The success of this programme will largely depend on the extent to which it is voluntarily accepted by the people of these areas. We were interested to know that in the Kerala University, where students can take Hindi in place of Malayalam at the undergraduate stage, a large proportion of students choose to study Hindi. We have also seen increasing evidence on the part of non-Hindi areas to take to the study of Hindi. AR their efforts in this matter, particularly in the non-official sector, should receive encouragement.</w:t>
      </w:r>
    </w:p>
    <w:p>
      <w:pPr>
        <w:pStyle w:val="BodyText"/>
        <w:spacing w:before="4"/>
      </w:pPr>
    </w:p>
    <w:p>
      <w:pPr>
        <w:pStyle w:val="ListParagraph"/>
        <w:numPr>
          <w:ilvl w:val="1"/>
          <w:numId w:val="12"/>
        </w:numPr>
        <w:tabs>
          <w:tab w:pos="699" w:val="left" w:leader="none"/>
        </w:tabs>
        <w:spacing w:line="240" w:lineRule="auto" w:before="0" w:after="0"/>
        <w:ind w:left="160" w:right="496" w:firstLine="0"/>
        <w:jc w:val="both"/>
        <w:rPr>
          <w:sz w:val="24"/>
        </w:rPr>
      </w:pPr>
      <w:r>
        <w:rPr>
          <w:sz w:val="24"/>
        </w:rPr>
        <w:t>In addition to Hindi, it is essential to provide multiple channels of inter-State communication</w:t>
      </w:r>
      <w:r>
        <w:rPr>
          <w:spacing w:val="-3"/>
          <w:sz w:val="24"/>
        </w:rPr>
        <w:t> </w:t>
      </w:r>
      <w:r>
        <w:rPr>
          <w:sz w:val="24"/>
        </w:rPr>
        <w:t>in</w:t>
      </w:r>
      <w:r>
        <w:rPr>
          <w:spacing w:val="-3"/>
          <w:sz w:val="24"/>
        </w:rPr>
        <w:t> </w:t>
      </w:r>
      <w:r>
        <w:rPr>
          <w:sz w:val="24"/>
        </w:rPr>
        <w:t>all</w:t>
      </w:r>
      <w:r>
        <w:rPr>
          <w:spacing w:val="-3"/>
          <w:sz w:val="24"/>
        </w:rPr>
        <w:t> </w:t>
      </w:r>
      <w:r>
        <w:rPr>
          <w:sz w:val="24"/>
        </w:rPr>
        <w:t>modem</w:t>
      </w:r>
      <w:r>
        <w:rPr>
          <w:spacing w:val="-5"/>
          <w:sz w:val="24"/>
        </w:rPr>
        <w:t> </w:t>
      </w:r>
      <w:r>
        <w:rPr>
          <w:sz w:val="24"/>
        </w:rPr>
        <w:t>Indian</w:t>
      </w:r>
      <w:r>
        <w:rPr>
          <w:spacing w:val="-3"/>
          <w:sz w:val="24"/>
        </w:rPr>
        <w:t> </w:t>
      </w:r>
      <w:r>
        <w:rPr>
          <w:sz w:val="24"/>
        </w:rPr>
        <w:t>languages.</w:t>
      </w:r>
      <w:r>
        <w:rPr>
          <w:spacing w:val="-4"/>
          <w:sz w:val="24"/>
        </w:rPr>
        <w:t> </w:t>
      </w:r>
      <w:r>
        <w:rPr>
          <w:sz w:val="24"/>
        </w:rPr>
        <w:t>In</w:t>
      </w:r>
      <w:r>
        <w:rPr>
          <w:spacing w:val="-4"/>
          <w:sz w:val="24"/>
        </w:rPr>
        <w:t> </w:t>
      </w:r>
      <w:r>
        <w:rPr>
          <w:sz w:val="24"/>
        </w:rPr>
        <w:t>every</w:t>
      </w:r>
      <w:r>
        <w:rPr>
          <w:spacing w:val="-4"/>
          <w:sz w:val="24"/>
        </w:rPr>
        <w:t> </w:t>
      </w:r>
      <w:r>
        <w:rPr>
          <w:sz w:val="24"/>
        </w:rPr>
        <w:t>linguistic</w:t>
      </w:r>
      <w:r>
        <w:rPr>
          <w:spacing w:val="-4"/>
          <w:sz w:val="24"/>
        </w:rPr>
        <w:t> </w:t>
      </w:r>
      <w:r>
        <w:rPr>
          <w:sz w:val="24"/>
        </w:rPr>
        <w:t>region,</w:t>
      </w:r>
      <w:r>
        <w:rPr>
          <w:spacing w:val="-4"/>
          <w:sz w:val="24"/>
        </w:rPr>
        <w:t> </w:t>
      </w:r>
      <w:r>
        <w:rPr>
          <w:sz w:val="24"/>
        </w:rPr>
        <w:t>there</w:t>
      </w:r>
      <w:r>
        <w:rPr>
          <w:spacing w:val="-4"/>
          <w:sz w:val="24"/>
        </w:rPr>
        <w:t> </w:t>
      </w:r>
      <w:r>
        <w:rPr>
          <w:sz w:val="24"/>
        </w:rPr>
        <w:t>should</w:t>
      </w:r>
      <w:r>
        <w:rPr>
          <w:spacing w:val="-4"/>
          <w:sz w:val="24"/>
        </w:rPr>
        <w:t> </w:t>
      </w:r>
      <w:r>
        <w:rPr>
          <w:sz w:val="24"/>
        </w:rPr>
        <w:t>be a number of persons who know all the other modem Indian languages and some who are familiar with their literatures and able to contribute to them. For this purpose, we recommend that there should be adequate arrangements, both in schools and colleges, for teaching different modern Indian languages. In addition, steps should be taken to</w:t>
      </w:r>
      <w:r>
        <w:rPr>
          <w:spacing w:val="40"/>
          <w:sz w:val="24"/>
        </w:rPr>
        <w:t> </w:t>
      </w:r>
      <w:r>
        <w:rPr>
          <w:sz w:val="24"/>
        </w:rPr>
        <w:t>establish efficient departments in some of the modern Indian languages in every university. It may also be advisable to create a Small Dumber of special institutes (or advanced centres) for the comparative study of different languages and their linguistic problems. At the B.A. and M.A. levels, it should be possible to combine two modern Indian languages. This will incidentally supply the bilingual persons needed for language teaching in schools and colleges.</w:t>
      </w:r>
    </w:p>
    <w:p>
      <w:pPr>
        <w:pStyle w:val="BodyText"/>
        <w:spacing w:before="4"/>
      </w:pPr>
    </w:p>
    <w:p>
      <w:pPr>
        <w:pStyle w:val="ListParagraph"/>
        <w:numPr>
          <w:ilvl w:val="1"/>
          <w:numId w:val="12"/>
        </w:numPr>
        <w:tabs>
          <w:tab w:pos="701" w:val="left" w:leader="none"/>
        </w:tabs>
        <w:spacing w:line="240" w:lineRule="auto" w:before="0" w:after="0"/>
        <w:ind w:left="160" w:right="494" w:firstLine="0"/>
        <w:jc w:val="both"/>
        <w:rPr>
          <w:b/>
          <w:sz w:val="24"/>
        </w:rPr>
      </w:pPr>
      <w:r>
        <w:rPr>
          <w:b/>
          <w:sz w:val="24"/>
        </w:rPr>
        <w:t>Promoting National Consciousness. </w:t>
      </w:r>
      <w:r>
        <w:rPr>
          <w:sz w:val="24"/>
        </w:rPr>
        <w:t>India is a land of diversities of different castes, peoples, communities, languages, religions and cultures. What role can the</w:t>
      </w:r>
      <w:r>
        <w:rPr>
          <w:spacing w:val="40"/>
          <w:sz w:val="24"/>
        </w:rPr>
        <w:t> </w:t>
      </w:r>
      <w:r>
        <w:rPr>
          <w:sz w:val="24"/>
        </w:rPr>
        <w:t>schools and universities play in enabling their students to discover the 'unity in diversity' that India essentially is, and in fostering a sense of national solidarity transcending narrower loyalties ?</w:t>
      </w:r>
    </w:p>
    <w:p>
      <w:pPr>
        <w:pStyle w:val="BodyText"/>
        <w:spacing w:before="4"/>
      </w:pPr>
    </w:p>
    <w:p>
      <w:pPr>
        <w:pStyle w:val="ListParagraph"/>
        <w:numPr>
          <w:ilvl w:val="1"/>
          <w:numId w:val="12"/>
        </w:numPr>
        <w:tabs>
          <w:tab w:pos="652" w:val="left" w:leader="none"/>
        </w:tabs>
        <w:spacing w:line="240" w:lineRule="auto" w:before="0" w:after="0"/>
        <w:ind w:left="160" w:right="496" w:firstLine="0"/>
        <w:jc w:val="both"/>
        <w:rPr>
          <w:sz w:val="24"/>
        </w:rPr>
      </w:pPr>
      <w:r>
        <w:rPr>
          <w:sz w:val="24"/>
        </w:rPr>
        <w:t>Unfortunately, our school system as a whole has had no strong tradition of striving</w:t>
      </w:r>
      <w:r>
        <w:rPr>
          <w:spacing w:val="40"/>
          <w:sz w:val="24"/>
        </w:rPr>
        <w:t> </w:t>
      </w:r>
      <w:r>
        <w:rPr>
          <w:sz w:val="24"/>
        </w:rPr>
        <w:t>to develop a sense of national unity and national consciousness. Under the British administration, the schools were expected to teach loyalty to the British rule rather than instil love for the motherland. Consequently, the effort to develop national consciousness was made largely outside the educational system, particularly during the struggle for freedom</w:t>
      </w:r>
      <w:r>
        <w:rPr>
          <w:spacing w:val="-4"/>
          <w:sz w:val="24"/>
        </w:rPr>
        <w:t> </w:t>
      </w:r>
      <w:r>
        <w:rPr>
          <w:sz w:val="24"/>
        </w:rPr>
        <w:t>which</w:t>
      </w:r>
      <w:r>
        <w:rPr>
          <w:spacing w:val="-2"/>
          <w:sz w:val="24"/>
        </w:rPr>
        <w:t> </w:t>
      </w:r>
      <w:r>
        <w:rPr>
          <w:sz w:val="24"/>
        </w:rPr>
        <w:t>developed</w:t>
      </w:r>
      <w:r>
        <w:rPr>
          <w:spacing w:val="-2"/>
          <w:sz w:val="24"/>
        </w:rPr>
        <w:t> </w:t>
      </w:r>
      <w:r>
        <w:rPr>
          <w:sz w:val="24"/>
        </w:rPr>
        <w:t>between</w:t>
      </w:r>
      <w:r>
        <w:rPr>
          <w:spacing w:val="-2"/>
          <w:sz w:val="24"/>
        </w:rPr>
        <w:t> </w:t>
      </w:r>
      <w:r>
        <w:rPr>
          <w:sz w:val="24"/>
        </w:rPr>
        <w:t>1900</w:t>
      </w:r>
      <w:r>
        <w:rPr>
          <w:spacing w:val="-2"/>
          <w:sz w:val="24"/>
        </w:rPr>
        <w:t> </w:t>
      </w:r>
      <w:r>
        <w:rPr>
          <w:sz w:val="24"/>
        </w:rPr>
        <w:t>and</w:t>
      </w:r>
      <w:r>
        <w:rPr>
          <w:spacing w:val="-3"/>
          <w:sz w:val="24"/>
        </w:rPr>
        <w:t> </w:t>
      </w:r>
      <w:r>
        <w:rPr>
          <w:sz w:val="24"/>
        </w:rPr>
        <w:t>1947.</w:t>
      </w:r>
      <w:r>
        <w:rPr>
          <w:spacing w:val="-2"/>
          <w:sz w:val="24"/>
        </w:rPr>
        <w:t> </w:t>
      </w:r>
      <w:r>
        <w:rPr>
          <w:sz w:val="24"/>
        </w:rPr>
        <w:t>Its</w:t>
      </w:r>
      <w:r>
        <w:rPr>
          <w:spacing w:val="-2"/>
          <w:sz w:val="24"/>
        </w:rPr>
        <w:t> </w:t>
      </w:r>
      <w:r>
        <w:rPr>
          <w:sz w:val="24"/>
        </w:rPr>
        <w:t>foundation</w:t>
      </w:r>
      <w:r>
        <w:rPr>
          <w:spacing w:val="-2"/>
          <w:sz w:val="24"/>
        </w:rPr>
        <w:t> </w:t>
      </w:r>
      <w:r>
        <w:rPr>
          <w:sz w:val="24"/>
        </w:rPr>
        <w:t>was</w:t>
      </w:r>
      <w:r>
        <w:rPr>
          <w:spacing w:val="-2"/>
          <w:sz w:val="24"/>
        </w:rPr>
        <w:t> </w:t>
      </w:r>
      <w:r>
        <w:rPr>
          <w:sz w:val="24"/>
        </w:rPr>
        <w:t>a</w:t>
      </w:r>
      <w:r>
        <w:rPr>
          <w:spacing w:val="-2"/>
          <w:sz w:val="24"/>
        </w:rPr>
        <w:t> </w:t>
      </w:r>
      <w:r>
        <w:rPr>
          <w:sz w:val="24"/>
        </w:rPr>
        <w:t>renewed</w:t>
      </w:r>
      <w:r>
        <w:rPr>
          <w:spacing w:val="-2"/>
          <w:sz w:val="24"/>
        </w:rPr>
        <w:t> </w:t>
      </w:r>
      <w:r>
        <w:rPr>
          <w:sz w:val="24"/>
        </w:rPr>
        <w:t>belief</w:t>
      </w:r>
      <w:r>
        <w:rPr>
          <w:spacing w:val="-2"/>
          <w:sz w:val="24"/>
        </w:rPr>
        <w:t> </w:t>
      </w:r>
      <w:r>
        <w:rPr>
          <w:sz w:val="24"/>
        </w:rPr>
        <w:t>in the value of national culture and traditions and a pride in India's past achievements. It recognized that, in the cultural exchange between India and the West, India also had something worth while to give in return for the gift of modern science and technology, and that Indians should strive to maintain the valuable elements in their own traditional culture while accepting all that is good in the West. This was not meant as an attempt at revivalism, though it was certainly so interpreted by some sections. It was an attempt, as Gandhiji put it, to refuse to be blown off one's feet even when all the windows of one's house were thrown open to fresh winds from every corner of the world.</w:t>
      </w:r>
    </w:p>
    <w:p>
      <w:pPr>
        <w:spacing w:after="0" w:line="240" w:lineRule="auto"/>
        <w:jc w:val="both"/>
        <w:rPr>
          <w:sz w:val="24"/>
        </w:rPr>
        <w:sectPr>
          <w:pgSz w:w="12240" w:h="15840"/>
          <w:pgMar w:header="0" w:footer="743" w:top="1360" w:bottom="940" w:left="1640" w:right="1300"/>
        </w:sectPr>
      </w:pPr>
    </w:p>
    <w:p>
      <w:pPr>
        <w:pStyle w:val="ListParagraph"/>
        <w:numPr>
          <w:ilvl w:val="1"/>
          <w:numId w:val="12"/>
        </w:numPr>
        <w:tabs>
          <w:tab w:pos="675" w:val="left" w:leader="none"/>
        </w:tabs>
        <w:spacing w:line="240" w:lineRule="auto" w:before="76" w:after="0"/>
        <w:ind w:left="159" w:right="496" w:firstLine="0"/>
        <w:jc w:val="both"/>
        <w:rPr>
          <w:sz w:val="24"/>
        </w:rPr>
      </w:pPr>
      <w:r>
        <w:rPr>
          <w:sz w:val="24"/>
        </w:rPr>
        <w:t>With the attainment of Independence, the situation has changed greatly. The one rallying point which had kept many diverse elements together ceased to exist, and as the schools have been unable to inculcate and strengthen national consciousness, the sentiment itself seems to be wearing thin, particularly in the new generation now coming of age. We saw something similar to the old spirit reviving in recent years-in the wake of the Chinese invasion of 1962 and during the recent conflict with Pakistan. Obviously, such unfortunate international conflicts cannot be considered the normal ways to awaken and strengthen the national spirit. The only enduring solution to the problem is to place this responsibility on the educational system and to make it an effective instrument for</w:t>
      </w:r>
      <w:r>
        <w:rPr>
          <w:spacing w:val="40"/>
          <w:sz w:val="24"/>
        </w:rPr>
        <w:t> </w:t>
      </w:r>
      <w:r>
        <w:rPr>
          <w:sz w:val="24"/>
        </w:rPr>
        <w:t>the purpose. There is much evidence in the world to show that schools and universities can play a major and helpful part in the regeneration and advancement of a people and in generating the psychological energy needed for the purpose. If rightly, oriented, this approach is not, and should not be incompatible with the wider loyalties to mankind as a whole which we have also emphasized.</w:t>
      </w:r>
    </w:p>
    <w:p>
      <w:pPr>
        <w:pStyle w:val="BodyText"/>
        <w:spacing w:before="4"/>
      </w:pPr>
    </w:p>
    <w:p>
      <w:pPr>
        <w:pStyle w:val="ListParagraph"/>
        <w:numPr>
          <w:ilvl w:val="1"/>
          <w:numId w:val="12"/>
        </w:numPr>
        <w:tabs>
          <w:tab w:pos="737" w:val="left" w:leader="none"/>
        </w:tabs>
        <w:spacing w:line="240" w:lineRule="auto" w:before="0" w:after="0"/>
        <w:ind w:left="159" w:right="495" w:firstLine="0"/>
        <w:jc w:val="both"/>
        <w:rPr>
          <w:sz w:val="24"/>
        </w:rPr>
      </w:pPr>
      <w:r>
        <w:rPr>
          <w:sz w:val="24"/>
        </w:rPr>
        <w:t>The deepening of national consciousness can be fostered specially by two programmes: (1) the understanding and reevaluation of our cultural heritage, and (2) the creation of a strong driving faith in the future towards which we aspire. The first would</w:t>
      </w:r>
      <w:r>
        <w:rPr>
          <w:spacing w:val="40"/>
          <w:sz w:val="24"/>
        </w:rPr>
        <w:t> </w:t>
      </w:r>
      <w:r>
        <w:rPr>
          <w:sz w:val="24"/>
        </w:rPr>
        <w:t>be promoted by well-organized teaching of the languages and literatures, philosophy, religions and history of India, and by introducing the students to Indian architecture, sculpture painting, music, dance and drama. In addition, it would be desirable to promote greater knowledge, under- standing and appreciation of the different parts of India by including their study in the curricula, by the exchange of teachers wherever possible, by the development of fraternal relations between educational institutions in different parts</w:t>
      </w:r>
      <w:r>
        <w:rPr>
          <w:spacing w:val="40"/>
          <w:sz w:val="24"/>
        </w:rPr>
        <w:t> </w:t>
      </w:r>
      <w:r>
        <w:rPr>
          <w:sz w:val="24"/>
        </w:rPr>
        <w:t>of</w:t>
      </w:r>
      <w:r>
        <w:rPr>
          <w:spacing w:val="-2"/>
          <w:sz w:val="24"/>
        </w:rPr>
        <w:t> </w:t>
      </w:r>
      <w:r>
        <w:rPr>
          <w:sz w:val="24"/>
        </w:rPr>
        <w:t>the</w:t>
      </w:r>
      <w:r>
        <w:rPr>
          <w:spacing w:val="-2"/>
          <w:sz w:val="24"/>
        </w:rPr>
        <w:t> </w:t>
      </w:r>
      <w:r>
        <w:rPr>
          <w:sz w:val="24"/>
        </w:rPr>
        <w:t>country,</w:t>
      </w:r>
      <w:r>
        <w:rPr>
          <w:spacing w:val="-2"/>
          <w:sz w:val="24"/>
        </w:rPr>
        <w:t> </w:t>
      </w:r>
      <w:r>
        <w:rPr>
          <w:sz w:val="24"/>
        </w:rPr>
        <w:t>and</w:t>
      </w:r>
      <w:r>
        <w:rPr>
          <w:spacing w:val="-2"/>
          <w:sz w:val="24"/>
        </w:rPr>
        <w:t> </w:t>
      </w:r>
      <w:r>
        <w:rPr>
          <w:sz w:val="24"/>
        </w:rPr>
        <w:t>by</w:t>
      </w:r>
      <w:r>
        <w:rPr>
          <w:spacing w:val="-2"/>
          <w:sz w:val="24"/>
        </w:rPr>
        <w:t> </w:t>
      </w:r>
      <w:r>
        <w:rPr>
          <w:sz w:val="24"/>
        </w:rPr>
        <w:t>the</w:t>
      </w:r>
      <w:r>
        <w:rPr>
          <w:spacing w:val="-2"/>
          <w:sz w:val="24"/>
        </w:rPr>
        <w:t> </w:t>
      </w:r>
      <w:r>
        <w:rPr>
          <w:sz w:val="24"/>
        </w:rPr>
        <w:t>organization</w:t>
      </w:r>
      <w:r>
        <w:rPr>
          <w:spacing w:val="-2"/>
          <w:sz w:val="24"/>
        </w:rPr>
        <w:t> </w:t>
      </w:r>
      <w:r>
        <w:rPr>
          <w:sz w:val="24"/>
        </w:rPr>
        <w:t>of</w:t>
      </w:r>
      <w:r>
        <w:rPr>
          <w:spacing w:val="-4"/>
          <w:sz w:val="24"/>
        </w:rPr>
        <w:t> </w:t>
      </w:r>
      <w:r>
        <w:rPr>
          <w:sz w:val="24"/>
        </w:rPr>
        <w:t>holiday</w:t>
      </w:r>
      <w:r>
        <w:rPr>
          <w:spacing w:val="-2"/>
          <w:sz w:val="24"/>
        </w:rPr>
        <w:t> </w:t>
      </w:r>
      <w:r>
        <w:rPr>
          <w:sz w:val="24"/>
        </w:rPr>
        <w:t>camps</w:t>
      </w:r>
      <w:r>
        <w:rPr>
          <w:spacing w:val="-2"/>
          <w:sz w:val="24"/>
        </w:rPr>
        <w:t> </w:t>
      </w:r>
      <w:r>
        <w:rPr>
          <w:sz w:val="24"/>
        </w:rPr>
        <w:t>and</w:t>
      </w:r>
      <w:r>
        <w:rPr>
          <w:spacing w:val="-2"/>
          <w:sz w:val="24"/>
        </w:rPr>
        <w:t> </w:t>
      </w:r>
      <w:r>
        <w:rPr>
          <w:sz w:val="24"/>
        </w:rPr>
        <w:t>summer</w:t>
      </w:r>
      <w:r>
        <w:rPr>
          <w:spacing w:val="-2"/>
          <w:sz w:val="24"/>
        </w:rPr>
        <w:t> </w:t>
      </w:r>
      <w:r>
        <w:rPr>
          <w:sz w:val="24"/>
        </w:rPr>
        <w:t>schools</w:t>
      </w:r>
      <w:r>
        <w:rPr>
          <w:spacing w:val="-2"/>
          <w:sz w:val="24"/>
        </w:rPr>
        <w:t> </w:t>
      </w:r>
      <w:r>
        <w:rPr>
          <w:sz w:val="24"/>
        </w:rPr>
        <w:t>on</w:t>
      </w:r>
      <w:r>
        <w:rPr>
          <w:spacing w:val="-2"/>
          <w:sz w:val="24"/>
        </w:rPr>
        <w:t> </w:t>
      </w:r>
      <w:r>
        <w:rPr>
          <w:sz w:val="24"/>
        </w:rPr>
        <w:t>an</w:t>
      </w:r>
      <w:r>
        <w:rPr>
          <w:spacing w:val="-2"/>
          <w:sz w:val="24"/>
        </w:rPr>
        <w:t> </w:t>
      </w:r>
      <w:r>
        <w:rPr>
          <w:sz w:val="24"/>
        </w:rPr>
        <w:t>inter- State basis designed to break down regional or linguistic barriers. It would further be necessary to establish and maintain all-India institutions which will admit students from different parts of the country. Faith in the future would involve an attempt, as a part of</w:t>
      </w:r>
      <w:r>
        <w:rPr>
          <w:spacing w:val="80"/>
          <w:sz w:val="24"/>
        </w:rPr>
        <w:t> </w:t>
      </w:r>
      <w:r>
        <w:rPr>
          <w:sz w:val="24"/>
        </w:rPr>
        <w:t>the course in citizenship, to bring home to the students the principles of the Constitution, the great human values referred to in its preamble, the nature of the democratic and socialistic society which we desire to create and the five-year plans of national development. At the higher stages of education the students should learn to assess the value of modern movements and tendencies so that they may learn which of them can</w:t>
      </w:r>
      <w:r>
        <w:rPr>
          <w:spacing w:val="80"/>
          <w:sz w:val="24"/>
        </w:rPr>
        <w:t> </w:t>
      </w:r>
      <w:r>
        <w:rPr>
          <w:sz w:val="24"/>
        </w:rPr>
        <w:t>and should be usefully assimilated into our culture. We should, however, take care to avoid identifying all 'modern' with 'western' values.</w:t>
      </w:r>
    </w:p>
    <w:p>
      <w:pPr>
        <w:pStyle w:val="BodyText"/>
        <w:spacing w:before="4"/>
      </w:pPr>
    </w:p>
    <w:p>
      <w:pPr>
        <w:pStyle w:val="ListParagraph"/>
        <w:numPr>
          <w:ilvl w:val="1"/>
          <w:numId w:val="12"/>
        </w:numPr>
        <w:tabs>
          <w:tab w:pos="666" w:val="left" w:leader="none"/>
        </w:tabs>
        <w:spacing w:line="240" w:lineRule="auto" w:before="0" w:after="0"/>
        <w:ind w:left="159" w:right="496" w:firstLine="0"/>
        <w:jc w:val="both"/>
        <w:rPr>
          <w:b/>
          <w:sz w:val="24"/>
        </w:rPr>
      </w:pPr>
      <w:r>
        <w:rPr>
          <w:b/>
          <w:sz w:val="24"/>
        </w:rPr>
        <w:t>Education for International Understanding. </w:t>
      </w:r>
      <w:r>
        <w:rPr>
          <w:sz w:val="24"/>
        </w:rPr>
        <w:t>There is no essential contradiction,</w:t>
      </w:r>
      <w:r>
        <w:rPr>
          <w:spacing w:val="40"/>
          <w:sz w:val="24"/>
        </w:rPr>
        <w:t> </w:t>
      </w:r>
      <w:r>
        <w:rPr>
          <w:sz w:val="24"/>
        </w:rPr>
        <w:t>as we have pointed out earlier, between this objective and the development of international understanding for the 'one-world' towards which we are moving. On the whole, textbooks used in national school systems perhaps contain fewer untrue or hostile remarks about other countries than they did in the past, thanks partly to the work Of UNESCO, under whose auspices multi-national and bi-national efforts have been made for their revision. The sins are more often now of omission than of active commission. We should, however, guard ourselves against this also, for ignorance is often not less dangerous than hostility. Our studies in the humanities and social sciences should be so oriented</w:t>
      </w:r>
      <w:r>
        <w:rPr>
          <w:spacing w:val="35"/>
          <w:sz w:val="24"/>
        </w:rPr>
        <w:t> </w:t>
      </w:r>
      <w:r>
        <w:rPr>
          <w:sz w:val="24"/>
        </w:rPr>
        <w:t>that,</w:t>
      </w:r>
      <w:r>
        <w:rPr>
          <w:spacing w:val="35"/>
          <w:sz w:val="24"/>
        </w:rPr>
        <w:t> </w:t>
      </w:r>
      <w:r>
        <w:rPr>
          <w:sz w:val="24"/>
        </w:rPr>
        <w:t>while</w:t>
      </w:r>
      <w:r>
        <w:rPr>
          <w:spacing w:val="35"/>
          <w:sz w:val="24"/>
        </w:rPr>
        <w:t> </w:t>
      </w:r>
      <w:r>
        <w:rPr>
          <w:sz w:val="24"/>
        </w:rPr>
        <w:t>helping</w:t>
      </w:r>
      <w:r>
        <w:rPr>
          <w:spacing w:val="35"/>
          <w:sz w:val="24"/>
        </w:rPr>
        <w:t> </w:t>
      </w:r>
      <w:r>
        <w:rPr>
          <w:sz w:val="24"/>
        </w:rPr>
        <w:t>students</w:t>
      </w:r>
      <w:r>
        <w:rPr>
          <w:spacing w:val="35"/>
          <w:sz w:val="24"/>
        </w:rPr>
        <w:t> </w:t>
      </w:r>
      <w:r>
        <w:rPr>
          <w:sz w:val="24"/>
        </w:rPr>
        <w:t>to</w:t>
      </w:r>
      <w:r>
        <w:rPr>
          <w:spacing w:val="35"/>
          <w:sz w:val="24"/>
        </w:rPr>
        <w:t> </w:t>
      </w:r>
      <w:r>
        <w:rPr>
          <w:sz w:val="24"/>
        </w:rPr>
        <w:t>become</w:t>
      </w:r>
      <w:r>
        <w:rPr>
          <w:spacing w:val="36"/>
          <w:sz w:val="24"/>
        </w:rPr>
        <w:t> </w:t>
      </w:r>
      <w:r>
        <w:rPr>
          <w:sz w:val="24"/>
        </w:rPr>
        <w:t>good</w:t>
      </w:r>
      <w:r>
        <w:rPr>
          <w:spacing w:val="35"/>
          <w:sz w:val="24"/>
        </w:rPr>
        <w:t> </w:t>
      </w:r>
      <w:r>
        <w:rPr>
          <w:sz w:val="24"/>
        </w:rPr>
        <w:t>and</w:t>
      </w:r>
      <w:r>
        <w:rPr>
          <w:spacing w:val="35"/>
          <w:sz w:val="24"/>
        </w:rPr>
        <w:t> </w:t>
      </w:r>
      <w:r>
        <w:rPr>
          <w:sz w:val="24"/>
        </w:rPr>
        <w:t>active</w:t>
      </w:r>
      <w:r>
        <w:rPr>
          <w:spacing w:val="35"/>
          <w:sz w:val="24"/>
        </w:rPr>
        <w:t> </w:t>
      </w:r>
      <w:r>
        <w:rPr>
          <w:sz w:val="24"/>
        </w:rPr>
        <w:t>citizens</w:t>
      </w:r>
      <w:r>
        <w:rPr>
          <w:spacing w:val="35"/>
          <w:sz w:val="24"/>
        </w:rPr>
        <w:t> </w:t>
      </w:r>
      <w:r>
        <w:rPr>
          <w:sz w:val="24"/>
        </w:rPr>
        <w:t>of</w:t>
      </w:r>
      <w:r>
        <w:rPr>
          <w:spacing w:val="35"/>
          <w:sz w:val="24"/>
        </w:rPr>
        <w:t> </w:t>
      </w:r>
      <w:r>
        <w:rPr>
          <w:sz w:val="24"/>
        </w:rPr>
        <w:t>their</w:t>
      </w:r>
      <w:r>
        <w:rPr>
          <w:spacing w:val="35"/>
          <w:sz w:val="24"/>
        </w:rPr>
        <w:t> </w:t>
      </w:r>
      <w:r>
        <w:rPr>
          <w:sz w:val="24"/>
        </w:rPr>
        <w:t>own</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country, these will also enable them to acquire a knowledge and understanding of the essential features of the outside world, particularly of our neighbouring and Afro-Asian countries. Indian culture has had a strong and honourable tradition of international understanding, of valuing, on the whole with an open mind, the contributions of different countries and races to human civilization. For this purpose, the fact that she is a country with many communities but of one common citizenship should actually prove to be an advantage. The constitution Of UNESCO speaks of 'the fruitful diversity of the cultures</w:t>
      </w:r>
      <w:r>
        <w:rPr>
          <w:spacing w:val="40"/>
        </w:rPr>
        <w:t> </w:t>
      </w:r>
      <w:r>
        <w:rPr/>
        <w:t>of mankind'. If through the schools and universities, a person learns to appreciate the basic rightness of that phrase in his own federal and multi-community country, he is less likely to forget it on the international plane where he deals with persons belonging to different nations but enjoying equal membership in the community of mankind. The programme of social and national integration which will minimize the internal barriers and suspicions which exist today will not only be a national gain, but may even make an impact on international relations and the international situation as a whole. This was one of the great inspirations of Jawaharlal Nehru's policy.</w:t>
      </w:r>
    </w:p>
    <w:p>
      <w:pPr>
        <w:pStyle w:val="BodyText"/>
        <w:spacing w:before="4"/>
      </w:pPr>
    </w:p>
    <w:p>
      <w:pPr>
        <w:pStyle w:val="ListParagraph"/>
        <w:numPr>
          <w:ilvl w:val="1"/>
          <w:numId w:val="12"/>
        </w:numPr>
        <w:tabs>
          <w:tab w:pos="714" w:val="left" w:leader="none"/>
        </w:tabs>
        <w:spacing w:line="240" w:lineRule="auto" w:before="0" w:after="0"/>
        <w:ind w:left="160" w:right="495" w:firstLine="0"/>
        <w:jc w:val="both"/>
        <w:rPr>
          <w:b/>
          <w:sz w:val="24"/>
        </w:rPr>
      </w:pPr>
      <w:r>
        <w:rPr>
          <w:b/>
          <w:sz w:val="24"/>
        </w:rPr>
        <w:t>Democratic Values. </w:t>
      </w:r>
      <w:r>
        <w:rPr>
          <w:sz w:val="24"/>
        </w:rPr>
        <w:t>In this context, Special emphasis has to be laid on the development of values such as a scientific temper of mind, tolerance, respect for the culture of other national groups, etc., which will enable us to adopt democracy, not only as a form of government, but also as a way of life. As stated earlier, the population of India consists of persons who profess different religions, speak different languages, belong to different races, castes, classes and communities. It is precisely in such a situation that democracy can make its most significant contribution. A healthy development of democratic trends will help to soften the impact of this division into social, economic and cultural groups. The task is admittedly difficult; but it can convert the differences of language, cultural pattern, religion, etc., into the warp and woof of a very rich and rewarding social and cultural life. The problem of national integration is essentially one of harmonizing such differences, of enabling different elements of the population to live peacefully and cooperatively and to utilize their varied gifts for the enrichment of the national life as a whole. We have to cultivate a spirit of large- hearted tolerance, of mutual give and take, of the appreciation of ways in which people differ from</w:t>
      </w:r>
      <w:r>
        <w:rPr>
          <w:spacing w:val="-2"/>
          <w:sz w:val="24"/>
        </w:rPr>
        <w:t> </w:t>
      </w:r>
      <w:r>
        <w:rPr>
          <w:sz w:val="24"/>
        </w:rPr>
        <w:t>one another. This is a very exacting experiment in living'</w:t>
      </w:r>
      <w:r>
        <w:rPr>
          <w:spacing w:val="-1"/>
          <w:sz w:val="24"/>
        </w:rPr>
        <w:t> </w:t>
      </w:r>
      <w:r>
        <w:rPr>
          <w:sz w:val="24"/>
        </w:rPr>
        <w:t>that we have launched and no education will be worthwhile if the educated mind is unable to respond to this</w:t>
      </w:r>
      <w:r>
        <w:rPr>
          <w:spacing w:val="40"/>
          <w:sz w:val="24"/>
        </w:rPr>
        <w:t> </w:t>
      </w:r>
      <w:r>
        <w:rPr>
          <w:sz w:val="24"/>
        </w:rPr>
        <w:t>situation with intelligence and imagination.</w:t>
      </w:r>
    </w:p>
    <w:p>
      <w:pPr>
        <w:pStyle w:val="BodyText"/>
        <w:spacing w:before="7"/>
      </w:pPr>
    </w:p>
    <w:p>
      <w:pPr>
        <w:pStyle w:val="Heading1"/>
        <w:ind w:left="291"/>
      </w:pPr>
      <w:bookmarkStart w:name="_TOC_250019" w:id="10"/>
      <w:r>
        <w:rPr/>
        <w:t>EDUCATION</w:t>
      </w:r>
      <w:r>
        <w:rPr>
          <w:spacing w:val="-5"/>
        </w:rPr>
        <w:t> </w:t>
      </w:r>
      <w:r>
        <w:rPr/>
        <w:t>AND</w:t>
      </w:r>
      <w:r>
        <w:rPr>
          <w:spacing w:val="-4"/>
        </w:rPr>
        <w:t> </w:t>
      </w:r>
      <w:bookmarkEnd w:id="10"/>
      <w:r>
        <w:rPr>
          <w:spacing w:val="-2"/>
        </w:rPr>
        <w:t>MODERNIZATION</w:t>
      </w:r>
    </w:p>
    <w:p>
      <w:pPr>
        <w:pStyle w:val="BodyText"/>
        <w:spacing w:before="2"/>
        <w:rPr>
          <w:b/>
        </w:rPr>
      </w:pPr>
    </w:p>
    <w:p>
      <w:pPr>
        <w:pStyle w:val="ListParagraph"/>
        <w:numPr>
          <w:ilvl w:val="1"/>
          <w:numId w:val="12"/>
        </w:numPr>
        <w:tabs>
          <w:tab w:pos="681" w:val="left" w:leader="none"/>
        </w:tabs>
        <w:spacing w:line="240" w:lineRule="auto" w:before="0" w:after="0"/>
        <w:ind w:left="160" w:right="496" w:firstLine="0"/>
        <w:jc w:val="both"/>
        <w:rPr>
          <w:sz w:val="24"/>
        </w:rPr>
      </w:pPr>
      <w:r>
        <w:rPr>
          <w:sz w:val="24"/>
        </w:rPr>
        <w:t>We have already stated that the most distinctive feature of a modern society, in contrast with a traditional one, is in its adoption of a science-based technology. It is this which has helped such societies to increase their production so spectacularly. It may be pointed out, however, that science-based technology has other important implications for social and cultural life and it involves fundamental social and cultural changes which are broadly described as 'modernization'. We shall briefly discuss the impact of this modernization on programmes of educational reconstruction.</w:t>
      </w:r>
    </w:p>
    <w:p>
      <w:pPr>
        <w:spacing w:after="0" w:line="240" w:lineRule="auto"/>
        <w:jc w:val="both"/>
        <w:rPr>
          <w:sz w:val="24"/>
        </w:rPr>
        <w:sectPr>
          <w:pgSz w:w="12240" w:h="15840"/>
          <w:pgMar w:header="0" w:footer="743" w:top="1360" w:bottom="940" w:left="1640" w:right="1300"/>
        </w:sectPr>
      </w:pPr>
    </w:p>
    <w:p>
      <w:pPr>
        <w:pStyle w:val="ListParagraph"/>
        <w:numPr>
          <w:ilvl w:val="1"/>
          <w:numId w:val="12"/>
        </w:numPr>
        <w:tabs>
          <w:tab w:pos="665" w:val="left" w:leader="none"/>
        </w:tabs>
        <w:spacing w:line="240" w:lineRule="auto" w:before="76" w:after="0"/>
        <w:ind w:left="160" w:right="493" w:firstLine="0"/>
        <w:jc w:val="both"/>
        <w:rPr>
          <w:b/>
          <w:sz w:val="24"/>
        </w:rPr>
      </w:pPr>
      <w:r>
        <w:rPr>
          <w:b/>
          <w:sz w:val="24"/>
        </w:rPr>
        <w:t>Explosion of Knowledge. </w:t>
      </w:r>
      <w:r>
        <w:rPr>
          <w:sz w:val="24"/>
        </w:rPr>
        <w:t>There has been a great explosion of knowledge during</w:t>
      </w:r>
      <w:r>
        <w:rPr>
          <w:spacing w:val="40"/>
          <w:sz w:val="24"/>
        </w:rPr>
        <w:t> </w:t>
      </w:r>
      <w:r>
        <w:rPr>
          <w:sz w:val="24"/>
        </w:rPr>
        <w:t>the last few decades. In a traditional society, the stock of knowledge is limited and grows slowly so that the main aim of education is interpreted to be its preservation. In a modern society, on the other hand, the stock of knowledge is far greater and the pace of its</w:t>
      </w:r>
      <w:r>
        <w:rPr>
          <w:spacing w:val="80"/>
          <w:sz w:val="24"/>
        </w:rPr>
        <w:t> </w:t>
      </w:r>
      <w:r>
        <w:rPr>
          <w:sz w:val="24"/>
        </w:rPr>
        <w:t>growth is infinitely quicker. One of the main tasks of education ill a modern society is to keep pace with this advance in knowledge. In such a society, knowledge inevitably</w:t>
      </w:r>
      <w:r>
        <w:rPr>
          <w:spacing w:val="80"/>
          <w:sz w:val="24"/>
        </w:rPr>
        <w:t> </w:t>
      </w:r>
      <w:r>
        <w:rPr>
          <w:sz w:val="24"/>
        </w:rPr>
        <w:t>ceases</w:t>
      </w:r>
      <w:r>
        <w:rPr>
          <w:spacing w:val="-1"/>
          <w:sz w:val="24"/>
        </w:rPr>
        <w:t> </w:t>
      </w:r>
      <w:r>
        <w:rPr>
          <w:sz w:val="24"/>
        </w:rPr>
        <w:t>to</w:t>
      </w:r>
      <w:r>
        <w:rPr>
          <w:spacing w:val="-1"/>
          <w:sz w:val="24"/>
        </w:rPr>
        <w:t> </w:t>
      </w:r>
      <w:r>
        <w:rPr>
          <w:sz w:val="24"/>
        </w:rPr>
        <w:t>be</w:t>
      </w:r>
      <w:r>
        <w:rPr>
          <w:spacing w:val="-1"/>
          <w:sz w:val="24"/>
        </w:rPr>
        <w:t> </w:t>
      </w:r>
      <w:r>
        <w:rPr>
          <w:sz w:val="24"/>
        </w:rPr>
        <w:t>something</w:t>
      </w:r>
      <w:r>
        <w:rPr>
          <w:spacing w:val="-1"/>
          <w:sz w:val="24"/>
        </w:rPr>
        <w:t> </w:t>
      </w:r>
      <w:r>
        <w:rPr>
          <w:sz w:val="24"/>
        </w:rPr>
        <w:t>to</w:t>
      </w:r>
      <w:r>
        <w:rPr>
          <w:spacing w:val="-1"/>
          <w:sz w:val="24"/>
        </w:rPr>
        <w:t> </w:t>
      </w:r>
      <w:r>
        <w:rPr>
          <w:sz w:val="24"/>
        </w:rPr>
        <w:t>be</w:t>
      </w:r>
      <w:r>
        <w:rPr>
          <w:spacing w:val="-1"/>
          <w:sz w:val="24"/>
        </w:rPr>
        <w:t> </w:t>
      </w:r>
      <w:r>
        <w:rPr>
          <w:sz w:val="24"/>
        </w:rPr>
        <w:t>received</w:t>
      </w:r>
      <w:r>
        <w:rPr>
          <w:spacing w:val="-1"/>
          <w:sz w:val="24"/>
        </w:rPr>
        <w:t> </w:t>
      </w:r>
      <w:r>
        <w:rPr>
          <w:sz w:val="24"/>
        </w:rPr>
        <w:t>passively;</w:t>
      </w:r>
      <w:r>
        <w:rPr>
          <w:spacing w:val="-1"/>
          <w:sz w:val="24"/>
        </w:rPr>
        <w:t> </w:t>
      </w:r>
      <w:r>
        <w:rPr>
          <w:sz w:val="24"/>
        </w:rPr>
        <w:t>it</w:t>
      </w:r>
      <w:r>
        <w:rPr>
          <w:spacing w:val="-1"/>
          <w:sz w:val="24"/>
        </w:rPr>
        <w:t> </w:t>
      </w:r>
      <w:r>
        <w:rPr>
          <w:sz w:val="24"/>
        </w:rPr>
        <w:t>is</w:t>
      </w:r>
      <w:r>
        <w:rPr>
          <w:spacing w:val="-1"/>
          <w:sz w:val="24"/>
        </w:rPr>
        <w:t> </w:t>
      </w:r>
      <w:r>
        <w:rPr>
          <w:sz w:val="24"/>
        </w:rPr>
        <w:t>something</w:t>
      </w:r>
      <w:r>
        <w:rPr>
          <w:spacing w:val="-1"/>
          <w:sz w:val="24"/>
        </w:rPr>
        <w:t> </w:t>
      </w:r>
      <w:r>
        <w:rPr>
          <w:sz w:val="24"/>
        </w:rPr>
        <w:t>to</w:t>
      </w:r>
      <w:r>
        <w:rPr>
          <w:spacing w:val="-1"/>
          <w:sz w:val="24"/>
        </w:rPr>
        <w:t> </w:t>
      </w:r>
      <w:r>
        <w:rPr>
          <w:sz w:val="24"/>
        </w:rPr>
        <w:t>be</w:t>
      </w:r>
      <w:r>
        <w:rPr>
          <w:spacing w:val="-1"/>
          <w:sz w:val="24"/>
        </w:rPr>
        <w:t> </w:t>
      </w:r>
      <w:r>
        <w:rPr>
          <w:sz w:val="24"/>
        </w:rPr>
        <w:t>actively</w:t>
      </w:r>
      <w:r>
        <w:rPr>
          <w:spacing w:val="-1"/>
          <w:sz w:val="24"/>
        </w:rPr>
        <w:t> </w:t>
      </w:r>
      <w:r>
        <w:rPr>
          <w:sz w:val="24"/>
        </w:rPr>
        <w:t>discovered. If this is rightly understood, it would involve a revolution in traditional education where 'to know' has come to mean 'to know by heart', where respect for all inherited knowledge is</w:t>
      </w:r>
      <w:r>
        <w:rPr>
          <w:spacing w:val="-2"/>
          <w:sz w:val="24"/>
        </w:rPr>
        <w:t> </w:t>
      </w:r>
      <w:r>
        <w:rPr>
          <w:sz w:val="24"/>
        </w:rPr>
        <w:t>assiduously</w:t>
      </w:r>
      <w:r>
        <w:rPr>
          <w:spacing w:val="-2"/>
          <w:sz w:val="24"/>
        </w:rPr>
        <w:t> </w:t>
      </w:r>
      <w:r>
        <w:rPr>
          <w:sz w:val="24"/>
        </w:rPr>
        <w:t>cultivated</w:t>
      </w:r>
      <w:r>
        <w:rPr>
          <w:spacing w:val="-2"/>
          <w:sz w:val="24"/>
        </w:rPr>
        <w:t> </w:t>
      </w:r>
      <w:r>
        <w:rPr>
          <w:sz w:val="24"/>
        </w:rPr>
        <w:t>and</w:t>
      </w:r>
      <w:r>
        <w:rPr>
          <w:spacing w:val="-2"/>
          <w:sz w:val="24"/>
        </w:rPr>
        <w:t> </w:t>
      </w:r>
      <w:r>
        <w:rPr>
          <w:sz w:val="24"/>
        </w:rPr>
        <w:t>where</w:t>
      </w:r>
      <w:r>
        <w:rPr>
          <w:spacing w:val="-2"/>
          <w:sz w:val="24"/>
        </w:rPr>
        <w:t> </w:t>
      </w:r>
      <w:r>
        <w:rPr>
          <w:sz w:val="24"/>
        </w:rPr>
        <w:t>the</w:t>
      </w:r>
      <w:r>
        <w:rPr>
          <w:spacing w:val="-2"/>
          <w:sz w:val="24"/>
        </w:rPr>
        <w:t> </w:t>
      </w:r>
      <w:r>
        <w:rPr>
          <w:sz w:val="24"/>
        </w:rPr>
        <w:t>assimilative</w:t>
      </w:r>
      <w:r>
        <w:rPr>
          <w:spacing w:val="-2"/>
          <w:sz w:val="24"/>
        </w:rPr>
        <w:t> </w:t>
      </w:r>
      <w:r>
        <w:rPr>
          <w:sz w:val="24"/>
        </w:rPr>
        <w:t>faculties</w:t>
      </w:r>
      <w:r>
        <w:rPr>
          <w:spacing w:val="-2"/>
          <w:sz w:val="24"/>
        </w:rPr>
        <w:t> </w:t>
      </w:r>
      <w:r>
        <w:rPr>
          <w:sz w:val="24"/>
        </w:rPr>
        <w:t>tend</w:t>
      </w:r>
      <w:r>
        <w:rPr>
          <w:spacing w:val="-2"/>
          <w:sz w:val="24"/>
        </w:rPr>
        <w:t> </w:t>
      </w:r>
      <w:r>
        <w:rPr>
          <w:sz w:val="24"/>
        </w:rPr>
        <w:t>to</w:t>
      </w:r>
      <w:r>
        <w:rPr>
          <w:spacing w:val="-4"/>
          <w:sz w:val="24"/>
        </w:rPr>
        <w:t> </w:t>
      </w:r>
      <w:r>
        <w:rPr>
          <w:sz w:val="24"/>
        </w:rPr>
        <w:t>be</w:t>
      </w:r>
      <w:r>
        <w:rPr>
          <w:spacing w:val="-3"/>
          <w:sz w:val="24"/>
        </w:rPr>
        <w:t> </w:t>
      </w:r>
      <w:r>
        <w:rPr>
          <w:sz w:val="24"/>
        </w:rPr>
        <w:t>emphasized</w:t>
      </w:r>
      <w:r>
        <w:rPr>
          <w:spacing w:val="-3"/>
          <w:sz w:val="24"/>
        </w:rPr>
        <w:t> </w:t>
      </w:r>
      <w:r>
        <w:rPr>
          <w:sz w:val="24"/>
        </w:rPr>
        <w:t>to</w:t>
      </w:r>
      <w:r>
        <w:rPr>
          <w:spacing w:val="-3"/>
          <w:sz w:val="24"/>
        </w:rPr>
        <w:t> </w:t>
      </w:r>
      <w:r>
        <w:rPr>
          <w:sz w:val="24"/>
        </w:rPr>
        <w:t>the neglect of the critical and creative ones. In India, as in other countries where similar conditions prevail, this would require, among other things, a new approach to the objectives and methods of education, and changes in the training of teachers. Unless they are</w:t>
      </w:r>
      <w:r>
        <w:rPr>
          <w:spacing w:val="-2"/>
          <w:sz w:val="24"/>
        </w:rPr>
        <w:t> </w:t>
      </w:r>
      <w:r>
        <w:rPr>
          <w:sz w:val="24"/>
        </w:rPr>
        <w:t>trained</w:t>
      </w:r>
      <w:r>
        <w:rPr>
          <w:spacing w:val="-2"/>
          <w:sz w:val="24"/>
        </w:rPr>
        <w:t> </w:t>
      </w:r>
      <w:r>
        <w:rPr>
          <w:sz w:val="24"/>
        </w:rPr>
        <w:t>in</w:t>
      </w:r>
      <w:r>
        <w:rPr>
          <w:spacing w:val="-2"/>
          <w:sz w:val="24"/>
        </w:rPr>
        <w:t> </w:t>
      </w:r>
      <w:r>
        <w:rPr>
          <w:sz w:val="24"/>
        </w:rPr>
        <w:t>new</w:t>
      </w:r>
      <w:r>
        <w:rPr>
          <w:spacing w:val="-2"/>
          <w:sz w:val="24"/>
        </w:rPr>
        <w:t> </w:t>
      </w:r>
      <w:r>
        <w:rPr>
          <w:sz w:val="24"/>
        </w:rPr>
        <w:t>ways</w:t>
      </w:r>
      <w:r>
        <w:rPr>
          <w:spacing w:val="-2"/>
          <w:sz w:val="24"/>
        </w:rPr>
        <w:t> </w:t>
      </w:r>
      <w:r>
        <w:rPr>
          <w:sz w:val="24"/>
        </w:rPr>
        <w:t>of</w:t>
      </w:r>
      <w:r>
        <w:rPr>
          <w:spacing w:val="-3"/>
          <w:sz w:val="24"/>
        </w:rPr>
        <w:t> </w:t>
      </w:r>
      <w:r>
        <w:rPr>
          <w:sz w:val="24"/>
        </w:rPr>
        <w:t>teaching</w:t>
      </w:r>
      <w:r>
        <w:rPr>
          <w:spacing w:val="-3"/>
          <w:sz w:val="24"/>
        </w:rPr>
        <w:t> </w:t>
      </w:r>
      <w:r>
        <w:rPr>
          <w:sz w:val="24"/>
        </w:rPr>
        <w:t>and</w:t>
      </w:r>
      <w:r>
        <w:rPr>
          <w:spacing w:val="-3"/>
          <w:sz w:val="24"/>
        </w:rPr>
        <w:t> </w:t>
      </w:r>
      <w:r>
        <w:rPr>
          <w:sz w:val="24"/>
        </w:rPr>
        <w:t>learning,</w:t>
      </w:r>
      <w:r>
        <w:rPr>
          <w:spacing w:val="-3"/>
          <w:sz w:val="24"/>
        </w:rPr>
        <w:t> </w:t>
      </w:r>
      <w:r>
        <w:rPr>
          <w:sz w:val="24"/>
        </w:rPr>
        <w:t>the</w:t>
      </w:r>
      <w:r>
        <w:rPr>
          <w:spacing w:val="-3"/>
          <w:sz w:val="24"/>
        </w:rPr>
        <w:t> </w:t>
      </w:r>
      <w:r>
        <w:rPr>
          <w:sz w:val="24"/>
        </w:rPr>
        <w:t>students</w:t>
      </w:r>
      <w:r>
        <w:rPr>
          <w:spacing w:val="-3"/>
          <w:sz w:val="24"/>
        </w:rPr>
        <w:t> </w:t>
      </w:r>
      <w:r>
        <w:rPr>
          <w:sz w:val="24"/>
        </w:rPr>
        <w:t>in</w:t>
      </w:r>
      <w:r>
        <w:rPr>
          <w:spacing w:val="-3"/>
          <w:sz w:val="24"/>
        </w:rPr>
        <w:t> </w:t>
      </w:r>
      <w:r>
        <w:rPr>
          <w:sz w:val="24"/>
        </w:rPr>
        <w:t>schools</w:t>
      </w:r>
      <w:r>
        <w:rPr>
          <w:spacing w:val="-3"/>
          <w:sz w:val="24"/>
        </w:rPr>
        <w:t> </w:t>
      </w:r>
      <w:r>
        <w:rPr>
          <w:sz w:val="24"/>
        </w:rPr>
        <w:t>and</w:t>
      </w:r>
      <w:r>
        <w:rPr>
          <w:spacing w:val="-3"/>
          <w:sz w:val="24"/>
        </w:rPr>
        <w:t> </w:t>
      </w:r>
      <w:r>
        <w:rPr>
          <w:sz w:val="24"/>
        </w:rPr>
        <w:t>colleges</w:t>
      </w:r>
      <w:r>
        <w:rPr>
          <w:spacing w:val="-4"/>
          <w:sz w:val="24"/>
        </w:rPr>
        <w:t> </w:t>
      </w:r>
      <w:r>
        <w:rPr>
          <w:sz w:val="24"/>
        </w:rPr>
        <w:t>will not be able to receive the type of education needed for the new society.</w:t>
      </w:r>
    </w:p>
    <w:p>
      <w:pPr>
        <w:pStyle w:val="BodyText"/>
        <w:spacing w:before="4"/>
      </w:pPr>
    </w:p>
    <w:p>
      <w:pPr>
        <w:pStyle w:val="ListParagraph"/>
        <w:numPr>
          <w:ilvl w:val="1"/>
          <w:numId w:val="12"/>
        </w:numPr>
        <w:tabs>
          <w:tab w:pos="675" w:val="left" w:leader="none"/>
        </w:tabs>
        <w:spacing w:line="240" w:lineRule="auto" w:before="0" w:after="0"/>
        <w:ind w:left="160" w:right="496" w:firstLine="0"/>
        <w:jc w:val="both"/>
        <w:rPr>
          <w:b/>
          <w:sz w:val="24"/>
        </w:rPr>
      </w:pPr>
      <w:r>
        <w:rPr>
          <w:b/>
          <w:sz w:val="24"/>
        </w:rPr>
        <w:t>Rapid Social Change. </w:t>
      </w:r>
      <w:r>
        <w:rPr>
          <w:sz w:val="24"/>
        </w:rPr>
        <w:t>Another feature of a modern society is the quick, almost breath-taking</w:t>
      </w:r>
      <w:r>
        <w:rPr>
          <w:spacing w:val="-3"/>
          <w:sz w:val="24"/>
        </w:rPr>
        <w:t> </w:t>
      </w:r>
      <w:r>
        <w:rPr>
          <w:sz w:val="24"/>
        </w:rPr>
        <w:t>rate</w:t>
      </w:r>
      <w:r>
        <w:rPr>
          <w:spacing w:val="-2"/>
          <w:sz w:val="24"/>
        </w:rPr>
        <w:t> </w:t>
      </w:r>
      <w:r>
        <w:rPr>
          <w:sz w:val="24"/>
        </w:rPr>
        <w:t>at</w:t>
      </w:r>
      <w:r>
        <w:rPr>
          <w:spacing w:val="-2"/>
          <w:sz w:val="24"/>
        </w:rPr>
        <w:t> </w:t>
      </w:r>
      <w:r>
        <w:rPr>
          <w:sz w:val="24"/>
        </w:rPr>
        <w:t>which</w:t>
      </w:r>
      <w:r>
        <w:rPr>
          <w:spacing w:val="-2"/>
          <w:sz w:val="24"/>
        </w:rPr>
        <w:t> </w:t>
      </w:r>
      <w:r>
        <w:rPr>
          <w:sz w:val="24"/>
        </w:rPr>
        <w:t>social</w:t>
      </w:r>
      <w:r>
        <w:rPr>
          <w:spacing w:val="-2"/>
          <w:sz w:val="24"/>
        </w:rPr>
        <w:t> </w:t>
      </w:r>
      <w:r>
        <w:rPr>
          <w:sz w:val="24"/>
        </w:rPr>
        <w:t>change</w:t>
      </w:r>
      <w:r>
        <w:rPr>
          <w:spacing w:val="-2"/>
          <w:sz w:val="24"/>
        </w:rPr>
        <w:t> </w:t>
      </w:r>
      <w:r>
        <w:rPr>
          <w:sz w:val="24"/>
        </w:rPr>
        <w:t>takes</w:t>
      </w:r>
      <w:r>
        <w:rPr>
          <w:spacing w:val="-2"/>
          <w:sz w:val="24"/>
        </w:rPr>
        <w:t> </w:t>
      </w:r>
      <w:r>
        <w:rPr>
          <w:sz w:val="24"/>
        </w:rPr>
        <w:t>place.</w:t>
      </w:r>
      <w:r>
        <w:rPr>
          <w:spacing w:val="-2"/>
          <w:sz w:val="24"/>
        </w:rPr>
        <w:t> </w:t>
      </w:r>
      <w:r>
        <w:rPr>
          <w:sz w:val="24"/>
        </w:rPr>
        <w:t>In</w:t>
      </w:r>
      <w:r>
        <w:rPr>
          <w:spacing w:val="-2"/>
          <w:sz w:val="24"/>
        </w:rPr>
        <w:t> </w:t>
      </w:r>
      <w:r>
        <w:rPr>
          <w:sz w:val="24"/>
        </w:rPr>
        <w:t>a</w:t>
      </w:r>
      <w:r>
        <w:rPr>
          <w:spacing w:val="-2"/>
          <w:sz w:val="24"/>
        </w:rPr>
        <w:t> </w:t>
      </w:r>
      <w:r>
        <w:rPr>
          <w:sz w:val="24"/>
        </w:rPr>
        <w:t>traditional</w:t>
      </w:r>
      <w:r>
        <w:rPr>
          <w:spacing w:val="-2"/>
          <w:sz w:val="24"/>
        </w:rPr>
        <w:t> </w:t>
      </w:r>
      <w:r>
        <w:rPr>
          <w:sz w:val="24"/>
        </w:rPr>
        <w:t>society,</w:t>
      </w:r>
      <w:r>
        <w:rPr>
          <w:spacing w:val="-2"/>
          <w:sz w:val="24"/>
        </w:rPr>
        <w:t> </w:t>
      </w:r>
      <w:r>
        <w:rPr>
          <w:sz w:val="24"/>
        </w:rPr>
        <w:t>change</w:t>
      </w:r>
      <w:r>
        <w:rPr>
          <w:spacing w:val="-2"/>
          <w:sz w:val="24"/>
        </w:rPr>
        <w:t> </w:t>
      </w:r>
      <w:r>
        <w:rPr>
          <w:sz w:val="24"/>
        </w:rPr>
        <w:t>is</w:t>
      </w:r>
      <w:r>
        <w:rPr>
          <w:spacing w:val="-2"/>
          <w:sz w:val="24"/>
        </w:rPr>
        <w:t> </w:t>
      </w:r>
      <w:r>
        <w:rPr>
          <w:sz w:val="24"/>
        </w:rPr>
        <w:t>so slow that the conservatism of the educational</w:t>
      </w:r>
      <w:r>
        <w:rPr>
          <w:spacing w:val="-1"/>
          <w:sz w:val="24"/>
        </w:rPr>
        <w:t> </w:t>
      </w:r>
      <w:r>
        <w:rPr>
          <w:sz w:val="24"/>
        </w:rPr>
        <w:t>system does comparatively little harm. ID a modern society, on the other hand, change is so rapid that the school must always be alert if it is to keep abreast of significant changes. There is, therefore, an imperative need for adopting a dynamic policy in such a situation. An educational system which does not continually renovate itself, becomes out of date and hampers progress because it tends to create a lag between its operative purposes and standards and the new imperatives of development, both in quality and quantity. The very aim of education has to be viewed differently-it is no longer taken as concerned primarily with the imparting of knowledge or the preparation of a finished product, but with the awakening of curiosity, </w:t>
      </w:r>
      <w:r>
        <w:rPr>
          <w:sz w:val="24"/>
        </w:rPr>
        <w:t>the development</w:t>
      </w:r>
      <w:r>
        <w:rPr>
          <w:spacing w:val="-1"/>
          <w:sz w:val="24"/>
        </w:rPr>
        <w:t> </w:t>
      </w:r>
      <w:r>
        <w:rPr>
          <w:sz w:val="24"/>
        </w:rPr>
        <w:t>of</w:t>
      </w:r>
      <w:r>
        <w:rPr>
          <w:spacing w:val="-1"/>
          <w:sz w:val="24"/>
        </w:rPr>
        <w:t> </w:t>
      </w:r>
      <w:r>
        <w:rPr>
          <w:sz w:val="24"/>
        </w:rPr>
        <w:t>proper</w:t>
      </w:r>
      <w:r>
        <w:rPr>
          <w:spacing w:val="-1"/>
          <w:sz w:val="24"/>
        </w:rPr>
        <w:t> </w:t>
      </w:r>
      <w:r>
        <w:rPr>
          <w:sz w:val="24"/>
        </w:rPr>
        <w:t>interests,</w:t>
      </w:r>
      <w:r>
        <w:rPr>
          <w:spacing w:val="-1"/>
          <w:sz w:val="24"/>
        </w:rPr>
        <w:t> </w:t>
      </w:r>
      <w:r>
        <w:rPr>
          <w:sz w:val="24"/>
        </w:rPr>
        <w:t>attitudes</w:t>
      </w:r>
      <w:r>
        <w:rPr>
          <w:spacing w:val="-1"/>
          <w:sz w:val="24"/>
        </w:rPr>
        <w:t> </w:t>
      </w:r>
      <w:r>
        <w:rPr>
          <w:sz w:val="24"/>
        </w:rPr>
        <w:t>and</w:t>
      </w:r>
      <w:r>
        <w:rPr>
          <w:spacing w:val="-4"/>
          <w:sz w:val="24"/>
        </w:rPr>
        <w:t> </w:t>
      </w:r>
      <w:r>
        <w:rPr>
          <w:sz w:val="24"/>
        </w:rPr>
        <w:t>values</w:t>
      </w:r>
      <w:r>
        <w:rPr>
          <w:spacing w:val="-2"/>
          <w:sz w:val="24"/>
        </w:rPr>
        <w:t> </w:t>
      </w:r>
      <w:r>
        <w:rPr>
          <w:sz w:val="24"/>
        </w:rPr>
        <w:t>and</w:t>
      </w:r>
      <w:r>
        <w:rPr>
          <w:spacing w:val="-2"/>
          <w:sz w:val="24"/>
        </w:rPr>
        <w:t> </w:t>
      </w:r>
      <w:r>
        <w:rPr>
          <w:sz w:val="24"/>
        </w:rPr>
        <w:t>the</w:t>
      </w:r>
      <w:r>
        <w:rPr>
          <w:spacing w:val="-2"/>
          <w:sz w:val="24"/>
        </w:rPr>
        <w:t> </w:t>
      </w:r>
      <w:r>
        <w:rPr>
          <w:sz w:val="24"/>
        </w:rPr>
        <w:t>building</w:t>
      </w:r>
      <w:r>
        <w:rPr>
          <w:spacing w:val="-1"/>
          <w:sz w:val="24"/>
        </w:rPr>
        <w:t> </w:t>
      </w:r>
      <w:r>
        <w:rPr>
          <w:sz w:val="24"/>
        </w:rPr>
        <w:t>up</w:t>
      </w:r>
      <w:r>
        <w:rPr>
          <w:spacing w:val="-2"/>
          <w:sz w:val="24"/>
        </w:rPr>
        <w:t> </w:t>
      </w:r>
      <w:r>
        <w:rPr>
          <w:sz w:val="24"/>
        </w:rPr>
        <w:t>of</w:t>
      </w:r>
      <w:r>
        <w:rPr>
          <w:spacing w:val="-2"/>
          <w:sz w:val="24"/>
        </w:rPr>
        <w:t> </w:t>
      </w:r>
      <w:r>
        <w:rPr>
          <w:sz w:val="24"/>
        </w:rPr>
        <w:t>such</w:t>
      </w:r>
      <w:r>
        <w:rPr>
          <w:spacing w:val="-2"/>
          <w:sz w:val="24"/>
        </w:rPr>
        <w:t> </w:t>
      </w:r>
      <w:r>
        <w:rPr>
          <w:sz w:val="24"/>
        </w:rPr>
        <w:t>essential skills as independent study and the capacity to think and judge for oneself without which it is not possible to become a responsible member of a democratic society.</w:t>
      </w:r>
    </w:p>
    <w:p>
      <w:pPr>
        <w:pStyle w:val="BodyText"/>
        <w:spacing w:before="4"/>
      </w:pPr>
    </w:p>
    <w:p>
      <w:pPr>
        <w:pStyle w:val="ListParagraph"/>
        <w:numPr>
          <w:ilvl w:val="1"/>
          <w:numId w:val="12"/>
        </w:numPr>
        <w:tabs>
          <w:tab w:pos="648" w:val="left" w:leader="none"/>
        </w:tabs>
        <w:spacing w:line="240" w:lineRule="auto" w:before="0" w:after="0"/>
        <w:ind w:left="160" w:right="497" w:firstLine="0"/>
        <w:jc w:val="both"/>
        <w:rPr>
          <w:b/>
          <w:sz w:val="24"/>
        </w:rPr>
      </w:pPr>
      <w:r>
        <w:rPr>
          <w:b/>
          <w:sz w:val="24"/>
        </w:rPr>
        <w:t>Need for Rapid Advance</w:t>
      </w:r>
      <w:r>
        <w:rPr>
          <w:sz w:val="24"/>
        </w:rPr>
        <w:t>. Two other aspects of modernization need emphasis. The first is that once a society launches itself upon a programme of modernization, there is no turning back, no half-way house where we can arrest the process. In the initial stages, such a change must disturb the traditional equilibrium reached and maintained over centuries which, though it had its obvious disadvantages, had some built-in redeeming factors as well. The attempt to create a new social order naturally creates a host of unexpected social, economic, cultural and political problems. But if one tinkers with the problems involved or tries to march with faltering steps, if one's commitments and convictions are half-hearted and faith is lacking, the new situation may turn out to be worse than the old one. The only solution to these transitional problems is to move</w:t>
      </w:r>
      <w:r>
        <w:rPr>
          <w:spacing w:val="40"/>
          <w:sz w:val="24"/>
        </w:rPr>
        <w:t> </w:t>
      </w:r>
      <w:r>
        <w:rPr>
          <w:sz w:val="24"/>
        </w:rPr>
        <w:t>rapidly forward and create a new equilibrium, based on the full implications of the process of modernization.</w:t>
      </w:r>
    </w:p>
    <w:p>
      <w:pPr>
        <w:pStyle w:val="BodyText"/>
        <w:spacing w:before="4"/>
      </w:pPr>
    </w:p>
    <w:p>
      <w:pPr>
        <w:pStyle w:val="ListParagraph"/>
        <w:numPr>
          <w:ilvl w:val="1"/>
          <w:numId w:val="12"/>
        </w:numPr>
        <w:tabs>
          <w:tab w:pos="682" w:val="left" w:leader="none"/>
        </w:tabs>
        <w:spacing w:line="240" w:lineRule="auto" w:before="0" w:after="0"/>
        <w:ind w:left="160" w:right="496" w:firstLine="0"/>
        <w:jc w:val="both"/>
        <w:rPr>
          <w:b/>
          <w:sz w:val="24"/>
        </w:rPr>
      </w:pPr>
      <w:r>
        <w:rPr>
          <w:b/>
          <w:sz w:val="24"/>
        </w:rPr>
        <w:t>Modernization and Educational Progress. </w:t>
      </w:r>
      <w:r>
        <w:rPr>
          <w:sz w:val="24"/>
        </w:rPr>
        <w:t>The progress of modernization will, therefore,</w:t>
      </w:r>
      <w:r>
        <w:rPr>
          <w:spacing w:val="11"/>
          <w:sz w:val="24"/>
        </w:rPr>
        <w:t> </w:t>
      </w:r>
      <w:r>
        <w:rPr>
          <w:sz w:val="24"/>
        </w:rPr>
        <w:t>be</w:t>
      </w:r>
      <w:r>
        <w:rPr>
          <w:spacing w:val="12"/>
          <w:sz w:val="24"/>
        </w:rPr>
        <w:t> </w:t>
      </w:r>
      <w:r>
        <w:rPr>
          <w:sz w:val="24"/>
        </w:rPr>
        <w:t>directly</w:t>
      </w:r>
      <w:r>
        <w:rPr>
          <w:spacing w:val="14"/>
          <w:sz w:val="24"/>
        </w:rPr>
        <w:t> </w:t>
      </w:r>
      <w:r>
        <w:rPr>
          <w:sz w:val="24"/>
        </w:rPr>
        <w:t>related</w:t>
      </w:r>
      <w:r>
        <w:rPr>
          <w:spacing w:val="13"/>
          <w:sz w:val="24"/>
        </w:rPr>
        <w:t> </w:t>
      </w:r>
      <w:r>
        <w:rPr>
          <w:sz w:val="24"/>
        </w:rPr>
        <w:t>to</w:t>
      </w:r>
      <w:r>
        <w:rPr>
          <w:spacing w:val="14"/>
          <w:sz w:val="24"/>
        </w:rPr>
        <w:t> </w:t>
      </w:r>
      <w:r>
        <w:rPr>
          <w:sz w:val="24"/>
        </w:rPr>
        <w:t>the</w:t>
      </w:r>
      <w:r>
        <w:rPr>
          <w:spacing w:val="13"/>
          <w:sz w:val="24"/>
        </w:rPr>
        <w:t> </w:t>
      </w:r>
      <w:r>
        <w:rPr>
          <w:sz w:val="24"/>
        </w:rPr>
        <w:t>pace</w:t>
      </w:r>
      <w:r>
        <w:rPr>
          <w:spacing w:val="14"/>
          <w:sz w:val="24"/>
        </w:rPr>
        <w:t> </w:t>
      </w:r>
      <w:r>
        <w:rPr>
          <w:sz w:val="24"/>
        </w:rPr>
        <w:t>of</w:t>
      </w:r>
      <w:r>
        <w:rPr>
          <w:spacing w:val="12"/>
          <w:sz w:val="24"/>
        </w:rPr>
        <w:t> </w:t>
      </w:r>
      <w:r>
        <w:rPr>
          <w:sz w:val="24"/>
        </w:rPr>
        <w:t>educational</w:t>
      </w:r>
      <w:r>
        <w:rPr>
          <w:spacing w:val="14"/>
          <w:sz w:val="24"/>
        </w:rPr>
        <w:t> </w:t>
      </w:r>
      <w:r>
        <w:rPr>
          <w:sz w:val="24"/>
        </w:rPr>
        <w:t>advance</w:t>
      </w:r>
      <w:r>
        <w:rPr>
          <w:spacing w:val="13"/>
          <w:sz w:val="24"/>
        </w:rPr>
        <w:t> </w:t>
      </w:r>
      <w:r>
        <w:rPr>
          <w:sz w:val="24"/>
        </w:rPr>
        <w:t>and</w:t>
      </w:r>
      <w:r>
        <w:rPr>
          <w:spacing w:val="14"/>
          <w:sz w:val="24"/>
        </w:rPr>
        <w:t> </w:t>
      </w:r>
      <w:r>
        <w:rPr>
          <w:sz w:val="24"/>
        </w:rPr>
        <w:t>the</w:t>
      </w:r>
      <w:r>
        <w:rPr>
          <w:spacing w:val="13"/>
          <w:sz w:val="24"/>
        </w:rPr>
        <w:t> </w:t>
      </w:r>
      <w:r>
        <w:rPr>
          <w:sz w:val="24"/>
        </w:rPr>
        <w:t>one</w:t>
      </w:r>
      <w:r>
        <w:rPr>
          <w:spacing w:val="14"/>
          <w:sz w:val="24"/>
        </w:rPr>
        <w:t> </w:t>
      </w:r>
      <w:r>
        <w:rPr>
          <w:sz w:val="24"/>
        </w:rPr>
        <w:t>sure</w:t>
      </w:r>
      <w:r>
        <w:rPr>
          <w:spacing w:val="13"/>
          <w:sz w:val="24"/>
        </w:rPr>
        <w:t> </w:t>
      </w:r>
      <w:r>
        <w:rPr>
          <w:sz w:val="24"/>
        </w:rPr>
        <w:t>way</w:t>
      </w:r>
      <w:r>
        <w:rPr>
          <w:spacing w:val="13"/>
          <w:sz w:val="24"/>
        </w:rPr>
        <w:t> </w:t>
      </w:r>
      <w:r>
        <w:rPr>
          <w:spacing w:val="-5"/>
          <w:sz w:val="24"/>
        </w:rPr>
        <w:t>to</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rPr>
          <w:b/>
        </w:rPr>
      </w:pPr>
      <w:r>
        <w:rPr/>
        <w:t>modernize</w:t>
      </w:r>
      <w:r>
        <w:rPr>
          <w:spacing w:val="-1"/>
        </w:rPr>
        <w:t> </w:t>
      </w:r>
      <w:r>
        <w:rPr/>
        <w:t>quickly</w:t>
      </w:r>
      <w:r>
        <w:rPr>
          <w:spacing w:val="-1"/>
        </w:rPr>
        <w:t> </w:t>
      </w:r>
      <w:r>
        <w:rPr/>
        <w:t>is</w:t>
      </w:r>
      <w:r>
        <w:rPr>
          <w:spacing w:val="-1"/>
        </w:rPr>
        <w:t> </w:t>
      </w:r>
      <w:r>
        <w:rPr/>
        <w:t>to</w:t>
      </w:r>
      <w:r>
        <w:rPr>
          <w:spacing w:val="-1"/>
        </w:rPr>
        <w:t> </w:t>
      </w:r>
      <w:r>
        <w:rPr/>
        <w:t>spread</w:t>
      </w:r>
      <w:r>
        <w:rPr>
          <w:spacing w:val="-1"/>
        </w:rPr>
        <w:t> </w:t>
      </w:r>
      <w:r>
        <w:rPr/>
        <w:t>education,</w:t>
      </w:r>
      <w:r>
        <w:rPr>
          <w:spacing w:val="-1"/>
        </w:rPr>
        <w:t> </w:t>
      </w:r>
      <w:r>
        <w:rPr/>
        <w:t>produce</w:t>
      </w:r>
      <w:r>
        <w:rPr>
          <w:spacing w:val="-1"/>
        </w:rPr>
        <w:t> </w:t>
      </w:r>
      <w:r>
        <w:rPr/>
        <w:t>educated</w:t>
      </w:r>
      <w:r>
        <w:rPr>
          <w:spacing w:val="-1"/>
        </w:rPr>
        <w:t> </w:t>
      </w:r>
      <w:r>
        <w:rPr/>
        <w:t>and</w:t>
      </w:r>
      <w:r>
        <w:rPr>
          <w:spacing w:val="-1"/>
        </w:rPr>
        <w:t> </w:t>
      </w:r>
      <w:r>
        <w:rPr/>
        <w:t>skilled</w:t>
      </w:r>
      <w:r>
        <w:rPr>
          <w:spacing w:val="-1"/>
        </w:rPr>
        <w:t> </w:t>
      </w:r>
      <w:r>
        <w:rPr/>
        <w:t>citizens,</w:t>
      </w:r>
      <w:r>
        <w:rPr>
          <w:spacing w:val="-1"/>
        </w:rPr>
        <w:t> </w:t>
      </w:r>
      <w:r>
        <w:rPr/>
        <w:t>and</w:t>
      </w:r>
      <w:r>
        <w:rPr>
          <w:spacing w:val="-1"/>
        </w:rPr>
        <w:t> </w:t>
      </w:r>
      <w:r>
        <w:rPr/>
        <w:t>train an adequate and competent intelligentsia. The Indian society of today is heir to a great culture. Unfortunately, however, it is not an adequately educated society, and unless it becomes one, it will not be able to modernize itself and to respond appropriately to the new challenges of national reconstruction or take its rightful place in the comity of nations. The proportion of persons who have so far been able to receive secondary and higher education is very small at present-less than two per cent of the entire population. This will have to be increased to at least ten per cent to make any significant impact. The composition of the intelligentsia must also be changed; it should consist of able persons, both men and women, drawn from all strata of society. There must also be changes in the skills and fields of specialization to be cultivated. At present, the intelligentsia consists predominantly of the white-collar professions and students of the humanities, while the proportion of scientists and technical workers in its ranks is quite small. To change this, greater emphasis must be placed, as we have argued earlier, on vocational subjects, science education and research. The average level of competence is not at all satisfactory, due mainly to inadequate standards maintained in the universities. This is damaging to Indian academic life and its reputation. In order to change this situation radically, it will be necessary to establish a few 'major' universities in the country which attain standards comparable to the best in any part of the world, and which will gradually spread their influence to others. This is one of the basic reforms needed in our system of higher </w:t>
      </w:r>
      <w:r>
        <w:rPr>
          <w:spacing w:val="-2"/>
        </w:rPr>
        <w:t>education.</w:t>
      </w:r>
      <w:r>
        <w:rPr>
          <w:b/>
          <w:spacing w:val="-2"/>
          <w:vertAlign w:val="superscript"/>
        </w:rPr>
        <w:t>9</w:t>
      </w:r>
    </w:p>
    <w:p>
      <w:pPr>
        <w:pStyle w:val="BodyText"/>
        <w:spacing w:before="7"/>
        <w:rPr>
          <w:b/>
        </w:rPr>
      </w:pPr>
    </w:p>
    <w:p>
      <w:pPr>
        <w:pStyle w:val="Heading1"/>
      </w:pPr>
      <w:bookmarkStart w:name="_TOC_250018" w:id="11"/>
      <w:r>
        <w:rPr/>
        <w:t>SOCIAL,</w:t>
      </w:r>
      <w:r>
        <w:rPr>
          <w:spacing w:val="-5"/>
        </w:rPr>
        <w:t> </w:t>
      </w:r>
      <w:r>
        <w:rPr/>
        <w:t>MORAL</w:t>
      </w:r>
      <w:r>
        <w:rPr>
          <w:spacing w:val="-4"/>
        </w:rPr>
        <w:t> </w:t>
      </w:r>
      <w:r>
        <w:rPr/>
        <w:t>AND</w:t>
      </w:r>
      <w:r>
        <w:rPr>
          <w:spacing w:val="-4"/>
        </w:rPr>
        <w:t> </w:t>
      </w:r>
      <w:r>
        <w:rPr/>
        <w:t>SPIRITUAL</w:t>
      </w:r>
      <w:r>
        <w:rPr>
          <w:spacing w:val="-4"/>
        </w:rPr>
        <w:t> </w:t>
      </w:r>
      <w:bookmarkEnd w:id="11"/>
      <w:r>
        <w:rPr>
          <w:spacing w:val="-2"/>
        </w:rPr>
        <w:t>VALUES</w:t>
      </w:r>
    </w:p>
    <w:p>
      <w:pPr>
        <w:pStyle w:val="BodyText"/>
        <w:spacing w:before="2"/>
        <w:rPr>
          <w:b/>
        </w:rPr>
      </w:pPr>
    </w:p>
    <w:p>
      <w:pPr>
        <w:pStyle w:val="ListParagraph"/>
        <w:numPr>
          <w:ilvl w:val="1"/>
          <w:numId w:val="12"/>
        </w:numPr>
        <w:tabs>
          <w:tab w:pos="700" w:val="left" w:leader="none"/>
        </w:tabs>
        <w:spacing w:line="240" w:lineRule="auto" w:before="0" w:after="0"/>
        <w:ind w:left="159" w:right="495" w:firstLine="0"/>
        <w:jc w:val="both"/>
        <w:rPr>
          <w:sz w:val="24"/>
        </w:rPr>
      </w:pPr>
      <w:r>
        <w:rPr>
          <w:sz w:val="24"/>
        </w:rPr>
        <w:t>Modernization does not mean-least of all in our national situation-a refusal to recognize the importance of or to inculcate necessary moral and spiritual values and self- discipline. Modernization, if it is to be a living force, must derive its strength from the strength of the spirit. Modernization aims, amongst other things, at creating an economy of plenty which will offer to every individual a larger way of life and a wider variety of choices. While this freedom to choose has its own advantages, it also means that the future of society will depend increasingly upon the type of choice each individual makes. This would naturally depend upon his motivation and sense of values, for he might make the choice either with reference entirely to his own personal satisfaction or in a spirit of service to the community and of furthering the common good. The expanding:</w:t>
      </w:r>
      <w:r>
        <w:rPr>
          <w:spacing w:val="80"/>
          <w:sz w:val="24"/>
        </w:rPr>
        <w:t> </w:t>
      </w:r>
      <w:r>
        <w:rPr>
          <w:sz w:val="24"/>
        </w:rPr>
        <w:t>knowledge and the growing power which modernization places at the disposal of society must, therefore, be combined with the strengthening and deepening of the sense of social responsibility and a keener appreciation of moral and spiritual values. While a combination of ignorance with goodness may be futile, that of knowledge with a lack of essential values may be dangerous. The weakening of social and moral values in the younger generation is creating many serious social and ethical conflicts in western societies and there is already a desire among some great western thinkers to balance the knowledge and skills which science and technology bring with the values and insights associated with ethics and religion at Its best, viz., a search for the knowledge of the Self,</w:t>
      </w:r>
    </w:p>
    <w:p>
      <w:pPr>
        <w:pStyle w:val="BodyText"/>
        <w:spacing w:before="4"/>
      </w:pPr>
    </w:p>
    <w:p>
      <w:pPr>
        <w:pStyle w:val="BodyText"/>
        <w:ind w:left="160"/>
        <w:jc w:val="both"/>
      </w:pPr>
      <w:r>
        <w:rPr>
          <w:b/>
          <w:vertAlign w:val="superscript"/>
        </w:rPr>
        <w:t>9</w:t>
      </w:r>
      <w:r>
        <w:rPr>
          <w:vertAlign w:val="baseline"/>
        </w:rPr>
        <w:t>See</w:t>
      </w:r>
      <w:r>
        <w:rPr>
          <w:spacing w:val="-1"/>
          <w:vertAlign w:val="baseline"/>
        </w:rPr>
        <w:t> </w:t>
      </w:r>
      <w:r>
        <w:rPr>
          <w:vertAlign w:val="baseline"/>
        </w:rPr>
        <w:t>Chapter XI for details. </w:t>
      </w:r>
      <w:r>
        <w:rPr>
          <w:spacing w:val="-10"/>
          <w:vertAlign w:val="baseline"/>
        </w:rPr>
        <w:t>3</w:t>
      </w:r>
    </w:p>
    <w:p>
      <w:pPr>
        <w:spacing w:after="0"/>
        <w:jc w:val="both"/>
        <w:sectPr>
          <w:pgSz w:w="12240" w:h="15840"/>
          <w:pgMar w:header="0" w:footer="743" w:top="1360" w:bottom="940" w:left="1640" w:right="1300"/>
        </w:sectPr>
      </w:pPr>
    </w:p>
    <w:p>
      <w:pPr>
        <w:pStyle w:val="BodyText"/>
        <w:spacing w:before="76"/>
        <w:ind w:left="160" w:right="497"/>
        <w:jc w:val="both"/>
      </w:pPr>
      <w:r>
        <w:rPr/>
        <w:t>of the meaning of life, of the relationship of man to other human beings and to the ultimate reality in the situation that is developing it is equally important for us to give a proper value- orientation to our educational system.</w:t>
      </w:r>
    </w:p>
    <w:p>
      <w:pPr>
        <w:pStyle w:val="BodyText"/>
        <w:spacing w:before="4"/>
      </w:pPr>
    </w:p>
    <w:p>
      <w:pPr>
        <w:pStyle w:val="ListParagraph"/>
        <w:numPr>
          <w:ilvl w:val="1"/>
          <w:numId w:val="12"/>
        </w:numPr>
        <w:tabs>
          <w:tab w:pos="654" w:val="left" w:leader="none"/>
        </w:tabs>
        <w:spacing w:line="240" w:lineRule="auto" w:before="0" w:after="0"/>
        <w:ind w:left="160" w:right="495" w:firstLine="0"/>
        <w:jc w:val="both"/>
        <w:rPr>
          <w:sz w:val="24"/>
        </w:rPr>
      </w:pPr>
      <w:r>
        <w:rPr>
          <w:sz w:val="24"/>
        </w:rPr>
        <w:t>It is not our purpose to enumerate a list of values to be inculcated. What we would like to emphasize is the need to pay attention to the inculcation of right values in the students, at all stages of education. We are happy to note that an awareness of this responsibility has been growing since independence. The University Education Commission (1948) considered both its philosophical and practical aspects and made certain</w:t>
      </w:r>
      <w:r>
        <w:rPr>
          <w:spacing w:val="-3"/>
          <w:sz w:val="24"/>
        </w:rPr>
        <w:t> </w:t>
      </w:r>
      <w:r>
        <w:rPr>
          <w:sz w:val="24"/>
        </w:rPr>
        <w:t>valuable</w:t>
      </w:r>
      <w:r>
        <w:rPr>
          <w:spacing w:val="-3"/>
          <w:sz w:val="24"/>
        </w:rPr>
        <w:t> </w:t>
      </w:r>
      <w:r>
        <w:rPr>
          <w:sz w:val="24"/>
        </w:rPr>
        <w:t>proposals</w:t>
      </w:r>
      <w:r>
        <w:rPr>
          <w:spacing w:val="-3"/>
          <w:sz w:val="24"/>
        </w:rPr>
        <w:t> </w:t>
      </w:r>
      <w:r>
        <w:rPr>
          <w:sz w:val="24"/>
        </w:rPr>
        <w:t>for</w:t>
      </w:r>
      <w:r>
        <w:rPr>
          <w:spacing w:val="-3"/>
          <w:sz w:val="24"/>
        </w:rPr>
        <w:t> </w:t>
      </w:r>
      <w:r>
        <w:rPr>
          <w:sz w:val="24"/>
        </w:rPr>
        <w:t>reform.</w:t>
      </w:r>
      <w:r>
        <w:rPr>
          <w:spacing w:val="-3"/>
          <w:sz w:val="24"/>
        </w:rPr>
        <w:t> </w:t>
      </w:r>
      <w:r>
        <w:rPr>
          <w:sz w:val="24"/>
        </w:rPr>
        <w:t>However,</w:t>
      </w:r>
      <w:r>
        <w:rPr>
          <w:spacing w:val="-3"/>
          <w:sz w:val="24"/>
        </w:rPr>
        <w:t> </w:t>
      </w:r>
      <w:r>
        <w:rPr>
          <w:sz w:val="24"/>
        </w:rPr>
        <w:t>except</w:t>
      </w:r>
      <w:r>
        <w:rPr>
          <w:spacing w:val="-3"/>
          <w:sz w:val="24"/>
        </w:rPr>
        <w:t> </w:t>
      </w:r>
      <w:r>
        <w:rPr>
          <w:sz w:val="24"/>
        </w:rPr>
        <w:t>in</w:t>
      </w:r>
      <w:r>
        <w:rPr>
          <w:spacing w:val="-3"/>
          <w:sz w:val="24"/>
        </w:rPr>
        <w:t> </w:t>
      </w:r>
      <w:r>
        <w:rPr>
          <w:sz w:val="24"/>
        </w:rPr>
        <w:t>a</w:t>
      </w:r>
      <w:r>
        <w:rPr>
          <w:spacing w:val="-3"/>
          <w:sz w:val="24"/>
        </w:rPr>
        <w:t> </w:t>
      </w:r>
      <w:r>
        <w:rPr>
          <w:sz w:val="24"/>
        </w:rPr>
        <w:t>small</w:t>
      </w:r>
      <w:r>
        <w:rPr>
          <w:spacing w:val="-3"/>
          <w:sz w:val="24"/>
        </w:rPr>
        <w:t> </w:t>
      </w:r>
      <w:r>
        <w:rPr>
          <w:sz w:val="24"/>
        </w:rPr>
        <w:t>Dumber</w:t>
      </w:r>
      <w:r>
        <w:rPr>
          <w:spacing w:val="-3"/>
          <w:sz w:val="24"/>
        </w:rPr>
        <w:t> </w:t>
      </w:r>
      <w:r>
        <w:rPr>
          <w:sz w:val="24"/>
        </w:rPr>
        <w:t>of</w:t>
      </w:r>
      <w:r>
        <w:rPr>
          <w:spacing w:val="-3"/>
          <w:sz w:val="24"/>
        </w:rPr>
        <w:t> </w:t>
      </w:r>
      <w:r>
        <w:rPr>
          <w:sz w:val="24"/>
        </w:rPr>
        <w:t>'institutions, they were not implemented. In 1959 the Central Advisory Board of Education appointed</w:t>
      </w:r>
      <w:r>
        <w:rPr>
          <w:spacing w:val="40"/>
          <w:sz w:val="24"/>
        </w:rPr>
        <w:t> </w:t>
      </w:r>
      <w:r>
        <w:rPr>
          <w:sz w:val="24"/>
        </w:rPr>
        <w:t>a</w:t>
      </w:r>
      <w:r>
        <w:rPr>
          <w:spacing w:val="-1"/>
          <w:sz w:val="24"/>
        </w:rPr>
        <w:t> </w:t>
      </w:r>
      <w:r>
        <w:rPr>
          <w:sz w:val="24"/>
        </w:rPr>
        <w:t>special</w:t>
      </w:r>
      <w:r>
        <w:rPr>
          <w:spacing w:val="-1"/>
          <w:sz w:val="24"/>
        </w:rPr>
        <w:t> </w:t>
      </w:r>
      <w:r>
        <w:rPr>
          <w:sz w:val="24"/>
        </w:rPr>
        <w:t>committee</w:t>
      </w:r>
      <w:r>
        <w:rPr>
          <w:spacing w:val="-1"/>
          <w:sz w:val="24"/>
        </w:rPr>
        <w:t> </w:t>
      </w:r>
      <w:r>
        <w:rPr>
          <w:sz w:val="24"/>
        </w:rPr>
        <w:t>on</w:t>
      </w:r>
      <w:r>
        <w:rPr>
          <w:spacing w:val="-3"/>
          <w:sz w:val="24"/>
        </w:rPr>
        <w:t> </w:t>
      </w:r>
      <w:r>
        <w:rPr>
          <w:sz w:val="24"/>
        </w:rPr>
        <w:t>Religious</w:t>
      </w:r>
      <w:r>
        <w:rPr>
          <w:spacing w:val="-3"/>
          <w:sz w:val="24"/>
        </w:rPr>
        <w:t> </w:t>
      </w:r>
      <w:r>
        <w:rPr>
          <w:sz w:val="24"/>
        </w:rPr>
        <w:t>and</w:t>
      </w:r>
      <w:r>
        <w:rPr>
          <w:spacing w:val="-1"/>
          <w:sz w:val="24"/>
        </w:rPr>
        <w:t> </w:t>
      </w:r>
      <w:r>
        <w:rPr>
          <w:sz w:val="24"/>
        </w:rPr>
        <w:t>Moral</w:t>
      </w:r>
      <w:r>
        <w:rPr>
          <w:spacing w:val="-1"/>
          <w:sz w:val="24"/>
        </w:rPr>
        <w:t> </w:t>
      </w:r>
      <w:r>
        <w:rPr>
          <w:sz w:val="24"/>
        </w:rPr>
        <w:t>Instruction</w:t>
      </w:r>
      <w:r>
        <w:rPr>
          <w:spacing w:val="-1"/>
          <w:sz w:val="24"/>
        </w:rPr>
        <w:t> </w:t>
      </w:r>
      <w:r>
        <w:rPr>
          <w:sz w:val="24"/>
        </w:rPr>
        <w:t>(the</w:t>
      </w:r>
      <w:r>
        <w:rPr>
          <w:spacing w:val="-3"/>
          <w:sz w:val="24"/>
        </w:rPr>
        <w:t> </w:t>
      </w:r>
      <w:r>
        <w:rPr>
          <w:sz w:val="24"/>
        </w:rPr>
        <w:t>Sri</w:t>
      </w:r>
      <w:r>
        <w:rPr>
          <w:spacing w:val="-1"/>
          <w:sz w:val="24"/>
        </w:rPr>
        <w:t> </w:t>
      </w:r>
      <w:r>
        <w:rPr>
          <w:sz w:val="24"/>
        </w:rPr>
        <w:t>Prakasa</w:t>
      </w:r>
      <w:r>
        <w:rPr>
          <w:spacing w:val="-1"/>
          <w:sz w:val="24"/>
        </w:rPr>
        <w:t> </w:t>
      </w:r>
      <w:r>
        <w:rPr>
          <w:sz w:val="24"/>
        </w:rPr>
        <w:t>Committee).</w:t>
      </w:r>
      <w:r>
        <w:rPr>
          <w:spacing w:val="-3"/>
          <w:sz w:val="24"/>
        </w:rPr>
        <w:t> </w:t>
      </w:r>
      <w:r>
        <w:rPr>
          <w:sz w:val="24"/>
        </w:rPr>
        <w:t>The Report of this Committee has been before the country for five years, but the response from educational institutions has been neither active nor enthusiastic. This is having a very undesirable effect on the</w:t>
      </w:r>
      <w:r>
        <w:rPr>
          <w:spacing w:val="-1"/>
          <w:sz w:val="24"/>
        </w:rPr>
        <w:t> </w:t>
      </w:r>
      <w:r>
        <w:rPr>
          <w:sz w:val="24"/>
        </w:rPr>
        <w:t>character of the rising generation. It has, therefore, become necessary and urgent to adopt active measures to give a value-orientation to education. From this point of view, we make the following recommendations:</w:t>
      </w:r>
    </w:p>
    <w:p>
      <w:pPr>
        <w:pStyle w:val="BodyText"/>
        <w:spacing w:before="4"/>
      </w:pPr>
    </w:p>
    <w:p>
      <w:pPr>
        <w:pStyle w:val="ListParagraph"/>
        <w:numPr>
          <w:ilvl w:val="0"/>
          <w:numId w:val="16"/>
        </w:numPr>
        <w:tabs>
          <w:tab w:pos="512" w:val="left" w:leader="none"/>
        </w:tabs>
        <w:spacing w:line="240" w:lineRule="auto" w:before="0" w:after="0"/>
        <w:ind w:left="160" w:right="496" w:firstLine="0"/>
        <w:jc w:val="both"/>
        <w:rPr>
          <w:sz w:val="24"/>
        </w:rPr>
      </w:pPr>
      <w:r>
        <w:rPr>
          <w:sz w:val="24"/>
        </w:rPr>
        <w:t>The Central and State Governments should adopt measures to introduce education in moral, social and spiritual values in all institutions under their direct control on the lines recommended by the University Education Commission on religious and moral </w:t>
      </w:r>
      <w:r>
        <w:rPr>
          <w:spacing w:val="-2"/>
          <w:sz w:val="24"/>
        </w:rPr>
        <w:t>instruction.</w:t>
      </w:r>
    </w:p>
    <w:p>
      <w:pPr>
        <w:pStyle w:val="BodyText"/>
        <w:spacing w:before="6"/>
      </w:pPr>
    </w:p>
    <w:p>
      <w:pPr>
        <w:pStyle w:val="ListParagraph"/>
        <w:numPr>
          <w:ilvl w:val="0"/>
          <w:numId w:val="16"/>
        </w:numPr>
        <w:tabs>
          <w:tab w:pos="499" w:val="left" w:leader="none"/>
        </w:tabs>
        <w:spacing w:line="240" w:lineRule="auto" w:before="0" w:after="0"/>
        <w:ind w:left="499" w:right="0" w:hanging="339"/>
        <w:jc w:val="both"/>
        <w:rPr>
          <w:sz w:val="24"/>
        </w:rPr>
      </w:pPr>
      <w:r>
        <w:rPr>
          <w:sz w:val="24"/>
        </w:rPr>
        <w:t>The</w:t>
      </w:r>
      <w:r>
        <w:rPr>
          <w:spacing w:val="-1"/>
          <w:sz w:val="24"/>
        </w:rPr>
        <w:t> </w:t>
      </w:r>
      <w:r>
        <w:rPr>
          <w:sz w:val="24"/>
        </w:rPr>
        <w:t>privately-managed</w:t>
      </w:r>
      <w:r>
        <w:rPr>
          <w:spacing w:val="-1"/>
          <w:sz w:val="24"/>
        </w:rPr>
        <w:t> </w:t>
      </w:r>
      <w:r>
        <w:rPr>
          <w:sz w:val="24"/>
        </w:rPr>
        <w:t>institutions should</w:t>
      </w:r>
      <w:r>
        <w:rPr>
          <w:spacing w:val="-1"/>
          <w:sz w:val="24"/>
        </w:rPr>
        <w:t> </w:t>
      </w:r>
      <w:r>
        <w:rPr>
          <w:sz w:val="24"/>
        </w:rPr>
        <w:t>also be</w:t>
      </w:r>
      <w:r>
        <w:rPr>
          <w:spacing w:val="-1"/>
          <w:sz w:val="24"/>
        </w:rPr>
        <w:t> </w:t>
      </w:r>
      <w:r>
        <w:rPr>
          <w:sz w:val="24"/>
        </w:rPr>
        <w:t>expected</w:t>
      </w:r>
      <w:r>
        <w:rPr>
          <w:spacing w:val="-1"/>
          <w:sz w:val="24"/>
        </w:rPr>
        <w:t> </w:t>
      </w:r>
      <w:r>
        <w:rPr>
          <w:sz w:val="24"/>
        </w:rPr>
        <w:t>to</w:t>
      </w:r>
      <w:r>
        <w:rPr>
          <w:spacing w:val="-2"/>
          <w:sz w:val="24"/>
        </w:rPr>
        <w:t> </w:t>
      </w:r>
      <w:r>
        <w:rPr>
          <w:sz w:val="24"/>
        </w:rPr>
        <w:t>follow</w:t>
      </w:r>
      <w:r>
        <w:rPr>
          <w:spacing w:val="-1"/>
          <w:sz w:val="24"/>
        </w:rPr>
        <w:t> </w:t>
      </w:r>
      <w:r>
        <w:rPr>
          <w:spacing w:val="-2"/>
          <w:sz w:val="24"/>
        </w:rPr>
        <w:t>suit.</w:t>
      </w:r>
    </w:p>
    <w:p>
      <w:pPr>
        <w:pStyle w:val="BodyText"/>
        <w:spacing w:before="2"/>
      </w:pPr>
    </w:p>
    <w:p>
      <w:pPr>
        <w:pStyle w:val="ListParagraph"/>
        <w:numPr>
          <w:ilvl w:val="0"/>
          <w:numId w:val="16"/>
        </w:numPr>
        <w:tabs>
          <w:tab w:pos="590" w:val="left" w:leader="none"/>
        </w:tabs>
        <w:spacing w:line="240" w:lineRule="auto" w:before="1" w:after="0"/>
        <w:ind w:left="160" w:right="496" w:firstLine="0"/>
        <w:jc w:val="both"/>
        <w:rPr>
          <w:sz w:val="24"/>
        </w:rPr>
      </w:pPr>
      <w:r>
        <w:rPr>
          <w:sz w:val="24"/>
        </w:rPr>
        <w:t>Apart from education in such values being made an integral part of school programmes generally, some periods should be set apart in the time-table for this</w:t>
      </w:r>
      <w:r>
        <w:rPr>
          <w:spacing w:val="40"/>
          <w:sz w:val="24"/>
        </w:rPr>
        <w:t> </w:t>
      </w:r>
      <w:r>
        <w:rPr>
          <w:sz w:val="24"/>
        </w:rPr>
        <w:t>purpose. They should be taken, not by specially recruited teachers but by </w:t>
      </w:r>
      <w:r>
        <w:rPr>
          <w:sz w:val="24"/>
        </w:rPr>
        <w:t>general</w:t>
      </w:r>
      <w:r>
        <w:rPr>
          <w:spacing w:val="40"/>
          <w:sz w:val="24"/>
        </w:rPr>
        <w:t> </w:t>
      </w:r>
      <w:r>
        <w:rPr>
          <w:sz w:val="24"/>
        </w:rPr>
        <w:t>teachers, preferably from different communities, considered suitable for the purpose. it should</w:t>
      </w:r>
      <w:r>
        <w:rPr>
          <w:spacing w:val="-1"/>
          <w:sz w:val="24"/>
        </w:rPr>
        <w:t> </w:t>
      </w:r>
      <w:r>
        <w:rPr>
          <w:sz w:val="24"/>
        </w:rPr>
        <w:t>be</w:t>
      </w:r>
      <w:r>
        <w:rPr>
          <w:spacing w:val="-1"/>
          <w:sz w:val="24"/>
        </w:rPr>
        <w:t> </w:t>
      </w:r>
      <w:r>
        <w:rPr>
          <w:sz w:val="24"/>
        </w:rPr>
        <w:t>one</w:t>
      </w:r>
      <w:r>
        <w:rPr>
          <w:spacing w:val="-1"/>
          <w:sz w:val="24"/>
        </w:rPr>
        <w:t> </w:t>
      </w:r>
      <w:r>
        <w:rPr>
          <w:sz w:val="24"/>
        </w:rPr>
        <w:t>of</w:t>
      </w:r>
      <w:r>
        <w:rPr>
          <w:spacing w:val="-1"/>
          <w:sz w:val="24"/>
        </w:rPr>
        <w:t> </w:t>
      </w:r>
      <w:r>
        <w:rPr>
          <w:sz w:val="24"/>
        </w:rPr>
        <w:t>the</w:t>
      </w:r>
      <w:r>
        <w:rPr>
          <w:spacing w:val="-1"/>
          <w:sz w:val="24"/>
        </w:rPr>
        <w:t> </w:t>
      </w:r>
      <w:r>
        <w:rPr>
          <w:sz w:val="24"/>
        </w:rPr>
        <w:t>important</w:t>
      </w:r>
      <w:r>
        <w:rPr>
          <w:spacing w:val="-1"/>
          <w:sz w:val="24"/>
        </w:rPr>
        <w:t> </w:t>
      </w:r>
      <w:r>
        <w:rPr>
          <w:sz w:val="24"/>
        </w:rPr>
        <w:t>objectives of</w:t>
      </w:r>
      <w:r>
        <w:rPr>
          <w:spacing w:val="-1"/>
          <w:sz w:val="24"/>
        </w:rPr>
        <w:t> </w:t>
      </w:r>
      <w:r>
        <w:rPr>
          <w:sz w:val="24"/>
        </w:rPr>
        <w:t>training</w:t>
      </w:r>
      <w:r>
        <w:rPr>
          <w:spacing w:val="-1"/>
          <w:sz w:val="24"/>
        </w:rPr>
        <w:t> </w:t>
      </w:r>
      <w:r>
        <w:rPr>
          <w:sz w:val="24"/>
        </w:rPr>
        <w:t>institutions</w:t>
      </w:r>
      <w:r>
        <w:rPr>
          <w:spacing w:val="-1"/>
          <w:sz w:val="24"/>
        </w:rPr>
        <w:t> </w:t>
      </w:r>
      <w:r>
        <w:rPr>
          <w:sz w:val="24"/>
        </w:rPr>
        <w:t>to</w:t>
      </w:r>
      <w:r>
        <w:rPr>
          <w:spacing w:val="-1"/>
          <w:sz w:val="24"/>
        </w:rPr>
        <w:t> </w:t>
      </w:r>
      <w:r>
        <w:rPr>
          <w:sz w:val="24"/>
        </w:rPr>
        <w:t>prepare</w:t>
      </w:r>
      <w:r>
        <w:rPr>
          <w:spacing w:val="-1"/>
          <w:sz w:val="24"/>
        </w:rPr>
        <w:t> </w:t>
      </w:r>
      <w:r>
        <w:rPr>
          <w:sz w:val="24"/>
        </w:rPr>
        <w:t>teachers</w:t>
      </w:r>
      <w:r>
        <w:rPr>
          <w:spacing w:val="-1"/>
          <w:sz w:val="24"/>
        </w:rPr>
        <w:t> </w:t>
      </w:r>
      <w:r>
        <w:rPr>
          <w:sz w:val="24"/>
        </w:rPr>
        <w:t>for </w:t>
      </w:r>
      <w:r>
        <w:rPr>
          <w:spacing w:val="-5"/>
          <w:sz w:val="24"/>
        </w:rPr>
        <w:t>it.</w:t>
      </w:r>
    </w:p>
    <w:p>
      <w:pPr>
        <w:pStyle w:val="BodyText"/>
        <w:spacing w:before="3"/>
      </w:pPr>
    </w:p>
    <w:p>
      <w:pPr>
        <w:pStyle w:val="ListParagraph"/>
        <w:numPr>
          <w:ilvl w:val="0"/>
          <w:numId w:val="16"/>
        </w:numPr>
        <w:tabs>
          <w:tab w:pos="514" w:val="left" w:leader="none"/>
        </w:tabs>
        <w:spacing w:line="240" w:lineRule="auto" w:before="0" w:after="0"/>
        <w:ind w:left="160" w:right="496" w:firstLine="0"/>
        <w:jc w:val="both"/>
        <w:rPr>
          <w:sz w:val="24"/>
        </w:rPr>
      </w:pPr>
      <w:r>
        <w:rPr>
          <w:sz w:val="24"/>
        </w:rPr>
        <w:t>We also suggest that the University Departments in Comparative Religion should be specially concerned with the ways in which these values can be taught wisely and effectively and should undertake preparation of special literature for use by students and </w:t>
      </w:r>
      <w:r>
        <w:rPr>
          <w:spacing w:val="-2"/>
          <w:sz w:val="24"/>
        </w:rPr>
        <w:t>teachers.</w:t>
      </w:r>
    </w:p>
    <w:p>
      <w:pPr>
        <w:pStyle w:val="BodyText"/>
        <w:spacing w:before="4"/>
      </w:pPr>
    </w:p>
    <w:p>
      <w:pPr>
        <w:pStyle w:val="ListParagraph"/>
        <w:numPr>
          <w:ilvl w:val="1"/>
          <w:numId w:val="12"/>
        </w:numPr>
        <w:tabs>
          <w:tab w:pos="647" w:val="left" w:leader="none"/>
        </w:tabs>
        <w:spacing w:line="240" w:lineRule="auto" w:before="0" w:after="0"/>
        <w:ind w:left="159" w:right="496" w:firstLine="0"/>
        <w:jc w:val="both"/>
        <w:rPr>
          <w:sz w:val="24"/>
        </w:rPr>
      </w:pPr>
      <w:r>
        <w:rPr>
          <w:sz w:val="24"/>
        </w:rPr>
        <w:t>Our proposals for such instruction at the school stage are discussed elsewhere.</w:t>
      </w:r>
      <w:r>
        <w:rPr>
          <w:b/>
          <w:sz w:val="24"/>
          <w:vertAlign w:val="superscript"/>
        </w:rPr>
        <w:t>10</w:t>
      </w:r>
      <w:r>
        <w:rPr>
          <w:b/>
          <w:spacing w:val="-14"/>
          <w:sz w:val="24"/>
          <w:vertAlign w:val="baseline"/>
        </w:rPr>
        <w:t> </w:t>
      </w:r>
      <w:r>
        <w:rPr>
          <w:sz w:val="24"/>
          <w:vertAlign w:val="baseline"/>
        </w:rPr>
        <w:t>For higher education, we agree with the suggestions made by the University Education Commission and the Sri Prakasa Committee. A general study of the different religions of the world should be a part of the first degree courses and a graded syllabus should be prepared for the purpose. For instance, in the first year, it can deal with the lives of great religious leaders; in the second, selections from the scriptures of the world with a</w:t>
      </w:r>
    </w:p>
    <w:p>
      <w:pPr>
        <w:pStyle w:val="BodyText"/>
        <w:spacing w:before="5"/>
      </w:pPr>
    </w:p>
    <w:p>
      <w:pPr>
        <w:pStyle w:val="BodyText"/>
        <w:ind w:left="160"/>
        <w:jc w:val="both"/>
      </w:pPr>
      <w:r>
        <w:rPr>
          <w:b/>
          <w:vertAlign w:val="superscript"/>
        </w:rPr>
        <w:t>10</w:t>
      </w:r>
      <w:r>
        <w:rPr>
          <w:b/>
          <w:spacing w:val="-2"/>
          <w:vertAlign w:val="baseline"/>
        </w:rPr>
        <w:t> </w:t>
      </w:r>
      <w:r>
        <w:rPr>
          <w:vertAlign w:val="baseline"/>
        </w:rPr>
        <w:t>Vol.II,</w:t>
      </w:r>
      <w:r>
        <w:rPr>
          <w:spacing w:val="-1"/>
          <w:vertAlign w:val="baseline"/>
        </w:rPr>
        <w:t> </w:t>
      </w:r>
      <w:r>
        <w:rPr>
          <w:vertAlign w:val="baseline"/>
        </w:rPr>
        <w:t>Chapter</w:t>
      </w:r>
      <w:r>
        <w:rPr>
          <w:spacing w:val="-1"/>
          <w:vertAlign w:val="baseline"/>
        </w:rPr>
        <w:t> </w:t>
      </w:r>
      <w:r>
        <w:rPr>
          <w:spacing w:val="-2"/>
          <w:vertAlign w:val="baseline"/>
        </w:rPr>
        <w:t>VIII.</w:t>
      </w:r>
    </w:p>
    <w:p>
      <w:pPr>
        <w:spacing w:after="0"/>
        <w:jc w:val="both"/>
        <w:sectPr>
          <w:pgSz w:w="12240" w:h="15840"/>
          <w:pgMar w:header="0" w:footer="743" w:top="1360" w:bottom="940" w:left="1640" w:right="1300"/>
        </w:sectPr>
      </w:pPr>
    </w:p>
    <w:p>
      <w:pPr>
        <w:pStyle w:val="BodyText"/>
        <w:spacing w:before="76"/>
        <w:ind w:left="160" w:right="510"/>
      </w:pPr>
      <w:r>
        <w:rPr/>
        <w:t>universal appeal could be studied; and in the third year, the central problems of the philosophy</w:t>
      </w:r>
      <w:r>
        <w:rPr>
          <w:spacing w:val="-3"/>
        </w:rPr>
        <w:t> </w:t>
      </w:r>
      <w:r>
        <w:rPr/>
        <w:t>of</w:t>
      </w:r>
      <w:r>
        <w:rPr>
          <w:spacing w:val="-3"/>
        </w:rPr>
        <w:t> </w:t>
      </w:r>
      <w:r>
        <w:rPr/>
        <w:t>religions</w:t>
      </w:r>
      <w:r>
        <w:rPr>
          <w:spacing w:val="-3"/>
        </w:rPr>
        <w:t> </w:t>
      </w:r>
      <w:r>
        <w:rPr/>
        <w:t>considered.</w:t>
      </w:r>
      <w:r>
        <w:rPr>
          <w:spacing w:val="-3"/>
        </w:rPr>
        <w:t> </w:t>
      </w:r>
      <w:r>
        <w:rPr/>
        <w:t>We</w:t>
      </w:r>
      <w:r>
        <w:rPr>
          <w:spacing w:val="-3"/>
        </w:rPr>
        <w:t> </w:t>
      </w:r>
      <w:r>
        <w:rPr/>
        <w:t>would</w:t>
      </w:r>
      <w:r>
        <w:rPr>
          <w:spacing w:val="-3"/>
        </w:rPr>
        <w:t> </w:t>
      </w:r>
      <w:r>
        <w:rPr/>
        <w:t>also</w:t>
      </w:r>
      <w:r>
        <w:rPr>
          <w:spacing w:val="-3"/>
        </w:rPr>
        <w:t> </w:t>
      </w:r>
      <w:r>
        <w:rPr/>
        <w:t>like</w:t>
      </w:r>
      <w:r>
        <w:rPr>
          <w:spacing w:val="-3"/>
        </w:rPr>
        <w:t> </w:t>
      </w:r>
      <w:r>
        <w:rPr/>
        <w:t>to</w:t>
      </w:r>
      <w:r>
        <w:rPr>
          <w:spacing w:val="-3"/>
        </w:rPr>
        <w:t> </w:t>
      </w:r>
      <w:r>
        <w:rPr/>
        <w:t>lay</w:t>
      </w:r>
      <w:r>
        <w:rPr>
          <w:spacing w:val="-3"/>
        </w:rPr>
        <w:t> </w:t>
      </w:r>
      <w:r>
        <w:rPr/>
        <w:t>stress</w:t>
      </w:r>
      <w:r>
        <w:rPr>
          <w:spacing w:val="-3"/>
        </w:rPr>
        <w:t> </w:t>
      </w:r>
      <w:r>
        <w:rPr/>
        <w:t>on</w:t>
      </w:r>
      <w:r>
        <w:rPr>
          <w:spacing w:val="-3"/>
        </w:rPr>
        <w:t> </w:t>
      </w:r>
      <w:r>
        <w:rPr/>
        <w:t>the</w:t>
      </w:r>
      <w:r>
        <w:rPr>
          <w:spacing w:val="-3"/>
        </w:rPr>
        <w:t> </w:t>
      </w:r>
      <w:r>
        <w:rPr/>
        <w:t>importance</w:t>
      </w:r>
      <w:r>
        <w:rPr>
          <w:spacing w:val="-3"/>
        </w:rPr>
        <w:t> </w:t>
      </w:r>
      <w:r>
        <w:rPr/>
        <w:t>of encouraging students to meet in groups for silent meditation.</w:t>
      </w:r>
    </w:p>
    <w:p>
      <w:pPr>
        <w:pStyle w:val="BodyText"/>
        <w:spacing w:before="4"/>
      </w:pPr>
    </w:p>
    <w:p>
      <w:pPr>
        <w:pStyle w:val="ListParagraph"/>
        <w:numPr>
          <w:ilvl w:val="1"/>
          <w:numId w:val="12"/>
        </w:numPr>
        <w:tabs>
          <w:tab w:pos="639" w:val="left" w:leader="none"/>
        </w:tabs>
        <w:spacing w:line="240" w:lineRule="auto" w:before="0" w:after="0"/>
        <w:ind w:left="159" w:right="496" w:firstLine="0"/>
        <w:jc w:val="both"/>
        <w:rPr>
          <w:sz w:val="24"/>
        </w:rPr>
      </w:pPr>
      <w:r>
        <w:rPr>
          <w:sz w:val="24"/>
        </w:rPr>
        <w:t>In</w:t>
      </w:r>
      <w:r>
        <w:rPr>
          <w:spacing w:val="-2"/>
          <w:sz w:val="24"/>
        </w:rPr>
        <w:t> </w:t>
      </w:r>
      <w:r>
        <w:rPr>
          <w:sz w:val="24"/>
        </w:rPr>
        <w:t>the</w:t>
      </w:r>
      <w:r>
        <w:rPr>
          <w:spacing w:val="-2"/>
          <w:sz w:val="24"/>
        </w:rPr>
        <w:t> </w:t>
      </w:r>
      <w:r>
        <w:rPr>
          <w:sz w:val="24"/>
        </w:rPr>
        <w:t>attempt</w:t>
      </w:r>
      <w:r>
        <w:rPr>
          <w:spacing w:val="-2"/>
          <w:sz w:val="24"/>
        </w:rPr>
        <w:t> </w:t>
      </w:r>
      <w:r>
        <w:rPr>
          <w:sz w:val="24"/>
        </w:rPr>
        <w:t>to</w:t>
      </w:r>
      <w:r>
        <w:rPr>
          <w:spacing w:val="-2"/>
          <w:sz w:val="24"/>
        </w:rPr>
        <w:t> </w:t>
      </w:r>
      <w:r>
        <w:rPr>
          <w:sz w:val="24"/>
        </w:rPr>
        <w:t>inculcate</w:t>
      </w:r>
      <w:r>
        <w:rPr>
          <w:spacing w:val="-2"/>
          <w:sz w:val="24"/>
        </w:rPr>
        <w:t> </w:t>
      </w:r>
      <w:r>
        <w:rPr>
          <w:sz w:val="24"/>
        </w:rPr>
        <w:t>values</w:t>
      </w:r>
      <w:r>
        <w:rPr>
          <w:spacing w:val="-2"/>
          <w:sz w:val="24"/>
        </w:rPr>
        <w:t> </w:t>
      </w:r>
      <w:r>
        <w:rPr>
          <w:sz w:val="24"/>
        </w:rPr>
        <w:t>through</w:t>
      </w:r>
      <w:r>
        <w:rPr>
          <w:spacing w:val="-3"/>
          <w:sz w:val="24"/>
        </w:rPr>
        <w:t> </w:t>
      </w:r>
      <w:r>
        <w:rPr>
          <w:sz w:val="24"/>
        </w:rPr>
        <w:t>education,</w:t>
      </w:r>
      <w:r>
        <w:rPr>
          <w:spacing w:val="-3"/>
          <w:sz w:val="24"/>
        </w:rPr>
        <w:t> </w:t>
      </w:r>
      <w:r>
        <w:rPr>
          <w:sz w:val="24"/>
        </w:rPr>
        <w:t>we</w:t>
      </w:r>
      <w:r>
        <w:rPr>
          <w:spacing w:val="-3"/>
          <w:sz w:val="24"/>
        </w:rPr>
        <w:t> </w:t>
      </w:r>
      <w:r>
        <w:rPr>
          <w:sz w:val="24"/>
        </w:rPr>
        <w:t>should</w:t>
      </w:r>
      <w:r>
        <w:rPr>
          <w:spacing w:val="-3"/>
          <w:sz w:val="24"/>
        </w:rPr>
        <w:t> </w:t>
      </w:r>
      <w:r>
        <w:rPr>
          <w:sz w:val="24"/>
        </w:rPr>
        <w:t>draw</w:t>
      </w:r>
      <w:r>
        <w:rPr>
          <w:spacing w:val="-4"/>
          <w:sz w:val="24"/>
        </w:rPr>
        <w:t> </w:t>
      </w:r>
      <w:r>
        <w:rPr>
          <w:sz w:val="24"/>
        </w:rPr>
        <w:t>freely</w:t>
      </w:r>
      <w:r>
        <w:rPr>
          <w:spacing w:val="-3"/>
          <w:sz w:val="24"/>
        </w:rPr>
        <w:t> </w:t>
      </w:r>
      <w:r>
        <w:rPr>
          <w:sz w:val="24"/>
        </w:rPr>
        <w:t>upon</w:t>
      </w:r>
      <w:r>
        <w:rPr>
          <w:spacing w:val="-3"/>
          <w:sz w:val="24"/>
        </w:rPr>
        <w:t> </w:t>
      </w:r>
      <w:r>
        <w:rPr>
          <w:sz w:val="24"/>
        </w:rPr>
        <w:t>our own traditions as well as the traditions of other countries and cultures. There are strands within Indian thought itself which can lead to the new outlook appropriate for a modern society and which can prepare the people for a willing acceptance of life with all its joys and sorrows, its challenges and triumphs. In them, too, we can find inspiration for social service and a faith in the future. Mahatma Gandhi, for instance-and some other great leaders of thought-discovered the inspiration for their idealism and their passionate striving for social justice and social reconstruction largely from these sources. It is such re- interpretations and re-evaluations of</w:t>
      </w:r>
      <w:r>
        <w:rPr>
          <w:spacing w:val="-1"/>
          <w:sz w:val="24"/>
        </w:rPr>
        <w:t> </w:t>
      </w:r>
      <w:r>
        <w:rPr>
          <w:sz w:val="24"/>
        </w:rPr>
        <w:t>the past that are now most needed. It is, however, specially important in the world of today that this effort should not be restricted to the national sources only. It would be necessary to draw upon the liberalizing forces that</w:t>
      </w:r>
      <w:r>
        <w:rPr>
          <w:spacing w:val="40"/>
          <w:sz w:val="24"/>
        </w:rPr>
        <w:t> </w:t>
      </w:r>
      <w:r>
        <w:rPr>
          <w:sz w:val="24"/>
        </w:rPr>
        <w:t>have arisen in the western nations and which have emphasized, among other things, the dignity of the individual, equality and social justice, e.g., the French Revolution, the concept of the welfare state, the philosophy of Marx and the rise of socialism.</w:t>
      </w:r>
    </w:p>
    <w:p>
      <w:pPr>
        <w:pStyle w:val="BodyText"/>
        <w:spacing w:before="4"/>
      </w:pPr>
    </w:p>
    <w:p>
      <w:pPr>
        <w:pStyle w:val="BodyText"/>
        <w:ind w:left="160" w:right="496"/>
        <w:jc w:val="both"/>
      </w:pPr>
      <w:r>
        <w:rPr/>
        <w:t>A major weakness of the Indian, and particularly of the Hindu society, in the past has been a lack of equality and social justice. These balancing influences have, therefore, a great significance. Similar assimilations of whatever is significant should also be discriminatingly made from other important nations and cultures such as the Chinese, Japanese or Islamic.</w:t>
      </w:r>
    </w:p>
    <w:p>
      <w:pPr>
        <w:pStyle w:val="BodyText"/>
        <w:spacing w:before="5"/>
      </w:pPr>
    </w:p>
    <w:p>
      <w:pPr>
        <w:pStyle w:val="ListParagraph"/>
        <w:numPr>
          <w:ilvl w:val="1"/>
          <w:numId w:val="12"/>
        </w:numPr>
        <w:tabs>
          <w:tab w:pos="665" w:val="left" w:leader="none"/>
        </w:tabs>
        <w:spacing w:line="240" w:lineRule="auto" w:before="0" w:after="0"/>
        <w:ind w:left="159" w:right="496" w:firstLine="0"/>
        <w:jc w:val="both"/>
        <w:rPr>
          <w:b/>
          <w:sz w:val="24"/>
        </w:rPr>
      </w:pPr>
      <w:r>
        <w:rPr>
          <w:b/>
          <w:sz w:val="24"/>
        </w:rPr>
        <w:t>Secularism and Religion. </w:t>
      </w:r>
      <w:r>
        <w:rPr>
          <w:sz w:val="24"/>
        </w:rPr>
        <w:t>In a multi-religious society like ours, it is necessary to define the attitude of the State to religion, religious education and the concept of secularism. The adoption of a secularist policy means that in political, economic and social matters, all citizens, irrespective of their religious faith, will enjoy equality of rights, that no religious community will be favoured or discriminated against, and that instruction in religious dogmas will not be provided in State schools. But it is not an irreligious or anti-religious policy; it does not belittle the importance of religion as such.</w:t>
      </w:r>
      <w:r>
        <w:rPr>
          <w:spacing w:val="40"/>
          <w:sz w:val="24"/>
        </w:rPr>
        <w:t> </w:t>
      </w:r>
      <w:r>
        <w:rPr>
          <w:sz w:val="24"/>
        </w:rPr>
        <w:t>it gives to every citizen the fullest freedom of religious belief and worship. It is anxious</w:t>
      </w:r>
      <w:r>
        <w:rPr>
          <w:spacing w:val="40"/>
          <w:sz w:val="24"/>
        </w:rPr>
        <w:t> </w:t>
      </w:r>
      <w:r>
        <w:rPr>
          <w:sz w:val="24"/>
        </w:rPr>
        <w:t>to ensure good relations amongst different religious groups and to promote not only religious tolerance but also an active reverence for all religions.</w:t>
      </w:r>
    </w:p>
    <w:p>
      <w:pPr>
        <w:pStyle w:val="BodyText"/>
        <w:spacing w:before="4"/>
      </w:pPr>
    </w:p>
    <w:p>
      <w:pPr>
        <w:pStyle w:val="ListParagraph"/>
        <w:numPr>
          <w:ilvl w:val="1"/>
          <w:numId w:val="12"/>
        </w:numPr>
        <w:tabs>
          <w:tab w:pos="711" w:val="left" w:leader="none"/>
        </w:tabs>
        <w:spacing w:line="240" w:lineRule="auto" w:before="0" w:after="0"/>
        <w:ind w:left="160" w:right="494" w:firstLine="0"/>
        <w:jc w:val="both"/>
        <w:rPr>
          <w:sz w:val="24"/>
        </w:rPr>
      </w:pPr>
      <w:r>
        <w:rPr>
          <w:sz w:val="24"/>
        </w:rPr>
        <w:t>In such a society, however, one has to make a distinction between religious education' and 'education about religions'. The former is largely concerned with the teaching</w:t>
      </w:r>
      <w:r>
        <w:rPr>
          <w:spacing w:val="-1"/>
          <w:sz w:val="24"/>
        </w:rPr>
        <w:t> </w:t>
      </w:r>
      <w:r>
        <w:rPr>
          <w:sz w:val="24"/>
        </w:rPr>
        <w:t>of</w:t>
      </w:r>
      <w:r>
        <w:rPr>
          <w:spacing w:val="-1"/>
          <w:sz w:val="24"/>
        </w:rPr>
        <w:t> </w:t>
      </w:r>
      <w:r>
        <w:rPr>
          <w:sz w:val="24"/>
        </w:rPr>
        <w:t>the</w:t>
      </w:r>
      <w:r>
        <w:rPr>
          <w:spacing w:val="-1"/>
          <w:sz w:val="24"/>
        </w:rPr>
        <w:t> </w:t>
      </w:r>
      <w:r>
        <w:rPr>
          <w:sz w:val="24"/>
        </w:rPr>
        <w:t>tenets</w:t>
      </w:r>
      <w:r>
        <w:rPr>
          <w:spacing w:val="-1"/>
          <w:sz w:val="24"/>
        </w:rPr>
        <w:t> </w:t>
      </w:r>
      <w:r>
        <w:rPr>
          <w:sz w:val="24"/>
        </w:rPr>
        <w:t>and</w:t>
      </w:r>
      <w:r>
        <w:rPr>
          <w:spacing w:val="-1"/>
          <w:sz w:val="24"/>
        </w:rPr>
        <w:t> </w:t>
      </w:r>
      <w:r>
        <w:rPr>
          <w:sz w:val="24"/>
        </w:rPr>
        <w:t>practices</w:t>
      </w:r>
      <w:r>
        <w:rPr>
          <w:spacing w:val="-1"/>
          <w:sz w:val="24"/>
        </w:rPr>
        <w:t> </w:t>
      </w:r>
      <w:r>
        <w:rPr>
          <w:sz w:val="24"/>
        </w:rPr>
        <w:t>of</w:t>
      </w:r>
      <w:r>
        <w:rPr>
          <w:spacing w:val="-2"/>
          <w:sz w:val="24"/>
        </w:rPr>
        <w:t> </w:t>
      </w:r>
      <w:r>
        <w:rPr>
          <w:sz w:val="24"/>
        </w:rPr>
        <w:t>a</w:t>
      </w:r>
      <w:r>
        <w:rPr>
          <w:spacing w:val="-1"/>
          <w:sz w:val="24"/>
        </w:rPr>
        <w:t> </w:t>
      </w:r>
      <w:r>
        <w:rPr>
          <w:sz w:val="24"/>
        </w:rPr>
        <w:t>particular</w:t>
      </w:r>
      <w:r>
        <w:rPr>
          <w:spacing w:val="-1"/>
          <w:sz w:val="24"/>
        </w:rPr>
        <w:t> </w:t>
      </w:r>
      <w:r>
        <w:rPr>
          <w:sz w:val="24"/>
        </w:rPr>
        <w:t>religion,</w:t>
      </w:r>
      <w:r>
        <w:rPr>
          <w:spacing w:val="-1"/>
          <w:sz w:val="24"/>
        </w:rPr>
        <w:t> </w:t>
      </w:r>
      <w:r>
        <w:rPr>
          <w:sz w:val="24"/>
        </w:rPr>
        <w:t>generally</w:t>
      </w:r>
      <w:r>
        <w:rPr>
          <w:spacing w:val="-1"/>
          <w:sz w:val="24"/>
        </w:rPr>
        <w:t> </w:t>
      </w:r>
      <w:r>
        <w:rPr>
          <w:sz w:val="24"/>
        </w:rPr>
        <w:t>in</w:t>
      </w:r>
      <w:r>
        <w:rPr>
          <w:spacing w:val="-1"/>
          <w:sz w:val="24"/>
        </w:rPr>
        <w:t> </w:t>
      </w:r>
      <w:r>
        <w:rPr>
          <w:sz w:val="24"/>
        </w:rPr>
        <w:t>the</w:t>
      </w:r>
      <w:r>
        <w:rPr>
          <w:spacing w:val="-1"/>
          <w:sz w:val="24"/>
        </w:rPr>
        <w:t> </w:t>
      </w:r>
      <w:r>
        <w:rPr>
          <w:sz w:val="24"/>
        </w:rPr>
        <w:t>form</w:t>
      </w:r>
      <w:r>
        <w:rPr>
          <w:spacing w:val="-3"/>
          <w:sz w:val="24"/>
        </w:rPr>
        <w:t> </w:t>
      </w:r>
      <w:r>
        <w:rPr>
          <w:sz w:val="24"/>
        </w:rPr>
        <w:t>in</w:t>
      </w:r>
      <w:r>
        <w:rPr>
          <w:spacing w:val="-1"/>
          <w:sz w:val="24"/>
        </w:rPr>
        <w:t> </w:t>
      </w:r>
      <w:r>
        <w:rPr>
          <w:sz w:val="24"/>
        </w:rPr>
        <w:t>which the religious group envisages them, whereas the latter is a study of religions and religious thought from a broad point of view-the eternal quest of the spirit. it would not be practicable for a secular State with many religions to provide education in any one religion. It is, however, necessary for a multi-religious democratic State to promote a tolerant study of all religions so that its citizens can understand each other better and live amicably together. It must be remembered that, owing to the ban placed on religious instruction</w:t>
      </w:r>
      <w:r>
        <w:rPr>
          <w:spacing w:val="6"/>
          <w:sz w:val="24"/>
        </w:rPr>
        <w:t> </w:t>
      </w:r>
      <w:r>
        <w:rPr>
          <w:sz w:val="24"/>
        </w:rPr>
        <w:t>in</w:t>
      </w:r>
      <w:r>
        <w:rPr>
          <w:spacing w:val="7"/>
          <w:sz w:val="24"/>
        </w:rPr>
        <w:t> </w:t>
      </w:r>
      <w:r>
        <w:rPr>
          <w:sz w:val="24"/>
        </w:rPr>
        <w:t>schools</w:t>
      </w:r>
      <w:r>
        <w:rPr>
          <w:spacing w:val="7"/>
          <w:sz w:val="24"/>
        </w:rPr>
        <w:t> </w:t>
      </w:r>
      <w:r>
        <w:rPr>
          <w:sz w:val="24"/>
        </w:rPr>
        <w:t>and</w:t>
      </w:r>
      <w:r>
        <w:rPr>
          <w:spacing w:val="7"/>
          <w:sz w:val="24"/>
        </w:rPr>
        <w:t> </w:t>
      </w:r>
      <w:r>
        <w:rPr>
          <w:sz w:val="24"/>
        </w:rPr>
        <w:t>the</w:t>
      </w:r>
      <w:r>
        <w:rPr>
          <w:spacing w:val="6"/>
          <w:sz w:val="24"/>
        </w:rPr>
        <w:t> </w:t>
      </w:r>
      <w:r>
        <w:rPr>
          <w:sz w:val="24"/>
        </w:rPr>
        <w:t>weakening</w:t>
      </w:r>
      <w:r>
        <w:rPr>
          <w:spacing w:val="7"/>
          <w:sz w:val="24"/>
        </w:rPr>
        <w:t> </w:t>
      </w:r>
      <w:r>
        <w:rPr>
          <w:sz w:val="24"/>
        </w:rPr>
        <w:t>of</w:t>
      </w:r>
      <w:r>
        <w:rPr>
          <w:spacing w:val="7"/>
          <w:sz w:val="24"/>
        </w:rPr>
        <w:t> </w:t>
      </w:r>
      <w:r>
        <w:rPr>
          <w:sz w:val="24"/>
        </w:rPr>
        <w:t>the</w:t>
      </w:r>
      <w:r>
        <w:rPr>
          <w:spacing w:val="7"/>
          <w:sz w:val="24"/>
        </w:rPr>
        <w:t> </w:t>
      </w:r>
      <w:r>
        <w:rPr>
          <w:sz w:val="24"/>
        </w:rPr>
        <w:t>home</w:t>
      </w:r>
      <w:r>
        <w:rPr>
          <w:spacing w:val="7"/>
          <w:sz w:val="24"/>
        </w:rPr>
        <w:t> </w:t>
      </w:r>
      <w:r>
        <w:rPr>
          <w:sz w:val="24"/>
        </w:rPr>
        <w:t>influences</w:t>
      </w:r>
      <w:r>
        <w:rPr>
          <w:spacing w:val="6"/>
          <w:sz w:val="24"/>
        </w:rPr>
        <w:t> </w:t>
      </w:r>
      <w:r>
        <w:rPr>
          <w:sz w:val="24"/>
        </w:rPr>
        <w:t>which,</w:t>
      </w:r>
      <w:r>
        <w:rPr>
          <w:spacing w:val="7"/>
          <w:sz w:val="24"/>
        </w:rPr>
        <w:t> </w:t>
      </w:r>
      <w:r>
        <w:rPr>
          <w:sz w:val="24"/>
        </w:rPr>
        <w:t>in</w:t>
      </w:r>
      <w:r>
        <w:rPr>
          <w:spacing w:val="7"/>
          <w:sz w:val="24"/>
        </w:rPr>
        <w:t> </w:t>
      </w:r>
      <w:r>
        <w:rPr>
          <w:sz w:val="24"/>
        </w:rPr>
        <w:t>the</w:t>
      </w:r>
      <w:r>
        <w:rPr>
          <w:spacing w:val="7"/>
          <w:sz w:val="24"/>
        </w:rPr>
        <w:t> </w:t>
      </w:r>
      <w:r>
        <w:rPr>
          <w:sz w:val="24"/>
        </w:rPr>
        <w:t>past,</w:t>
      </w:r>
      <w:r>
        <w:rPr>
          <w:spacing w:val="7"/>
          <w:sz w:val="24"/>
        </w:rPr>
        <w:t> </w:t>
      </w:r>
      <w:r>
        <w:rPr>
          <w:spacing w:val="-2"/>
          <w:sz w:val="24"/>
        </w:rPr>
        <w:t>often</w:t>
      </w:r>
    </w:p>
    <w:p>
      <w:pPr>
        <w:spacing w:after="0" w:line="240" w:lineRule="auto"/>
        <w:jc w:val="both"/>
        <w:rPr>
          <w:sz w:val="24"/>
        </w:rPr>
        <w:sectPr>
          <w:pgSz w:w="12240" w:h="15840"/>
          <w:pgMar w:header="0" w:footer="743" w:top="1360" w:bottom="940" w:left="1640" w:right="1300"/>
        </w:sectPr>
      </w:pPr>
    </w:p>
    <w:p>
      <w:pPr>
        <w:pStyle w:val="BodyText"/>
        <w:spacing w:before="76"/>
        <w:ind w:left="160" w:right="493"/>
        <w:jc w:val="both"/>
      </w:pPr>
      <w:r>
        <w:rPr/>
        <w:t>provided such instruction, children are now growing up without any clear idea of their own religion and with no chance of learning about others. In fact, the general ignorance and misunderstanding in these matters are so widespread in the younger generation as to 'De fraught with great danger for the development of a democracy in which tolerance is rated high as a value. We suggest that a syllabus giving well-chosen information about each of the major religions should be included as a part of the course in citizenship or as part of the general education to be introduced in schools and colleges up to the first degree. It should highlight the fundamental similarities in the great religions of the world and the emphasis they place on the cultivation of certain broadly comparable moral and spiritual</w:t>
      </w:r>
      <w:r>
        <w:rPr>
          <w:spacing w:val="-1"/>
        </w:rPr>
        <w:t> </w:t>
      </w:r>
      <w:r>
        <w:rPr/>
        <w:t>values.</w:t>
      </w:r>
      <w:r>
        <w:rPr>
          <w:spacing w:val="-1"/>
        </w:rPr>
        <w:t> </w:t>
      </w:r>
      <w:r>
        <w:rPr/>
        <w:t>It</w:t>
      </w:r>
      <w:r>
        <w:rPr>
          <w:spacing w:val="-1"/>
        </w:rPr>
        <w:t> </w:t>
      </w:r>
      <w:r>
        <w:rPr/>
        <w:t>would</w:t>
      </w:r>
      <w:r>
        <w:rPr>
          <w:spacing w:val="-1"/>
        </w:rPr>
        <w:t> </w:t>
      </w:r>
      <w:r>
        <w:rPr/>
        <w:t>be</w:t>
      </w:r>
      <w:r>
        <w:rPr>
          <w:spacing w:val="-1"/>
        </w:rPr>
        <w:t> </w:t>
      </w:r>
      <w:r>
        <w:rPr/>
        <w:t>a</w:t>
      </w:r>
      <w:r>
        <w:rPr>
          <w:spacing w:val="-1"/>
        </w:rPr>
        <w:t> </w:t>
      </w:r>
      <w:r>
        <w:rPr/>
        <w:t>great</w:t>
      </w:r>
      <w:r>
        <w:rPr>
          <w:spacing w:val="-1"/>
        </w:rPr>
        <w:t> </w:t>
      </w:r>
      <w:r>
        <w:rPr/>
        <w:t>advantage</w:t>
      </w:r>
      <w:r>
        <w:rPr>
          <w:spacing w:val="-1"/>
        </w:rPr>
        <w:t> </w:t>
      </w:r>
      <w:r>
        <w:rPr/>
        <w:t>to</w:t>
      </w:r>
      <w:r>
        <w:rPr>
          <w:spacing w:val="-1"/>
        </w:rPr>
        <w:t> </w:t>
      </w:r>
      <w:r>
        <w:rPr/>
        <w:t>have</w:t>
      </w:r>
      <w:r>
        <w:rPr>
          <w:spacing w:val="-1"/>
        </w:rPr>
        <w:t> </w:t>
      </w:r>
      <w:r>
        <w:rPr/>
        <w:t>a</w:t>
      </w:r>
      <w:r>
        <w:rPr>
          <w:spacing w:val="-1"/>
        </w:rPr>
        <w:t> </w:t>
      </w:r>
      <w:r>
        <w:rPr/>
        <w:t>common</w:t>
      </w:r>
      <w:r>
        <w:rPr>
          <w:spacing w:val="-1"/>
        </w:rPr>
        <w:t> </w:t>
      </w:r>
      <w:r>
        <w:rPr/>
        <w:t>course</w:t>
      </w:r>
      <w:r>
        <w:rPr>
          <w:spacing w:val="-1"/>
        </w:rPr>
        <w:t> </w:t>
      </w:r>
      <w:r>
        <w:rPr/>
        <w:t>on</w:t>
      </w:r>
      <w:r>
        <w:rPr>
          <w:spacing w:val="-1"/>
        </w:rPr>
        <w:t> </w:t>
      </w:r>
      <w:r>
        <w:rPr/>
        <w:t>this</w:t>
      </w:r>
      <w:r>
        <w:rPr>
          <w:spacing w:val="-1"/>
        </w:rPr>
        <w:t> </w:t>
      </w:r>
      <w:r>
        <w:rPr/>
        <w:t>subject</w:t>
      </w:r>
      <w:r>
        <w:rPr>
          <w:spacing w:val="-1"/>
        </w:rPr>
        <w:t> </w:t>
      </w:r>
      <w:r>
        <w:rPr/>
        <w:t>in all parts of the country and common textbooks which should be prepared at the national level by competent and suitable experts on each religion. When these courses have been prepared, it would be worth while to have them scrutinized by a small committee of eminent persons belonging to different religions to ensure that nothing is included in</w:t>
      </w:r>
      <w:r>
        <w:rPr>
          <w:spacing w:val="40"/>
        </w:rPr>
        <w:t> </w:t>
      </w:r>
      <w:r>
        <w:rPr/>
        <w:t>them to which any religious group could take legitimate objection.</w:t>
      </w:r>
    </w:p>
    <w:p>
      <w:pPr>
        <w:pStyle w:val="BodyText"/>
        <w:spacing w:before="4"/>
      </w:pPr>
    </w:p>
    <w:p>
      <w:pPr>
        <w:pStyle w:val="ListParagraph"/>
        <w:numPr>
          <w:ilvl w:val="1"/>
          <w:numId w:val="12"/>
        </w:numPr>
        <w:tabs>
          <w:tab w:pos="660" w:val="left" w:leader="none"/>
        </w:tabs>
        <w:spacing w:line="240" w:lineRule="auto" w:before="0" w:after="0"/>
        <w:ind w:left="160" w:right="496" w:firstLine="0"/>
        <w:jc w:val="both"/>
        <w:rPr>
          <w:sz w:val="24"/>
        </w:rPr>
      </w:pPr>
      <w:r>
        <w:rPr>
          <w:sz w:val="24"/>
        </w:rPr>
        <w:t>A vitalized study of science with its emphasis on open- mindedness, tolerance and objectivity would inevitably lead to the development of a more secular outlook, in the sense in which we use the word, amongst those who profess different religions. This process needs to be carefully and wisely encouraged. Simultaneously, there is a sense in which the walls between the secular and the spiritual are tending to break down and what is secular is seen to have spiritual roots. In the words of Dr. Iqbal, 'the spirit finds its opportunity in the material, the natural and the secular. All that is secular is, therefore, sacred in the roots of its being'. This is what we envisage as the direction of our future development. We believe that India should strive to bring science and the values of the spirit together and in harmony, and thereby pave the way for the eventual emergence of a society which would cater to the needs of the whole man and not only to a particular fragment of his personality.</w:t>
      </w:r>
    </w:p>
    <w:p>
      <w:pPr>
        <w:pStyle w:val="BodyText"/>
        <w:spacing w:before="7"/>
      </w:pPr>
    </w:p>
    <w:p>
      <w:pPr>
        <w:pStyle w:val="Heading1"/>
        <w:ind w:left="291"/>
      </w:pPr>
      <w:bookmarkStart w:name="_TOC_250017" w:id="12"/>
      <w:r>
        <w:rPr/>
        <w:t>A</w:t>
      </w:r>
      <w:r>
        <w:rPr>
          <w:spacing w:val="-3"/>
        </w:rPr>
        <w:t> </w:t>
      </w:r>
      <w:r>
        <w:rPr/>
        <w:t>CHALLENGE</w:t>
      </w:r>
      <w:r>
        <w:rPr>
          <w:spacing w:val="-3"/>
        </w:rPr>
        <w:t> </w:t>
      </w:r>
      <w:r>
        <w:rPr/>
        <w:t>AND</w:t>
      </w:r>
      <w:r>
        <w:rPr>
          <w:spacing w:val="-3"/>
        </w:rPr>
        <w:t> </w:t>
      </w:r>
      <w:r>
        <w:rPr/>
        <w:t>A</w:t>
      </w:r>
      <w:r>
        <w:rPr>
          <w:spacing w:val="-3"/>
        </w:rPr>
        <w:t> </w:t>
      </w:r>
      <w:bookmarkEnd w:id="12"/>
      <w:r>
        <w:rPr>
          <w:spacing w:val="-4"/>
        </w:rPr>
        <w:t>FAITH</w:t>
      </w:r>
    </w:p>
    <w:p>
      <w:pPr>
        <w:pStyle w:val="BodyText"/>
        <w:spacing w:before="2"/>
        <w:rPr>
          <w:b/>
        </w:rPr>
      </w:pPr>
    </w:p>
    <w:p>
      <w:pPr>
        <w:pStyle w:val="ListParagraph"/>
        <w:numPr>
          <w:ilvl w:val="1"/>
          <w:numId w:val="12"/>
        </w:numPr>
        <w:tabs>
          <w:tab w:pos="668" w:val="left" w:leader="none"/>
        </w:tabs>
        <w:spacing w:line="240" w:lineRule="auto" w:before="0" w:after="0"/>
        <w:ind w:left="160" w:right="497" w:firstLine="0"/>
        <w:jc w:val="both"/>
        <w:rPr>
          <w:sz w:val="24"/>
        </w:rPr>
      </w:pPr>
      <w:r>
        <w:rPr>
          <w:sz w:val="24"/>
        </w:rPr>
        <w:t>India is on the move again-with the promise of a new renaissance in the making. After a long period of foreign rule she has emerged into freedom. That her means for the winning of freedom, adopted under Gandhi and Nehru, were as noble as the ends, is a signpost of profound historical significance.</w:t>
      </w:r>
    </w:p>
    <w:p>
      <w:pPr>
        <w:pStyle w:val="BodyText"/>
        <w:spacing w:before="4"/>
      </w:pPr>
    </w:p>
    <w:p>
      <w:pPr>
        <w:pStyle w:val="ListParagraph"/>
        <w:numPr>
          <w:ilvl w:val="1"/>
          <w:numId w:val="12"/>
        </w:numPr>
        <w:tabs>
          <w:tab w:pos="702" w:val="left" w:leader="none"/>
        </w:tabs>
        <w:spacing w:line="240" w:lineRule="auto" w:before="0" w:after="0"/>
        <w:ind w:left="160" w:right="496" w:firstLine="0"/>
        <w:jc w:val="both"/>
        <w:rPr>
          <w:sz w:val="24"/>
        </w:rPr>
      </w:pPr>
      <w:r>
        <w:rPr>
          <w:sz w:val="24"/>
        </w:rPr>
        <w:t>Politically the land is free, but economically she has a long, way to go. The elimination of ignorance and of grinding poverty accumulated over centuries of inertia and exploitation is not an easy task. India today has half of the total illiterate population of the world. About fifty million of her people, a tenth of the total population, live on an yearly income of no more than Rs. 120. The problems are grave and immense. But this is only one side of the picture. During recent, years, great strides have been taken towards industrialization, towards modernization of agriculture, and to provide better health and life to the people.</w:t>
      </w:r>
    </w:p>
    <w:p>
      <w:pPr>
        <w:spacing w:after="0" w:line="240" w:lineRule="auto"/>
        <w:jc w:val="both"/>
        <w:rPr>
          <w:sz w:val="24"/>
        </w:rPr>
        <w:sectPr>
          <w:pgSz w:w="12240" w:h="15840"/>
          <w:pgMar w:header="0" w:footer="743" w:top="1360" w:bottom="940" w:left="1640" w:right="1300"/>
        </w:sectPr>
      </w:pPr>
    </w:p>
    <w:p>
      <w:pPr>
        <w:pStyle w:val="ListParagraph"/>
        <w:numPr>
          <w:ilvl w:val="1"/>
          <w:numId w:val="12"/>
        </w:numPr>
        <w:tabs>
          <w:tab w:pos="693" w:val="left" w:leader="none"/>
        </w:tabs>
        <w:spacing w:line="240" w:lineRule="auto" w:before="76" w:after="0"/>
        <w:ind w:left="160" w:right="496" w:firstLine="0"/>
        <w:jc w:val="both"/>
        <w:rPr>
          <w:sz w:val="24"/>
        </w:rPr>
      </w:pPr>
      <w:r>
        <w:rPr>
          <w:sz w:val="24"/>
        </w:rPr>
        <w:t>The most powerful tool in the process of modernization is education based on science and technology. The one great lesson of the present age of science is that, with determination and the willingness to put in hard work, prosperity' within the reach of any nation which has a stable and progressive government. There is no doubt that in the years to come India's trade and commerce will grow: there will be more food for all, more education, better health; and a reasonable standard of living will be available. But India's contribution can and should be far more than these material gains. She should learn to harness science but she must also learn not to be dominated by science. In this respect India has a unique advantage with her great tradition of duty without self-involvement unacquisitive temperament tolerance, and innate love of peace and reverence for all</w:t>
      </w:r>
      <w:r>
        <w:rPr>
          <w:spacing w:val="80"/>
          <w:sz w:val="24"/>
        </w:rPr>
        <w:t> </w:t>
      </w:r>
      <w:r>
        <w:rPr>
          <w:sz w:val="24"/>
        </w:rPr>
        <w:t>living things. Too often are these precious assets forgotten and we tend to relapse into moods of pessimism, fears and forebodings, discord and destructive criticism. A new pride and a deeper faith expressed in living for the noble ideals of peace and freedom, truth and compassion, are now needed.</w:t>
      </w:r>
    </w:p>
    <w:p>
      <w:pPr>
        <w:pStyle w:val="BodyText"/>
        <w:spacing w:before="4"/>
      </w:pPr>
    </w:p>
    <w:p>
      <w:pPr>
        <w:pStyle w:val="ListParagraph"/>
        <w:numPr>
          <w:ilvl w:val="1"/>
          <w:numId w:val="12"/>
        </w:numPr>
        <w:tabs>
          <w:tab w:pos="672" w:val="left" w:leader="none"/>
        </w:tabs>
        <w:spacing w:line="240" w:lineRule="auto" w:before="0" w:after="0"/>
        <w:ind w:left="160" w:right="495" w:firstLine="0"/>
        <w:jc w:val="both"/>
        <w:rPr>
          <w:sz w:val="24"/>
        </w:rPr>
      </w:pPr>
      <w:r>
        <w:rPr>
          <w:sz w:val="24"/>
        </w:rPr>
        <w:t>In our efforts to go in a big way for science-based industrialization, we have the advantage</w:t>
      </w:r>
      <w:r>
        <w:rPr>
          <w:spacing w:val="-1"/>
          <w:sz w:val="24"/>
        </w:rPr>
        <w:t> </w:t>
      </w:r>
      <w:r>
        <w:rPr>
          <w:sz w:val="24"/>
        </w:rPr>
        <w:t>of</w:t>
      </w:r>
      <w:r>
        <w:rPr>
          <w:spacing w:val="-2"/>
          <w:sz w:val="24"/>
        </w:rPr>
        <w:t> </w:t>
      </w:r>
      <w:r>
        <w:rPr>
          <w:sz w:val="24"/>
        </w:rPr>
        <w:t>drawing</w:t>
      </w:r>
      <w:r>
        <w:rPr>
          <w:spacing w:val="-1"/>
          <w:sz w:val="24"/>
        </w:rPr>
        <w:t> </w:t>
      </w:r>
      <w:r>
        <w:rPr>
          <w:sz w:val="24"/>
        </w:rPr>
        <w:t>upon</w:t>
      </w:r>
      <w:r>
        <w:rPr>
          <w:spacing w:val="-1"/>
          <w:sz w:val="24"/>
        </w:rPr>
        <w:t> </w:t>
      </w:r>
      <w:r>
        <w:rPr>
          <w:sz w:val="24"/>
        </w:rPr>
        <w:t>a</w:t>
      </w:r>
      <w:r>
        <w:rPr>
          <w:spacing w:val="-1"/>
          <w:sz w:val="24"/>
        </w:rPr>
        <w:t> </w:t>
      </w:r>
      <w:r>
        <w:rPr>
          <w:sz w:val="24"/>
        </w:rPr>
        <w:t>great</w:t>
      </w:r>
      <w:r>
        <w:rPr>
          <w:spacing w:val="-1"/>
          <w:sz w:val="24"/>
        </w:rPr>
        <w:t> </w:t>
      </w:r>
      <w:r>
        <w:rPr>
          <w:sz w:val="24"/>
        </w:rPr>
        <w:t>stock</w:t>
      </w:r>
      <w:r>
        <w:rPr>
          <w:spacing w:val="-1"/>
          <w:sz w:val="24"/>
        </w:rPr>
        <w:t> </w:t>
      </w:r>
      <w:r>
        <w:rPr>
          <w:sz w:val="24"/>
        </w:rPr>
        <w:t>of</w:t>
      </w:r>
      <w:r>
        <w:rPr>
          <w:spacing w:val="-3"/>
          <w:sz w:val="24"/>
        </w:rPr>
        <w:t> </w:t>
      </w:r>
      <w:r>
        <w:rPr>
          <w:sz w:val="24"/>
        </w:rPr>
        <w:t>knowledge</w:t>
      </w:r>
      <w:r>
        <w:rPr>
          <w:spacing w:val="-1"/>
          <w:sz w:val="24"/>
        </w:rPr>
        <w:t> </w:t>
      </w:r>
      <w:r>
        <w:rPr>
          <w:sz w:val="24"/>
        </w:rPr>
        <w:t>accumulated</w:t>
      </w:r>
      <w:r>
        <w:rPr>
          <w:spacing w:val="-1"/>
          <w:sz w:val="24"/>
        </w:rPr>
        <w:t> </w:t>
      </w:r>
      <w:r>
        <w:rPr>
          <w:sz w:val="24"/>
        </w:rPr>
        <w:t>by</w:t>
      </w:r>
      <w:r>
        <w:rPr>
          <w:spacing w:val="-1"/>
          <w:sz w:val="24"/>
        </w:rPr>
        <w:t> </w:t>
      </w:r>
      <w:r>
        <w:rPr>
          <w:sz w:val="24"/>
        </w:rPr>
        <w:t>the</w:t>
      </w:r>
      <w:r>
        <w:rPr>
          <w:spacing w:val="-1"/>
          <w:sz w:val="24"/>
        </w:rPr>
        <w:t> </w:t>
      </w:r>
      <w:r>
        <w:rPr>
          <w:sz w:val="24"/>
        </w:rPr>
        <w:t>western</w:t>
      </w:r>
      <w:r>
        <w:rPr>
          <w:spacing w:val="-1"/>
          <w:sz w:val="24"/>
        </w:rPr>
        <w:t> </w:t>
      </w:r>
      <w:r>
        <w:rPr>
          <w:sz w:val="24"/>
        </w:rPr>
        <w:t>world over the last two hundred years. We also have another lesson to learn. The industrialization of the West was in some ways brought about at no small cost to </w:t>
      </w:r>
      <w:r>
        <w:rPr>
          <w:sz w:val="24"/>
        </w:rPr>
        <w:t>the human spirit. The two world wars resulting in human killing on an unprecedented scale are a grim reminder of that suffering of the spirit. If we learn the lesson right, we can harness science to support rather than weaken our basic commitment to cultural and spiritual values. It should be our goal and obligation to re- interpret, and raise to a new level of understanding, the Insight gained by the ancient seers as regards the fundamental problems of life which in some ways is unique and 'represents the quintessence of</w:t>
      </w:r>
      <w:r>
        <w:rPr>
          <w:spacing w:val="80"/>
          <w:sz w:val="24"/>
        </w:rPr>
        <w:t> </w:t>
      </w:r>
      <w:r>
        <w:rPr>
          <w:sz w:val="24"/>
        </w:rPr>
        <w:t>deepest insight into the happenings of the world'.</w:t>
      </w:r>
      <w:r>
        <w:rPr>
          <w:b/>
          <w:sz w:val="24"/>
          <w:vertAlign w:val="superscript"/>
        </w:rPr>
        <w:t>11</w:t>
      </w:r>
    </w:p>
    <w:p>
      <w:pPr>
        <w:pStyle w:val="BodyText"/>
        <w:spacing w:before="4"/>
        <w:rPr>
          <w:b/>
        </w:rPr>
      </w:pPr>
    </w:p>
    <w:p>
      <w:pPr>
        <w:pStyle w:val="ListParagraph"/>
        <w:numPr>
          <w:ilvl w:val="1"/>
          <w:numId w:val="12"/>
        </w:numPr>
        <w:tabs>
          <w:tab w:pos="652" w:val="left" w:leader="none"/>
        </w:tabs>
        <w:spacing w:line="240" w:lineRule="auto" w:before="0" w:after="0"/>
        <w:ind w:left="159" w:right="498" w:firstLine="0"/>
        <w:jc w:val="both"/>
        <w:rPr>
          <w:sz w:val="24"/>
        </w:rPr>
      </w:pPr>
      <w:r>
        <w:rPr>
          <w:sz w:val="24"/>
        </w:rPr>
        <w:t>The opening stanza of the Kena Upanishad is as challenging today to the scientific and seeking mind as it was thousands of years ago:</w:t>
      </w:r>
    </w:p>
    <w:p>
      <w:pPr>
        <w:pStyle w:val="BodyText"/>
        <w:spacing w:line="477" w:lineRule="auto" w:before="266"/>
        <w:ind w:left="2320" w:right="4900"/>
        <w:rPr>
          <w:rFonts w:ascii="Arial MT"/>
        </w:rPr>
      </w:pPr>
      <w:r>
        <w:rPr>
          <w:rFonts w:ascii="Arial MT"/>
          <w:w w:val="50"/>
        </w:rPr>
        <w:t>konaoiYatM</w:t>
      </w:r>
      <w:r>
        <w:rPr>
          <w:rFonts w:ascii="Arial MT"/>
          <w:spacing w:val="-11"/>
          <w:w w:val="95"/>
        </w:rPr>
        <w:t> </w:t>
      </w:r>
      <w:r>
        <w:rPr>
          <w:rFonts w:ascii="Arial MT"/>
          <w:w w:val="95"/>
        </w:rPr>
        <w:t>ptit</w:t>
      </w:r>
      <w:r>
        <w:rPr>
          <w:rFonts w:ascii="Arial MT"/>
          <w:spacing w:val="-11"/>
          <w:w w:val="95"/>
        </w:rPr>
        <w:t> </w:t>
      </w:r>
      <w:r>
        <w:rPr>
          <w:rFonts w:ascii="Arial MT"/>
          <w:w w:val="50"/>
        </w:rPr>
        <w:t>p`-iYtM</w:t>
      </w:r>
      <w:r>
        <w:rPr>
          <w:rFonts w:ascii="Arial MT"/>
          <w:spacing w:val="-15"/>
        </w:rPr>
        <w:t> </w:t>
      </w:r>
      <w:r>
        <w:rPr>
          <w:rFonts w:ascii="Arial MT"/>
          <w:w w:val="50"/>
        </w:rPr>
        <w:t>mana:I</w:t>
      </w:r>
      <w:r>
        <w:rPr>
          <w:rFonts w:ascii="Arial MT"/>
        </w:rPr>
        <w:t> </w:t>
      </w:r>
      <w:r>
        <w:rPr>
          <w:rFonts w:ascii="Arial MT"/>
          <w:spacing w:val="-2"/>
          <w:w w:val="50"/>
        </w:rPr>
        <w:t>kona</w:t>
      </w:r>
      <w:r>
        <w:rPr>
          <w:rFonts w:ascii="Arial MT"/>
          <w:spacing w:val="-15"/>
        </w:rPr>
        <w:t> </w:t>
      </w:r>
      <w:r>
        <w:rPr>
          <w:rFonts w:ascii="Arial MT"/>
          <w:spacing w:val="-2"/>
          <w:w w:val="50"/>
        </w:rPr>
        <w:t>p`aNa:</w:t>
      </w:r>
      <w:r>
        <w:rPr>
          <w:rFonts w:ascii="Arial MT"/>
          <w:spacing w:val="-14"/>
        </w:rPr>
        <w:t> </w:t>
      </w:r>
      <w:r>
        <w:rPr>
          <w:rFonts w:ascii="Arial MT"/>
          <w:spacing w:val="-2"/>
          <w:w w:val="50"/>
        </w:rPr>
        <w:t>p`qama:</w:t>
      </w:r>
      <w:r>
        <w:rPr>
          <w:rFonts w:ascii="Arial MT"/>
          <w:spacing w:val="-15"/>
        </w:rPr>
        <w:t> </w:t>
      </w:r>
      <w:r>
        <w:rPr>
          <w:rFonts w:ascii="Arial MT"/>
          <w:spacing w:val="-2"/>
          <w:w w:val="50"/>
        </w:rPr>
        <w:t>p`Oit</w:t>
      </w:r>
      <w:r>
        <w:rPr>
          <w:rFonts w:ascii="Arial MT"/>
          <w:spacing w:val="-14"/>
        </w:rPr>
        <w:t> </w:t>
      </w:r>
      <w:r>
        <w:rPr>
          <w:rFonts w:ascii="Arial MT"/>
          <w:spacing w:val="-2"/>
          <w:w w:val="50"/>
        </w:rPr>
        <w:t>yau@t:I</w:t>
      </w:r>
      <w:r>
        <w:rPr>
          <w:rFonts w:ascii="Arial MT"/>
        </w:rPr>
        <w:t> </w:t>
      </w:r>
      <w:r>
        <w:rPr>
          <w:rFonts w:ascii="Arial MT"/>
          <w:w w:val="45"/>
        </w:rPr>
        <w:t>konaoiYataM</w:t>
      </w:r>
      <w:r>
        <w:rPr>
          <w:rFonts w:ascii="Arial MT"/>
          <w:spacing w:val="-9"/>
        </w:rPr>
        <w:t> </w:t>
      </w:r>
      <w:r>
        <w:rPr>
          <w:rFonts w:ascii="Arial MT"/>
          <w:w w:val="45"/>
        </w:rPr>
        <w:t>vaacaaimamaaM</w:t>
      </w:r>
      <w:r>
        <w:rPr>
          <w:rFonts w:ascii="Arial MT"/>
          <w:spacing w:val="-9"/>
        </w:rPr>
        <w:t> </w:t>
      </w:r>
      <w:r>
        <w:rPr>
          <w:rFonts w:ascii="Arial MT"/>
          <w:w w:val="45"/>
        </w:rPr>
        <w:t>vadintI</w:t>
      </w:r>
    </w:p>
    <w:p>
      <w:pPr>
        <w:pStyle w:val="BodyText"/>
        <w:spacing w:line="272" w:lineRule="exact"/>
        <w:ind w:left="2320"/>
        <w:rPr>
          <w:rFonts w:ascii="Arial MT"/>
        </w:rPr>
      </w:pPr>
      <w:r>
        <w:rPr>
          <w:rFonts w:ascii="Arial MT"/>
          <w:w w:val="50"/>
        </w:rPr>
        <w:t>caxau:</w:t>
      </w:r>
      <w:r>
        <w:rPr>
          <w:rFonts w:ascii="Arial MT"/>
          <w:spacing w:val="-1"/>
        </w:rPr>
        <w:t> </w:t>
      </w:r>
      <w:r>
        <w:rPr>
          <w:rFonts w:ascii="Arial MT"/>
          <w:w w:val="50"/>
        </w:rPr>
        <w:t>Eaao~</w:t>
      </w:r>
      <w:r>
        <w:rPr>
          <w:rFonts w:ascii="Arial MT"/>
          <w:spacing w:val="-1"/>
        </w:rPr>
        <w:t> </w:t>
      </w:r>
      <w:r>
        <w:rPr>
          <w:rFonts w:ascii="Arial MT"/>
          <w:w w:val="50"/>
        </w:rPr>
        <w:t>k</w:t>
      </w:r>
      <w:r>
        <w:rPr>
          <w:rFonts w:ascii="Arial MT"/>
        </w:rPr>
        <w:t> </w:t>
      </w:r>
      <w:r>
        <w:rPr>
          <w:rFonts w:ascii="Arial MT"/>
          <w:w w:val="50"/>
        </w:rPr>
        <w:t>]</w:t>
      </w:r>
      <w:r>
        <w:rPr>
          <w:rFonts w:ascii="Arial MT"/>
          <w:spacing w:val="-1"/>
        </w:rPr>
        <w:t> </w:t>
      </w:r>
      <w:r>
        <w:rPr>
          <w:rFonts w:ascii="Arial MT"/>
          <w:spacing w:val="-2"/>
          <w:w w:val="50"/>
        </w:rPr>
        <w:t>dovaaoyaunai@tII</w:t>
      </w:r>
    </w:p>
    <w:p>
      <w:pPr>
        <w:pStyle w:val="BodyText"/>
        <w:spacing w:before="10"/>
        <w:rPr>
          <w:rFonts w:ascii="Arial MT"/>
        </w:rPr>
      </w:pPr>
    </w:p>
    <w:p>
      <w:pPr>
        <w:pStyle w:val="BodyText"/>
        <w:ind w:left="159" w:right="496"/>
        <w:jc w:val="both"/>
        <w:rPr>
          <w:b/>
        </w:rPr>
      </w:pPr>
      <w:r>
        <w:rPr/>
        <w:t>By whom missioned falls the mind-shot to its mark? By whom yoked does the first life- breath move forward on its paths? By whom</w:t>
      </w:r>
      <w:r>
        <w:rPr>
          <w:spacing w:val="-2"/>
        </w:rPr>
        <w:t> </w:t>
      </w:r>
      <w:r>
        <w:rPr/>
        <w:t>impelled is this word that men speak ? What god set eye and car to their workings ?'.</w:t>
      </w:r>
      <w:r>
        <w:rPr>
          <w:b/>
          <w:vertAlign w:val="superscript"/>
        </w:rPr>
        <w:t>12</w:t>
      </w:r>
    </w:p>
    <w:p>
      <w:pPr>
        <w:spacing w:line="247" w:lineRule="auto" w:before="247"/>
        <w:ind w:left="160" w:right="495" w:firstLine="0"/>
        <w:jc w:val="both"/>
        <w:rPr>
          <w:sz w:val="20"/>
        </w:rPr>
      </w:pPr>
      <w:r>
        <w:rPr>
          <w:b/>
          <w:position w:val="11"/>
          <w:sz w:val="16"/>
        </w:rPr>
        <w:t>11</w:t>
      </w:r>
      <w:r>
        <w:rPr>
          <w:sz w:val="20"/>
        </w:rPr>
        <w:t>E. Schroedinger, What is Life, Cambridge University, 1944, </w:t>
      </w:r>
      <w:r>
        <w:rPr>
          <w:b/>
          <w:sz w:val="20"/>
          <w:vertAlign w:val="superscript"/>
        </w:rPr>
        <w:t>12</w:t>
      </w:r>
      <w:r>
        <w:rPr>
          <w:sz w:val="20"/>
          <w:vertAlign w:val="baseline"/>
        </w:rPr>
        <w:t>Kena Upanishad, translated by Sri Aurobindo, Sri Aurobindo Ashram, Pondicherry, 1952.</w:t>
      </w:r>
    </w:p>
    <w:p>
      <w:pPr>
        <w:spacing w:after="0" w:line="247" w:lineRule="auto"/>
        <w:jc w:val="both"/>
        <w:rPr>
          <w:sz w:val="20"/>
        </w:rPr>
        <w:sectPr>
          <w:pgSz w:w="12240" w:h="15840"/>
          <w:pgMar w:header="0" w:footer="743" w:top="1360" w:bottom="940" w:left="1640" w:right="1300"/>
        </w:sectPr>
      </w:pPr>
    </w:p>
    <w:p>
      <w:pPr>
        <w:pStyle w:val="ListParagraph"/>
        <w:numPr>
          <w:ilvl w:val="1"/>
          <w:numId w:val="12"/>
        </w:numPr>
        <w:tabs>
          <w:tab w:pos="646" w:val="left" w:leader="none"/>
        </w:tabs>
        <w:spacing w:line="240" w:lineRule="auto" w:before="76" w:after="0"/>
        <w:ind w:left="159" w:right="496" w:firstLine="0"/>
        <w:jc w:val="both"/>
        <w:rPr>
          <w:sz w:val="24"/>
        </w:rPr>
      </w:pPr>
      <w:r>
        <w:rPr>
          <w:sz w:val="24"/>
        </w:rPr>
        <w:t>Man's knowledge and mastery of outer space and of his own self are out of balance. It is this imbalance which mankind must seek to redress. Man now faces himself. He</w:t>
      </w:r>
      <w:r>
        <w:rPr>
          <w:spacing w:val="40"/>
          <w:sz w:val="24"/>
        </w:rPr>
        <w:t> </w:t>
      </w:r>
      <w:r>
        <w:rPr>
          <w:sz w:val="24"/>
        </w:rPr>
        <w:t>faces the choice of rolling down a nuclear abyss to ruin and annihilation or of raising himself to new heights of glory and fulfilment yet unimagined. India has made many glorious contributions to world culture, and perhaps the grandest of them all is the</w:t>
      </w:r>
      <w:r>
        <w:rPr>
          <w:spacing w:val="40"/>
          <w:sz w:val="24"/>
        </w:rPr>
        <w:t> </w:t>
      </w:r>
      <w:r>
        <w:rPr>
          <w:sz w:val="24"/>
        </w:rPr>
        <w:t>concept and ideal of non-violence and compassion, sought, expounded and lived </w:t>
      </w:r>
      <w:r>
        <w:rPr>
          <w:sz w:val="24"/>
        </w:rPr>
        <w:t>by Buddha and Mahavira, Nanak and Kabir, and in our own times by Vivekananda, Ramana Maharishi and Gandhi, and which millions have striven to follow after them.</w:t>
      </w:r>
    </w:p>
    <w:p>
      <w:pPr>
        <w:pStyle w:val="BodyText"/>
        <w:spacing w:before="4"/>
      </w:pPr>
    </w:p>
    <w:p>
      <w:pPr>
        <w:pStyle w:val="ListParagraph"/>
        <w:numPr>
          <w:ilvl w:val="1"/>
          <w:numId w:val="12"/>
        </w:numPr>
        <w:tabs>
          <w:tab w:pos="706" w:val="left" w:leader="none"/>
        </w:tabs>
        <w:spacing w:line="240" w:lineRule="auto" w:before="0" w:after="0"/>
        <w:ind w:left="159" w:right="495" w:firstLine="0"/>
        <w:jc w:val="both"/>
        <w:rPr>
          <w:sz w:val="24"/>
        </w:rPr>
      </w:pPr>
      <w:r>
        <w:rPr>
          <w:sz w:val="24"/>
        </w:rPr>
        <w:t>The greatest contribution of Europe doubtlessly is the scientific revolution. If science</w:t>
      </w:r>
      <w:r>
        <w:rPr>
          <w:spacing w:val="-1"/>
          <w:sz w:val="24"/>
        </w:rPr>
        <w:t> </w:t>
      </w:r>
      <w:r>
        <w:rPr>
          <w:sz w:val="24"/>
        </w:rPr>
        <w:t>and</w:t>
      </w:r>
      <w:r>
        <w:rPr>
          <w:spacing w:val="-1"/>
          <w:sz w:val="24"/>
        </w:rPr>
        <w:t> </w:t>
      </w:r>
      <w:r>
        <w:rPr>
          <w:sz w:val="24"/>
        </w:rPr>
        <w:t>ahimsa</w:t>
      </w:r>
      <w:r>
        <w:rPr>
          <w:spacing w:val="-1"/>
          <w:sz w:val="24"/>
        </w:rPr>
        <w:t> </w:t>
      </w:r>
      <w:r>
        <w:rPr>
          <w:sz w:val="24"/>
        </w:rPr>
        <w:t>join</w:t>
      </w:r>
      <w:r>
        <w:rPr>
          <w:spacing w:val="-1"/>
          <w:sz w:val="24"/>
        </w:rPr>
        <w:t> </w:t>
      </w:r>
      <w:r>
        <w:rPr>
          <w:sz w:val="24"/>
        </w:rPr>
        <w:t>together</w:t>
      </w:r>
      <w:r>
        <w:rPr>
          <w:spacing w:val="-1"/>
          <w:sz w:val="24"/>
        </w:rPr>
        <w:t> </w:t>
      </w:r>
      <w:r>
        <w:rPr>
          <w:sz w:val="24"/>
        </w:rPr>
        <w:t>in</w:t>
      </w:r>
      <w:r>
        <w:rPr>
          <w:spacing w:val="-1"/>
          <w:sz w:val="24"/>
        </w:rPr>
        <w:t> </w:t>
      </w:r>
      <w:r>
        <w:rPr>
          <w:sz w:val="24"/>
        </w:rPr>
        <w:t>a</w:t>
      </w:r>
      <w:r>
        <w:rPr>
          <w:spacing w:val="-2"/>
          <w:sz w:val="24"/>
        </w:rPr>
        <w:t> </w:t>
      </w:r>
      <w:r>
        <w:rPr>
          <w:sz w:val="24"/>
        </w:rPr>
        <w:t>creative</w:t>
      </w:r>
      <w:r>
        <w:rPr>
          <w:spacing w:val="-1"/>
          <w:sz w:val="24"/>
        </w:rPr>
        <w:t> </w:t>
      </w:r>
      <w:r>
        <w:rPr>
          <w:sz w:val="24"/>
        </w:rPr>
        <w:t>synthesis</w:t>
      </w:r>
      <w:r>
        <w:rPr>
          <w:spacing w:val="-1"/>
          <w:sz w:val="24"/>
        </w:rPr>
        <w:t> </w:t>
      </w:r>
      <w:r>
        <w:rPr>
          <w:sz w:val="24"/>
        </w:rPr>
        <w:t>of</w:t>
      </w:r>
      <w:r>
        <w:rPr>
          <w:spacing w:val="-2"/>
          <w:sz w:val="24"/>
        </w:rPr>
        <w:t> </w:t>
      </w:r>
      <w:r>
        <w:rPr>
          <w:sz w:val="24"/>
        </w:rPr>
        <w:t>belief</w:t>
      </w:r>
      <w:r>
        <w:rPr>
          <w:spacing w:val="-2"/>
          <w:sz w:val="24"/>
        </w:rPr>
        <w:t> </w:t>
      </w:r>
      <w:r>
        <w:rPr>
          <w:sz w:val="24"/>
        </w:rPr>
        <w:t>and</w:t>
      </w:r>
      <w:r>
        <w:rPr>
          <w:spacing w:val="-1"/>
          <w:sz w:val="24"/>
        </w:rPr>
        <w:t> </w:t>
      </w:r>
      <w:r>
        <w:rPr>
          <w:sz w:val="24"/>
        </w:rPr>
        <w:t>action,</w:t>
      </w:r>
      <w:r>
        <w:rPr>
          <w:spacing w:val="-1"/>
          <w:sz w:val="24"/>
        </w:rPr>
        <w:t> </w:t>
      </w:r>
      <w:r>
        <w:rPr>
          <w:sz w:val="24"/>
        </w:rPr>
        <w:t>mankind</w:t>
      </w:r>
      <w:r>
        <w:rPr>
          <w:spacing w:val="-1"/>
          <w:sz w:val="24"/>
        </w:rPr>
        <w:t> </w:t>
      </w:r>
      <w:r>
        <w:rPr>
          <w:sz w:val="24"/>
        </w:rPr>
        <w:t>will attain to a new level of purposefulness, prosperity and spiritual insight. Can India do something in adding a new dimension to the scientific achievement of the West? This poses a great challenge and also offers a unique opportunity to the men and women of India,</w:t>
      </w:r>
      <w:r>
        <w:rPr>
          <w:spacing w:val="-1"/>
          <w:sz w:val="24"/>
        </w:rPr>
        <w:t> </w:t>
      </w:r>
      <w:r>
        <w:rPr>
          <w:sz w:val="24"/>
        </w:rPr>
        <w:t>and</w:t>
      </w:r>
      <w:r>
        <w:rPr>
          <w:spacing w:val="-1"/>
          <w:sz w:val="24"/>
        </w:rPr>
        <w:t> </w:t>
      </w:r>
      <w:r>
        <w:rPr>
          <w:sz w:val="24"/>
        </w:rPr>
        <w:t>especially</w:t>
      </w:r>
      <w:r>
        <w:rPr>
          <w:spacing w:val="-3"/>
          <w:sz w:val="24"/>
        </w:rPr>
        <w:t> </w:t>
      </w:r>
      <w:r>
        <w:rPr>
          <w:sz w:val="24"/>
        </w:rPr>
        <w:t>to</w:t>
      </w:r>
      <w:r>
        <w:rPr>
          <w:spacing w:val="-1"/>
          <w:sz w:val="24"/>
        </w:rPr>
        <w:t> </w:t>
      </w:r>
      <w:r>
        <w:rPr>
          <w:sz w:val="24"/>
        </w:rPr>
        <w:t>the</w:t>
      </w:r>
      <w:r>
        <w:rPr>
          <w:spacing w:val="-1"/>
          <w:sz w:val="24"/>
        </w:rPr>
        <w:t> </w:t>
      </w:r>
      <w:r>
        <w:rPr>
          <w:sz w:val="24"/>
        </w:rPr>
        <w:t>young</w:t>
      </w:r>
      <w:r>
        <w:rPr>
          <w:spacing w:val="-1"/>
          <w:sz w:val="24"/>
        </w:rPr>
        <w:t> </w:t>
      </w:r>
      <w:r>
        <w:rPr>
          <w:sz w:val="24"/>
        </w:rPr>
        <w:t>people</w:t>
      </w:r>
      <w:r>
        <w:rPr>
          <w:spacing w:val="-1"/>
          <w:sz w:val="24"/>
        </w:rPr>
        <w:t> </w:t>
      </w:r>
      <w:r>
        <w:rPr>
          <w:sz w:val="24"/>
        </w:rPr>
        <w:t>who</w:t>
      </w:r>
      <w:r>
        <w:rPr>
          <w:spacing w:val="-1"/>
          <w:sz w:val="24"/>
        </w:rPr>
        <w:t> </w:t>
      </w:r>
      <w:r>
        <w:rPr>
          <w:sz w:val="24"/>
        </w:rPr>
        <w:t>are</w:t>
      </w:r>
      <w:r>
        <w:rPr>
          <w:spacing w:val="-1"/>
          <w:sz w:val="24"/>
        </w:rPr>
        <w:t> </w:t>
      </w:r>
      <w:r>
        <w:rPr>
          <w:sz w:val="24"/>
        </w:rPr>
        <w:t>the</w:t>
      </w:r>
      <w:r>
        <w:rPr>
          <w:spacing w:val="-1"/>
          <w:sz w:val="24"/>
        </w:rPr>
        <w:t> </w:t>
      </w:r>
      <w:r>
        <w:rPr>
          <w:sz w:val="24"/>
        </w:rPr>
        <w:t>makers</w:t>
      </w:r>
      <w:r>
        <w:rPr>
          <w:spacing w:val="-2"/>
          <w:sz w:val="24"/>
        </w:rPr>
        <w:t> </w:t>
      </w:r>
      <w:r>
        <w:rPr>
          <w:sz w:val="24"/>
        </w:rPr>
        <w:t>of</w:t>
      </w:r>
      <w:r>
        <w:rPr>
          <w:spacing w:val="-1"/>
          <w:sz w:val="24"/>
        </w:rPr>
        <w:t> </w:t>
      </w:r>
      <w:r>
        <w:rPr>
          <w:sz w:val="24"/>
        </w:rPr>
        <w:t>the</w:t>
      </w:r>
      <w:r>
        <w:rPr>
          <w:spacing w:val="-1"/>
          <w:sz w:val="24"/>
        </w:rPr>
        <w:t> </w:t>
      </w:r>
      <w:r>
        <w:rPr>
          <w:sz w:val="24"/>
        </w:rPr>
        <w:t>future.</w:t>
      </w:r>
      <w:r>
        <w:rPr>
          <w:spacing w:val="-1"/>
          <w:sz w:val="24"/>
        </w:rPr>
        <w:t> </w:t>
      </w:r>
      <w:r>
        <w:rPr>
          <w:sz w:val="24"/>
        </w:rPr>
        <w:t>In</w:t>
      </w:r>
      <w:r>
        <w:rPr>
          <w:spacing w:val="-1"/>
          <w:sz w:val="24"/>
        </w:rPr>
        <w:t> </w:t>
      </w:r>
      <w:r>
        <w:rPr>
          <w:sz w:val="24"/>
        </w:rPr>
        <w:t>this</w:t>
      </w:r>
      <w:r>
        <w:rPr>
          <w:spacing w:val="-1"/>
          <w:sz w:val="24"/>
        </w:rPr>
        <w:t> </w:t>
      </w:r>
      <w:r>
        <w:rPr>
          <w:sz w:val="24"/>
        </w:rPr>
        <w:t>context we cannot do better than to quote Pandit Jawaharlal Nehru:</w:t>
      </w:r>
    </w:p>
    <w:p>
      <w:pPr>
        <w:pStyle w:val="BodyText"/>
        <w:spacing w:before="4"/>
      </w:pPr>
    </w:p>
    <w:p>
      <w:pPr>
        <w:pStyle w:val="BodyText"/>
        <w:ind w:left="159" w:right="497"/>
        <w:jc w:val="both"/>
        <w:rPr>
          <w:b/>
        </w:rPr>
      </w:pPr>
      <w:r>
        <w:rPr/>
        <w:t>Can we combine the progress of science and technology with this progress of the mind and spirit also? We cannot be untrue to science because that represents the basic fact of life today. Still less can we be untrue to those essential principles for which India has stood in the past throughout the ages. Let us then pursue our path to industrial progress with all our strength and vigour and, at the same time, remember that material riches without toleration and compassion and wisdom may well turn to dust and ashes.</w:t>
      </w:r>
      <w:r>
        <w:rPr>
          <w:b/>
          <w:vertAlign w:val="superscript"/>
        </w:rPr>
        <w:t>13</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
        <w:rPr>
          <w:b/>
        </w:rPr>
      </w:pPr>
    </w:p>
    <w:p>
      <w:pPr>
        <w:spacing w:before="0"/>
        <w:ind w:left="159" w:right="497" w:firstLine="0"/>
        <w:jc w:val="both"/>
        <w:rPr>
          <w:sz w:val="20"/>
        </w:rPr>
      </w:pPr>
      <w:r>
        <w:rPr>
          <w:b/>
          <w:sz w:val="20"/>
          <w:vertAlign w:val="superscript"/>
        </w:rPr>
        <w:t>13</w:t>
      </w:r>
      <w:r>
        <w:rPr>
          <w:sz w:val="20"/>
          <w:vertAlign w:val="baseline"/>
        </w:rPr>
        <w:t>India and the World, Azad Memorial Lectures, 1959, Indian Council for Cultural Relations, New Delhi, </w:t>
      </w:r>
      <w:r>
        <w:rPr>
          <w:spacing w:val="-2"/>
          <w:sz w:val="20"/>
          <w:vertAlign w:val="baseline"/>
        </w:rPr>
        <w:t>1962.</w:t>
      </w:r>
    </w:p>
    <w:p>
      <w:pPr>
        <w:spacing w:after="0"/>
        <w:jc w:val="both"/>
        <w:rPr>
          <w:sz w:val="20"/>
        </w:rPr>
        <w:sectPr>
          <w:pgSz w:w="12240" w:h="15840"/>
          <w:pgMar w:header="0" w:footer="743" w:top="1360" w:bottom="940" w:left="1640" w:right="1300"/>
        </w:sectPr>
      </w:pPr>
    </w:p>
    <w:p>
      <w:pPr>
        <w:pStyle w:val="Heading1"/>
        <w:spacing w:before="60"/>
        <w:ind w:left="3522" w:right="3860"/>
      </w:pPr>
      <w:bookmarkStart w:name="_TOC_250016" w:id="13"/>
      <w:bookmarkEnd w:id="13"/>
      <w:r>
        <w:rPr>
          <w:spacing w:val="-2"/>
        </w:rPr>
        <w:t>SUMMARY</w:t>
      </w:r>
    </w:p>
    <w:p>
      <w:pPr>
        <w:pStyle w:val="BodyText"/>
        <w:rPr>
          <w:b/>
        </w:rPr>
      </w:pPr>
    </w:p>
    <w:p>
      <w:pPr>
        <w:pStyle w:val="ListParagraph"/>
        <w:numPr>
          <w:ilvl w:val="0"/>
          <w:numId w:val="17"/>
        </w:numPr>
        <w:tabs>
          <w:tab w:pos="398" w:val="left" w:leader="none"/>
        </w:tabs>
        <w:spacing w:line="240" w:lineRule="auto" w:before="0" w:after="0"/>
        <w:ind w:left="159" w:right="496" w:firstLine="0"/>
        <w:jc w:val="both"/>
        <w:rPr>
          <w:sz w:val="24"/>
        </w:rPr>
      </w:pPr>
      <w:r>
        <w:rPr>
          <w:sz w:val="24"/>
        </w:rPr>
        <w:t>The most important and urgent reform needed in education is to transform it, to endeavour to relate it to the life, needs and aspirations of the people and thereby make it the powerful instrument of social, economic and cultural transformation necessary for the realization of the national goals. For this purpose, education should be developed so as to increase Productivity, achieve social and national integration, accelerate the process of modernization and cultivate social, moral and spiritual values. 1.20*</w:t>
      </w:r>
    </w:p>
    <w:p>
      <w:pPr>
        <w:pStyle w:val="BodyText"/>
        <w:spacing w:before="5"/>
      </w:pPr>
    </w:p>
    <w:p>
      <w:pPr>
        <w:pStyle w:val="ListParagraph"/>
        <w:numPr>
          <w:ilvl w:val="0"/>
          <w:numId w:val="17"/>
        </w:numPr>
        <w:tabs>
          <w:tab w:pos="432" w:val="left" w:leader="none"/>
        </w:tabs>
        <w:spacing w:line="240" w:lineRule="auto" w:before="0" w:after="0"/>
        <w:ind w:left="159" w:right="497" w:firstLine="0"/>
        <w:jc w:val="both"/>
        <w:rPr>
          <w:b/>
          <w:sz w:val="24"/>
        </w:rPr>
      </w:pPr>
      <w:r>
        <w:rPr>
          <w:b/>
          <w:sz w:val="24"/>
        </w:rPr>
        <w:t>Education and Productivity</w:t>
      </w:r>
      <w:r>
        <w:rPr>
          <w:sz w:val="24"/>
        </w:rPr>
        <w:t>. The following programmes are needed to relate education to productivity:</w:t>
      </w:r>
    </w:p>
    <w:p>
      <w:pPr>
        <w:pStyle w:val="BodyText"/>
        <w:spacing w:before="4"/>
      </w:pPr>
    </w:p>
    <w:p>
      <w:pPr>
        <w:pStyle w:val="ListParagraph"/>
        <w:numPr>
          <w:ilvl w:val="1"/>
          <w:numId w:val="17"/>
        </w:numPr>
        <w:tabs>
          <w:tab w:pos="615" w:val="left" w:leader="none"/>
        </w:tabs>
        <w:spacing w:line="240" w:lineRule="auto" w:before="0" w:after="0"/>
        <w:ind w:left="159" w:right="498" w:firstLine="60"/>
        <w:jc w:val="both"/>
        <w:rPr>
          <w:sz w:val="24"/>
        </w:rPr>
      </w:pPr>
      <w:r>
        <w:rPr>
          <w:sz w:val="24"/>
        </w:rPr>
        <w:t>Science Education. Science education should become an integral part of school education and ultimately become a part of all courses at university stage also. 1.23-24</w:t>
      </w:r>
    </w:p>
    <w:p>
      <w:pPr>
        <w:pStyle w:val="BodyText"/>
        <w:spacing w:before="3"/>
      </w:pPr>
    </w:p>
    <w:p>
      <w:pPr>
        <w:pStyle w:val="ListParagraph"/>
        <w:numPr>
          <w:ilvl w:val="1"/>
          <w:numId w:val="17"/>
        </w:numPr>
        <w:tabs>
          <w:tab w:pos="523" w:val="left" w:leader="none"/>
        </w:tabs>
        <w:spacing w:line="240" w:lineRule="auto" w:before="0" w:after="0"/>
        <w:ind w:left="159" w:right="498" w:firstLine="0"/>
        <w:jc w:val="both"/>
        <w:rPr>
          <w:b/>
          <w:sz w:val="24"/>
        </w:rPr>
      </w:pPr>
      <w:r>
        <w:rPr>
          <w:b/>
          <w:sz w:val="24"/>
        </w:rPr>
        <w:t>Work Experience. </w:t>
      </w:r>
      <w:r>
        <w:rPr>
          <w:sz w:val="24"/>
        </w:rPr>
        <w:t>Work-experience should be introduced as an integral part of all </w:t>
      </w:r>
      <w:r>
        <w:rPr>
          <w:spacing w:val="-2"/>
          <w:sz w:val="24"/>
        </w:rPr>
        <w:t>education.</w:t>
      </w:r>
    </w:p>
    <w:p>
      <w:pPr>
        <w:pStyle w:val="BodyText"/>
        <w:spacing w:before="4"/>
      </w:pPr>
    </w:p>
    <w:p>
      <w:pPr>
        <w:pStyle w:val="ListParagraph"/>
        <w:numPr>
          <w:ilvl w:val="1"/>
          <w:numId w:val="17"/>
        </w:numPr>
        <w:tabs>
          <w:tab w:pos="594" w:val="left" w:leader="none"/>
        </w:tabs>
        <w:spacing w:line="240" w:lineRule="auto" w:before="0" w:after="0"/>
        <w:ind w:left="159" w:right="497" w:firstLine="0"/>
        <w:jc w:val="both"/>
        <w:rPr>
          <w:sz w:val="24"/>
        </w:rPr>
      </w:pPr>
      <w:r>
        <w:rPr>
          <w:sz w:val="24"/>
        </w:rPr>
        <w:t>Every attempt should be made to orient work-experience to technology and industrialization and to the application of science to productive processes, including agriculture. 1.25-33</w:t>
      </w:r>
    </w:p>
    <w:p>
      <w:pPr>
        <w:pStyle w:val="BodyText"/>
        <w:spacing w:before="5"/>
      </w:pPr>
    </w:p>
    <w:p>
      <w:pPr>
        <w:pStyle w:val="ListParagraph"/>
        <w:numPr>
          <w:ilvl w:val="1"/>
          <w:numId w:val="17"/>
        </w:numPr>
        <w:tabs>
          <w:tab w:pos="625" w:val="left" w:leader="none"/>
        </w:tabs>
        <w:spacing w:line="240" w:lineRule="auto" w:before="0" w:after="0"/>
        <w:ind w:left="159" w:right="498" w:firstLine="0"/>
        <w:jc w:val="both"/>
        <w:rPr>
          <w:b/>
          <w:sz w:val="24"/>
        </w:rPr>
      </w:pPr>
      <w:r>
        <w:rPr>
          <w:b/>
          <w:sz w:val="24"/>
        </w:rPr>
        <w:t>Vocationalization. </w:t>
      </w:r>
      <w:r>
        <w:rPr>
          <w:sz w:val="24"/>
        </w:rPr>
        <w:t>Secondary education should be increasingly and largely vocationalized, and in higher education, a greater emphasis should be placed on agricultural and technical education. 1.32</w:t>
      </w:r>
    </w:p>
    <w:p>
      <w:pPr>
        <w:pStyle w:val="BodyText"/>
        <w:spacing w:before="3"/>
      </w:pPr>
    </w:p>
    <w:p>
      <w:pPr>
        <w:pStyle w:val="ListParagraph"/>
        <w:numPr>
          <w:ilvl w:val="0"/>
          <w:numId w:val="17"/>
        </w:numPr>
        <w:tabs>
          <w:tab w:pos="341" w:val="left" w:leader="none"/>
        </w:tabs>
        <w:spacing w:line="240" w:lineRule="auto" w:before="1" w:after="0"/>
        <w:ind w:left="159" w:right="497" w:firstLine="0"/>
        <w:jc w:val="both"/>
        <w:rPr>
          <w:b/>
          <w:sz w:val="24"/>
        </w:rPr>
      </w:pPr>
      <w:r>
        <w:rPr>
          <w:b/>
          <w:sz w:val="24"/>
        </w:rPr>
        <w:t>Social</w:t>
      </w:r>
      <w:r>
        <w:rPr>
          <w:b/>
          <w:spacing w:val="-1"/>
          <w:sz w:val="24"/>
        </w:rPr>
        <w:t> </w:t>
      </w:r>
      <w:r>
        <w:rPr>
          <w:b/>
          <w:sz w:val="24"/>
        </w:rPr>
        <w:t>and</w:t>
      </w:r>
      <w:r>
        <w:rPr>
          <w:b/>
          <w:spacing w:val="-1"/>
          <w:sz w:val="24"/>
        </w:rPr>
        <w:t> </w:t>
      </w:r>
      <w:r>
        <w:rPr>
          <w:b/>
          <w:sz w:val="24"/>
        </w:rPr>
        <w:t>National</w:t>
      </w:r>
      <w:r>
        <w:rPr>
          <w:b/>
          <w:spacing w:val="-1"/>
          <w:sz w:val="24"/>
        </w:rPr>
        <w:t> </w:t>
      </w:r>
      <w:r>
        <w:rPr>
          <w:b/>
          <w:sz w:val="24"/>
        </w:rPr>
        <w:t>Integration. </w:t>
      </w:r>
      <w:r>
        <w:rPr>
          <w:sz w:val="24"/>
        </w:rPr>
        <w:t>The</w:t>
      </w:r>
      <w:r>
        <w:rPr>
          <w:spacing w:val="-1"/>
          <w:sz w:val="24"/>
        </w:rPr>
        <w:t> </w:t>
      </w:r>
      <w:r>
        <w:rPr>
          <w:sz w:val="24"/>
        </w:rPr>
        <w:t>achievement</w:t>
      </w:r>
      <w:r>
        <w:rPr>
          <w:spacing w:val="-1"/>
          <w:sz w:val="24"/>
        </w:rPr>
        <w:t> </w:t>
      </w:r>
      <w:r>
        <w:rPr>
          <w:sz w:val="24"/>
        </w:rPr>
        <w:t>of</w:t>
      </w:r>
      <w:r>
        <w:rPr>
          <w:spacing w:val="-1"/>
          <w:sz w:val="24"/>
        </w:rPr>
        <w:t> </w:t>
      </w:r>
      <w:r>
        <w:rPr>
          <w:sz w:val="24"/>
        </w:rPr>
        <w:t>social</w:t>
      </w:r>
      <w:r>
        <w:rPr>
          <w:spacing w:val="-1"/>
          <w:sz w:val="24"/>
        </w:rPr>
        <w:t> </w:t>
      </w:r>
      <w:r>
        <w:rPr>
          <w:sz w:val="24"/>
        </w:rPr>
        <w:t>and</w:t>
      </w:r>
      <w:r>
        <w:rPr>
          <w:spacing w:val="-1"/>
          <w:sz w:val="24"/>
        </w:rPr>
        <w:t> </w:t>
      </w:r>
      <w:r>
        <w:rPr>
          <w:sz w:val="24"/>
        </w:rPr>
        <w:t>national</w:t>
      </w:r>
      <w:r>
        <w:rPr>
          <w:spacing w:val="-1"/>
          <w:sz w:val="24"/>
        </w:rPr>
        <w:t> </w:t>
      </w:r>
      <w:r>
        <w:rPr>
          <w:sz w:val="24"/>
        </w:rPr>
        <w:t>integration</w:t>
      </w:r>
      <w:r>
        <w:rPr>
          <w:spacing w:val="-1"/>
          <w:sz w:val="24"/>
        </w:rPr>
        <w:t> </w:t>
      </w:r>
      <w:r>
        <w:rPr>
          <w:sz w:val="24"/>
        </w:rPr>
        <w:t>is an important objective of the educational system and the following steps should be taken to strengthen national consciousness and unity:</w:t>
      </w:r>
    </w:p>
    <w:p>
      <w:pPr>
        <w:pStyle w:val="BodyText"/>
        <w:spacing w:before="3"/>
      </w:pPr>
    </w:p>
    <w:p>
      <w:pPr>
        <w:pStyle w:val="ListParagraph"/>
        <w:numPr>
          <w:ilvl w:val="1"/>
          <w:numId w:val="17"/>
        </w:numPr>
        <w:tabs>
          <w:tab w:pos="535" w:val="left" w:leader="none"/>
        </w:tabs>
        <w:spacing w:line="240" w:lineRule="auto" w:before="0" w:after="0"/>
        <w:ind w:left="159" w:right="497" w:firstLine="0"/>
        <w:jc w:val="both"/>
        <w:rPr>
          <w:b/>
          <w:sz w:val="24"/>
        </w:rPr>
      </w:pPr>
      <w:r>
        <w:rPr>
          <w:b/>
          <w:sz w:val="24"/>
        </w:rPr>
        <w:t>The Common School. </w:t>
      </w:r>
      <w:r>
        <w:rPr>
          <w:sz w:val="24"/>
        </w:rPr>
        <w:t>The common school system of public education should be adopted as a national goal and effectively implemented in a phased programme spread over 20 years. 1.36-38</w:t>
      </w:r>
    </w:p>
    <w:p>
      <w:pPr>
        <w:pStyle w:val="BodyText"/>
        <w:spacing w:before="5"/>
      </w:pPr>
    </w:p>
    <w:p>
      <w:pPr>
        <w:pStyle w:val="ListParagraph"/>
        <w:numPr>
          <w:ilvl w:val="1"/>
          <w:numId w:val="17"/>
        </w:numPr>
        <w:tabs>
          <w:tab w:pos="513" w:val="left" w:leader="none"/>
        </w:tabs>
        <w:spacing w:line="240" w:lineRule="auto" w:before="0" w:after="0"/>
        <w:ind w:left="159" w:right="497" w:firstLine="0"/>
        <w:jc w:val="both"/>
        <w:rPr>
          <w:b/>
          <w:sz w:val="24"/>
        </w:rPr>
      </w:pPr>
      <w:r>
        <w:rPr>
          <w:b/>
          <w:sz w:val="24"/>
        </w:rPr>
        <w:t>Social and National Service. </w:t>
      </w:r>
      <w:r>
        <w:rPr>
          <w:sz w:val="24"/>
        </w:rPr>
        <w:t>Social and national service should be made obligatory for all students at all stages. These programmes should be organized concurrently with academic studies in schools and colleges:</w:t>
      </w:r>
    </w:p>
    <w:p>
      <w:pPr>
        <w:pStyle w:val="BodyText"/>
        <w:spacing w:before="4"/>
      </w:pPr>
    </w:p>
    <w:p>
      <w:pPr>
        <w:pStyle w:val="ListParagraph"/>
        <w:numPr>
          <w:ilvl w:val="2"/>
          <w:numId w:val="17"/>
        </w:numPr>
        <w:tabs>
          <w:tab w:pos="451" w:val="left" w:leader="none"/>
        </w:tabs>
        <w:spacing w:line="240" w:lineRule="auto" w:before="0" w:after="0"/>
        <w:ind w:left="159" w:right="497" w:firstLine="0"/>
        <w:jc w:val="both"/>
        <w:rPr>
          <w:sz w:val="24"/>
        </w:rPr>
      </w:pPr>
      <w:r>
        <w:rPr>
          <w:sz w:val="24"/>
        </w:rPr>
        <w:t>At the primary stage, programmes of social service should be developed in all schools on the lines of those developed in basic education.</w:t>
      </w:r>
    </w:p>
    <w:p>
      <w:pPr>
        <w:pStyle w:val="BodyText"/>
      </w:pPr>
    </w:p>
    <w:p>
      <w:pPr>
        <w:pStyle w:val="BodyText"/>
      </w:pPr>
    </w:p>
    <w:p>
      <w:pPr>
        <w:pStyle w:val="BodyText"/>
        <w:spacing w:before="7"/>
      </w:pPr>
    </w:p>
    <w:p>
      <w:pPr>
        <w:pStyle w:val="BodyText"/>
        <w:ind w:left="159"/>
        <w:jc w:val="both"/>
      </w:pPr>
      <w:r>
        <w:rPr/>
        <w:t>*The</w:t>
      </w:r>
      <w:r>
        <w:rPr>
          <w:spacing w:val="21"/>
        </w:rPr>
        <w:t> </w:t>
      </w:r>
      <w:r>
        <w:rPr/>
        <w:t>figures</w:t>
      </w:r>
      <w:r>
        <w:rPr>
          <w:spacing w:val="24"/>
        </w:rPr>
        <w:t> </w:t>
      </w:r>
      <w:r>
        <w:rPr/>
        <w:t>at</w:t>
      </w:r>
      <w:r>
        <w:rPr>
          <w:spacing w:val="24"/>
        </w:rPr>
        <w:t> </w:t>
      </w:r>
      <w:r>
        <w:rPr/>
        <w:t>the</w:t>
      </w:r>
      <w:r>
        <w:rPr>
          <w:spacing w:val="24"/>
        </w:rPr>
        <w:t> </w:t>
      </w:r>
      <w:r>
        <w:rPr/>
        <w:t>end</w:t>
      </w:r>
      <w:r>
        <w:rPr>
          <w:spacing w:val="23"/>
        </w:rPr>
        <w:t> </w:t>
      </w:r>
      <w:r>
        <w:rPr/>
        <w:t>of</w:t>
      </w:r>
      <w:r>
        <w:rPr>
          <w:spacing w:val="25"/>
        </w:rPr>
        <w:t> </w:t>
      </w:r>
      <w:r>
        <w:rPr/>
        <w:t>each</w:t>
      </w:r>
      <w:r>
        <w:rPr>
          <w:spacing w:val="24"/>
        </w:rPr>
        <w:t> </w:t>
      </w:r>
      <w:r>
        <w:rPr/>
        <w:t>recommendation</w:t>
      </w:r>
      <w:r>
        <w:rPr>
          <w:spacing w:val="25"/>
        </w:rPr>
        <w:t> </w:t>
      </w:r>
      <w:r>
        <w:rPr/>
        <w:t>indicate</w:t>
      </w:r>
      <w:r>
        <w:rPr>
          <w:spacing w:val="25"/>
        </w:rPr>
        <w:t> </w:t>
      </w:r>
      <w:r>
        <w:rPr/>
        <w:t>the</w:t>
      </w:r>
      <w:r>
        <w:rPr>
          <w:spacing w:val="24"/>
        </w:rPr>
        <w:t> </w:t>
      </w:r>
      <w:r>
        <w:rPr/>
        <w:t>chapter</w:t>
      </w:r>
      <w:r>
        <w:rPr>
          <w:spacing w:val="24"/>
        </w:rPr>
        <w:t> </w:t>
      </w:r>
      <w:r>
        <w:rPr/>
        <w:t>and</w:t>
      </w:r>
      <w:r>
        <w:rPr>
          <w:spacing w:val="24"/>
        </w:rPr>
        <w:t> </w:t>
      </w:r>
      <w:r>
        <w:rPr/>
        <w:t>para</w:t>
      </w:r>
      <w:r>
        <w:rPr>
          <w:spacing w:val="24"/>
        </w:rPr>
        <w:t> </w:t>
      </w:r>
      <w:r>
        <w:rPr>
          <w:spacing w:val="-2"/>
        </w:rPr>
        <w:t>number.</w:t>
      </w:r>
    </w:p>
    <w:p>
      <w:pPr>
        <w:spacing w:after="0"/>
        <w:jc w:val="both"/>
        <w:sectPr>
          <w:pgSz w:w="12240" w:h="15840"/>
          <w:pgMar w:header="0" w:footer="743" w:top="1380" w:bottom="940" w:left="1640" w:right="1300"/>
        </w:sectPr>
      </w:pPr>
    </w:p>
    <w:p>
      <w:pPr>
        <w:pStyle w:val="ListParagraph"/>
        <w:numPr>
          <w:ilvl w:val="2"/>
          <w:numId w:val="17"/>
        </w:numPr>
        <w:tabs>
          <w:tab w:pos="538" w:val="left" w:leader="none"/>
        </w:tabs>
        <w:spacing w:line="240" w:lineRule="auto" w:before="76" w:after="0"/>
        <w:ind w:left="160" w:right="497" w:firstLine="0"/>
        <w:jc w:val="both"/>
        <w:rPr>
          <w:sz w:val="24"/>
        </w:rPr>
      </w:pPr>
      <w:r>
        <w:rPr>
          <w:sz w:val="24"/>
        </w:rPr>
        <w:t>At the secondary stage, social service for a total of 30 days at the lower secondary stage and 20 days at the higher secondary stage (10 days a year) should be obligatory for all students. it may be done in one or more stretches. (iii) At the undergraduate stage, social service for 60 days in total (to be done in one or more stretches) should be obligatory for all students.</w:t>
      </w:r>
    </w:p>
    <w:p>
      <w:pPr>
        <w:pStyle w:val="BodyText"/>
        <w:spacing w:before="4"/>
      </w:pPr>
    </w:p>
    <w:p>
      <w:pPr>
        <w:pStyle w:val="ListParagraph"/>
        <w:numPr>
          <w:ilvl w:val="0"/>
          <w:numId w:val="18"/>
        </w:numPr>
        <w:tabs>
          <w:tab w:pos="627" w:val="left" w:leader="none"/>
        </w:tabs>
        <w:spacing w:line="240" w:lineRule="auto" w:before="0" w:after="0"/>
        <w:ind w:left="159" w:right="498" w:firstLine="0"/>
        <w:jc w:val="both"/>
        <w:rPr>
          <w:sz w:val="24"/>
        </w:rPr>
      </w:pPr>
      <w:r>
        <w:rPr>
          <w:sz w:val="24"/>
        </w:rPr>
        <w:t>Every educational institution should try to develop a programme of social and community service of its own in which all its students would be suitably involved for periods indicated above.</w:t>
      </w:r>
    </w:p>
    <w:p>
      <w:pPr>
        <w:pStyle w:val="BodyText"/>
        <w:spacing w:before="5"/>
      </w:pPr>
    </w:p>
    <w:p>
      <w:pPr>
        <w:pStyle w:val="ListParagraph"/>
        <w:numPr>
          <w:ilvl w:val="0"/>
          <w:numId w:val="18"/>
        </w:numPr>
        <w:tabs>
          <w:tab w:pos="504" w:val="left" w:leader="none"/>
        </w:tabs>
        <w:spacing w:line="240" w:lineRule="auto" w:before="0" w:after="0"/>
        <w:ind w:left="160" w:right="496" w:firstLine="0"/>
        <w:jc w:val="both"/>
        <w:rPr>
          <w:sz w:val="24"/>
        </w:rPr>
      </w:pPr>
      <w:r>
        <w:rPr>
          <w:sz w:val="24"/>
        </w:rPr>
        <w:t>Labour and social service camps should be organized by creating a special machinery for them in each district. Participation in such camps should be obligatory for all students for whom no programmes of social service have been organized in the educational institutions they attend.</w:t>
      </w:r>
    </w:p>
    <w:p>
      <w:pPr>
        <w:pStyle w:val="BodyText"/>
        <w:spacing w:before="4"/>
      </w:pPr>
    </w:p>
    <w:p>
      <w:pPr>
        <w:pStyle w:val="ListParagraph"/>
        <w:numPr>
          <w:ilvl w:val="0"/>
          <w:numId w:val="18"/>
        </w:numPr>
        <w:tabs>
          <w:tab w:pos="582" w:val="left" w:leader="none"/>
        </w:tabs>
        <w:spacing w:line="240" w:lineRule="auto" w:before="0" w:after="0"/>
        <w:ind w:left="159" w:right="497" w:firstLine="0"/>
        <w:jc w:val="both"/>
        <w:rPr>
          <w:sz w:val="24"/>
        </w:rPr>
      </w:pPr>
      <w:r>
        <w:rPr>
          <w:sz w:val="24"/>
        </w:rPr>
        <w:t>N.C.C. should be continued on its present basis till the end of the Fourth Five Year Plan. The authorities concerned should explore the possibility of providing this training, on a whole-time basis, in a continuous programme of about 60 days at the undergraduate stage. In the meanwhile alternate forms of social service should be developed and as they conic into operation, NCC should be made voluntary. 1.39-48</w:t>
      </w:r>
    </w:p>
    <w:p>
      <w:pPr>
        <w:pStyle w:val="BodyText"/>
        <w:spacing w:before="3"/>
      </w:pPr>
    </w:p>
    <w:p>
      <w:pPr>
        <w:pStyle w:val="ListParagraph"/>
        <w:numPr>
          <w:ilvl w:val="1"/>
          <w:numId w:val="17"/>
        </w:numPr>
        <w:tabs>
          <w:tab w:pos="507" w:val="left" w:leader="none"/>
        </w:tabs>
        <w:spacing w:line="240" w:lineRule="auto" w:before="1" w:after="0"/>
        <w:ind w:left="160" w:right="497" w:firstLine="0"/>
        <w:jc w:val="both"/>
        <w:rPr>
          <w:b/>
          <w:sz w:val="24"/>
        </w:rPr>
      </w:pPr>
      <w:r>
        <w:rPr>
          <w:b/>
          <w:sz w:val="24"/>
        </w:rPr>
        <w:t>Language Policy. </w:t>
      </w:r>
      <w:r>
        <w:rPr>
          <w:sz w:val="24"/>
        </w:rPr>
        <w:t>The development of an appropriate language policy can materially assist in social and national 'integration.</w:t>
      </w:r>
    </w:p>
    <w:p>
      <w:pPr>
        <w:pStyle w:val="BodyText"/>
        <w:spacing w:before="3"/>
      </w:pPr>
    </w:p>
    <w:p>
      <w:pPr>
        <w:pStyle w:val="ListParagraph"/>
        <w:numPr>
          <w:ilvl w:val="1"/>
          <w:numId w:val="17"/>
        </w:numPr>
        <w:tabs>
          <w:tab w:pos="507" w:val="left" w:leader="none"/>
        </w:tabs>
        <w:spacing w:line="240" w:lineRule="auto" w:before="0" w:after="0"/>
        <w:ind w:left="160" w:right="497" w:firstLine="0"/>
        <w:jc w:val="both"/>
        <w:rPr>
          <w:sz w:val="24"/>
        </w:rPr>
      </w:pPr>
      <w:r>
        <w:rPr>
          <w:sz w:val="24"/>
        </w:rPr>
        <w:t>Mother-tongue has a pre-eminent claim as the medium of education at the school and college</w:t>
      </w:r>
      <w:r>
        <w:rPr>
          <w:spacing w:val="-2"/>
          <w:sz w:val="24"/>
        </w:rPr>
        <w:t> </w:t>
      </w:r>
      <w:r>
        <w:rPr>
          <w:sz w:val="24"/>
        </w:rPr>
        <w:t>stages.</w:t>
      </w:r>
      <w:r>
        <w:rPr>
          <w:spacing w:val="-2"/>
          <w:sz w:val="24"/>
        </w:rPr>
        <w:t> </w:t>
      </w:r>
      <w:r>
        <w:rPr>
          <w:sz w:val="24"/>
        </w:rPr>
        <w:t>Moreover,</w:t>
      </w:r>
      <w:r>
        <w:rPr>
          <w:spacing w:val="-2"/>
          <w:sz w:val="24"/>
        </w:rPr>
        <w:t> </w:t>
      </w:r>
      <w:r>
        <w:rPr>
          <w:sz w:val="24"/>
        </w:rPr>
        <w:t>the</w:t>
      </w:r>
      <w:r>
        <w:rPr>
          <w:spacing w:val="-3"/>
          <w:sz w:val="24"/>
        </w:rPr>
        <w:t> </w:t>
      </w:r>
      <w:r>
        <w:rPr>
          <w:sz w:val="24"/>
        </w:rPr>
        <w:t>medium</w:t>
      </w:r>
      <w:r>
        <w:rPr>
          <w:spacing w:val="-2"/>
          <w:sz w:val="24"/>
        </w:rPr>
        <w:t> </w:t>
      </w:r>
      <w:r>
        <w:rPr>
          <w:sz w:val="24"/>
        </w:rPr>
        <w:t>of</w:t>
      </w:r>
      <w:r>
        <w:rPr>
          <w:spacing w:val="-2"/>
          <w:sz w:val="24"/>
        </w:rPr>
        <w:t> </w:t>
      </w:r>
      <w:r>
        <w:rPr>
          <w:sz w:val="24"/>
        </w:rPr>
        <w:t>education</w:t>
      </w:r>
      <w:r>
        <w:rPr>
          <w:spacing w:val="-2"/>
          <w:sz w:val="24"/>
        </w:rPr>
        <w:t> </w:t>
      </w:r>
      <w:r>
        <w:rPr>
          <w:sz w:val="24"/>
        </w:rPr>
        <w:t>in</w:t>
      </w:r>
      <w:r>
        <w:rPr>
          <w:spacing w:val="-2"/>
          <w:sz w:val="24"/>
        </w:rPr>
        <w:t> </w:t>
      </w:r>
      <w:r>
        <w:rPr>
          <w:sz w:val="24"/>
        </w:rPr>
        <w:t>school</w:t>
      </w:r>
      <w:r>
        <w:rPr>
          <w:spacing w:val="-5"/>
          <w:sz w:val="24"/>
        </w:rPr>
        <w:t> </w:t>
      </w:r>
      <w:r>
        <w:rPr>
          <w:sz w:val="24"/>
        </w:rPr>
        <w:t>and</w:t>
      </w:r>
      <w:r>
        <w:rPr>
          <w:spacing w:val="-3"/>
          <w:sz w:val="24"/>
        </w:rPr>
        <w:t> </w:t>
      </w:r>
      <w:r>
        <w:rPr>
          <w:sz w:val="24"/>
        </w:rPr>
        <w:t>higher</w:t>
      </w:r>
      <w:r>
        <w:rPr>
          <w:spacing w:val="-3"/>
          <w:sz w:val="24"/>
        </w:rPr>
        <w:t> </w:t>
      </w:r>
      <w:r>
        <w:rPr>
          <w:sz w:val="24"/>
        </w:rPr>
        <w:t>education</w:t>
      </w:r>
      <w:r>
        <w:rPr>
          <w:spacing w:val="-3"/>
          <w:sz w:val="24"/>
        </w:rPr>
        <w:t> </w:t>
      </w:r>
      <w:r>
        <w:rPr>
          <w:sz w:val="24"/>
        </w:rPr>
        <w:t>should generally be the same. The regional languages should, therefore, be adopted as the media of education in higher education.</w:t>
      </w:r>
    </w:p>
    <w:p>
      <w:pPr>
        <w:pStyle w:val="BodyText"/>
        <w:spacing w:before="5"/>
      </w:pPr>
    </w:p>
    <w:p>
      <w:pPr>
        <w:pStyle w:val="ListParagraph"/>
        <w:numPr>
          <w:ilvl w:val="1"/>
          <w:numId w:val="17"/>
        </w:numPr>
        <w:tabs>
          <w:tab w:pos="503" w:val="left" w:leader="none"/>
        </w:tabs>
        <w:spacing w:line="240" w:lineRule="auto" w:before="0" w:after="0"/>
        <w:ind w:left="160" w:right="498" w:firstLine="0"/>
        <w:jc w:val="both"/>
        <w:rPr>
          <w:sz w:val="24"/>
        </w:rPr>
      </w:pPr>
      <w:r>
        <w:rPr>
          <w:sz w:val="24"/>
        </w:rPr>
        <w:t>The UGC and the universities should work out a programme for the adoption of these recommendations suitably for each University or groups of universities. The change-over should be completed within ten years.</w:t>
      </w:r>
    </w:p>
    <w:p>
      <w:pPr>
        <w:pStyle w:val="BodyText"/>
        <w:spacing w:before="4"/>
      </w:pPr>
    </w:p>
    <w:p>
      <w:pPr>
        <w:pStyle w:val="ListParagraph"/>
        <w:numPr>
          <w:ilvl w:val="1"/>
          <w:numId w:val="17"/>
        </w:numPr>
        <w:tabs>
          <w:tab w:pos="510" w:val="left" w:leader="none"/>
        </w:tabs>
        <w:spacing w:line="240" w:lineRule="auto" w:before="0" w:after="0"/>
        <w:ind w:left="160" w:right="496" w:firstLine="0"/>
        <w:jc w:val="both"/>
        <w:rPr>
          <w:sz w:val="24"/>
        </w:rPr>
      </w:pPr>
      <w:r>
        <w:rPr>
          <w:sz w:val="24"/>
        </w:rPr>
        <w:t>Energetic action is needed to produce books and literature, particularly scientific and technical, in regional languages. This should be made a responsibility of the universities assisted by UGC.</w:t>
      </w:r>
    </w:p>
    <w:p>
      <w:pPr>
        <w:pStyle w:val="BodyText"/>
        <w:spacing w:before="3"/>
      </w:pPr>
    </w:p>
    <w:p>
      <w:pPr>
        <w:pStyle w:val="ListParagraph"/>
        <w:numPr>
          <w:ilvl w:val="1"/>
          <w:numId w:val="17"/>
        </w:numPr>
        <w:tabs>
          <w:tab w:pos="516" w:val="left" w:leader="none"/>
        </w:tabs>
        <w:spacing w:line="240" w:lineRule="auto" w:before="1" w:after="0"/>
        <w:ind w:left="159" w:right="497" w:firstLine="0"/>
        <w:jc w:val="both"/>
        <w:rPr>
          <w:sz w:val="24"/>
        </w:rPr>
      </w:pPr>
      <w:r>
        <w:rPr>
          <w:sz w:val="24"/>
        </w:rPr>
        <w:t>All-India institutions should continue to use English as the medium of education for the time being. The eventual adoption of Hindi should, however, be considered in </w:t>
      </w:r>
      <w:r>
        <w:rPr>
          <w:sz w:val="24"/>
        </w:rPr>
        <w:t>due course, subject to certain safeguards.</w:t>
      </w:r>
    </w:p>
    <w:p>
      <w:pPr>
        <w:pStyle w:val="BodyText"/>
        <w:spacing w:before="3"/>
      </w:pPr>
    </w:p>
    <w:p>
      <w:pPr>
        <w:pStyle w:val="ListParagraph"/>
        <w:numPr>
          <w:ilvl w:val="1"/>
          <w:numId w:val="17"/>
        </w:numPr>
        <w:tabs>
          <w:tab w:pos="517" w:val="left" w:leader="none"/>
        </w:tabs>
        <w:spacing w:line="240" w:lineRule="auto" w:before="0" w:after="0"/>
        <w:ind w:left="159" w:right="497" w:firstLine="0"/>
        <w:jc w:val="both"/>
        <w:rPr>
          <w:sz w:val="24"/>
        </w:rPr>
      </w:pPr>
      <w:r>
        <w:rPr>
          <w:sz w:val="24"/>
        </w:rPr>
        <w:t>The regional languages should also be made the languages of administration for the regions concerned as early as possible so that the higher services are not barred to those who study in the regional medium.</w:t>
      </w:r>
    </w:p>
    <w:p>
      <w:pPr>
        <w:spacing w:after="0" w:line="240" w:lineRule="auto"/>
        <w:jc w:val="both"/>
        <w:rPr>
          <w:sz w:val="24"/>
        </w:rPr>
        <w:sectPr>
          <w:pgSz w:w="12240" w:h="15840"/>
          <w:pgMar w:header="0" w:footer="743" w:top="1360" w:bottom="940" w:left="1640" w:right="1300"/>
        </w:sectPr>
      </w:pPr>
    </w:p>
    <w:p>
      <w:pPr>
        <w:pStyle w:val="ListParagraph"/>
        <w:numPr>
          <w:ilvl w:val="1"/>
          <w:numId w:val="17"/>
        </w:numPr>
        <w:tabs>
          <w:tab w:pos="520" w:val="left" w:leader="none"/>
        </w:tabs>
        <w:spacing w:line="240" w:lineRule="auto" w:before="76" w:after="0"/>
        <w:ind w:left="160" w:right="497" w:firstLine="0"/>
        <w:jc w:val="both"/>
        <w:rPr>
          <w:sz w:val="24"/>
        </w:rPr>
      </w:pPr>
      <w:r>
        <w:rPr>
          <w:sz w:val="24"/>
        </w:rPr>
        <w:t>The teaching and study of English should continue to be pro- moted. right from the school stage. Encouragement should be given also to the study of other languages of international communication. The study of Russian needs special attention.</w:t>
      </w:r>
    </w:p>
    <w:p>
      <w:pPr>
        <w:pStyle w:val="BodyText"/>
        <w:spacing w:before="4"/>
      </w:pPr>
    </w:p>
    <w:p>
      <w:pPr>
        <w:pStyle w:val="ListParagraph"/>
        <w:numPr>
          <w:ilvl w:val="1"/>
          <w:numId w:val="17"/>
        </w:numPr>
        <w:tabs>
          <w:tab w:pos="639" w:val="left" w:leader="none"/>
        </w:tabs>
        <w:spacing w:line="240" w:lineRule="auto" w:before="0" w:after="0"/>
        <w:ind w:left="160" w:right="496" w:firstLine="0"/>
        <w:jc w:val="both"/>
        <w:rPr>
          <w:sz w:val="24"/>
        </w:rPr>
      </w:pPr>
      <w:r>
        <w:rPr>
          <w:sz w:val="24"/>
        </w:rPr>
        <w:t>It would be desirable to set up a few institutions, both at the school and university levels, with some of the important world languages as media of education.</w:t>
      </w:r>
    </w:p>
    <w:p>
      <w:pPr>
        <w:pStyle w:val="BodyText"/>
        <w:spacing w:before="5"/>
      </w:pPr>
    </w:p>
    <w:p>
      <w:pPr>
        <w:pStyle w:val="ListParagraph"/>
        <w:numPr>
          <w:ilvl w:val="1"/>
          <w:numId w:val="17"/>
        </w:numPr>
        <w:tabs>
          <w:tab w:pos="653" w:val="left" w:leader="none"/>
        </w:tabs>
        <w:spacing w:line="240" w:lineRule="auto" w:before="0" w:after="0"/>
        <w:ind w:left="160" w:right="495" w:firstLine="0"/>
        <w:jc w:val="both"/>
        <w:rPr>
          <w:sz w:val="24"/>
        </w:rPr>
      </w:pPr>
      <w:r>
        <w:rPr>
          <w:sz w:val="24"/>
        </w:rPr>
        <w:t>English will serve as a link language in higher education for academic work and intellectual inter-communication. It is, however, equally obvious that English cannot serve as the link language for the majority of the people. It is only Hindi which can and should take this place in due course. As it is the official language of the Union and the link language of the people all measures should be adopted to spread it in the non-Hindi </w:t>
      </w:r>
      <w:r>
        <w:rPr>
          <w:spacing w:val="-2"/>
          <w:sz w:val="24"/>
        </w:rPr>
        <w:t>areas.</w:t>
      </w:r>
    </w:p>
    <w:p>
      <w:pPr>
        <w:pStyle w:val="BodyText"/>
        <w:spacing w:before="4"/>
      </w:pPr>
    </w:p>
    <w:p>
      <w:pPr>
        <w:pStyle w:val="ListParagraph"/>
        <w:numPr>
          <w:ilvl w:val="1"/>
          <w:numId w:val="17"/>
        </w:numPr>
        <w:tabs>
          <w:tab w:pos="680" w:val="left" w:leader="none"/>
        </w:tabs>
        <w:spacing w:line="240" w:lineRule="auto" w:before="0" w:after="0"/>
        <w:ind w:left="160" w:right="495" w:firstLine="0"/>
        <w:jc w:val="both"/>
        <w:rPr>
          <w:sz w:val="24"/>
        </w:rPr>
      </w:pPr>
      <w:r>
        <w:rPr>
          <w:sz w:val="24"/>
        </w:rPr>
        <w:t>In addition to Hindi, it is essential to provide multiple channels of inter-State communication in all modern Indian languages. In every linguistic region, there should</w:t>
      </w:r>
      <w:r>
        <w:rPr>
          <w:spacing w:val="40"/>
          <w:sz w:val="24"/>
        </w:rPr>
        <w:t> </w:t>
      </w:r>
      <w:r>
        <w:rPr>
          <w:sz w:val="24"/>
        </w:rPr>
        <w:t>be a number of persons who know the other modern Indian languages and some who are familiar with their literature and able to contribute to them. For this purpose, there should be adequate arrangements, both in schools and colleges, for teaching different modern Indian languages. In addition, steps should be taken to establish efficient departments in some of the modern Indian languages in every university. At the B.A. and M.A. levels, it should be possible to combine two modern Indian languages. 1.49-62</w:t>
      </w:r>
    </w:p>
    <w:p>
      <w:pPr>
        <w:pStyle w:val="BodyText"/>
        <w:spacing w:before="3"/>
      </w:pPr>
    </w:p>
    <w:p>
      <w:pPr>
        <w:pStyle w:val="ListParagraph"/>
        <w:numPr>
          <w:ilvl w:val="1"/>
          <w:numId w:val="17"/>
        </w:numPr>
        <w:tabs>
          <w:tab w:pos="652" w:val="left" w:leader="none"/>
        </w:tabs>
        <w:spacing w:line="240" w:lineRule="auto" w:before="1" w:after="0"/>
        <w:ind w:left="160" w:right="496" w:firstLine="0"/>
        <w:jc w:val="both"/>
        <w:rPr>
          <w:b/>
          <w:sz w:val="24"/>
        </w:rPr>
      </w:pPr>
      <w:r>
        <w:rPr>
          <w:b/>
          <w:sz w:val="24"/>
        </w:rPr>
        <w:t>Promotion of National Consciousness. </w:t>
      </w:r>
      <w:r>
        <w:rPr>
          <w:sz w:val="24"/>
        </w:rPr>
        <w:t>Promoting national consciousness should be an important objective of the school system. This should be attempted through the promotion of understanding and re-evaluation of our cultural heritage and the creation of a strong driving faith in the future towards which we aspire:</w:t>
      </w:r>
    </w:p>
    <w:p>
      <w:pPr>
        <w:pStyle w:val="BodyText"/>
        <w:spacing w:before="3"/>
      </w:pPr>
    </w:p>
    <w:p>
      <w:pPr>
        <w:pStyle w:val="ListParagraph"/>
        <w:numPr>
          <w:ilvl w:val="0"/>
          <w:numId w:val="19"/>
        </w:numPr>
        <w:tabs>
          <w:tab w:pos="557" w:val="left" w:leader="none"/>
        </w:tabs>
        <w:spacing w:line="240" w:lineRule="auto" w:before="0" w:after="0"/>
        <w:ind w:left="160" w:right="496" w:firstLine="0"/>
        <w:jc w:val="both"/>
        <w:rPr>
          <w:sz w:val="24"/>
        </w:rPr>
      </w:pPr>
      <w:r>
        <w:rPr>
          <w:sz w:val="24"/>
        </w:rPr>
        <w:t>The first would be promoted by well-organized teaching of the languages and literatures, philosophy, religions and history of India, and by introducing the students to Indian architect-lure, sculpture, painting, music, dance and drama. in addition, it would</w:t>
      </w:r>
      <w:r>
        <w:rPr>
          <w:spacing w:val="40"/>
          <w:sz w:val="24"/>
        </w:rPr>
        <w:t> </w:t>
      </w:r>
      <w:r>
        <w:rPr>
          <w:sz w:val="24"/>
        </w:rPr>
        <w:t>be desirable to promote greater knowledge, understanding and appreciation of the different parts of India by including their study in the curricula, by the exchange of teachers wherever possible, by the development of fraternal relations between</w:t>
      </w:r>
      <w:r>
        <w:rPr>
          <w:spacing w:val="80"/>
          <w:sz w:val="24"/>
        </w:rPr>
        <w:t> </w:t>
      </w:r>
      <w:r>
        <w:rPr>
          <w:sz w:val="24"/>
        </w:rPr>
        <w:t>educational institutions in different parts of the country, and the organization of holiday camps and summer schools on all inter State basis designed to break down regional or linguistic barriers.</w:t>
      </w:r>
    </w:p>
    <w:p>
      <w:pPr>
        <w:pStyle w:val="BodyText"/>
        <w:spacing w:before="4"/>
      </w:pPr>
    </w:p>
    <w:p>
      <w:pPr>
        <w:pStyle w:val="ListParagraph"/>
        <w:numPr>
          <w:ilvl w:val="0"/>
          <w:numId w:val="19"/>
        </w:numPr>
        <w:tabs>
          <w:tab w:pos="511" w:val="left" w:leader="none"/>
        </w:tabs>
        <w:spacing w:line="240" w:lineRule="auto" w:before="0" w:after="0"/>
        <w:ind w:left="160" w:right="495" w:firstLine="0"/>
        <w:jc w:val="both"/>
        <w:rPr>
          <w:sz w:val="24"/>
        </w:rPr>
      </w:pPr>
      <w:r>
        <w:rPr>
          <w:sz w:val="24"/>
        </w:rPr>
        <w:t>Creation of a faith in the future would involve an attempt, as a part of the courses in citizenship, to bring home to the students the principles of the Constitution, the great human values referred to in its Preamble, the nature of the democratic socialistic society which we desire to create and the Five Year Plans of national development.</w:t>
      </w:r>
    </w:p>
    <w:p>
      <w:pPr>
        <w:pStyle w:val="BodyText"/>
        <w:spacing w:before="5"/>
      </w:pPr>
    </w:p>
    <w:p>
      <w:pPr>
        <w:pStyle w:val="ListParagraph"/>
        <w:numPr>
          <w:ilvl w:val="1"/>
          <w:numId w:val="17"/>
        </w:numPr>
        <w:tabs>
          <w:tab w:pos="638" w:val="left" w:leader="none"/>
        </w:tabs>
        <w:spacing w:line="240" w:lineRule="auto" w:before="0" w:after="0"/>
        <w:ind w:left="160" w:right="497" w:firstLine="0"/>
        <w:jc w:val="both"/>
        <w:rPr>
          <w:sz w:val="24"/>
        </w:rPr>
      </w:pPr>
      <w:r>
        <w:rPr>
          <w:sz w:val="24"/>
        </w:rPr>
        <w:t>There is no contradiction between the promotion of national consciousness and the development</w:t>
      </w:r>
      <w:r>
        <w:rPr>
          <w:spacing w:val="-5"/>
          <w:sz w:val="24"/>
        </w:rPr>
        <w:t> </w:t>
      </w:r>
      <w:r>
        <w:rPr>
          <w:sz w:val="24"/>
        </w:rPr>
        <w:t>of</w:t>
      </w:r>
      <w:r>
        <w:rPr>
          <w:spacing w:val="-5"/>
          <w:sz w:val="24"/>
        </w:rPr>
        <w:t> </w:t>
      </w:r>
      <w:r>
        <w:rPr>
          <w:sz w:val="24"/>
        </w:rPr>
        <w:t>international</w:t>
      </w:r>
      <w:r>
        <w:rPr>
          <w:spacing w:val="-5"/>
          <w:sz w:val="24"/>
        </w:rPr>
        <w:t> </w:t>
      </w:r>
      <w:r>
        <w:rPr>
          <w:sz w:val="24"/>
        </w:rPr>
        <w:t>understanding</w:t>
      </w:r>
      <w:r>
        <w:rPr>
          <w:spacing w:val="-5"/>
          <w:sz w:val="24"/>
        </w:rPr>
        <w:t> </w:t>
      </w:r>
      <w:r>
        <w:rPr>
          <w:sz w:val="24"/>
        </w:rPr>
        <w:t>which</w:t>
      </w:r>
      <w:r>
        <w:rPr>
          <w:spacing w:val="-5"/>
          <w:sz w:val="24"/>
        </w:rPr>
        <w:t> </w:t>
      </w:r>
      <w:r>
        <w:rPr>
          <w:sz w:val="24"/>
        </w:rPr>
        <w:t>education</w:t>
      </w:r>
      <w:r>
        <w:rPr>
          <w:spacing w:val="-5"/>
          <w:sz w:val="24"/>
        </w:rPr>
        <w:t> </w:t>
      </w:r>
      <w:r>
        <w:rPr>
          <w:sz w:val="24"/>
        </w:rPr>
        <w:t>should</w:t>
      </w:r>
      <w:r>
        <w:rPr>
          <w:spacing w:val="-5"/>
          <w:sz w:val="24"/>
        </w:rPr>
        <w:t> </w:t>
      </w:r>
      <w:r>
        <w:rPr>
          <w:sz w:val="24"/>
        </w:rPr>
        <w:t>simultaneously</w:t>
      </w:r>
      <w:r>
        <w:rPr>
          <w:spacing w:val="-5"/>
          <w:sz w:val="24"/>
        </w:rPr>
        <w:t> </w:t>
      </w:r>
      <w:r>
        <w:rPr>
          <w:sz w:val="24"/>
        </w:rPr>
        <w:t>strive to promote.</w:t>
      </w:r>
    </w:p>
    <w:p>
      <w:pPr>
        <w:spacing w:after="0" w:line="240" w:lineRule="auto"/>
        <w:jc w:val="both"/>
        <w:rPr>
          <w:sz w:val="24"/>
        </w:rPr>
        <w:sectPr>
          <w:pgSz w:w="12240" w:h="15840"/>
          <w:pgMar w:header="0" w:footer="743" w:top="1360" w:bottom="940" w:left="1640" w:right="1300"/>
        </w:sectPr>
      </w:pPr>
    </w:p>
    <w:p>
      <w:pPr>
        <w:pStyle w:val="ListParagraph"/>
        <w:numPr>
          <w:ilvl w:val="1"/>
          <w:numId w:val="17"/>
        </w:numPr>
        <w:tabs>
          <w:tab w:pos="626" w:val="left" w:leader="none"/>
        </w:tabs>
        <w:spacing w:line="240" w:lineRule="auto" w:before="76" w:after="0"/>
        <w:ind w:left="160" w:right="497" w:firstLine="0"/>
        <w:jc w:val="both"/>
        <w:rPr>
          <w:sz w:val="24"/>
        </w:rPr>
      </w:pPr>
      <w:r>
        <w:rPr>
          <w:sz w:val="24"/>
        </w:rPr>
        <w:t>The educational programme in schools and colleges should be designed to inculcate democratic values. 1.63-68</w:t>
      </w:r>
    </w:p>
    <w:p>
      <w:pPr>
        <w:pStyle w:val="BodyText"/>
        <w:spacing w:before="4"/>
      </w:pPr>
    </w:p>
    <w:p>
      <w:pPr>
        <w:pStyle w:val="ListParagraph"/>
        <w:numPr>
          <w:ilvl w:val="0"/>
          <w:numId w:val="17"/>
        </w:numPr>
        <w:tabs>
          <w:tab w:pos="381" w:val="left" w:leader="none"/>
        </w:tabs>
        <w:spacing w:line="240" w:lineRule="auto" w:before="0" w:after="0"/>
        <w:ind w:left="159" w:right="496" w:firstLine="0"/>
        <w:jc w:val="both"/>
        <w:rPr>
          <w:b/>
          <w:sz w:val="24"/>
        </w:rPr>
      </w:pPr>
      <w:r>
        <w:rPr>
          <w:b/>
          <w:sz w:val="24"/>
        </w:rPr>
        <w:t>Education and Modernization. </w:t>
      </w:r>
      <w:r>
        <w:rPr>
          <w:sz w:val="24"/>
        </w:rPr>
        <w:t>(1) In a modern society, knowledge increases at a terrific pace and social change is very rapid. This needs a radical transformation in the educational system. Education is no longer taken as concerned primarily with the imparting</w:t>
      </w:r>
      <w:r>
        <w:rPr>
          <w:spacing w:val="-2"/>
          <w:sz w:val="24"/>
        </w:rPr>
        <w:t> </w:t>
      </w:r>
      <w:r>
        <w:rPr>
          <w:sz w:val="24"/>
        </w:rPr>
        <w:t>of</w:t>
      </w:r>
      <w:r>
        <w:rPr>
          <w:spacing w:val="-2"/>
          <w:sz w:val="24"/>
        </w:rPr>
        <w:t> </w:t>
      </w:r>
      <w:r>
        <w:rPr>
          <w:sz w:val="24"/>
        </w:rPr>
        <w:t>know-</w:t>
      </w:r>
      <w:r>
        <w:rPr>
          <w:spacing w:val="-2"/>
          <w:sz w:val="24"/>
        </w:rPr>
        <w:t> </w:t>
      </w:r>
      <w:r>
        <w:rPr>
          <w:sz w:val="24"/>
        </w:rPr>
        <w:t>ledge</w:t>
      </w:r>
      <w:r>
        <w:rPr>
          <w:spacing w:val="-2"/>
          <w:sz w:val="24"/>
        </w:rPr>
        <w:t> </w:t>
      </w:r>
      <w:r>
        <w:rPr>
          <w:sz w:val="24"/>
        </w:rPr>
        <w:t>or</w:t>
      </w:r>
      <w:r>
        <w:rPr>
          <w:spacing w:val="-2"/>
          <w:sz w:val="24"/>
        </w:rPr>
        <w:t> </w:t>
      </w:r>
      <w:r>
        <w:rPr>
          <w:sz w:val="24"/>
        </w:rPr>
        <w:t>the</w:t>
      </w:r>
      <w:r>
        <w:rPr>
          <w:spacing w:val="-5"/>
          <w:sz w:val="24"/>
        </w:rPr>
        <w:t> </w:t>
      </w:r>
      <w:r>
        <w:rPr>
          <w:sz w:val="24"/>
        </w:rPr>
        <w:t>preparation</w:t>
      </w:r>
      <w:r>
        <w:rPr>
          <w:spacing w:val="-3"/>
          <w:sz w:val="24"/>
        </w:rPr>
        <w:t> </w:t>
      </w:r>
      <w:r>
        <w:rPr>
          <w:sz w:val="24"/>
        </w:rPr>
        <w:t>of</w:t>
      </w:r>
      <w:r>
        <w:rPr>
          <w:spacing w:val="-3"/>
          <w:sz w:val="24"/>
        </w:rPr>
        <w:t> </w:t>
      </w:r>
      <w:r>
        <w:rPr>
          <w:sz w:val="24"/>
        </w:rPr>
        <w:t>a</w:t>
      </w:r>
      <w:r>
        <w:rPr>
          <w:spacing w:val="-3"/>
          <w:sz w:val="24"/>
        </w:rPr>
        <w:t> </w:t>
      </w:r>
      <w:r>
        <w:rPr>
          <w:sz w:val="24"/>
        </w:rPr>
        <w:t>finished</w:t>
      </w:r>
      <w:r>
        <w:rPr>
          <w:spacing w:val="-3"/>
          <w:sz w:val="24"/>
        </w:rPr>
        <w:t> </w:t>
      </w:r>
      <w:r>
        <w:rPr>
          <w:sz w:val="24"/>
        </w:rPr>
        <w:t>product,</w:t>
      </w:r>
      <w:r>
        <w:rPr>
          <w:spacing w:val="-2"/>
          <w:sz w:val="24"/>
        </w:rPr>
        <w:t> </w:t>
      </w:r>
      <w:r>
        <w:rPr>
          <w:sz w:val="24"/>
        </w:rPr>
        <w:t>but</w:t>
      </w:r>
      <w:r>
        <w:rPr>
          <w:spacing w:val="-2"/>
          <w:sz w:val="24"/>
        </w:rPr>
        <w:t> </w:t>
      </w:r>
      <w:r>
        <w:rPr>
          <w:sz w:val="24"/>
        </w:rPr>
        <w:t>with</w:t>
      </w:r>
      <w:r>
        <w:rPr>
          <w:spacing w:val="-2"/>
          <w:sz w:val="24"/>
        </w:rPr>
        <w:t> </w:t>
      </w:r>
      <w:r>
        <w:rPr>
          <w:sz w:val="24"/>
        </w:rPr>
        <w:t>the</w:t>
      </w:r>
      <w:r>
        <w:rPr>
          <w:spacing w:val="-2"/>
          <w:sz w:val="24"/>
        </w:rPr>
        <w:t> </w:t>
      </w:r>
      <w:r>
        <w:rPr>
          <w:sz w:val="24"/>
        </w:rPr>
        <w:t>awakening of curiosity, the development of proper interests, attitudes and values and the building up of such essential skills such as independent study and the capacity to think and judge for oneself. This also involves a radical alteration in the methods of teaching and in the training of teachers.</w:t>
      </w:r>
    </w:p>
    <w:p>
      <w:pPr>
        <w:pStyle w:val="BodyText"/>
        <w:spacing w:before="4"/>
      </w:pPr>
    </w:p>
    <w:p>
      <w:pPr>
        <w:pStyle w:val="BodyText"/>
        <w:ind w:left="159" w:right="496"/>
        <w:jc w:val="both"/>
      </w:pPr>
      <w:r>
        <w:rPr/>
        <w:t>(2) To modernize itself, a society has to educate itself. Apart from raising the educational level of the average citizen, it must try to create an intelligentsia of adequate size and competence, which comes from all strata of society and whose loyalties and aspirations are rooted to the Indian soil. 1.69-73</w:t>
      </w:r>
    </w:p>
    <w:p>
      <w:pPr>
        <w:pStyle w:val="BodyText"/>
        <w:spacing w:before="5"/>
      </w:pPr>
    </w:p>
    <w:p>
      <w:pPr>
        <w:pStyle w:val="ListParagraph"/>
        <w:numPr>
          <w:ilvl w:val="0"/>
          <w:numId w:val="17"/>
        </w:numPr>
        <w:tabs>
          <w:tab w:pos="391" w:val="left" w:leader="none"/>
        </w:tabs>
        <w:spacing w:line="240" w:lineRule="auto" w:before="0" w:after="0"/>
        <w:ind w:left="159" w:right="499" w:firstLine="0"/>
        <w:jc w:val="both"/>
        <w:rPr>
          <w:b/>
          <w:sz w:val="24"/>
        </w:rPr>
      </w:pPr>
      <w:r>
        <w:rPr>
          <w:b/>
          <w:sz w:val="24"/>
        </w:rPr>
        <w:t>Social, Moral and Spiritual Values</w:t>
      </w:r>
      <w:r>
        <w:rPr>
          <w:sz w:val="24"/>
        </w:rPr>
        <w:t>. The education system should emphasize the development of fundamental social, moral and spiritual values. From this point of view:</w:t>
      </w:r>
    </w:p>
    <w:p>
      <w:pPr>
        <w:pStyle w:val="BodyText"/>
        <w:spacing w:before="3"/>
      </w:pPr>
    </w:p>
    <w:p>
      <w:pPr>
        <w:pStyle w:val="ListParagraph"/>
        <w:numPr>
          <w:ilvl w:val="0"/>
          <w:numId w:val="20"/>
        </w:numPr>
        <w:tabs>
          <w:tab w:pos="506" w:val="left" w:leader="none"/>
        </w:tabs>
        <w:spacing w:line="240" w:lineRule="auto" w:before="1" w:after="0"/>
        <w:ind w:left="159" w:right="497" w:firstLine="0"/>
        <w:jc w:val="both"/>
        <w:rPr>
          <w:sz w:val="24"/>
        </w:rPr>
      </w:pPr>
      <w:r>
        <w:rPr>
          <w:sz w:val="24"/>
        </w:rPr>
        <w:t>the Central and State Governments should adopt measures to introduce education in moral, social and spiritual values in all institutions under their (or local authority) control on the lilies recommended by the University Education Commission and the Committee on Religious and Moral instruction;</w:t>
      </w:r>
    </w:p>
    <w:p>
      <w:pPr>
        <w:pStyle w:val="BodyText"/>
        <w:spacing w:before="4"/>
      </w:pPr>
    </w:p>
    <w:p>
      <w:pPr>
        <w:pStyle w:val="ListParagraph"/>
        <w:numPr>
          <w:ilvl w:val="0"/>
          <w:numId w:val="20"/>
        </w:numPr>
        <w:tabs>
          <w:tab w:pos="498" w:val="left" w:leader="none"/>
        </w:tabs>
        <w:spacing w:line="240" w:lineRule="auto" w:before="0" w:after="0"/>
        <w:ind w:left="498" w:right="0" w:hanging="339"/>
        <w:jc w:val="both"/>
        <w:rPr>
          <w:sz w:val="24"/>
        </w:rPr>
      </w:pPr>
      <w:r>
        <w:rPr>
          <w:sz w:val="24"/>
        </w:rPr>
        <w:t>the</w:t>
      </w:r>
      <w:r>
        <w:rPr>
          <w:spacing w:val="-1"/>
          <w:sz w:val="24"/>
        </w:rPr>
        <w:t> </w:t>
      </w:r>
      <w:r>
        <w:rPr>
          <w:sz w:val="24"/>
        </w:rPr>
        <w:t>privately</w:t>
      </w:r>
      <w:r>
        <w:rPr>
          <w:spacing w:val="-1"/>
          <w:sz w:val="24"/>
        </w:rPr>
        <w:t> </w:t>
      </w:r>
      <w:r>
        <w:rPr>
          <w:sz w:val="24"/>
        </w:rPr>
        <w:t>managed</w:t>
      </w:r>
      <w:r>
        <w:rPr>
          <w:spacing w:val="-1"/>
          <w:sz w:val="24"/>
        </w:rPr>
        <w:t> </w:t>
      </w:r>
      <w:r>
        <w:rPr>
          <w:sz w:val="24"/>
        </w:rPr>
        <w:t>institutions</w:t>
      </w:r>
      <w:r>
        <w:rPr>
          <w:spacing w:val="-1"/>
          <w:sz w:val="24"/>
        </w:rPr>
        <w:t> </w:t>
      </w:r>
      <w:r>
        <w:rPr>
          <w:sz w:val="24"/>
        </w:rPr>
        <w:t>should</w:t>
      </w:r>
      <w:r>
        <w:rPr>
          <w:spacing w:val="-1"/>
          <w:sz w:val="24"/>
        </w:rPr>
        <w:t> </w:t>
      </w:r>
      <w:r>
        <w:rPr>
          <w:sz w:val="24"/>
        </w:rPr>
        <w:t>also</w:t>
      </w:r>
      <w:r>
        <w:rPr>
          <w:spacing w:val="-2"/>
          <w:sz w:val="24"/>
        </w:rPr>
        <w:t> </w:t>
      </w:r>
      <w:r>
        <w:rPr>
          <w:sz w:val="24"/>
        </w:rPr>
        <w:t>be</w:t>
      </w:r>
      <w:r>
        <w:rPr>
          <w:spacing w:val="-1"/>
          <w:sz w:val="24"/>
        </w:rPr>
        <w:t> </w:t>
      </w:r>
      <w:r>
        <w:rPr>
          <w:sz w:val="24"/>
        </w:rPr>
        <w:t>expected</w:t>
      </w:r>
      <w:r>
        <w:rPr>
          <w:spacing w:val="-1"/>
          <w:sz w:val="24"/>
        </w:rPr>
        <w:t> </w:t>
      </w:r>
      <w:r>
        <w:rPr>
          <w:sz w:val="24"/>
        </w:rPr>
        <w:t>to</w:t>
      </w:r>
      <w:r>
        <w:rPr>
          <w:spacing w:val="-1"/>
          <w:sz w:val="24"/>
        </w:rPr>
        <w:t> </w:t>
      </w:r>
      <w:r>
        <w:rPr>
          <w:sz w:val="24"/>
        </w:rPr>
        <w:t>follow</w:t>
      </w:r>
      <w:r>
        <w:rPr>
          <w:spacing w:val="-1"/>
          <w:sz w:val="24"/>
        </w:rPr>
        <w:t> </w:t>
      </w:r>
      <w:r>
        <w:rPr>
          <w:spacing w:val="-2"/>
          <w:sz w:val="24"/>
        </w:rPr>
        <w:t>suit;</w:t>
      </w:r>
    </w:p>
    <w:p>
      <w:pPr>
        <w:pStyle w:val="BodyText"/>
        <w:spacing w:before="4"/>
      </w:pPr>
    </w:p>
    <w:p>
      <w:pPr>
        <w:pStyle w:val="ListParagraph"/>
        <w:numPr>
          <w:ilvl w:val="0"/>
          <w:numId w:val="20"/>
        </w:numPr>
        <w:tabs>
          <w:tab w:pos="485" w:val="left" w:leader="none"/>
        </w:tabs>
        <w:spacing w:line="240" w:lineRule="auto" w:before="0" w:after="0"/>
        <w:ind w:left="159" w:right="494" w:firstLine="0"/>
        <w:jc w:val="both"/>
        <w:rPr>
          <w:sz w:val="24"/>
        </w:rPr>
      </w:pPr>
      <w:r>
        <w:rPr>
          <w:sz w:val="24"/>
        </w:rPr>
        <w:t>apart</w:t>
      </w:r>
      <w:r>
        <w:rPr>
          <w:spacing w:val="-3"/>
          <w:sz w:val="24"/>
        </w:rPr>
        <w:t> </w:t>
      </w:r>
      <w:r>
        <w:rPr>
          <w:sz w:val="24"/>
        </w:rPr>
        <w:t>from</w:t>
      </w:r>
      <w:r>
        <w:rPr>
          <w:spacing w:val="-3"/>
          <w:sz w:val="24"/>
        </w:rPr>
        <w:t> </w:t>
      </w:r>
      <w:r>
        <w:rPr>
          <w:sz w:val="24"/>
        </w:rPr>
        <w:t>education</w:t>
      </w:r>
      <w:r>
        <w:rPr>
          <w:spacing w:val="-3"/>
          <w:sz w:val="24"/>
        </w:rPr>
        <w:t> </w:t>
      </w:r>
      <w:r>
        <w:rPr>
          <w:sz w:val="24"/>
        </w:rPr>
        <w:t>in</w:t>
      </w:r>
      <w:r>
        <w:rPr>
          <w:spacing w:val="-3"/>
          <w:sz w:val="24"/>
        </w:rPr>
        <w:t> </w:t>
      </w:r>
      <w:r>
        <w:rPr>
          <w:sz w:val="24"/>
        </w:rPr>
        <w:t>such</w:t>
      </w:r>
      <w:r>
        <w:rPr>
          <w:spacing w:val="-3"/>
          <w:sz w:val="24"/>
        </w:rPr>
        <w:t> </w:t>
      </w:r>
      <w:r>
        <w:rPr>
          <w:sz w:val="24"/>
        </w:rPr>
        <w:t>values</w:t>
      </w:r>
      <w:r>
        <w:rPr>
          <w:spacing w:val="-3"/>
          <w:sz w:val="24"/>
        </w:rPr>
        <w:t> </w:t>
      </w:r>
      <w:r>
        <w:rPr>
          <w:sz w:val="24"/>
        </w:rPr>
        <w:t>being</w:t>
      </w:r>
      <w:r>
        <w:rPr>
          <w:spacing w:val="-3"/>
          <w:sz w:val="24"/>
        </w:rPr>
        <w:t> </w:t>
      </w:r>
      <w:r>
        <w:rPr>
          <w:sz w:val="24"/>
        </w:rPr>
        <w:t>made</w:t>
      </w:r>
      <w:r>
        <w:rPr>
          <w:spacing w:val="-3"/>
          <w:sz w:val="24"/>
        </w:rPr>
        <w:t> </w:t>
      </w:r>
      <w:r>
        <w:rPr>
          <w:sz w:val="24"/>
        </w:rPr>
        <w:t>an</w:t>
      </w:r>
      <w:r>
        <w:rPr>
          <w:spacing w:val="-3"/>
          <w:sz w:val="24"/>
        </w:rPr>
        <w:t> </w:t>
      </w:r>
      <w:r>
        <w:rPr>
          <w:sz w:val="24"/>
        </w:rPr>
        <w:t>integral</w:t>
      </w:r>
      <w:r>
        <w:rPr>
          <w:spacing w:val="-3"/>
          <w:sz w:val="24"/>
        </w:rPr>
        <w:t> </w:t>
      </w:r>
      <w:r>
        <w:rPr>
          <w:sz w:val="24"/>
        </w:rPr>
        <w:t>part</w:t>
      </w:r>
      <w:r>
        <w:rPr>
          <w:spacing w:val="-3"/>
          <w:sz w:val="24"/>
        </w:rPr>
        <w:t> </w:t>
      </w:r>
      <w:r>
        <w:rPr>
          <w:sz w:val="24"/>
        </w:rPr>
        <w:t>of</w:t>
      </w:r>
      <w:r>
        <w:rPr>
          <w:spacing w:val="-3"/>
          <w:sz w:val="24"/>
        </w:rPr>
        <w:t> </w:t>
      </w:r>
      <w:r>
        <w:rPr>
          <w:sz w:val="24"/>
        </w:rPr>
        <w:t>school</w:t>
      </w:r>
      <w:r>
        <w:rPr>
          <w:spacing w:val="-3"/>
          <w:sz w:val="24"/>
        </w:rPr>
        <w:t> </w:t>
      </w:r>
      <w:r>
        <w:rPr>
          <w:sz w:val="24"/>
        </w:rPr>
        <w:t>programmes generally, some periods should be set apart in the time-table for this purpose. They</w:t>
      </w:r>
      <w:r>
        <w:rPr>
          <w:spacing w:val="40"/>
          <w:sz w:val="24"/>
        </w:rPr>
        <w:t> </w:t>
      </w:r>
      <w:r>
        <w:rPr>
          <w:sz w:val="24"/>
        </w:rPr>
        <w:t>should be taken, not by specially recruited teachers but by general teachers, preferably from different communities, considered suitable for the purpose. It should be one of the important objectives of training institutions to prepare teachers for this:</w:t>
      </w:r>
    </w:p>
    <w:p>
      <w:pPr>
        <w:pStyle w:val="BodyText"/>
        <w:spacing w:before="4"/>
      </w:pPr>
    </w:p>
    <w:p>
      <w:pPr>
        <w:pStyle w:val="ListParagraph"/>
        <w:numPr>
          <w:ilvl w:val="0"/>
          <w:numId w:val="20"/>
        </w:numPr>
        <w:tabs>
          <w:tab w:pos="535" w:val="left" w:leader="none"/>
        </w:tabs>
        <w:spacing w:line="240" w:lineRule="auto" w:before="0" w:after="0"/>
        <w:ind w:left="159" w:right="497" w:firstLine="0"/>
        <w:jc w:val="both"/>
        <w:rPr>
          <w:sz w:val="24"/>
        </w:rPr>
      </w:pPr>
      <w:r>
        <w:rPr>
          <w:sz w:val="24"/>
        </w:rPr>
        <w:t>the university departments in Comparative Religion should be specially concerned with the ways in which these values can be taught wisely and effectively and should undertake preparation of special literature for use by students and teachers.</w:t>
      </w:r>
    </w:p>
    <w:p>
      <w:pPr>
        <w:pStyle w:val="BodyText"/>
        <w:spacing w:before="3"/>
      </w:pPr>
    </w:p>
    <w:p>
      <w:pPr>
        <w:pStyle w:val="ListParagraph"/>
        <w:numPr>
          <w:ilvl w:val="0"/>
          <w:numId w:val="17"/>
        </w:numPr>
        <w:tabs>
          <w:tab w:pos="363" w:val="left" w:leader="none"/>
        </w:tabs>
        <w:spacing w:line="240" w:lineRule="auto" w:before="1" w:after="0"/>
        <w:ind w:left="159" w:right="496" w:firstLine="0"/>
        <w:jc w:val="both"/>
        <w:rPr>
          <w:b/>
          <w:sz w:val="24"/>
        </w:rPr>
      </w:pPr>
      <w:r>
        <w:rPr>
          <w:b/>
          <w:sz w:val="24"/>
        </w:rPr>
        <w:t>Education about Religions. </w:t>
      </w:r>
      <w:r>
        <w:rPr>
          <w:sz w:val="24"/>
        </w:rPr>
        <w:t>It is necessary for a multi- religious democratic State to promote a tolerant study of all religions so that its citizens can understand each other better and live amicably together. A syllabus Living well chosen information about each of the major religions should be included as a part of the course in citizenship or as part</w:t>
      </w:r>
      <w:r>
        <w:rPr>
          <w:spacing w:val="40"/>
          <w:sz w:val="24"/>
        </w:rPr>
        <w:t> </w:t>
      </w:r>
      <w:r>
        <w:rPr>
          <w:sz w:val="24"/>
        </w:rPr>
        <w:t>of general education to be introduced in schools and colleges up to the first degree. It should highlight the fundamental similarities in the great religions of the world and the emphasis they place on the cultivation of certain broadly comparable moral and spiritual values.</w:t>
      </w:r>
      <w:r>
        <w:rPr>
          <w:spacing w:val="1"/>
          <w:sz w:val="24"/>
        </w:rPr>
        <w:t> </w:t>
      </w:r>
      <w:r>
        <w:rPr>
          <w:sz w:val="24"/>
        </w:rPr>
        <w:t>It</w:t>
      </w:r>
      <w:r>
        <w:rPr>
          <w:spacing w:val="2"/>
          <w:sz w:val="24"/>
        </w:rPr>
        <w:t> </w:t>
      </w:r>
      <w:r>
        <w:rPr>
          <w:sz w:val="24"/>
        </w:rPr>
        <w:t>would</w:t>
      </w:r>
      <w:r>
        <w:rPr>
          <w:spacing w:val="2"/>
          <w:sz w:val="24"/>
        </w:rPr>
        <w:t> </w:t>
      </w:r>
      <w:r>
        <w:rPr>
          <w:sz w:val="24"/>
        </w:rPr>
        <w:t>be</w:t>
      </w:r>
      <w:r>
        <w:rPr>
          <w:spacing w:val="2"/>
          <w:sz w:val="24"/>
        </w:rPr>
        <w:t> </w:t>
      </w:r>
      <w:r>
        <w:rPr>
          <w:sz w:val="24"/>
        </w:rPr>
        <w:t>a</w:t>
      </w:r>
      <w:r>
        <w:rPr>
          <w:spacing w:val="2"/>
          <w:sz w:val="24"/>
        </w:rPr>
        <w:t> </w:t>
      </w:r>
      <w:r>
        <w:rPr>
          <w:sz w:val="24"/>
        </w:rPr>
        <w:t>great</w:t>
      </w:r>
      <w:r>
        <w:rPr>
          <w:spacing w:val="2"/>
          <w:sz w:val="24"/>
        </w:rPr>
        <w:t> </w:t>
      </w:r>
      <w:r>
        <w:rPr>
          <w:sz w:val="24"/>
        </w:rPr>
        <w:t>advantage</w:t>
      </w:r>
      <w:r>
        <w:rPr>
          <w:spacing w:val="2"/>
          <w:sz w:val="24"/>
        </w:rPr>
        <w:t> </w:t>
      </w:r>
      <w:r>
        <w:rPr>
          <w:sz w:val="24"/>
        </w:rPr>
        <w:t>to</w:t>
      </w:r>
      <w:r>
        <w:rPr>
          <w:spacing w:val="2"/>
          <w:sz w:val="24"/>
        </w:rPr>
        <w:t> </w:t>
      </w:r>
      <w:r>
        <w:rPr>
          <w:sz w:val="24"/>
        </w:rPr>
        <w:t>have a</w:t>
      </w:r>
      <w:r>
        <w:rPr>
          <w:spacing w:val="2"/>
          <w:sz w:val="24"/>
        </w:rPr>
        <w:t> </w:t>
      </w:r>
      <w:r>
        <w:rPr>
          <w:sz w:val="24"/>
        </w:rPr>
        <w:t>common</w:t>
      </w:r>
      <w:r>
        <w:rPr>
          <w:spacing w:val="2"/>
          <w:sz w:val="24"/>
        </w:rPr>
        <w:t> </w:t>
      </w:r>
      <w:r>
        <w:rPr>
          <w:sz w:val="24"/>
        </w:rPr>
        <w:t>course</w:t>
      </w:r>
      <w:r>
        <w:rPr>
          <w:spacing w:val="2"/>
          <w:sz w:val="24"/>
        </w:rPr>
        <w:t> </w:t>
      </w:r>
      <w:r>
        <w:rPr>
          <w:sz w:val="24"/>
        </w:rPr>
        <w:t>on</w:t>
      </w:r>
      <w:r>
        <w:rPr>
          <w:spacing w:val="2"/>
          <w:sz w:val="24"/>
        </w:rPr>
        <w:t> </w:t>
      </w:r>
      <w:r>
        <w:rPr>
          <w:sz w:val="24"/>
        </w:rPr>
        <w:t>this</w:t>
      </w:r>
      <w:r>
        <w:rPr>
          <w:spacing w:val="2"/>
          <w:sz w:val="24"/>
        </w:rPr>
        <w:t> </w:t>
      </w:r>
      <w:r>
        <w:rPr>
          <w:sz w:val="24"/>
        </w:rPr>
        <w:t>subject</w:t>
      </w:r>
      <w:r>
        <w:rPr>
          <w:spacing w:val="2"/>
          <w:sz w:val="24"/>
        </w:rPr>
        <w:t> </w:t>
      </w:r>
      <w:r>
        <w:rPr>
          <w:sz w:val="24"/>
        </w:rPr>
        <w:t>in</w:t>
      </w:r>
      <w:r>
        <w:rPr>
          <w:spacing w:val="2"/>
          <w:sz w:val="24"/>
        </w:rPr>
        <w:t> </w:t>
      </w:r>
      <w:r>
        <w:rPr>
          <w:sz w:val="24"/>
        </w:rPr>
        <w:t>all</w:t>
      </w:r>
      <w:r>
        <w:rPr>
          <w:spacing w:val="2"/>
          <w:sz w:val="24"/>
        </w:rPr>
        <w:t> </w:t>
      </w:r>
      <w:r>
        <w:rPr>
          <w:spacing w:val="-2"/>
          <w:sz w:val="24"/>
        </w:rPr>
        <w:t>parts</w:t>
      </w:r>
    </w:p>
    <w:p>
      <w:pPr>
        <w:spacing w:after="0" w:line="240" w:lineRule="auto"/>
        <w:jc w:val="both"/>
        <w:rPr>
          <w:sz w:val="24"/>
        </w:rPr>
        <w:sectPr>
          <w:pgSz w:w="12240" w:h="15840"/>
          <w:pgMar w:header="0" w:footer="743" w:top="1360" w:bottom="940" w:left="1640" w:right="1300"/>
        </w:sectPr>
      </w:pPr>
    </w:p>
    <w:p>
      <w:pPr>
        <w:pStyle w:val="BodyText"/>
        <w:spacing w:before="76"/>
        <w:ind w:left="159" w:right="510"/>
      </w:pPr>
      <w:r>
        <w:rPr/>
        <w:t>of the country and common textbooks which should be prepared at the national level by the competent and suitable experts in each religion. 1.74-80</w:t>
      </w:r>
    </w:p>
    <w:p>
      <w:pPr>
        <w:spacing w:after="0"/>
        <w:sectPr>
          <w:pgSz w:w="12240" w:h="15840"/>
          <w:pgMar w:header="0" w:footer="743" w:top="1360" w:bottom="940" w:left="1640" w:right="1300"/>
        </w:sectPr>
      </w:pPr>
    </w:p>
    <w:p>
      <w:pPr>
        <w:pStyle w:val="Heading1"/>
        <w:spacing w:before="79"/>
        <w:ind w:left="3523" w:right="3860"/>
      </w:pPr>
      <w:r>
        <w:rPr/>
        <w:t>CHAPTER </w:t>
      </w:r>
      <w:r>
        <w:rPr>
          <w:spacing w:val="-5"/>
        </w:rPr>
        <w:t>II</w:t>
      </w:r>
    </w:p>
    <w:p>
      <w:pPr>
        <w:pStyle w:val="BodyText"/>
        <w:rPr>
          <w:b/>
        </w:rPr>
      </w:pPr>
    </w:p>
    <w:p>
      <w:pPr>
        <w:spacing w:before="0"/>
        <w:ind w:left="290" w:right="629" w:firstLine="0"/>
        <w:jc w:val="center"/>
        <w:rPr>
          <w:b/>
          <w:sz w:val="24"/>
        </w:rPr>
      </w:pPr>
      <w:r>
        <w:rPr>
          <w:b/>
          <w:sz w:val="24"/>
        </w:rPr>
        <w:t>THE</w:t>
      </w:r>
      <w:r>
        <w:rPr>
          <w:b/>
          <w:spacing w:val="-8"/>
          <w:sz w:val="24"/>
        </w:rPr>
        <w:t> </w:t>
      </w:r>
      <w:r>
        <w:rPr>
          <w:b/>
          <w:sz w:val="24"/>
        </w:rPr>
        <w:t>EDUCATIONAL</w:t>
      </w:r>
      <w:r>
        <w:rPr>
          <w:b/>
          <w:spacing w:val="-6"/>
          <w:sz w:val="24"/>
        </w:rPr>
        <w:t> </w:t>
      </w:r>
      <w:r>
        <w:rPr>
          <w:b/>
          <w:sz w:val="24"/>
        </w:rPr>
        <w:t>SYSTEM</w:t>
      </w:r>
      <w:r>
        <w:rPr>
          <w:b/>
          <w:spacing w:val="-4"/>
          <w:sz w:val="24"/>
        </w:rPr>
        <w:t> </w:t>
      </w:r>
      <w:r>
        <w:rPr>
          <w:b/>
          <w:sz w:val="24"/>
        </w:rPr>
        <w:t>STRUCTURE</w:t>
      </w:r>
      <w:r>
        <w:rPr>
          <w:b/>
          <w:spacing w:val="-6"/>
          <w:sz w:val="24"/>
        </w:rPr>
        <w:t> </w:t>
      </w:r>
      <w:r>
        <w:rPr>
          <w:b/>
          <w:sz w:val="24"/>
        </w:rPr>
        <w:t>AND</w:t>
      </w:r>
      <w:r>
        <w:rPr>
          <w:b/>
          <w:spacing w:val="-5"/>
          <w:sz w:val="24"/>
        </w:rPr>
        <w:t> </w:t>
      </w:r>
      <w:r>
        <w:rPr>
          <w:b/>
          <w:spacing w:val="-2"/>
          <w:sz w:val="24"/>
        </w:rPr>
        <w:t>STANDARDS</w:t>
      </w:r>
    </w:p>
    <w:p>
      <w:pPr>
        <w:pStyle w:val="BodyText"/>
        <w:rPr>
          <w:b/>
        </w:rPr>
      </w:pPr>
    </w:p>
    <w:p>
      <w:pPr>
        <w:pStyle w:val="BodyText"/>
        <w:spacing w:before="2"/>
        <w:rPr>
          <w:b/>
        </w:rPr>
      </w:pPr>
    </w:p>
    <w:p>
      <w:pPr>
        <w:pStyle w:val="ListParagraph"/>
        <w:numPr>
          <w:ilvl w:val="1"/>
          <w:numId w:val="21"/>
        </w:numPr>
        <w:tabs>
          <w:tab w:pos="709" w:val="left" w:leader="none"/>
        </w:tabs>
        <w:spacing w:line="240" w:lineRule="auto" w:before="0" w:after="0"/>
        <w:ind w:left="159" w:right="497" w:firstLine="0"/>
        <w:jc w:val="both"/>
        <w:rPr>
          <w:sz w:val="24"/>
        </w:rPr>
      </w:pPr>
      <w:r>
        <w:rPr>
          <w:sz w:val="24"/>
        </w:rPr>
        <w:t>In this chapter we shall deal mainly with the structure or the pattern of the educational course, the duration of the total course and of its different stages, better utilization of time and other educational facilities, the necessity of continually raising standards at all stages and the provision of all the three channels of education-full-time, part time and own-time'-on an adequate scale.</w:t>
      </w:r>
    </w:p>
    <w:p>
      <w:pPr>
        <w:pStyle w:val="BodyText"/>
        <w:spacing w:before="3"/>
      </w:pPr>
    </w:p>
    <w:p>
      <w:pPr>
        <w:pStyle w:val="ListParagraph"/>
        <w:numPr>
          <w:ilvl w:val="1"/>
          <w:numId w:val="21"/>
        </w:numPr>
        <w:tabs>
          <w:tab w:pos="645" w:val="left" w:leader="none"/>
        </w:tabs>
        <w:spacing w:line="240" w:lineRule="auto" w:before="0" w:after="0"/>
        <w:ind w:left="159" w:right="496" w:firstLine="0"/>
        <w:jc w:val="both"/>
        <w:rPr>
          <w:sz w:val="24"/>
        </w:rPr>
      </w:pPr>
      <w:r>
        <w:rPr>
          <w:sz w:val="24"/>
        </w:rPr>
        <w:t>To begin with, we would like to state our approach to the problems of structure and standards. The standards in any given system of education at a given time depend upon four elements: (1) the structure or the division of the educational pyramid into different levels or</w:t>
      </w:r>
      <w:r>
        <w:rPr>
          <w:spacing w:val="-1"/>
          <w:sz w:val="24"/>
        </w:rPr>
        <w:t> </w:t>
      </w:r>
      <w:r>
        <w:rPr>
          <w:sz w:val="24"/>
        </w:rPr>
        <w:t>stages and</w:t>
      </w:r>
      <w:r>
        <w:rPr>
          <w:spacing w:val="-1"/>
          <w:sz w:val="24"/>
        </w:rPr>
        <w:t> </w:t>
      </w:r>
      <w:r>
        <w:rPr>
          <w:sz w:val="24"/>
        </w:rPr>
        <w:t>their interrelationships;</w:t>
      </w:r>
      <w:r>
        <w:rPr>
          <w:spacing w:val="-1"/>
          <w:sz w:val="24"/>
        </w:rPr>
        <w:t> </w:t>
      </w:r>
      <w:r>
        <w:rPr>
          <w:sz w:val="24"/>
        </w:rPr>
        <w:t>(2) the</w:t>
      </w:r>
      <w:r>
        <w:rPr>
          <w:spacing w:val="-1"/>
          <w:sz w:val="24"/>
        </w:rPr>
        <w:t> </w:t>
      </w:r>
      <w:r>
        <w:rPr>
          <w:sz w:val="24"/>
        </w:rPr>
        <w:t>duration</w:t>
      </w:r>
      <w:r>
        <w:rPr>
          <w:spacing w:val="-1"/>
          <w:sz w:val="24"/>
        </w:rPr>
        <w:t> </w:t>
      </w:r>
      <w:r>
        <w:rPr>
          <w:sz w:val="24"/>
        </w:rPr>
        <w:t>or</w:t>
      </w:r>
      <w:r>
        <w:rPr>
          <w:spacing w:val="-1"/>
          <w:sz w:val="24"/>
        </w:rPr>
        <w:t> </w:t>
      </w:r>
      <w:r>
        <w:rPr>
          <w:sz w:val="24"/>
        </w:rPr>
        <w:t>total</w:t>
      </w:r>
      <w:r>
        <w:rPr>
          <w:spacing w:val="-1"/>
          <w:sz w:val="24"/>
        </w:rPr>
        <w:t> </w:t>
      </w:r>
      <w:r>
        <w:rPr>
          <w:sz w:val="24"/>
        </w:rPr>
        <w:t>period</w:t>
      </w:r>
      <w:r>
        <w:rPr>
          <w:spacing w:val="-1"/>
          <w:sz w:val="24"/>
        </w:rPr>
        <w:t> </w:t>
      </w:r>
      <w:r>
        <w:rPr>
          <w:sz w:val="24"/>
        </w:rPr>
        <w:t>covered</w:t>
      </w:r>
      <w:r>
        <w:rPr>
          <w:spacing w:val="-1"/>
          <w:sz w:val="24"/>
        </w:rPr>
        <w:t> </w:t>
      </w:r>
      <w:r>
        <w:rPr>
          <w:sz w:val="24"/>
        </w:rPr>
        <w:t>by</w:t>
      </w:r>
      <w:r>
        <w:rPr>
          <w:spacing w:val="-1"/>
          <w:sz w:val="24"/>
        </w:rPr>
        <w:t> </w:t>
      </w:r>
      <w:r>
        <w:rPr>
          <w:sz w:val="24"/>
        </w:rPr>
        <w:t>the different stages; (3) the extent and quality of essential inputs such as teachers, curricula, methods of teaching and evaluation, equipment and buildings; and (4) the utilization of available facilities. All these elements are interrelated, but they are not of equal significance. For instance, the structure, which may be regarded as the skeleton of the educational system, is of the least importance. The duration or total period of education plays a more significant role; but it becomes crucial only when the available facilities are utilized to the full and no further improvement can be expected without the addition of time. The quality of different inputs is even more important, and with an improvement in these, it is possible to raise the standards considerably without affecting the structure or increasing the duration. But the utilization of available facilities is probably the most significant of all the elements on which standards depend. For any self-accelerating process of development, it is essential in the first place to improve efficiency at the level of the existing inputs and to add more inputs only if they are crucial to the process. An increase of inputs assumes significance only at a later stage.</w:t>
      </w:r>
    </w:p>
    <w:p>
      <w:pPr>
        <w:pStyle w:val="BodyText"/>
        <w:spacing w:before="4"/>
      </w:pPr>
    </w:p>
    <w:p>
      <w:pPr>
        <w:pStyle w:val="ListParagraph"/>
        <w:numPr>
          <w:ilvl w:val="1"/>
          <w:numId w:val="21"/>
        </w:numPr>
        <w:tabs>
          <w:tab w:pos="647" w:val="left" w:leader="none"/>
        </w:tabs>
        <w:spacing w:line="240" w:lineRule="auto" w:before="0" w:after="0"/>
        <w:ind w:left="159" w:right="494" w:firstLine="0"/>
        <w:jc w:val="both"/>
        <w:rPr>
          <w:sz w:val="24"/>
        </w:rPr>
      </w:pPr>
      <w:r>
        <w:rPr>
          <w:sz w:val="24"/>
        </w:rPr>
        <w:t>In this context, it may be interesting to note that until recently, the general tendency everywhere has been to overrate the importance of the duration of the school course. There is a reason for this. When the quantum</w:t>
      </w:r>
      <w:r>
        <w:rPr>
          <w:spacing w:val="-2"/>
          <w:sz w:val="24"/>
        </w:rPr>
        <w:t> </w:t>
      </w:r>
      <w:r>
        <w:rPr>
          <w:sz w:val="24"/>
        </w:rPr>
        <w:t>of knowledge covered in the school was not very large, the pace of school work was leisurely, and when one learnt more outside school than within school, it was natural to suppose that the longer one stayed at school the better one gained in knowledge and maturity. All this has changed now. The knowledge explosion has imposed an altogether new pressure on schools and colleges. Formal education now plays a much greater part than it did previously at any time in history and the efficiency of the educational system has become a very important factor. Machlup, in his monumental study on the Production and Distribution of Knowledge in the United States (The Princeton University Press, 1962) has observed that the learning process in school in the United States could and ought to be accelerated. He has vigorously argued that the educational objectives now attained in 12 years of schooling could be achieved in 9 or 10 years. This would mean a saving every year of tens of billions of dollars. Besides, it will save the precious time of students and teachers. This 'time-</w:t>
      </w:r>
      <w:r>
        <w:rPr>
          <w:spacing w:val="14"/>
          <w:sz w:val="24"/>
        </w:rPr>
        <w:t> </w:t>
      </w:r>
      <w:r>
        <w:rPr>
          <w:sz w:val="24"/>
        </w:rPr>
        <w:t>saving'</w:t>
      </w:r>
      <w:r>
        <w:rPr>
          <w:spacing w:val="15"/>
          <w:sz w:val="24"/>
        </w:rPr>
        <w:t> </w:t>
      </w:r>
      <w:r>
        <w:rPr>
          <w:sz w:val="24"/>
        </w:rPr>
        <w:t>is</w:t>
      </w:r>
      <w:r>
        <w:rPr>
          <w:spacing w:val="17"/>
          <w:sz w:val="24"/>
        </w:rPr>
        <w:t> </w:t>
      </w:r>
      <w:r>
        <w:rPr>
          <w:sz w:val="24"/>
        </w:rPr>
        <w:t>becoming</w:t>
      </w:r>
      <w:r>
        <w:rPr>
          <w:spacing w:val="17"/>
          <w:sz w:val="24"/>
        </w:rPr>
        <w:t> </w:t>
      </w:r>
      <w:r>
        <w:rPr>
          <w:sz w:val="24"/>
        </w:rPr>
        <w:t>increasingly</w:t>
      </w:r>
      <w:r>
        <w:rPr>
          <w:spacing w:val="17"/>
          <w:sz w:val="24"/>
        </w:rPr>
        <w:t> </w:t>
      </w:r>
      <w:r>
        <w:rPr>
          <w:sz w:val="24"/>
        </w:rPr>
        <w:t>important</w:t>
      </w:r>
      <w:r>
        <w:rPr>
          <w:spacing w:val="16"/>
          <w:sz w:val="24"/>
        </w:rPr>
        <w:t> </w:t>
      </w:r>
      <w:r>
        <w:rPr>
          <w:sz w:val="24"/>
        </w:rPr>
        <w:t>as</w:t>
      </w:r>
      <w:r>
        <w:rPr>
          <w:spacing w:val="17"/>
          <w:sz w:val="24"/>
        </w:rPr>
        <w:t> </w:t>
      </w:r>
      <w:r>
        <w:rPr>
          <w:sz w:val="24"/>
        </w:rPr>
        <w:t>there</w:t>
      </w:r>
      <w:r>
        <w:rPr>
          <w:spacing w:val="17"/>
          <w:sz w:val="24"/>
        </w:rPr>
        <w:t> </w:t>
      </w:r>
      <w:r>
        <w:rPr>
          <w:sz w:val="24"/>
        </w:rPr>
        <w:t>is</w:t>
      </w:r>
      <w:r>
        <w:rPr>
          <w:spacing w:val="17"/>
          <w:sz w:val="24"/>
        </w:rPr>
        <w:t> </w:t>
      </w:r>
      <w:r>
        <w:rPr>
          <w:sz w:val="24"/>
        </w:rPr>
        <w:t>so</w:t>
      </w:r>
      <w:r>
        <w:rPr>
          <w:spacing w:val="17"/>
          <w:sz w:val="24"/>
        </w:rPr>
        <w:t> </w:t>
      </w:r>
      <w:r>
        <w:rPr>
          <w:sz w:val="24"/>
        </w:rPr>
        <w:t>much</w:t>
      </w:r>
      <w:r>
        <w:rPr>
          <w:spacing w:val="16"/>
          <w:sz w:val="24"/>
        </w:rPr>
        <w:t> </w:t>
      </w:r>
      <w:r>
        <w:rPr>
          <w:sz w:val="24"/>
        </w:rPr>
        <w:t>more</w:t>
      </w:r>
      <w:r>
        <w:rPr>
          <w:spacing w:val="17"/>
          <w:sz w:val="24"/>
        </w:rPr>
        <w:t> </w:t>
      </w:r>
      <w:r>
        <w:rPr>
          <w:sz w:val="24"/>
        </w:rPr>
        <w:t>to</w:t>
      </w:r>
      <w:r>
        <w:rPr>
          <w:spacing w:val="17"/>
          <w:sz w:val="24"/>
        </w:rPr>
        <w:t> </w:t>
      </w:r>
      <w:r>
        <w:rPr>
          <w:sz w:val="24"/>
        </w:rPr>
        <w:t>learn</w:t>
      </w:r>
      <w:r>
        <w:rPr>
          <w:spacing w:val="17"/>
          <w:sz w:val="24"/>
        </w:rPr>
        <w:t> </w:t>
      </w:r>
      <w:r>
        <w:rPr>
          <w:sz w:val="24"/>
        </w:rPr>
        <w:t>in</w:t>
      </w:r>
      <w:r>
        <w:rPr>
          <w:spacing w:val="17"/>
          <w:sz w:val="24"/>
        </w:rPr>
        <w:t> </w:t>
      </w:r>
      <w:r>
        <w:rPr>
          <w:spacing w:val="-10"/>
          <w:sz w:val="24"/>
        </w:rPr>
        <w:t>a</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fast knowledge-expanding world. The compression of the school course would also help in the development of satisfactory working habits and powers of concentration and application. Machlup says that reducing the school duration from the present 12 to 9 or</w:t>
      </w:r>
      <w:r>
        <w:rPr>
          <w:spacing w:val="40"/>
        </w:rPr>
        <w:t> </w:t>
      </w:r>
      <w:r>
        <w:rPr/>
        <w:t>10 years does not mean that the school course is to be cut down. 'Nothing is to be cut out; on the contrary, more is to be put 'into the curriculum. But the students have to get a</w:t>
      </w:r>
      <w:r>
        <w:rPr>
          <w:spacing w:val="40"/>
        </w:rPr>
        <w:t> </w:t>
      </w:r>
      <w:r>
        <w:rPr/>
        <w:t>faster start and a continuous stretch of their minds. 'We are</w:t>
      </w:r>
      <w:r>
        <w:rPr>
          <w:spacing w:val="-1"/>
        </w:rPr>
        <w:t> </w:t>
      </w:r>
      <w:r>
        <w:rPr/>
        <w:t>informed that some schools in New York City are experimenting on the reduction of the school duration.</w:t>
      </w:r>
    </w:p>
    <w:p>
      <w:pPr>
        <w:pStyle w:val="BodyText"/>
        <w:spacing w:before="4"/>
      </w:pPr>
    </w:p>
    <w:p>
      <w:pPr>
        <w:pStyle w:val="ListParagraph"/>
        <w:numPr>
          <w:ilvl w:val="1"/>
          <w:numId w:val="21"/>
        </w:numPr>
        <w:tabs>
          <w:tab w:pos="647" w:val="left" w:leader="none"/>
        </w:tabs>
        <w:spacing w:line="240" w:lineRule="auto" w:before="0" w:after="0"/>
        <w:ind w:left="159" w:right="494" w:firstLine="0"/>
        <w:jc w:val="both"/>
        <w:rPr>
          <w:sz w:val="24"/>
        </w:rPr>
      </w:pPr>
      <w:r>
        <w:rPr>
          <w:sz w:val="24"/>
        </w:rPr>
        <w:t>The observations of Jerome B. Weisner, former Science Adviser to the President of the USA, are pertinent in this context. He says</w:t>
      </w:r>
      <w:r>
        <w:rPr>
          <w:b/>
          <w:sz w:val="24"/>
          <w:vertAlign w:val="superscript"/>
        </w:rPr>
        <w:t>14</w:t>
      </w:r>
      <w:r>
        <w:rPr>
          <w:sz w:val="24"/>
          <w:vertAlign w:val="baseline"/>
        </w:rPr>
        <w:t>:</w:t>
      </w:r>
      <w:r>
        <w:rPr>
          <w:spacing w:val="40"/>
          <w:sz w:val="24"/>
          <w:vertAlign w:val="baseline"/>
        </w:rPr>
        <w:t> </w:t>
      </w:r>
      <w:r>
        <w:rPr>
          <w:sz w:val="24"/>
          <w:vertAlign w:val="baseline"/>
        </w:rPr>
        <w:t>Many people are impressed by the fact that the Soviet Union's ten-year cycle of primary and secondary education requires that</w:t>
      </w:r>
      <w:r>
        <w:rPr>
          <w:spacing w:val="40"/>
          <w:sz w:val="24"/>
          <w:vertAlign w:val="baseline"/>
        </w:rPr>
        <w:t> </w:t>
      </w:r>
      <w:r>
        <w:rPr>
          <w:sz w:val="24"/>
          <w:vertAlign w:val="baseline"/>
        </w:rPr>
        <w:t>all students must take five years of physics, six years of mathematics, three years of biology, and four years of chemistry, with the course content of the work during the last two years being comparable to that of the usual introductory courses in these subjects offered in our liberal arts colleges. By contrast our corresponding school period contains twelve rather than ten years but provides on the average only one-fifth as much training</w:t>
      </w:r>
      <w:r>
        <w:rPr>
          <w:spacing w:val="40"/>
          <w:sz w:val="24"/>
          <w:vertAlign w:val="baseline"/>
        </w:rPr>
        <w:t> </w:t>
      </w:r>
      <w:r>
        <w:rPr>
          <w:sz w:val="24"/>
          <w:vertAlign w:val="baseline"/>
        </w:rPr>
        <w:t>in mathematics and the sciences. There is insufficient evidence to show that the intensity of early Soviet scientific training is either necessary or desirable, particularly if it</w:t>
      </w:r>
      <w:r>
        <w:rPr>
          <w:spacing w:val="40"/>
          <w:sz w:val="24"/>
          <w:vertAlign w:val="baseline"/>
        </w:rPr>
        <w:t> </w:t>
      </w:r>
      <w:r>
        <w:rPr>
          <w:sz w:val="24"/>
          <w:vertAlign w:val="baseline"/>
        </w:rPr>
        <w:t>involves sacrifices of some emphasis on the humanities, but it is evident that the standard programme in our schools is far from optimum.</w:t>
      </w:r>
    </w:p>
    <w:p>
      <w:pPr>
        <w:pStyle w:val="BodyText"/>
        <w:spacing w:before="4"/>
      </w:pPr>
    </w:p>
    <w:p>
      <w:pPr>
        <w:pStyle w:val="ListParagraph"/>
        <w:numPr>
          <w:ilvl w:val="1"/>
          <w:numId w:val="21"/>
        </w:numPr>
        <w:tabs>
          <w:tab w:pos="648" w:val="left" w:leader="none"/>
        </w:tabs>
        <w:spacing w:line="240" w:lineRule="auto" w:before="0" w:after="0"/>
        <w:ind w:left="160" w:right="497" w:firstLine="0"/>
        <w:jc w:val="both"/>
        <w:rPr>
          <w:sz w:val="24"/>
        </w:rPr>
      </w:pPr>
      <w:r>
        <w:rPr>
          <w:sz w:val="24"/>
        </w:rPr>
        <w:t>It has also to be noted that the broad pattern of education in our country, which was imported from abroad, is still in the nature of an exotic plant. There is hesitation and reluctance, and sometimes even fear, about making any radical changes unless these are on the model of what is happening abroad. We have to outgrow this attitude and to begin regarding the educational pattern as our own; and we should introduce changes in it on the basis of our own indigenous thinking, after taking into account what is happening outside but without being dominated by it.</w:t>
      </w:r>
    </w:p>
    <w:p>
      <w:pPr>
        <w:pStyle w:val="BodyText"/>
        <w:spacing w:before="4"/>
      </w:pPr>
    </w:p>
    <w:p>
      <w:pPr>
        <w:pStyle w:val="ListParagraph"/>
        <w:numPr>
          <w:ilvl w:val="1"/>
          <w:numId w:val="21"/>
        </w:numPr>
        <w:tabs>
          <w:tab w:pos="682" w:val="left" w:leader="none"/>
        </w:tabs>
        <w:spacing w:line="240" w:lineRule="auto" w:before="0" w:after="0"/>
        <w:ind w:left="160" w:right="497" w:firstLine="0"/>
        <w:jc w:val="both"/>
        <w:rPr>
          <w:sz w:val="24"/>
        </w:rPr>
      </w:pPr>
      <w:r>
        <w:rPr>
          <w:sz w:val="24"/>
        </w:rPr>
        <w:t>It is in the light of these fundamental principles that the proposals made in </w:t>
      </w:r>
      <w:r>
        <w:rPr>
          <w:sz w:val="24"/>
        </w:rPr>
        <w:t>this chapter should be viewed.</w:t>
      </w:r>
    </w:p>
    <w:p>
      <w:pPr>
        <w:pStyle w:val="BodyText"/>
        <w:spacing w:before="7"/>
      </w:pPr>
    </w:p>
    <w:p>
      <w:pPr>
        <w:pStyle w:val="Heading1"/>
        <w:ind w:left="291"/>
      </w:pPr>
      <w:bookmarkStart w:name="_TOC_250015" w:id="14"/>
      <w:r>
        <w:rPr/>
        <w:t>STRUCTURE</w:t>
      </w:r>
      <w:r>
        <w:rPr>
          <w:spacing w:val="-5"/>
        </w:rPr>
        <w:t> </w:t>
      </w:r>
      <w:r>
        <w:rPr/>
        <w:t>AND</w:t>
      </w:r>
      <w:r>
        <w:rPr>
          <w:spacing w:val="-4"/>
        </w:rPr>
        <w:t> </w:t>
      </w:r>
      <w:bookmarkEnd w:id="14"/>
      <w:r>
        <w:rPr>
          <w:spacing w:val="-2"/>
        </w:rPr>
        <w:t>DURATION</w:t>
      </w:r>
    </w:p>
    <w:p>
      <w:pPr>
        <w:pStyle w:val="BodyText"/>
        <w:spacing w:before="2"/>
        <w:rPr>
          <w:b/>
        </w:rPr>
      </w:pPr>
    </w:p>
    <w:p>
      <w:pPr>
        <w:pStyle w:val="ListParagraph"/>
        <w:numPr>
          <w:ilvl w:val="1"/>
          <w:numId w:val="21"/>
        </w:numPr>
        <w:tabs>
          <w:tab w:pos="694" w:val="left" w:leader="none"/>
        </w:tabs>
        <w:spacing w:line="240" w:lineRule="auto" w:before="1" w:after="0"/>
        <w:ind w:left="160" w:right="497" w:firstLine="0"/>
        <w:jc w:val="both"/>
        <w:rPr>
          <w:sz w:val="24"/>
        </w:rPr>
      </w:pPr>
      <w:r>
        <w:rPr>
          <w:sz w:val="24"/>
        </w:rPr>
        <w:t>The questions on structure and duration were those on which the Commission received perhaps the largest volume of advice and suggestions. They are questions to which</w:t>
      </w:r>
      <w:r>
        <w:rPr>
          <w:spacing w:val="-3"/>
          <w:sz w:val="24"/>
        </w:rPr>
        <w:t> </w:t>
      </w:r>
      <w:r>
        <w:rPr>
          <w:sz w:val="24"/>
        </w:rPr>
        <w:t>previous</w:t>
      </w:r>
      <w:r>
        <w:rPr>
          <w:spacing w:val="-3"/>
          <w:sz w:val="24"/>
        </w:rPr>
        <w:t> </w:t>
      </w:r>
      <w:r>
        <w:rPr>
          <w:sz w:val="24"/>
        </w:rPr>
        <w:t>commissions</w:t>
      </w:r>
      <w:r>
        <w:rPr>
          <w:spacing w:val="-3"/>
          <w:sz w:val="24"/>
        </w:rPr>
        <w:t> </w:t>
      </w:r>
      <w:r>
        <w:rPr>
          <w:sz w:val="24"/>
        </w:rPr>
        <w:t>and</w:t>
      </w:r>
      <w:r>
        <w:rPr>
          <w:spacing w:val="-3"/>
          <w:sz w:val="24"/>
        </w:rPr>
        <w:t> </w:t>
      </w:r>
      <w:r>
        <w:rPr>
          <w:sz w:val="24"/>
        </w:rPr>
        <w:t>committees</w:t>
      </w:r>
      <w:r>
        <w:rPr>
          <w:spacing w:val="-3"/>
          <w:sz w:val="24"/>
        </w:rPr>
        <w:t> </w:t>
      </w:r>
      <w:r>
        <w:rPr>
          <w:sz w:val="24"/>
        </w:rPr>
        <w:t>dealing</w:t>
      </w:r>
      <w:r>
        <w:rPr>
          <w:spacing w:val="-4"/>
          <w:sz w:val="24"/>
        </w:rPr>
        <w:t> </w:t>
      </w:r>
      <w:r>
        <w:rPr>
          <w:sz w:val="24"/>
        </w:rPr>
        <w:t>with</w:t>
      </w:r>
      <w:r>
        <w:rPr>
          <w:spacing w:val="-4"/>
          <w:sz w:val="24"/>
        </w:rPr>
        <w:t> </w:t>
      </w:r>
      <w:r>
        <w:rPr>
          <w:sz w:val="24"/>
        </w:rPr>
        <w:t>the</w:t>
      </w:r>
      <w:r>
        <w:rPr>
          <w:spacing w:val="-4"/>
          <w:sz w:val="24"/>
        </w:rPr>
        <w:t> </w:t>
      </w:r>
      <w:r>
        <w:rPr>
          <w:sz w:val="24"/>
        </w:rPr>
        <w:t>problems</w:t>
      </w:r>
      <w:r>
        <w:rPr>
          <w:spacing w:val="-4"/>
          <w:sz w:val="24"/>
        </w:rPr>
        <w:t> </w:t>
      </w:r>
      <w:r>
        <w:rPr>
          <w:sz w:val="24"/>
        </w:rPr>
        <w:t>of</w:t>
      </w:r>
      <w:r>
        <w:rPr>
          <w:spacing w:val="-4"/>
          <w:sz w:val="24"/>
        </w:rPr>
        <w:t> </w:t>
      </w:r>
      <w:r>
        <w:rPr>
          <w:sz w:val="24"/>
        </w:rPr>
        <w:t>education</w:t>
      </w:r>
      <w:r>
        <w:rPr>
          <w:spacing w:val="-4"/>
          <w:sz w:val="24"/>
        </w:rPr>
        <w:t> </w:t>
      </w:r>
      <w:r>
        <w:rPr>
          <w:sz w:val="24"/>
        </w:rPr>
        <w:t>on</w:t>
      </w:r>
      <w:r>
        <w:rPr>
          <w:spacing w:val="-4"/>
          <w:sz w:val="24"/>
        </w:rPr>
        <w:t> </w:t>
      </w:r>
      <w:r>
        <w:rPr>
          <w:sz w:val="24"/>
        </w:rPr>
        <w:t>a national scale have devoted considerable attention. There are two principal reasons for</w:t>
      </w:r>
    </w:p>
    <w:p>
      <w:pPr>
        <w:pStyle w:val="BodyText"/>
        <w:spacing w:before="3"/>
      </w:pPr>
    </w:p>
    <w:p>
      <w:pPr>
        <w:pStyle w:val="BodyText"/>
        <w:ind w:left="160"/>
        <w:jc w:val="both"/>
      </w:pPr>
      <w:r>
        <w:rPr>
          <w:b/>
          <w:vertAlign w:val="superscript"/>
        </w:rPr>
        <w:t>14</w:t>
      </w:r>
      <w:r>
        <w:rPr>
          <w:vertAlign w:val="baseline"/>
        </w:rPr>
        <w:t>Daedalus,</w:t>
      </w:r>
      <w:r>
        <w:rPr>
          <w:spacing w:val="-2"/>
          <w:vertAlign w:val="baseline"/>
        </w:rPr>
        <w:t> </w:t>
      </w:r>
      <w:r>
        <w:rPr>
          <w:vertAlign w:val="baseline"/>
        </w:rPr>
        <w:t>1965,</w:t>
      </w:r>
      <w:r>
        <w:rPr>
          <w:spacing w:val="-2"/>
          <w:vertAlign w:val="baseline"/>
        </w:rPr>
        <w:t> </w:t>
      </w:r>
      <w:r>
        <w:rPr>
          <w:vertAlign w:val="baseline"/>
        </w:rPr>
        <w:t>p.</w:t>
      </w:r>
      <w:r>
        <w:rPr>
          <w:spacing w:val="-1"/>
          <w:vertAlign w:val="baseline"/>
        </w:rPr>
        <w:t> </w:t>
      </w:r>
      <w:r>
        <w:rPr>
          <w:spacing w:val="-4"/>
          <w:vertAlign w:val="baseline"/>
        </w:rPr>
        <w:t>534.</w:t>
      </w:r>
    </w:p>
    <w:p>
      <w:pPr>
        <w:spacing w:after="0"/>
        <w:jc w:val="both"/>
        <w:sectPr>
          <w:pgSz w:w="12240" w:h="15840"/>
          <w:pgMar w:header="0" w:footer="743" w:top="1360" w:bottom="940" w:left="1640" w:right="1300"/>
        </w:sectPr>
      </w:pPr>
    </w:p>
    <w:p>
      <w:pPr>
        <w:pStyle w:val="BodyText"/>
        <w:spacing w:before="76"/>
        <w:ind w:left="159" w:right="496"/>
        <w:jc w:val="both"/>
      </w:pPr>
      <w:r>
        <w:rPr/>
        <w:t>this widespread and continuous concern about the structure of the educational system. One is the general desire that the present somewhat confusing variety of patterns of school and higher education should be ended. The other is the popular belief that the total period of the educational course and the duration of its different stages have a direct bearing on the quality of the education imparted. We have been repeatedly told that, if there is a uniformity in the educational pattern and an extension in the total period of schooling, it will be possible to bring about a general rise in the standards of attainment. These contentions are of considerable importance and merit close examination.</w:t>
      </w:r>
    </w:p>
    <w:p>
      <w:pPr>
        <w:pStyle w:val="BodyText"/>
        <w:spacing w:before="4"/>
      </w:pPr>
    </w:p>
    <w:p>
      <w:pPr>
        <w:pStyle w:val="ListParagraph"/>
        <w:numPr>
          <w:ilvl w:val="1"/>
          <w:numId w:val="21"/>
        </w:numPr>
        <w:tabs>
          <w:tab w:pos="671" w:val="left" w:leader="none"/>
        </w:tabs>
        <w:spacing w:line="240" w:lineRule="auto" w:before="0" w:after="0"/>
        <w:ind w:left="160" w:right="494" w:firstLine="0"/>
        <w:jc w:val="both"/>
        <w:rPr>
          <w:b/>
          <w:sz w:val="24"/>
        </w:rPr>
      </w:pPr>
      <w:r>
        <w:rPr>
          <w:b/>
          <w:sz w:val="24"/>
        </w:rPr>
        <w:t>The Higher Secondary Pattern. </w:t>
      </w:r>
      <w:r>
        <w:rPr>
          <w:sz w:val="24"/>
        </w:rPr>
        <w:t>It may be instructive in this connection to look briefly at the results of one serious effort made since Independence to carry out a plan for the reorganization of the educational structure. As a result of the Report of the Secondary Education Commission, a decision was taken to develop a national pattern of school classes covering eleven years-five years of lower primary, three years of upper primary and three years of higher secondary classes. This was to be followed by a three-year course for the first degree in arts and science and a further two-year course for the second degree.</w:t>
      </w:r>
      <w:r>
        <w:rPr>
          <w:spacing w:val="-1"/>
          <w:sz w:val="24"/>
        </w:rPr>
        <w:t> </w:t>
      </w:r>
      <w:r>
        <w:rPr>
          <w:sz w:val="24"/>
        </w:rPr>
        <w:t>The</w:t>
      </w:r>
      <w:r>
        <w:rPr>
          <w:spacing w:val="-1"/>
          <w:sz w:val="24"/>
        </w:rPr>
        <w:t> </w:t>
      </w:r>
      <w:r>
        <w:rPr>
          <w:sz w:val="24"/>
        </w:rPr>
        <w:t>upgrading</w:t>
      </w:r>
      <w:r>
        <w:rPr>
          <w:spacing w:val="-1"/>
          <w:sz w:val="24"/>
        </w:rPr>
        <w:t> </w:t>
      </w:r>
      <w:r>
        <w:rPr>
          <w:sz w:val="24"/>
        </w:rPr>
        <w:t>of</w:t>
      </w:r>
      <w:r>
        <w:rPr>
          <w:spacing w:val="-2"/>
          <w:sz w:val="24"/>
        </w:rPr>
        <w:t> </w:t>
      </w:r>
      <w:r>
        <w:rPr>
          <w:sz w:val="24"/>
        </w:rPr>
        <w:t>high</w:t>
      </w:r>
      <w:r>
        <w:rPr>
          <w:spacing w:val="-1"/>
          <w:sz w:val="24"/>
        </w:rPr>
        <w:t> </w:t>
      </w:r>
      <w:r>
        <w:rPr>
          <w:sz w:val="24"/>
        </w:rPr>
        <w:t>schools</w:t>
      </w:r>
      <w:r>
        <w:rPr>
          <w:spacing w:val="-1"/>
          <w:sz w:val="24"/>
        </w:rPr>
        <w:t> </w:t>
      </w:r>
      <w:r>
        <w:rPr>
          <w:sz w:val="24"/>
        </w:rPr>
        <w:t>in</w:t>
      </w:r>
      <w:r>
        <w:rPr>
          <w:spacing w:val="-1"/>
          <w:sz w:val="24"/>
        </w:rPr>
        <w:t> </w:t>
      </w:r>
      <w:r>
        <w:rPr>
          <w:sz w:val="24"/>
        </w:rPr>
        <w:t>accordance</w:t>
      </w:r>
      <w:r>
        <w:rPr>
          <w:spacing w:val="-1"/>
          <w:sz w:val="24"/>
        </w:rPr>
        <w:t> </w:t>
      </w:r>
      <w:r>
        <w:rPr>
          <w:sz w:val="24"/>
        </w:rPr>
        <w:t>with</w:t>
      </w:r>
      <w:r>
        <w:rPr>
          <w:spacing w:val="-1"/>
          <w:sz w:val="24"/>
        </w:rPr>
        <w:t> </w:t>
      </w:r>
      <w:r>
        <w:rPr>
          <w:sz w:val="24"/>
        </w:rPr>
        <w:t>what</w:t>
      </w:r>
      <w:r>
        <w:rPr>
          <w:spacing w:val="-1"/>
          <w:sz w:val="24"/>
        </w:rPr>
        <w:t> </w:t>
      </w:r>
      <w:r>
        <w:rPr>
          <w:sz w:val="24"/>
        </w:rPr>
        <w:t>is</w:t>
      </w:r>
      <w:r>
        <w:rPr>
          <w:spacing w:val="-1"/>
          <w:sz w:val="24"/>
        </w:rPr>
        <w:t> </w:t>
      </w:r>
      <w:r>
        <w:rPr>
          <w:sz w:val="24"/>
        </w:rPr>
        <w:t>popularly</w:t>
      </w:r>
      <w:r>
        <w:rPr>
          <w:spacing w:val="-1"/>
          <w:sz w:val="24"/>
        </w:rPr>
        <w:t> </w:t>
      </w:r>
      <w:r>
        <w:rPr>
          <w:sz w:val="24"/>
        </w:rPr>
        <w:t>known</w:t>
      </w:r>
      <w:r>
        <w:rPr>
          <w:spacing w:val="-1"/>
          <w:sz w:val="24"/>
        </w:rPr>
        <w:t> </w:t>
      </w:r>
      <w:r>
        <w:rPr>
          <w:sz w:val="24"/>
        </w:rPr>
        <w:t>as</w:t>
      </w:r>
      <w:r>
        <w:rPr>
          <w:spacing w:val="-1"/>
          <w:sz w:val="24"/>
        </w:rPr>
        <w:t> </w:t>
      </w:r>
      <w:r>
        <w:rPr>
          <w:sz w:val="24"/>
        </w:rPr>
        <w:t>the higher secondary pattern and the introduction of the three-year degree course in universities have been significant changes in the educational structure over the last ten years. But while the three-year degree course has been introduced everywhere except in the State of Uttar Pradesh</w:t>
      </w:r>
      <w:r>
        <w:rPr>
          <w:b/>
          <w:sz w:val="24"/>
          <w:vertAlign w:val="superscript"/>
        </w:rPr>
        <w:t>15</w:t>
      </w:r>
      <w:r>
        <w:rPr>
          <w:b/>
          <w:sz w:val="24"/>
          <w:vertAlign w:val="baseline"/>
        </w:rPr>
        <w:t> </w:t>
      </w:r>
      <w:r>
        <w:rPr>
          <w:sz w:val="24"/>
          <w:vertAlign w:val="baseline"/>
        </w:rPr>
        <w:t>and the University of Bombay, the same success has not attended the efforts to convert high schools into higher secondary schools. In spite of the offer of Central assistance, only five States have implemented the proposal so far, while the others have either not accepted it at all, or having decided to accept it in the first instance, have gone back on their earlier decision. Only about 25 per cent of the total number of secondary schools in the country were converted to the higher secondary pattern by the end of the third plan. Many of these conversions are purely notional in the sense that the necessary facilities in terms of teachers, libraries and laboratories have not yet been provided. What is particularly relevant to our discussion here is that no uniform pattern of school and college classes has emerged as a result of the reorganization and there is almost as great a variety of patterns today as there was when the scheme of reorganization was first launched. This will be seen from the data given in Table 2.1 and in the two charts on pages 50 and 51.</w:t>
      </w:r>
    </w:p>
    <w:p>
      <w:pPr>
        <w:pStyle w:val="BodyText"/>
      </w:pPr>
    </w:p>
    <w:p>
      <w:pPr>
        <w:pStyle w:val="BodyText"/>
      </w:pPr>
    </w:p>
    <w:p>
      <w:pPr>
        <w:pStyle w:val="BodyText"/>
        <w:spacing w:before="9"/>
      </w:pPr>
    </w:p>
    <w:p>
      <w:pPr>
        <w:pStyle w:val="BodyText"/>
        <w:ind w:left="160"/>
        <w:jc w:val="both"/>
      </w:pPr>
      <w:r>
        <w:rPr>
          <w:b/>
          <w:vertAlign w:val="superscript"/>
        </w:rPr>
        <w:t>15</w:t>
      </w:r>
      <w:r>
        <w:rPr>
          <w:vertAlign w:val="baseline"/>
        </w:rPr>
        <w:t>Excluding</w:t>
      </w:r>
      <w:r>
        <w:rPr>
          <w:spacing w:val="-2"/>
          <w:vertAlign w:val="baseline"/>
        </w:rPr>
        <w:t> </w:t>
      </w:r>
      <w:r>
        <w:rPr>
          <w:vertAlign w:val="baseline"/>
        </w:rPr>
        <w:t>Central</w:t>
      </w:r>
      <w:r>
        <w:rPr>
          <w:spacing w:val="-2"/>
          <w:vertAlign w:val="baseline"/>
        </w:rPr>
        <w:t> Universities.</w:t>
      </w:r>
    </w:p>
    <w:p>
      <w:pPr>
        <w:spacing w:after="0"/>
        <w:jc w:val="both"/>
        <w:sectPr>
          <w:pgSz w:w="12240" w:h="15840"/>
          <w:pgMar w:header="0" w:footer="743" w:top="1360" w:bottom="940" w:left="1640" w:right="1300"/>
        </w:sectPr>
      </w:pPr>
    </w:p>
    <w:p>
      <w:pPr>
        <w:pStyle w:val="Heading1"/>
        <w:spacing w:before="79"/>
        <w:ind w:left="2785" w:right="506" w:hanging="1906"/>
        <w:jc w:val="left"/>
      </w:pPr>
      <w:r>
        <w:rPr/>
        <w:t>TABLE</w:t>
      </w:r>
      <w:r>
        <w:rPr>
          <w:spacing w:val="-6"/>
        </w:rPr>
        <w:t> </w:t>
      </w:r>
      <w:r>
        <w:rPr/>
        <w:t>2.1.</w:t>
      </w:r>
      <w:r>
        <w:rPr>
          <w:spacing w:val="-6"/>
        </w:rPr>
        <w:t> </w:t>
      </w:r>
      <w:r>
        <w:rPr/>
        <w:t>PATTERN</w:t>
      </w:r>
      <w:r>
        <w:rPr>
          <w:spacing w:val="-6"/>
        </w:rPr>
        <w:t> </w:t>
      </w:r>
      <w:r>
        <w:rPr/>
        <w:t>OF</w:t>
      </w:r>
      <w:r>
        <w:rPr>
          <w:spacing w:val="-6"/>
        </w:rPr>
        <w:t> </w:t>
      </w:r>
      <w:r>
        <w:rPr/>
        <w:t>SCHOOL</w:t>
      </w:r>
      <w:r>
        <w:rPr>
          <w:spacing w:val="-5"/>
        </w:rPr>
        <w:t> </w:t>
      </w:r>
      <w:r>
        <w:rPr/>
        <w:t>AND</w:t>
      </w:r>
      <w:r>
        <w:rPr>
          <w:spacing w:val="-5"/>
        </w:rPr>
        <w:t> </w:t>
      </w:r>
      <w:r>
        <w:rPr/>
        <w:t>COLLEGE</w:t>
      </w:r>
      <w:r>
        <w:rPr>
          <w:spacing w:val="-5"/>
        </w:rPr>
        <w:t> </w:t>
      </w:r>
      <w:r>
        <w:rPr/>
        <w:t>CLASSES</w:t>
      </w:r>
      <w:r>
        <w:rPr>
          <w:spacing w:val="-5"/>
        </w:rPr>
        <w:t> </w:t>
      </w:r>
      <w:r>
        <w:rPr/>
        <w:t>IN DIFFERENT STATES (1965-66)</w:t>
      </w:r>
    </w:p>
    <w:p>
      <w:pPr>
        <w:pStyle w:val="BodyText"/>
        <w:spacing w:before="10"/>
        <w:rPr>
          <w:b/>
          <w:sz w:val="14"/>
        </w:rPr>
      </w:pPr>
      <w:r>
        <w:rPr/>
        <mc:AlternateContent>
          <mc:Choice Requires="wps">
            <w:drawing>
              <wp:anchor distT="0" distB="0" distL="0" distR="0" allowOverlap="1" layoutInCell="1" locked="0" behindDoc="1" simplePos="0" relativeHeight="487587840">
                <wp:simplePos x="0" y="0"/>
                <wp:positionH relativeFrom="page">
                  <wp:posOffset>1143000</wp:posOffset>
                </wp:positionH>
                <wp:positionV relativeFrom="paragraph">
                  <wp:posOffset>124108</wp:posOffset>
                </wp:positionV>
                <wp:extent cx="5486400" cy="190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486400" cy="19050"/>
                          <a:chExt cx="5486400" cy="19050"/>
                        </a:xfrm>
                      </wpg:grpSpPr>
                      <wps:wsp>
                        <wps:cNvPr id="4" name="Graphic 4"/>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 name="Graphic 5"/>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6" name="Graphic 6"/>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7" name="Graphic 7"/>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8" name="Graphic 8"/>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9" name="Graphic 9"/>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0" name="Graphic 10"/>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772294pt;width:432pt;height:1.5pt;mso-position-horizontal-relative:page;mso-position-vertical-relative:paragraph;z-index:-15728640;mso-wrap-distance-left:0;mso-wrap-distance-right:0" id="docshapegroup3" coordorigin="1800,195" coordsize="8640,30">
                <v:rect style="position:absolute;left:1800;top:195;width:8640;height:30" id="docshape4" filled="true" fillcolor="#808080" stroked="false">
                  <v:fill type="solid"/>
                </v:rect>
                <v:shape style="position:absolute;left:1800;top:195;width:8636;height:5" id="docshape5" coordorigin="1800,195" coordsize="8636,5" path="m10435,195l1805,195,1800,195,1800,200,1805,200,10435,200,10435,195xe" filled="true" fillcolor="#aca89a" stroked="false">
                  <v:path arrowok="t"/>
                  <v:fill type="solid"/>
                </v:shape>
                <v:rect style="position:absolute;left:10435;top:195;width:5;height:5" id="docshape6" filled="true" fillcolor="#f1efe2" stroked="false">
                  <v:fill type="solid"/>
                </v:rect>
                <v:shape style="position:absolute;left:1800;top:195;width:8640;height:26" id="docshape7" coordorigin="1800,195" coordsize="8640,26" path="m1805,200l1800,200,1800,221,1805,221,1805,200xm10440,195l10435,195,10435,200,10440,200,10440,195xe" filled="true" fillcolor="#aca89a" stroked="false">
                  <v:path arrowok="t"/>
                  <v:fill type="solid"/>
                </v:shape>
                <v:rect style="position:absolute;left:10435;top:200;width:5;height:21" id="docshape8" filled="true" fillcolor="#f1efe2" stroked="false">
                  <v:fill type="solid"/>
                </v:rect>
                <v:rect style="position:absolute;left:1800;top:220;width:5;height:5" id="docshape9" filled="true" fillcolor="#aca89a" stroked="false">
                  <v:fill type="solid"/>
                </v:rect>
                <v:shape style="position:absolute;left:1800;top:220;width:8640;height:5" id="docshape10" coordorigin="1800,221" coordsize="8640,5" path="m10440,221l10435,221,1800,221,1800,225,10435,225,10440,225,10440,221xe" filled="true" fillcolor="#f1efe2" stroked="false">
                  <v:path arrowok="t"/>
                  <v:fill type="solid"/>
                </v:shape>
                <w10:wrap type="topAndBottom"/>
              </v:group>
            </w:pict>
          </mc:Fallback>
        </mc:AlternateContent>
      </w:r>
    </w:p>
    <w:p>
      <w:pPr>
        <w:pStyle w:val="BodyText"/>
        <w:spacing w:before="48" w:after="11"/>
        <w:ind w:left="3822"/>
      </w:pPr>
      <w:r>
        <w:rPr/>
        <w:t>Duration of stage in </w:t>
      </w:r>
      <w:r>
        <w:rPr>
          <w:spacing w:val="-2"/>
        </w:rPr>
        <w:t>years</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3"/>
        <w:gridCol w:w="955"/>
        <w:gridCol w:w="473"/>
        <w:gridCol w:w="589"/>
        <w:gridCol w:w="1283"/>
        <w:gridCol w:w="603"/>
        <w:gridCol w:w="1077"/>
        <w:gridCol w:w="824"/>
        <w:gridCol w:w="874"/>
      </w:tblGrid>
      <w:tr>
        <w:trPr>
          <w:trHeight w:val="739" w:hRule="atLeast"/>
        </w:trPr>
        <w:tc>
          <w:tcPr>
            <w:tcW w:w="2013" w:type="dxa"/>
          </w:tcPr>
          <w:p>
            <w:pPr>
              <w:pStyle w:val="TableParagraph"/>
              <w:spacing w:before="266"/>
              <w:ind w:left="50"/>
              <w:rPr>
                <w:sz w:val="24"/>
              </w:rPr>
            </w:pPr>
            <w:r>
              <w:rPr>
                <w:spacing w:val="-2"/>
                <w:sz w:val="24"/>
              </w:rPr>
              <w:t>State</w:t>
            </w:r>
          </w:p>
        </w:tc>
        <w:tc>
          <w:tcPr>
            <w:tcW w:w="955" w:type="dxa"/>
          </w:tcPr>
          <w:p>
            <w:pPr>
              <w:pStyle w:val="TableParagraph"/>
              <w:ind w:left="76" w:right="113" w:hanging="1"/>
              <w:rPr>
                <w:sz w:val="24"/>
              </w:rPr>
            </w:pPr>
            <w:r>
              <w:rPr>
                <w:spacing w:val="-2"/>
                <w:sz w:val="24"/>
              </w:rPr>
              <w:t>Lower primary</w:t>
            </w:r>
          </w:p>
        </w:tc>
        <w:tc>
          <w:tcPr>
            <w:tcW w:w="1062" w:type="dxa"/>
            <w:gridSpan w:val="2"/>
          </w:tcPr>
          <w:p>
            <w:pPr>
              <w:pStyle w:val="TableParagraph"/>
              <w:ind w:left="120" w:right="178" w:firstLine="47"/>
              <w:rPr>
                <w:sz w:val="24"/>
              </w:rPr>
            </w:pPr>
            <w:r>
              <w:rPr>
                <w:spacing w:val="-2"/>
                <w:sz w:val="24"/>
              </w:rPr>
              <w:t>Higher primary</w:t>
            </w:r>
          </w:p>
        </w:tc>
        <w:tc>
          <w:tcPr>
            <w:tcW w:w="1283" w:type="dxa"/>
          </w:tcPr>
          <w:p>
            <w:pPr>
              <w:pStyle w:val="TableParagraph"/>
              <w:spacing w:before="266"/>
              <w:ind w:left="91" w:right="4"/>
              <w:jc w:val="center"/>
              <w:rPr>
                <w:sz w:val="24"/>
              </w:rPr>
            </w:pPr>
            <w:r>
              <w:rPr>
                <w:spacing w:val="-2"/>
                <w:sz w:val="24"/>
              </w:rPr>
              <w:t>Secondary</w:t>
            </w:r>
          </w:p>
        </w:tc>
        <w:tc>
          <w:tcPr>
            <w:tcW w:w="603" w:type="dxa"/>
          </w:tcPr>
          <w:p>
            <w:pPr>
              <w:pStyle w:val="TableParagraph"/>
              <w:spacing w:before="266"/>
              <w:ind w:left="70" w:right="29"/>
              <w:jc w:val="center"/>
              <w:rPr>
                <w:sz w:val="24"/>
              </w:rPr>
            </w:pPr>
            <w:r>
              <w:rPr>
                <w:spacing w:val="-5"/>
                <w:sz w:val="24"/>
              </w:rPr>
              <w:t>PUC</w:t>
            </w:r>
          </w:p>
        </w:tc>
        <w:tc>
          <w:tcPr>
            <w:tcW w:w="1077" w:type="dxa"/>
          </w:tcPr>
          <w:p>
            <w:pPr>
              <w:pStyle w:val="TableParagraph"/>
              <w:ind w:left="72" w:hanging="28"/>
              <w:rPr>
                <w:sz w:val="24"/>
              </w:rPr>
            </w:pPr>
            <w:r>
              <w:rPr>
                <w:spacing w:val="-2"/>
                <w:sz w:val="24"/>
              </w:rPr>
              <w:t>Higher secondary</w:t>
            </w:r>
          </w:p>
        </w:tc>
        <w:tc>
          <w:tcPr>
            <w:tcW w:w="824" w:type="dxa"/>
          </w:tcPr>
          <w:p>
            <w:pPr>
              <w:pStyle w:val="TableParagraph"/>
              <w:ind w:left="28" w:right="148" w:firstLine="26"/>
              <w:rPr>
                <w:sz w:val="24"/>
              </w:rPr>
            </w:pPr>
            <w:r>
              <w:rPr>
                <w:spacing w:val="-2"/>
                <w:sz w:val="24"/>
              </w:rPr>
              <w:t>First degree</w:t>
            </w:r>
          </w:p>
        </w:tc>
        <w:tc>
          <w:tcPr>
            <w:tcW w:w="874" w:type="dxa"/>
          </w:tcPr>
          <w:p>
            <w:pPr>
              <w:pStyle w:val="TableParagraph"/>
              <w:spacing w:before="266"/>
              <w:ind w:left="24"/>
              <w:rPr>
                <w:sz w:val="24"/>
              </w:rPr>
            </w:pPr>
            <w:r>
              <w:rPr>
                <w:spacing w:val="-2"/>
                <w:sz w:val="24"/>
              </w:rPr>
              <w:t>Total</w:t>
            </w:r>
          </w:p>
        </w:tc>
      </w:tr>
      <w:tr>
        <w:trPr>
          <w:trHeight w:val="329" w:hRule="atLeast"/>
        </w:trPr>
        <w:tc>
          <w:tcPr>
            <w:tcW w:w="2013" w:type="dxa"/>
            <w:tcBorders>
              <w:top w:val="single" w:sz="12" w:space="0" w:color="808080"/>
            </w:tcBorders>
          </w:tcPr>
          <w:p>
            <w:pPr>
              <w:pStyle w:val="TableParagraph"/>
              <w:spacing w:line="261" w:lineRule="exact" w:before="48"/>
              <w:ind w:left="50"/>
              <w:rPr>
                <w:sz w:val="24"/>
              </w:rPr>
            </w:pPr>
            <w:r>
              <w:rPr>
                <w:sz w:val="24"/>
              </w:rPr>
              <w:t>Andhra </w:t>
            </w:r>
            <w:r>
              <w:rPr>
                <w:spacing w:val="-2"/>
                <w:sz w:val="24"/>
              </w:rPr>
              <w:t>Pradesh</w:t>
            </w:r>
          </w:p>
        </w:tc>
        <w:tc>
          <w:tcPr>
            <w:tcW w:w="1428" w:type="dxa"/>
            <w:gridSpan w:val="2"/>
            <w:tcBorders>
              <w:top w:val="single" w:sz="12" w:space="0" w:color="808080"/>
            </w:tcBorders>
          </w:tcPr>
          <w:p>
            <w:pPr>
              <w:pStyle w:val="TableParagraph"/>
              <w:spacing w:line="261" w:lineRule="exact" w:before="48"/>
              <w:ind w:left="262"/>
              <w:jc w:val="center"/>
              <w:rPr>
                <w:sz w:val="24"/>
              </w:rPr>
            </w:pPr>
            <w:r>
              <w:rPr>
                <w:spacing w:val="-10"/>
                <w:sz w:val="24"/>
              </w:rPr>
              <w:t>5</w:t>
            </w:r>
          </w:p>
        </w:tc>
        <w:tc>
          <w:tcPr>
            <w:tcW w:w="589" w:type="dxa"/>
            <w:tcBorders>
              <w:top w:val="single" w:sz="12" w:space="0" w:color="808080"/>
            </w:tcBorders>
          </w:tcPr>
          <w:p>
            <w:pPr>
              <w:pStyle w:val="TableParagraph"/>
              <w:spacing w:line="261" w:lineRule="exact" w:before="48"/>
              <w:ind w:left="76"/>
              <w:jc w:val="center"/>
              <w:rPr>
                <w:sz w:val="24"/>
              </w:rPr>
            </w:pPr>
            <w:r>
              <w:rPr>
                <w:spacing w:val="-10"/>
                <w:sz w:val="24"/>
              </w:rPr>
              <w:t>3</w:t>
            </w:r>
          </w:p>
        </w:tc>
        <w:tc>
          <w:tcPr>
            <w:tcW w:w="1283" w:type="dxa"/>
            <w:tcBorders>
              <w:top w:val="single" w:sz="12" w:space="0" w:color="808080"/>
            </w:tcBorders>
          </w:tcPr>
          <w:p>
            <w:pPr>
              <w:pStyle w:val="TableParagraph"/>
              <w:spacing w:line="261" w:lineRule="exact" w:before="48"/>
              <w:ind w:left="91" w:right="55"/>
              <w:jc w:val="center"/>
              <w:rPr>
                <w:sz w:val="24"/>
              </w:rPr>
            </w:pPr>
            <w:r>
              <w:rPr>
                <w:spacing w:val="-10"/>
                <w:sz w:val="24"/>
              </w:rPr>
              <w:t>3</w:t>
            </w:r>
          </w:p>
        </w:tc>
        <w:tc>
          <w:tcPr>
            <w:tcW w:w="603" w:type="dxa"/>
            <w:tcBorders>
              <w:top w:val="single" w:sz="12" w:space="0" w:color="808080"/>
            </w:tcBorders>
          </w:tcPr>
          <w:p>
            <w:pPr>
              <w:pStyle w:val="TableParagraph"/>
              <w:spacing w:line="261" w:lineRule="exact" w:before="48"/>
              <w:ind w:right="15"/>
              <w:jc w:val="center"/>
              <w:rPr>
                <w:sz w:val="24"/>
              </w:rPr>
            </w:pPr>
            <w:r>
              <w:rPr>
                <w:spacing w:val="-10"/>
                <w:sz w:val="24"/>
              </w:rPr>
              <w:t>1</w:t>
            </w:r>
          </w:p>
        </w:tc>
        <w:tc>
          <w:tcPr>
            <w:tcW w:w="1077" w:type="dxa"/>
            <w:tcBorders>
              <w:top w:val="single" w:sz="12" w:space="0" w:color="808080"/>
            </w:tcBorders>
          </w:tcPr>
          <w:p>
            <w:pPr>
              <w:pStyle w:val="TableParagraph"/>
              <w:spacing w:line="261" w:lineRule="exact" w:before="48"/>
              <w:ind w:left="545"/>
              <w:rPr>
                <w:sz w:val="24"/>
              </w:rPr>
            </w:pPr>
            <w:r>
              <w:rPr>
                <w:spacing w:val="-10"/>
                <w:sz w:val="24"/>
              </w:rPr>
              <w:t>4</w:t>
            </w:r>
          </w:p>
        </w:tc>
        <w:tc>
          <w:tcPr>
            <w:tcW w:w="824" w:type="dxa"/>
            <w:tcBorders>
              <w:top w:val="single" w:sz="12" w:space="0" w:color="808080"/>
            </w:tcBorders>
          </w:tcPr>
          <w:p>
            <w:pPr>
              <w:pStyle w:val="TableParagraph"/>
              <w:spacing w:line="261" w:lineRule="exact" w:before="48"/>
              <w:ind w:left="384"/>
              <w:rPr>
                <w:sz w:val="24"/>
              </w:rPr>
            </w:pPr>
            <w:r>
              <w:rPr>
                <w:spacing w:val="-10"/>
                <w:sz w:val="24"/>
              </w:rPr>
              <w:t>3</w:t>
            </w:r>
          </w:p>
        </w:tc>
        <w:tc>
          <w:tcPr>
            <w:tcW w:w="874" w:type="dxa"/>
            <w:tcBorders>
              <w:top w:val="single" w:sz="12" w:space="0" w:color="808080"/>
            </w:tcBorders>
          </w:tcPr>
          <w:p>
            <w:pPr>
              <w:pStyle w:val="TableParagraph"/>
              <w:spacing w:line="261" w:lineRule="exact" w:before="48"/>
              <w:ind w:right="155"/>
              <w:jc w:val="right"/>
              <w:rPr>
                <w:sz w:val="24"/>
              </w:rPr>
            </w:pPr>
            <w:r>
              <w:rPr>
                <w:spacing w:val="-5"/>
                <w:sz w:val="24"/>
              </w:rPr>
              <w:t>15</w:t>
            </w:r>
          </w:p>
        </w:tc>
      </w:tr>
      <w:tr>
        <w:trPr>
          <w:trHeight w:val="275" w:hRule="atLeast"/>
        </w:trPr>
        <w:tc>
          <w:tcPr>
            <w:tcW w:w="2013" w:type="dxa"/>
          </w:tcPr>
          <w:p>
            <w:pPr>
              <w:pStyle w:val="TableParagraph"/>
              <w:spacing w:line="256" w:lineRule="exact"/>
              <w:ind w:left="50"/>
              <w:rPr>
                <w:sz w:val="24"/>
              </w:rPr>
            </w:pPr>
            <w:r>
              <w:rPr>
                <w:sz w:val="24"/>
              </w:rPr>
              <w:t>Assam</w:t>
            </w:r>
            <w:r>
              <w:rPr>
                <w:spacing w:val="-2"/>
                <w:sz w:val="24"/>
              </w:rPr>
              <w:t> </w:t>
            </w:r>
            <w:r>
              <w:rPr>
                <w:sz w:val="24"/>
              </w:rPr>
              <w:t>&amp; </w:t>
            </w:r>
            <w:r>
              <w:rPr>
                <w:spacing w:val="-2"/>
                <w:sz w:val="24"/>
              </w:rPr>
              <w:t>Nagaland</w:t>
            </w:r>
          </w:p>
        </w:tc>
        <w:tc>
          <w:tcPr>
            <w:tcW w:w="1428" w:type="dxa"/>
            <w:gridSpan w:val="2"/>
          </w:tcPr>
          <w:p>
            <w:pPr>
              <w:pStyle w:val="TableParagraph"/>
              <w:spacing w:line="256" w:lineRule="exact"/>
              <w:ind w:left="262" w:right="3"/>
              <w:jc w:val="center"/>
              <w:rPr>
                <w:sz w:val="24"/>
              </w:rPr>
            </w:pPr>
            <w:r>
              <w:rPr>
                <w:spacing w:val="-10"/>
                <w:sz w:val="24"/>
              </w:rPr>
              <w:t>5</w:t>
            </w:r>
          </w:p>
        </w:tc>
        <w:tc>
          <w:tcPr>
            <w:tcW w:w="589" w:type="dxa"/>
          </w:tcPr>
          <w:p>
            <w:pPr>
              <w:pStyle w:val="TableParagraph"/>
              <w:spacing w:line="256" w:lineRule="exact"/>
              <w:ind w:left="76" w:right="35"/>
              <w:jc w:val="center"/>
              <w:rPr>
                <w:sz w:val="24"/>
              </w:rPr>
            </w:pPr>
            <w:r>
              <w:rPr>
                <w:spacing w:val="-10"/>
                <w:sz w:val="24"/>
              </w:rPr>
              <w:t>3</w:t>
            </w:r>
          </w:p>
        </w:tc>
        <w:tc>
          <w:tcPr>
            <w:tcW w:w="1283" w:type="dxa"/>
          </w:tcPr>
          <w:p>
            <w:pPr>
              <w:pStyle w:val="TableParagraph"/>
              <w:spacing w:line="256" w:lineRule="exact"/>
              <w:ind w:left="91" w:right="57"/>
              <w:jc w:val="center"/>
              <w:rPr>
                <w:sz w:val="24"/>
              </w:rPr>
            </w:pPr>
            <w:r>
              <w:rPr>
                <w:spacing w:val="-10"/>
                <w:sz w:val="24"/>
              </w:rPr>
              <w:t>4</w:t>
            </w:r>
          </w:p>
        </w:tc>
        <w:tc>
          <w:tcPr>
            <w:tcW w:w="603" w:type="dxa"/>
          </w:tcPr>
          <w:p>
            <w:pPr>
              <w:pStyle w:val="TableParagraph"/>
              <w:spacing w:line="256" w:lineRule="exact"/>
              <w:ind w:right="18"/>
              <w:jc w:val="center"/>
              <w:rPr>
                <w:sz w:val="24"/>
              </w:rPr>
            </w:pPr>
            <w:r>
              <w:rPr>
                <w:spacing w:val="-10"/>
                <w:sz w:val="24"/>
              </w:rPr>
              <w:t>1</w:t>
            </w:r>
          </w:p>
        </w:tc>
        <w:tc>
          <w:tcPr>
            <w:tcW w:w="1077" w:type="dxa"/>
          </w:tcPr>
          <w:p>
            <w:pPr>
              <w:pStyle w:val="TableParagraph"/>
              <w:spacing w:line="256" w:lineRule="exact"/>
              <w:ind w:left="543"/>
              <w:rPr>
                <w:sz w:val="24"/>
              </w:rPr>
            </w:pPr>
            <w:r>
              <w:rPr>
                <w:spacing w:val="-10"/>
                <w:sz w:val="24"/>
              </w:rPr>
              <w:t>5</w:t>
            </w:r>
          </w:p>
        </w:tc>
        <w:tc>
          <w:tcPr>
            <w:tcW w:w="824" w:type="dxa"/>
          </w:tcPr>
          <w:p>
            <w:pPr>
              <w:pStyle w:val="TableParagraph"/>
              <w:spacing w:line="256" w:lineRule="exact"/>
              <w:ind w:left="383"/>
              <w:rPr>
                <w:sz w:val="24"/>
              </w:rPr>
            </w:pPr>
            <w:r>
              <w:rPr>
                <w:spacing w:val="-10"/>
                <w:sz w:val="24"/>
              </w:rPr>
              <w:t>3</w:t>
            </w:r>
          </w:p>
        </w:tc>
        <w:tc>
          <w:tcPr>
            <w:tcW w:w="874" w:type="dxa"/>
          </w:tcPr>
          <w:p>
            <w:pPr>
              <w:pStyle w:val="TableParagraph"/>
              <w:spacing w:line="256" w:lineRule="exact"/>
              <w:ind w:right="156"/>
              <w:jc w:val="right"/>
              <w:rPr>
                <w:sz w:val="24"/>
              </w:rPr>
            </w:pPr>
            <w:r>
              <w:rPr>
                <w:spacing w:val="-5"/>
                <w:sz w:val="24"/>
              </w:rPr>
              <w:t>16</w:t>
            </w:r>
          </w:p>
        </w:tc>
      </w:tr>
      <w:tr>
        <w:trPr>
          <w:trHeight w:val="275" w:hRule="atLeast"/>
        </w:trPr>
        <w:tc>
          <w:tcPr>
            <w:tcW w:w="2013" w:type="dxa"/>
          </w:tcPr>
          <w:p>
            <w:pPr>
              <w:pStyle w:val="TableParagraph"/>
              <w:spacing w:line="256" w:lineRule="exact"/>
              <w:ind w:left="50"/>
              <w:rPr>
                <w:sz w:val="24"/>
              </w:rPr>
            </w:pPr>
            <w:r>
              <w:rPr>
                <w:sz w:val="24"/>
              </w:rPr>
              <w:t>Bihar,</w:t>
            </w:r>
            <w:r>
              <w:rPr>
                <w:spacing w:val="-1"/>
                <w:sz w:val="24"/>
              </w:rPr>
              <w:t> </w:t>
            </w:r>
            <w:r>
              <w:rPr>
                <w:sz w:val="24"/>
              </w:rPr>
              <w:t>Gujarat </w:t>
            </w:r>
            <w:r>
              <w:rPr>
                <w:spacing w:val="-10"/>
                <w:sz w:val="24"/>
              </w:rPr>
              <w:t>&amp;</w:t>
            </w:r>
          </w:p>
        </w:tc>
        <w:tc>
          <w:tcPr>
            <w:tcW w:w="1428" w:type="dxa"/>
            <w:gridSpan w:val="2"/>
          </w:tcPr>
          <w:p>
            <w:pPr>
              <w:pStyle w:val="TableParagraph"/>
              <w:rPr>
                <w:sz w:val="20"/>
              </w:rPr>
            </w:pPr>
          </w:p>
        </w:tc>
        <w:tc>
          <w:tcPr>
            <w:tcW w:w="589" w:type="dxa"/>
          </w:tcPr>
          <w:p>
            <w:pPr>
              <w:pStyle w:val="TableParagraph"/>
              <w:rPr>
                <w:sz w:val="20"/>
              </w:rPr>
            </w:pPr>
          </w:p>
        </w:tc>
        <w:tc>
          <w:tcPr>
            <w:tcW w:w="1283" w:type="dxa"/>
          </w:tcPr>
          <w:p>
            <w:pPr>
              <w:pStyle w:val="TableParagraph"/>
              <w:rPr>
                <w:sz w:val="20"/>
              </w:rPr>
            </w:pPr>
          </w:p>
        </w:tc>
        <w:tc>
          <w:tcPr>
            <w:tcW w:w="603" w:type="dxa"/>
          </w:tcPr>
          <w:p>
            <w:pPr>
              <w:pStyle w:val="TableParagraph"/>
              <w:rPr>
                <w:sz w:val="20"/>
              </w:rPr>
            </w:pPr>
          </w:p>
        </w:tc>
        <w:tc>
          <w:tcPr>
            <w:tcW w:w="1077" w:type="dxa"/>
          </w:tcPr>
          <w:p>
            <w:pPr>
              <w:pStyle w:val="TableParagraph"/>
              <w:rPr>
                <w:sz w:val="20"/>
              </w:rPr>
            </w:pPr>
          </w:p>
        </w:tc>
        <w:tc>
          <w:tcPr>
            <w:tcW w:w="824" w:type="dxa"/>
          </w:tcPr>
          <w:p>
            <w:pPr>
              <w:pStyle w:val="TableParagraph"/>
              <w:rPr>
                <w:sz w:val="20"/>
              </w:rPr>
            </w:pPr>
          </w:p>
        </w:tc>
        <w:tc>
          <w:tcPr>
            <w:tcW w:w="874" w:type="dxa"/>
          </w:tcPr>
          <w:p>
            <w:pPr>
              <w:pStyle w:val="TableParagraph"/>
              <w:rPr>
                <w:sz w:val="20"/>
              </w:rPr>
            </w:pPr>
          </w:p>
        </w:tc>
      </w:tr>
      <w:tr>
        <w:trPr>
          <w:trHeight w:val="275" w:hRule="atLeast"/>
        </w:trPr>
        <w:tc>
          <w:tcPr>
            <w:tcW w:w="2013" w:type="dxa"/>
          </w:tcPr>
          <w:p>
            <w:pPr>
              <w:pStyle w:val="TableParagraph"/>
              <w:spacing w:line="256" w:lineRule="exact"/>
              <w:ind w:left="50"/>
              <w:rPr>
                <w:sz w:val="24"/>
              </w:rPr>
            </w:pPr>
            <w:r>
              <w:rPr>
                <w:spacing w:val="-2"/>
                <w:sz w:val="24"/>
              </w:rPr>
              <w:t>Maharashtra</w:t>
            </w:r>
          </w:p>
        </w:tc>
        <w:tc>
          <w:tcPr>
            <w:tcW w:w="1428" w:type="dxa"/>
            <w:gridSpan w:val="2"/>
          </w:tcPr>
          <w:p>
            <w:pPr>
              <w:pStyle w:val="TableParagraph"/>
              <w:spacing w:line="256" w:lineRule="exact"/>
              <w:ind w:left="784"/>
              <w:rPr>
                <w:sz w:val="24"/>
              </w:rPr>
            </w:pPr>
            <w:r>
              <w:rPr>
                <w:spacing w:val="-4"/>
                <w:sz w:val="24"/>
              </w:rPr>
              <w:t>7(a)</w:t>
            </w:r>
          </w:p>
        </w:tc>
        <w:tc>
          <w:tcPr>
            <w:tcW w:w="589" w:type="dxa"/>
          </w:tcPr>
          <w:p>
            <w:pPr>
              <w:pStyle w:val="TableParagraph"/>
              <w:rPr>
                <w:sz w:val="20"/>
              </w:rPr>
            </w:pPr>
          </w:p>
        </w:tc>
        <w:tc>
          <w:tcPr>
            <w:tcW w:w="1283" w:type="dxa"/>
          </w:tcPr>
          <w:p>
            <w:pPr>
              <w:pStyle w:val="TableParagraph"/>
              <w:spacing w:line="256" w:lineRule="exact"/>
              <w:ind w:left="91" w:right="55"/>
              <w:jc w:val="center"/>
              <w:rPr>
                <w:sz w:val="24"/>
              </w:rPr>
            </w:pPr>
            <w:r>
              <w:rPr>
                <w:spacing w:val="-10"/>
                <w:sz w:val="24"/>
              </w:rPr>
              <w:t>4</w:t>
            </w:r>
          </w:p>
        </w:tc>
        <w:tc>
          <w:tcPr>
            <w:tcW w:w="603" w:type="dxa"/>
          </w:tcPr>
          <w:p>
            <w:pPr>
              <w:pStyle w:val="TableParagraph"/>
              <w:spacing w:line="256" w:lineRule="exact"/>
              <w:ind w:left="70"/>
              <w:jc w:val="center"/>
              <w:rPr>
                <w:sz w:val="24"/>
              </w:rPr>
            </w:pPr>
            <w:r>
              <w:rPr>
                <w:spacing w:val="-10"/>
                <w:sz w:val="24"/>
              </w:rPr>
              <w:t>1</w:t>
            </w:r>
          </w:p>
        </w:tc>
        <w:tc>
          <w:tcPr>
            <w:tcW w:w="1077" w:type="dxa"/>
          </w:tcPr>
          <w:p>
            <w:pPr>
              <w:pStyle w:val="TableParagraph"/>
              <w:rPr>
                <w:sz w:val="20"/>
              </w:rPr>
            </w:pPr>
          </w:p>
        </w:tc>
        <w:tc>
          <w:tcPr>
            <w:tcW w:w="824" w:type="dxa"/>
          </w:tcPr>
          <w:p>
            <w:pPr>
              <w:pStyle w:val="TableParagraph"/>
              <w:spacing w:line="256" w:lineRule="exact"/>
              <w:ind w:left="395"/>
              <w:rPr>
                <w:sz w:val="24"/>
              </w:rPr>
            </w:pPr>
            <w:r>
              <w:rPr>
                <w:spacing w:val="-4"/>
                <w:sz w:val="24"/>
              </w:rPr>
              <w:t>3(b)</w:t>
            </w:r>
          </w:p>
        </w:tc>
        <w:tc>
          <w:tcPr>
            <w:tcW w:w="874" w:type="dxa"/>
          </w:tcPr>
          <w:p>
            <w:pPr>
              <w:pStyle w:val="TableParagraph"/>
              <w:spacing w:line="256" w:lineRule="exact"/>
              <w:ind w:right="156"/>
              <w:jc w:val="right"/>
              <w:rPr>
                <w:sz w:val="24"/>
              </w:rPr>
            </w:pPr>
            <w:r>
              <w:rPr>
                <w:spacing w:val="-5"/>
                <w:sz w:val="24"/>
              </w:rPr>
              <w:t>15</w:t>
            </w:r>
          </w:p>
        </w:tc>
      </w:tr>
      <w:tr>
        <w:trPr>
          <w:trHeight w:val="275" w:hRule="atLeast"/>
        </w:trPr>
        <w:tc>
          <w:tcPr>
            <w:tcW w:w="2013" w:type="dxa"/>
          </w:tcPr>
          <w:p>
            <w:pPr>
              <w:pStyle w:val="TableParagraph"/>
              <w:spacing w:line="256" w:lineRule="exact"/>
              <w:ind w:left="50"/>
              <w:rPr>
                <w:sz w:val="24"/>
              </w:rPr>
            </w:pPr>
            <w:r>
              <w:rPr>
                <w:sz w:val="24"/>
              </w:rPr>
              <w:t>Jammu &amp; </w:t>
            </w:r>
            <w:r>
              <w:rPr>
                <w:spacing w:val="-2"/>
                <w:sz w:val="24"/>
              </w:rPr>
              <w:t>Kashmir,</w:t>
            </w:r>
          </w:p>
        </w:tc>
        <w:tc>
          <w:tcPr>
            <w:tcW w:w="1428" w:type="dxa"/>
            <w:gridSpan w:val="2"/>
          </w:tcPr>
          <w:p>
            <w:pPr>
              <w:pStyle w:val="TableParagraph"/>
              <w:rPr>
                <w:sz w:val="20"/>
              </w:rPr>
            </w:pPr>
          </w:p>
        </w:tc>
        <w:tc>
          <w:tcPr>
            <w:tcW w:w="589" w:type="dxa"/>
          </w:tcPr>
          <w:p>
            <w:pPr>
              <w:pStyle w:val="TableParagraph"/>
              <w:rPr>
                <w:sz w:val="20"/>
              </w:rPr>
            </w:pPr>
          </w:p>
        </w:tc>
        <w:tc>
          <w:tcPr>
            <w:tcW w:w="1283" w:type="dxa"/>
          </w:tcPr>
          <w:p>
            <w:pPr>
              <w:pStyle w:val="TableParagraph"/>
              <w:rPr>
                <w:sz w:val="20"/>
              </w:rPr>
            </w:pPr>
          </w:p>
        </w:tc>
        <w:tc>
          <w:tcPr>
            <w:tcW w:w="603" w:type="dxa"/>
          </w:tcPr>
          <w:p>
            <w:pPr>
              <w:pStyle w:val="TableParagraph"/>
              <w:rPr>
                <w:sz w:val="20"/>
              </w:rPr>
            </w:pPr>
          </w:p>
        </w:tc>
        <w:tc>
          <w:tcPr>
            <w:tcW w:w="1077" w:type="dxa"/>
          </w:tcPr>
          <w:p>
            <w:pPr>
              <w:pStyle w:val="TableParagraph"/>
              <w:rPr>
                <w:sz w:val="20"/>
              </w:rPr>
            </w:pPr>
          </w:p>
        </w:tc>
        <w:tc>
          <w:tcPr>
            <w:tcW w:w="824" w:type="dxa"/>
          </w:tcPr>
          <w:p>
            <w:pPr>
              <w:pStyle w:val="TableParagraph"/>
              <w:rPr>
                <w:sz w:val="20"/>
              </w:rPr>
            </w:pPr>
          </w:p>
        </w:tc>
        <w:tc>
          <w:tcPr>
            <w:tcW w:w="874" w:type="dxa"/>
          </w:tcPr>
          <w:p>
            <w:pPr>
              <w:pStyle w:val="TableParagraph"/>
              <w:rPr>
                <w:sz w:val="20"/>
              </w:rPr>
            </w:pPr>
          </w:p>
        </w:tc>
      </w:tr>
      <w:tr>
        <w:trPr>
          <w:trHeight w:val="275" w:hRule="atLeast"/>
        </w:trPr>
        <w:tc>
          <w:tcPr>
            <w:tcW w:w="2013" w:type="dxa"/>
          </w:tcPr>
          <w:p>
            <w:pPr>
              <w:pStyle w:val="TableParagraph"/>
              <w:spacing w:line="256" w:lineRule="exact"/>
              <w:ind w:left="50"/>
              <w:rPr>
                <w:sz w:val="24"/>
              </w:rPr>
            </w:pPr>
            <w:r>
              <w:rPr>
                <w:sz w:val="24"/>
              </w:rPr>
              <w:t>Punjab,</w:t>
            </w:r>
            <w:r>
              <w:rPr>
                <w:spacing w:val="60"/>
                <w:sz w:val="24"/>
              </w:rPr>
              <w:t> </w:t>
            </w:r>
            <w:r>
              <w:rPr>
                <w:spacing w:val="-2"/>
                <w:sz w:val="24"/>
              </w:rPr>
              <w:t>Rajasthan</w:t>
            </w:r>
          </w:p>
        </w:tc>
        <w:tc>
          <w:tcPr>
            <w:tcW w:w="1428" w:type="dxa"/>
            <w:gridSpan w:val="2"/>
          </w:tcPr>
          <w:p>
            <w:pPr>
              <w:pStyle w:val="TableParagraph"/>
              <w:rPr>
                <w:sz w:val="20"/>
              </w:rPr>
            </w:pPr>
          </w:p>
        </w:tc>
        <w:tc>
          <w:tcPr>
            <w:tcW w:w="589" w:type="dxa"/>
          </w:tcPr>
          <w:p>
            <w:pPr>
              <w:pStyle w:val="TableParagraph"/>
              <w:rPr>
                <w:sz w:val="20"/>
              </w:rPr>
            </w:pPr>
          </w:p>
        </w:tc>
        <w:tc>
          <w:tcPr>
            <w:tcW w:w="1283" w:type="dxa"/>
          </w:tcPr>
          <w:p>
            <w:pPr>
              <w:pStyle w:val="TableParagraph"/>
              <w:rPr>
                <w:sz w:val="20"/>
              </w:rPr>
            </w:pPr>
          </w:p>
        </w:tc>
        <w:tc>
          <w:tcPr>
            <w:tcW w:w="603" w:type="dxa"/>
          </w:tcPr>
          <w:p>
            <w:pPr>
              <w:pStyle w:val="TableParagraph"/>
              <w:rPr>
                <w:sz w:val="20"/>
              </w:rPr>
            </w:pPr>
          </w:p>
        </w:tc>
        <w:tc>
          <w:tcPr>
            <w:tcW w:w="1077" w:type="dxa"/>
          </w:tcPr>
          <w:p>
            <w:pPr>
              <w:pStyle w:val="TableParagraph"/>
              <w:rPr>
                <w:sz w:val="20"/>
              </w:rPr>
            </w:pPr>
          </w:p>
        </w:tc>
        <w:tc>
          <w:tcPr>
            <w:tcW w:w="824" w:type="dxa"/>
          </w:tcPr>
          <w:p>
            <w:pPr>
              <w:pStyle w:val="TableParagraph"/>
              <w:rPr>
                <w:sz w:val="20"/>
              </w:rPr>
            </w:pPr>
          </w:p>
        </w:tc>
        <w:tc>
          <w:tcPr>
            <w:tcW w:w="874" w:type="dxa"/>
          </w:tcPr>
          <w:p>
            <w:pPr>
              <w:pStyle w:val="TableParagraph"/>
              <w:rPr>
                <w:sz w:val="20"/>
              </w:rPr>
            </w:pPr>
          </w:p>
        </w:tc>
      </w:tr>
      <w:tr>
        <w:trPr>
          <w:trHeight w:val="275" w:hRule="atLeast"/>
        </w:trPr>
        <w:tc>
          <w:tcPr>
            <w:tcW w:w="2013" w:type="dxa"/>
          </w:tcPr>
          <w:p>
            <w:pPr>
              <w:pStyle w:val="TableParagraph"/>
              <w:spacing w:line="256" w:lineRule="exact"/>
              <w:ind w:left="50"/>
              <w:rPr>
                <w:sz w:val="24"/>
              </w:rPr>
            </w:pPr>
            <w:r>
              <w:rPr>
                <w:sz w:val="24"/>
              </w:rPr>
              <w:t>&amp;</w:t>
            </w:r>
            <w:r>
              <w:rPr>
                <w:spacing w:val="-2"/>
                <w:sz w:val="24"/>
              </w:rPr>
              <w:t> </w:t>
            </w:r>
            <w:r>
              <w:rPr>
                <w:sz w:val="24"/>
              </w:rPr>
              <w:t>West</w:t>
            </w:r>
            <w:r>
              <w:rPr>
                <w:spacing w:val="-1"/>
                <w:sz w:val="24"/>
              </w:rPr>
              <w:t> </w:t>
            </w:r>
            <w:r>
              <w:rPr>
                <w:spacing w:val="-2"/>
                <w:sz w:val="24"/>
              </w:rPr>
              <w:t>Bengal</w:t>
            </w:r>
          </w:p>
        </w:tc>
        <w:tc>
          <w:tcPr>
            <w:tcW w:w="1428" w:type="dxa"/>
            <w:gridSpan w:val="2"/>
          </w:tcPr>
          <w:p>
            <w:pPr>
              <w:pStyle w:val="TableParagraph"/>
              <w:spacing w:line="256" w:lineRule="exact"/>
              <w:ind w:left="262" w:right="4"/>
              <w:jc w:val="center"/>
              <w:rPr>
                <w:sz w:val="24"/>
              </w:rPr>
            </w:pPr>
            <w:r>
              <w:rPr>
                <w:spacing w:val="-10"/>
                <w:sz w:val="24"/>
              </w:rPr>
              <w:t>5</w:t>
            </w:r>
          </w:p>
        </w:tc>
        <w:tc>
          <w:tcPr>
            <w:tcW w:w="589" w:type="dxa"/>
          </w:tcPr>
          <w:p>
            <w:pPr>
              <w:pStyle w:val="TableParagraph"/>
              <w:spacing w:line="256" w:lineRule="exact"/>
              <w:ind w:left="76" w:right="3"/>
              <w:jc w:val="center"/>
              <w:rPr>
                <w:sz w:val="24"/>
              </w:rPr>
            </w:pPr>
            <w:r>
              <w:rPr>
                <w:spacing w:val="-10"/>
                <w:sz w:val="24"/>
              </w:rPr>
              <w:t>3</w:t>
            </w:r>
          </w:p>
        </w:tc>
        <w:tc>
          <w:tcPr>
            <w:tcW w:w="1283" w:type="dxa"/>
          </w:tcPr>
          <w:p>
            <w:pPr>
              <w:pStyle w:val="TableParagraph"/>
              <w:spacing w:line="256" w:lineRule="exact"/>
              <w:ind w:left="91" w:right="57"/>
              <w:jc w:val="center"/>
              <w:rPr>
                <w:sz w:val="24"/>
              </w:rPr>
            </w:pPr>
            <w:r>
              <w:rPr>
                <w:spacing w:val="-10"/>
                <w:sz w:val="24"/>
              </w:rPr>
              <w:t>2</w:t>
            </w:r>
          </w:p>
        </w:tc>
        <w:tc>
          <w:tcPr>
            <w:tcW w:w="603" w:type="dxa"/>
          </w:tcPr>
          <w:p>
            <w:pPr>
              <w:pStyle w:val="TableParagraph"/>
              <w:spacing w:line="256" w:lineRule="exact"/>
              <w:ind w:left="68"/>
              <w:jc w:val="center"/>
              <w:rPr>
                <w:sz w:val="24"/>
              </w:rPr>
            </w:pPr>
            <w:r>
              <w:rPr>
                <w:spacing w:val="-10"/>
                <w:sz w:val="24"/>
              </w:rPr>
              <w:t>1</w:t>
            </w:r>
          </w:p>
        </w:tc>
        <w:tc>
          <w:tcPr>
            <w:tcW w:w="1077" w:type="dxa"/>
          </w:tcPr>
          <w:p>
            <w:pPr>
              <w:pStyle w:val="TableParagraph"/>
              <w:spacing w:line="256" w:lineRule="exact"/>
              <w:ind w:left="544"/>
              <w:rPr>
                <w:sz w:val="24"/>
              </w:rPr>
            </w:pPr>
            <w:r>
              <w:rPr>
                <w:spacing w:val="-10"/>
                <w:sz w:val="24"/>
              </w:rPr>
              <w:t>3</w:t>
            </w:r>
          </w:p>
        </w:tc>
        <w:tc>
          <w:tcPr>
            <w:tcW w:w="824" w:type="dxa"/>
          </w:tcPr>
          <w:p>
            <w:pPr>
              <w:pStyle w:val="TableParagraph"/>
              <w:spacing w:line="256" w:lineRule="exact"/>
              <w:ind w:left="383"/>
              <w:rPr>
                <w:sz w:val="24"/>
              </w:rPr>
            </w:pPr>
            <w:r>
              <w:rPr>
                <w:spacing w:val="-10"/>
                <w:sz w:val="24"/>
              </w:rPr>
              <w:t>3</w:t>
            </w:r>
          </w:p>
        </w:tc>
        <w:tc>
          <w:tcPr>
            <w:tcW w:w="874" w:type="dxa"/>
          </w:tcPr>
          <w:p>
            <w:pPr>
              <w:pStyle w:val="TableParagraph"/>
              <w:spacing w:line="256" w:lineRule="exact"/>
              <w:ind w:right="156"/>
              <w:jc w:val="right"/>
              <w:rPr>
                <w:sz w:val="24"/>
              </w:rPr>
            </w:pPr>
            <w:r>
              <w:rPr>
                <w:spacing w:val="-5"/>
                <w:sz w:val="24"/>
              </w:rPr>
              <w:t>14</w:t>
            </w:r>
          </w:p>
        </w:tc>
      </w:tr>
      <w:tr>
        <w:trPr>
          <w:trHeight w:val="275" w:hRule="atLeast"/>
        </w:trPr>
        <w:tc>
          <w:tcPr>
            <w:tcW w:w="2013" w:type="dxa"/>
          </w:tcPr>
          <w:p>
            <w:pPr>
              <w:pStyle w:val="TableParagraph"/>
              <w:spacing w:line="256" w:lineRule="exact"/>
              <w:ind w:left="50"/>
              <w:rPr>
                <w:sz w:val="24"/>
              </w:rPr>
            </w:pPr>
            <w:r>
              <w:rPr>
                <w:spacing w:val="-2"/>
                <w:sz w:val="24"/>
              </w:rPr>
              <w:t>Kerala</w:t>
            </w:r>
          </w:p>
        </w:tc>
        <w:tc>
          <w:tcPr>
            <w:tcW w:w="1428" w:type="dxa"/>
            <w:gridSpan w:val="2"/>
          </w:tcPr>
          <w:p>
            <w:pPr>
              <w:pStyle w:val="TableParagraph"/>
              <w:spacing w:line="256" w:lineRule="exact"/>
              <w:ind w:left="262" w:right="1"/>
              <w:jc w:val="center"/>
              <w:rPr>
                <w:sz w:val="24"/>
              </w:rPr>
            </w:pPr>
            <w:r>
              <w:rPr>
                <w:spacing w:val="-10"/>
                <w:sz w:val="24"/>
              </w:rPr>
              <w:t>4</w:t>
            </w:r>
          </w:p>
        </w:tc>
        <w:tc>
          <w:tcPr>
            <w:tcW w:w="589" w:type="dxa"/>
          </w:tcPr>
          <w:p>
            <w:pPr>
              <w:pStyle w:val="TableParagraph"/>
              <w:spacing w:line="256" w:lineRule="exact"/>
              <w:ind w:left="76" w:right="1"/>
              <w:jc w:val="center"/>
              <w:rPr>
                <w:sz w:val="24"/>
              </w:rPr>
            </w:pPr>
            <w:r>
              <w:rPr>
                <w:spacing w:val="-10"/>
                <w:sz w:val="24"/>
              </w:rPr>
              <w:t>3</w:t>
            </w:r>
          </w:p>
        </w:tc>
        <w:tc>
          <w:tcPr>
            <w:tcW w:w="1283" w:type="dxa"/>
          </w:tcPr>
          <w:p>
            <w:pPr>
              <w:pStyle w:val="TableParagraph"/>
              <w:spacing w:line="256" w:lineRule="exact"/>
              <w:ind w:left="91" w:right="55"/>
              <w:jc w:val="center"/>
              <w:rPr>
                <w:sz w:val="24"/>
              </w:rPr>
            </w:pPr>
            <w:r>
              <w:rPr>
                <w:spacing w:val="-10"/>
                <w:sz w:val="24"/>
              </w:rPr>
              <w:t>3</w:t>
            </w:r>
          </w:p>
        </w:tc>
        <w:tc>
          <w:tcPr>
            <w:tcW w:w="603" w:type="dxa"/>
          </w:tcPr>
          <w:p>
            <w:pPr>
              <w:pStyle w:val="TableParagraph"/>
              <w:spacing w:line="256" w:lineRule="exact"/>
              <w:ind w:right="16"/>
              <w:jc w:val="center"/>
              <w:rPr>
                <w:sz w:val="24"/>
              </w:rPr>
            </w:pPr>
            <w:r>
              <w:rPr>
                <w:spacing w:val="-10"/>
                <w:sz w:val="24"/>
              </w:rPr>
              <w:t>2</w:t>
            </w:r>
          </w:p>
        </w:tc>
        <w:tc>
          <w:tcPr>
            <w:tcW w:w="1077" w:type="dxa"/>
          </w:tcPr>
          <w:p>
            <w:pPr>
              <w:pStyle w:val="TableParagraph"/>
              <w:rPr>
                <w:sz w:val="20"/>
              </w:rPr>
            </w:pPr>
          </w:p>
        </w:tc>
        <w:tc>
          <w:tcPr>
            <w:tcW w:w="824" w:type="dxa"/>
          </w:tcPr>
          <w:p>
            <w:pPr>
              <w:pStyle w:val="TableParagraph"/>
              <w:spacing w:line="256" w:lineRule="exact"/>
              <w:ind w:left="384"/>
              <w:rPr>
                <w:sz w:val="24"/>
              </w:rPr>
            </w:pPr>
            <w:r>
              <w:rPr>
                <w:spacing w:val="-10"/>
                <w:sz w:val="24"/>
              </w:rPr>
              <w:t>3</w:t>
            </w:r>
          </w:p>
        </w:tc>
        <w:tc>
          <w:tcPr>
            <w:tcW w:w="874" w:type="dxa"/>
          </w:tcPr>
          <w:p>
            <w:pPr>
              <w:pStyle w:val="TableParagraph"/>
              <w:spacing w:line="256" w:lineRule="exact"/>
              <w:ind w:right="156"/>
              <w:jc w:val="right"/>
              <w:rPr>
                <w:sz w:val="24"/>
              </w:rPr>
            </w:pPr>
            <w:r>
              <w:rPr>
                <w:spacing w:val="-5"/>
                <w:sz w:val="24"/>
              </w:rPr>
              <w:t>15</w:t>
            </w:r>
          </w:p>
        </w:tc>
      </w:tr>
      <w:tr>
        <w:trPr>
          <w:trHeight w:val="276" w:hRule="atLeast"/>
        </w:trPr>
        <w:tc>
          <w:tcPr>
            <w:tcW w:w="2013" w:type="dxa"/>
          </w:tcPr>
          <w:p>
            <w:pPr>
              <w:pStyle w:val="TableParagraph"/>
              <w:spacing w:line="256" w:lineRule="exact"/>
              <w:ind w:left="50"/>
              <w:rPr>
                <w:sz w:val="24"/>
              </w:rPr>
            </w:pPr>
            <w:r>
              <w:rPr>
                <w:sz w:val="24"/>
              </w:rPr>
              <w:t>Madhya </w:t>
            </w:r>
            <w:r>
              <w:rPr>
                <w:spacing w:val="-2"/>
                <w:sz w:val="24"/>
              </w:rPr>
              <w:t>Pradesh</w:t>
            </w:r>
          </w:p>
        </w:tc>
        <w:tc>
          <w:tcPr>
            <w:tcW w:w="1428" w:type="dxa"/>
            <w:gridSpan w:val="2"/>
          </w:tcPr>
          <w:p>
            <w:pPr>
              <w:pStyle w:val="TableParagraph"/>
              <w:spacing w:line="256" w:lineRule="exact"/>
              <w:ind w:left="262" w:right="2"/>
              <w:jc w:val="center"/>
              <w:rPr>
                <w:sz w:val="24"/>
              </w:rPr>
            </w:pPr>
            <w:r>
              <w:rPr>
                <w:spacing w:val="-10"/>
                <w:sz w:val="24"/>
              </w:rPr>
              <w:t>5</w:t>
            </w:r>
          </w:p>
        </w:tc>
        <w:tc>
          <w:tcPr>
            <w:tcW w:w="589" w:type="dxa"/>
          </w:tcPr>
          <w:p>
            <w:pPr>
              <w:pStyle w:val="TableParagraph"/>
              <w:spacing w:line="256" w:lineRule="exact"/>
              <w:ind w:left="76" w:right="1"/>
              <w:jc w:val="center"/>
              <w:rPr>
                <w:sz w:val="24"/>
              </w:rPr>
            </w:pPr>
            <w:r>
              <w:rPr>
                <w:spacing w:val="-10"/>
                <w:sz w:val="24"/>
              </w:rPr>
              <w:t>3</w:t>
            </w:r>
          </w:p>
        </w:tc>
        <w:tc>
          <w:tcPr>
            <w:tcW w:w="1283" w:type="dxa"/>
          </w:tcPr>
          <w:p>
            <w:pPr>
              <w:pStyle w:val="TableParagraph"/>
              <w:rPr>
                <w:sz w:val="20"/>
              </w:rPr>
            </w:pPr>
          </w:p>
        </w:tc>
        <w:tc>
          <w:tcPr>
            <w:tcW w:w="603" w:type="dxa"/>
          </w:tcPr>
          <w:p>
            <w:pPr>
              <w:pStyle w:val="TableParagraph"/>
              <w:rPr>
                <w:sz w:val="20"/>
              </w:rPr>
            </w:pPr>
          </w:p>
        </w:tc>
        <w:tc>
          <w:tcPr>
            <w:tcW w:w="1077" w:type="dxa"/>
          </w:tcPr>
          <w:p>
            <w:pPr>
              <w:pStyle w:val="TableParagraph"/>
              <w:spacing w:line="256" w:lineRule="exact"/>
              <w:ind w:left="545"/>
              <w:rPr>
                <w:sz w:val="24"/>
              </w:rPr>
            </w:pPr>
            <w:r>
              <w:rPr>
                <w:spacing w:val="-10"/>
                <w:sz w:val="24"/>
              </w:rPr>
              <w:t>3</w:t>
            </w:r>
          </w:p>
        </w:tc>
        <w:tc>
          <w:tcPr>
            <w:tcW w:w="824" w:type="dxa"/>
          </w:tcPr>
          <w:p>
            <w:pPr>
              <w:pStyle w:val="TableParagraph"/>
              <w:spacing w:line="256" w:lineRule="exact"/>
              <w:ind w:left="384"/>
              <w:rPr>
                <w:sz w:val="24"/>
              </w:rPr>
            </w:pPr>
            <w:r>
              <w:rPr>
                <w:spacing w:val="-10"/>
                <w:sz w:val="24"/>
              </w:rPr>
              <w:t>3</w:t>
            </w:r>
          </w:p>
        </w:tc>
        <w:tc>
          <w:tcPr>
            <w:tcW w:w="874" w:type="dxa"/>
          </w:tcPr>
          <w:p>
            <w:pPr>
              <w:pStyle w:val="TableParagraph"/>
              <w:spacing w:line="256" w:lineRule="exact"/>
              <w:ind w:right="155"/>
              <w:jc w:val="right"/>
              <w:rPr>
                <w:sz w:val="24"/>
              </w:rPr>
            </w:pPr>
            <w:r>
              <w:rPr>
                <w:spacing w:val="-5"/>
                <w:sz w:val="24"/>
              </w:rPr>
              <w:t>14</w:t>
            </w:r>
          </w:p>
        </w:tc>
      </w:tr>
      <w:tr>
        <w:trPr>
          <w:trHeight w:val="275" w:hRule="atLeast"/>
        </w:trPr>
        <w:tc>
          <w:tcPr>
            <w:tcW w:w="2013" w:type="dxa"/>
          </w:tcPr>
          <w:p>
            <w:pPr>
              <w:pStyle w:val="TableParagraph"/>
              <w:spacing w:line="256" w:lineRule="exact"/>
              <w:ind w:left="50"/>
              <w:rPr>
                <w:sz w:val="24"/>
              </w:rPr>
            </w:pPr>
            <w:r>
              <w:rPr>
                <w:spacing w:val="-2"/>
                <w:sz w:val="24"/>
              </w:rPr>
              <w:t>Madras</w:t>
            </w:r>
          </w:p>
        </w:tc>
        <w:tc>
          <w:tcPr>
            <w:tcW w:w="1428" w:type="dxa"/>
            <w:gridSpan w:val="2"/>
          </w:tcPr>
          <w:p>
            <w:pPr>
              <w:pStyle w:val="TableParagraph"/>
              <w:spacing w:line="256" w:lineRule="exact"/>
              <w:ind w:left="262" w:right="1"/>
              <w:jc w:val="center"/>
              <w:rPr>
                <w:sz w:val="24"/>
              </w:rPr>
            </w:pPr>
            <w:r>
              <w:rPr>
                <w:spacing w:val="-10"/>
                <w:sz w:val="24"/>
              </w:rPr>
              <w:t>5</w:t>
            </w:r>
          </w:p>
        </w:tc>
        <w:tc>
          <w:tcPr>
            <w:tcW w:w="589" w:type="dxa"/>
          </w:tcPr>
          <w:p>
            <w:pPr>
              <w:pStyle w:val="TableParagraph"/>
              <w:spacing w:line="256" w:lineRule="exact"/>
              <w:ind w:left="76" w:right="1"/>
              <w:jc w:val="center"/>
              <w:rPr>
                <w:sz w:val="24"/>
              </w:rPr>
            </w:pPr>
            <w:r>
              <w:rPr>
                <w:spacing w:val="-10"/>
                <w:sz w:val="24"/>
              </w:rPr>
              <w:t>3</w:t>
            </w:r>
          </w:p>
        </w:tc>
        <w:tc>
          <w:tcPr>
            <w:tcW w:w="1283" w:type="dxa"/>
          </w:tcPr>
          <w:p>
            <w:pPr>
              <w:pStyle w:val="TableParagraph"/>
              <w:spacing w:line="256" w:lineRule="exact"/>
              <w:ind w:left="91" w:right="54"/>
              <w:jc w:val="center"/>
              <w:rPr>
                <w:sz w:val="24"/>
              </w:rPr>
            </w:pPr>
            <w:r>
              <w:rPr>
                <w:spacing w:val="-10"/>
                <w:sz w:val="24"/>
              </w:rPr>
              <w:t>3</w:t>
            </w:r>
          </w:p>
        </w:tc>
        <w:tc>
          <w:tcPr>
            <w:tcW w:w="603" w:type="dxa"/>
          </w:tcPr>
          <w:p>
            <w:pPr>
              <w:pStyle w:val="TableParagraph"/>
              <w:spacing w:line="256" w:lineRule="exact"/>
              <w:ind w:right="15"/>
              <w:jc w:val="center"/>
              <w:rPr>
                <w:sz w:val="24"/>
              </w:rPr>
            </w:pPr>
            <w:r>
              <w:rPr>
                <w:spacing w:val="-10"/>
                <w:sz w:val="24"/>
              </w:rPr>
              <w:t>1</w:t>
            </w:r>
          </w:p>
        </w:tc>
        <w:tc>
          <w:tcPr>
            <w:tcW w:w="1077" w:type="dxa"/>
          </w:tcPr>
          <w:p>
            <w:pPr>
              <w:pStyle w:val="TableParagraph"/>
              <w:rPr>
                <w:sz w:val="20"/>
              </w:rPr>
            </w:pPr>
          </w:p>
        </w:tc>
        <w:tc>
          <w:tcPr>
            <w:tcW w:w="824" w:type="dxa"/>
          </w:tcPr>
          <w:p>
            <w:pPr>
              <w:pStyle w:val="TableParagraph"/>
              <w:spacing w:line="256" w:lineRule="exact"/>
              <w:ind w:left="385"/>
              <w:rPr>
                <w:sz w:val="24"/>
              </w:rPr>
            </w:pPr>
            <w:r>
              <w:rPr>
                <w:spacing w:val="-10"/>
                <w:sz w:val="24"/>
              </w:rPr>
              <w:t>3</w:t>
            </w:r>
          </w:p>
        </w:tc>
        <w:tc>
          <w:tcPr>
            <w:tcW w:w="874" w:type="dxa"/>
          </w:tcPr>
          <w:p>
            <w:pPr>
              <w:pStyle w:val="TableParagraph"/>
              <w:spacing w:line="256" w:lineRule="exact"/>
              <w:ind w:right="155"/>
              <w:jc w:val="right"/>
              <w:rPr>
                <w:sz w:val="24"/>
              </w:rPr>
            </w:pPr>
            <w:r>
              <w:rPr>
                <w:spacing w:val="-5"/>
                <w:sz w:val="24"/>
              </w:rPr>
              <w:t>15</w:t>
            </w:r>
          </w:p>
        </w:tc>
      </w:tr>
      <w:tr>
        <w:trPr>
          <w:trHeight w:val="276" w:hRule="atLeast"/>
        </w:trPr>
        <w:tc>
          <w:tcPr>
            <w:tcW w:w="2013" w:type="dxa"/>
          </w:tcPr>
          <w:p>
            <w:pPr>
              <w:pStyle w:val="TableParagraph"/>
              <w:spacing w:line="256" w:lineRule="exact"/>
              <w:ind w:left="50"/>
              <w:rPr>
                <w:sz w:val="24"/>
              </w:rPr>
            </w:pPr>
            <w:r>
              <w:rPr>
                <w:spacing w:val="-2"/>
                <w:sz w:val="24"/>
              </w:rPr>
              <w:t>Mysore</w:t>
            </w:r>
          </w:p>
        </w:tc>
        <w:tc>
          <w:tcPr>
            <w:tcW w:w="1428" w:type="dxa"/>
            <w:gridSpan w:val="2"/>
          </w:tcPr>
          <w:p>
            <w:pPr>
              <w:pStyle w:val="TableParagraph"/>
              <w:spacing w:line="256" w:lineRule="exact"/>
              <w:ind w:left="262"/>
              <w:jc w:val="center"/>
              <w:rPr>
                <w:sz w:val="24"/>
              </w:rPr>
            </w:pPr>
            <w:r>
              <w:rPr>
                <w:spacing w:val="-10"/>
                <w:sz w:val="24"/>
              </w:rPr>
              <w:t>4</w:t>
            </w:r>
          </w:p>
        </w:tc>
        <w:tc>
          <w:tcPr>
            <w:tcW w:w="589" w:type="dxa"/>
          </w:tcPr>
          <w:p>
            <w:pPr>
              <w:pStyle w:val="TableParagraph"/>
              <w:spacing w:line="256" w:lineRule="exact"/>
              <w:ind w:left="76"/>
              <w:jc w:val="center"/>
              <w:rPr>
                <w:sz w:val="24"/>
              </w:rPr>
            </w:pPr>
            <w:r>
              <w:rPr>
                <w:spacing w:val="-10"/>
                <w:sz w:val="24"/>
              </w:rPr>
              <w:t>3</w:t>
            </w:r>
          </w:p>
        </w:tc>
        <w:tc>
          <w:tcPr>
            <w:tcW w:w="1283" w:type="dxa"/>
          </w:tcPr>
          <w:p>
            <w:pPr>
              <w:pStyle w:val="TableParagraph"/>
              <w:spacing w:line="256" w:lineRule="exact"/>
              <w:ind w:left="91" w:right="54"/>
              <w:jc w:val="center"/>
              <w:rPr>
                <w:sz w:val="24"/>
              </w:rPr>
            </w:pPr>
            <w:r>
              <w:rPr>
                <w:spacing w:val="-10"/>
                <w:sz w:val="24"/>
              </w:rPr>
              <w:t>3</w:t>
            </w:r>
          </w:p>
        </w:tc>
        <w:tc>
          <w:tcPr>
            <w:tcW w:w="603" w:type="dxa"/>
          </w:tcPr>
          <w:p>
            <w:pPr>
              <w:pStyle w:val="TableParagraph"/>
              <w:spacing w:line="256" w:lineRule="exact"/>
              <w:ind w:right="14"/>
              <w:jc w:val="center"/>
              <w:rPr>
                <w:sz w:val="24"/>
              </w:rPr>
            </w:pPr>
            <w:r>
              <w:rPr>
                <w:spacing w:val="-10"/>
                <w:sz w:val="24"/>
              </w:rPr>
              <w:t>1</w:t>
            </w:r>
          </w:p>
        </w:tc>
        <w:tc>
          <w:tcPr>
            <w:tcW w:w="1077" w:type="dxa"/>
          </w:tcPr>
          <w:p>
            <w:pPr>
              <w:pStyle w:val="TableParagraph"/>
              <w:spacing w:line="256" w:lineRule="exact"/>
              <w:ind w:left="545"/>
              <w:rPr>
                <w:sz w:val="24"/>
              </w:rPr>
            </w:pPr>
            <w:r>
              <w:rPr>
                <w:spacing w:val="-10"/>
                <w:sz w:val="24"/>
              </w:rPr>
              <w:t>4</w:t>
            </w:r>
          </w:p>
        </w:tc>
        <w:tc>
          <w:tcPr>
            <w:tcW w:w="824" w:type="dxa"/>
          </w:tcPr>
          <w:p>
            <w:pPr>
              <w:pStyle w:val="TableParagraph"/>
              <w:spacing w:line="256" w:lineRule="exact"/>
              <w:ind w:left="385"/>
              <w:rPr>
                <w:sz w:val="24"/>
              </w:rPr>
            </w:pPr>
            <w:r>
              <w:rPr>
                <w:spacing w:val="-10"/>
                <w:sz w:val="24"/>
              </w:rPr>
              <w:t>3</w:t>
            </w:r>
          </w:p>
        </w:tc>
        <w:tc>
          <w:tcPr>
            <w:tcW w:w="874" w:type="dxa"/>
          </w:tcPr>
          <w:p>
            <w:pPr>
              <w:pStyle w:val="TableParagraph"/>
              <w:spacing w:line="256" w:lineRule="exact"/>
              <w:ind w:right="154"/>
              <w:jc w:val="right"/>
              <w:rPr>
                <w:sz w:val="24"/>
              </w:rPr>
            </w:pPr>
            <w:r>
              <w:rPr>
                <w:spacing w:val="-5"/>
                <w:sz w:val="24"/>
              </w:rPr>
              <w:t>14</w:t>
            </w:r>
          </w:p>
        </w:tc>
      </w:tr>
      <w:tr>
        <w:trPr>
          <w:trHeight w:val="275" w:hRule="atLeast"/>
        </w:trPr>
        <w:tc>
          <w:tcPr>
            <w:tcW w:w="2013" w:type="dxa"/>
          </w:tcPr>
          <w:p>
            <w:pPr>
              <w:pStyle w:val="TableParagraph"/>
              <w:spacing w:line="256" w:lineRule="exact"/>
              <w:ind w:left="50"/>
              <w:rPr>
                <w:sz w:val="24"/>
              </w:rPr>
            </w:pPr>
            <w:r>
              <w:rPr>
                <w:spacing w:val="-2"/>
                <w:sz w:val="24"/>
              </w:rPr>
              <w:t>Orissa</w:t>
            </w:r>
          </w:p>
        </w:tc>
        <w:tc>
          <w:tcPr>
            <w:tcW w:w="1428" w:type="dxa"/>
            <w:gridSpan w:val="2"/>
          </w:tcPr>
          <w:p>
            <w:pPr>
              <w:pStyle w:val="TableParagraph"/>
              <w:spacing w:line="256" w:lineRule="exact"/>
              <w:ind w:left="262"/>
              <w:jc w:val="center"/>
              <w:rPr>
                <w:sz w:val="24"/>
              </w:rPr>
            </w:pPr>
            <w:r>
              <w:rPr>
                <w:spacing w:val="-10"/>
                <w:sz w:val="24"/>
              </w:rPr>
              <w:t>5</w:t>
            </w:r>
          </w:p>
        </w:tc>
        <w:tc>
          <w:tcPr>
            <w:tcW w:w="589" w:type="dxa"/>
          </w:tcPr>
          <w:p>
            <w:pPr>
              <w:pStyle w:val="TableParagraph"/>
              <w:spacing w:line="256" w:lineRule="exact"/>
              <w:ind w:left="76"/>
              <w:jc w:val="center"/>
              <w:rPr>
                <w:sz w:val="24"/>
              </w:rPr>
            </w:pPr>
            <w:r>
              <w:rPr>
                <w:spacing w:val="-10"/>
                <w:sz w:val="24"/>
              </w:rPr>
              <w:t>2</w:t>
            </w:r>
          </w:p>
        </w:tc>
        <w:tc>
          <w:tcPr>
            <w:tcW w:w="1283" w:type="dxa"/>
          </w:tcPr>
          <w:p>
            <w:pPr>
              <w:pStyle w:val="TableParagraph"/>
              <w:spacing w:line="256" w:lineRule="exact"/>
              <w:ind w:left="91" w:right="54"/>
              <w:jc w:val="center"/>
              <w:rPr>
                <w:sz w:val="24"/>
              </w:rPr>
            </w:pPr>
            <w:r>
              <w:rPr>
                <w:spacing w:val="-10"/>
                <w:sz w:val="24"/>
              </w:rPr>
              <w:t>4</w:t>
            </w:r>
          </w:p>
        </w:tc>
        <w:tc>
          <w:tcPr>
            <w:tcW w:w="603" w:type="dxa"/>
          </w:tcPr>
          <w:p>
            <w:pPr>
              <w:pStyle w:val="TableParagraph"/>
              <w:spacing w:line="256" w:lineRule="exact"/>
              <w:ind w:right="14"/>
              <w:jc w:val="center"/>
              <w:rPr>
                <w:sz w:val="24"/>
              </w:rPr>
            </w:pPr>
            <w:r>
              <w:rPr>
                <w:spacing w:val="-10"/>
                <w:sz w:val="24"/>
              </w:rPr>
              <w:t>1</w:t>
            </w:r>
          </w:p>
        </w:tc>
        <w:tc>
          <w:tcPr>
            <w:tcW w:w="1077" w:type="dxa"/>
          </w:tcPr>
          <w:p>
            <w:pPr>
              <w:pStyle w:val="TableParagraph"/>
              <w:rPr>
                <w:sz w:val="20"/>
              </w:rPr>
            </w:pPr>
          </w:p>
        </w:tc>
        <w:tc>
          <w:tcPr>
            <w:tcW w:w="824" w:type="dxa"/>
          </w:tcPr>
          <w:p>
            <w:pPr>
              <w:pStyle w:val="TableParagraph"/>
              <w:spacing w:line="256" w:lineRule="exact"/>
              <w:ind w:left="385"/>
              <w:rPr>
                <w:sz w:val="24"/>
              </w:rPr>
            </w:pPr>
            <w:r>
              <w:rPr>
                <w:spacing w:val="-10"/>
                <w:sz w:val="24"/>
              </w:rPr>
              <w:t>3</w:t>
            </w:r>
          </w:p>
        </w:tc>
        <w:tc>
          <w:tcPr>
            <w:tcW w:w="874" w:type="dxa"/>
          </w:tcPr>
          <w:p>
            <w:pPr>
              <w:pStyle w:val="TableParagraph"/>
              <w:spacing w:line="256" w:lineRule="exact"/>
              <w:ind w:right="154"/>
              <w:jc w:val="right"/>
              <w:rPr>
                <w:sz w:val="24"/>
              </w:rPr>
            </w:pPr>
            <w:r>
              <w:rPr>
                <w:spacing w:val="-5"/>
                <w:sz w:val="24"/>
              </w:rPr>
              <w:t>15</w:t>
            </w:r>
          </w:p>
        </w:tc>
      </w:tr>
      <w:tr>
        <w:trPr>
          <w:trHeight w:val="270" w:hRule="atLeast"/>
        </w:trPr>
        <w:tc>
          <w:tcPr>
            <w:tcW w:w="2013" w:type="dxa"/>
          </w:tcPr>
          <w:p>
            <w:pPr>
              <w:pStyle w:val="TableParagraph"/>
              <w:spacing w:line="251" w:lineRule="exact"/>
              <w:ind w:left="50"/>
              <w:rPr>
                <w:sz w:val="24"/>
              </w:rPr>
            </w:pPr>
            <w:r>
              <w:rPr>
                <w:sz w:val="24"/>
              </w:rPr>
              <w:t>Uttar</w:t>
            </w:r>
            <w:r>
              <w:rPr>
                <w:spacing w:val="-1"/>
                <w:sz w:val="24"/>
              </w:rPr>
              <w:t> </w:t>
            </w:r>
            <w:r>
              <w:rPr>
                <w:spacing w:val="-2"/>
                <w:sz w:val="24"/>
              </w:rPr>
              <w:t>Pradesh</w:t>
            </w:r>
          </w:p>
        </w:tc>
        <w:tc>
          <w:tcPr>
            <w:tcW w:w="1428" w:type="dxa"/>
            <w:gridSpan w:val="2"/>
          </w:tcPr>
          <w:p>
            <w:pPr>
              <w:pStyle w:val="TableParagraph"/>
              <w:spacing w:line="251" w:lineRule="exact"/>
              <w:ind w:left="262"/>
              <w:jc w:val="center"/>
              <w:rPr>
                <w:sz w:val="24"/>
              </w:rPr>
            </w:pPr>
            <w:r>
              <w:rPr>
                <w:spacing w:val="-10"/>
                <w:sz w:val="24"/>
              </w:rPr>
              <w:t>5</w:t>
            </w:r>
          </w:p>
        </w:tc>
        <w:tc>
          <w:tcPr>
            <w:tcW w:w="589" w:type="dxa"/>
          </w:tcPr>
          <w:p>
            <w:pPr>
              <w:pStyle w:val="TableParagraph"/>
              <w:spacing w:line="251" w:lineRule="exact"/>
              <w:ind w:left="76" w:right="1"/>
              <w:jc w:val="center"/>
              <w:rPr>
                <w:sz w:val="24"/>
              </w:rPr>
            </w:pPr>
            <w:r>
              <w:rPr>
                <w:spacing w:val="-10"/>
                <w:sz w:val="24"/>
              </w:rPr>
              <w:t>3</w:t>
            </w:r>
          </w:p>
        </w:tc>
        <w:tc>
          <w:tcPr>
            <w:tcW w:w="1283" w:type="dxa"/>
          </w:tcPr>
          <w:p>
            <w:pPr>
              <w:pStyle w:val="TableParagraph"/>
              <w:spacing w:line="251" w:lineRule="exact"/>
              <w:ind w:left="91" w:right="54"/>
              <w:jc w:val="center"/>
              <w:rPr>
                <w:sz w:val="24"/>
              </w:rPr>
            </w:pPr>
            <w:r>
              <w:rPr>
                <w:spacing w:val="-10"/>
                <w:sz w:val="24"/>
              </w:rPr>
              <w:t>2</w:t>
            </w:r>
          </w:p>
        </w:tc>
        <w:tc>
          <w:tcPr>
            <w:tcW w:w="603" w:type="dxa"/>
          </w:tcPr>
          <w:p>
            <w:pPr>
              <w:pStyle w:val="TableParagraph"/>
              <w:rPr>
                <w:sz w:val="20"/>
              </w:rPr>
            </w:pPr>
          </w:p>
        </w:tc>
        <w:tc>
          <w:tcPr>
            <w:tcW w:w="1077" w:type="dxa"/>
          </w:tcPr>
          <w:p>
            <w:pPr>
              <w:pStyle w:val="TableParagraph"/>
              <w:spacing w:line="251" w:lineRule="exact"/>
              <w:ind w:left="544"/>
              <w:rPr>
                <w:sz w:val="24"/>
              </w:rPr>
            </w:pPr>
            <w:r>
              <w:rPr>
                <w:spacing w:val="-4"/>
                <w:sz w:val="24"/>
              </w:rPr>
              <w:t>2(c)</w:t>
            </w:r>
          </w:p>
        </w:tc>
        <w:tc>
          <w:tcPr>
            <w:tcW w:w="824" w:type="dxa"/>
          </w:tcPr>
          <w:p>
            <w:pPr>
              <w:pStyle w:val="TableParagraph"/>
              <w:spacing w:line="251" w:lineRule="exact"/>
              <w:ind w:left="384"/>
              <w:rPr>
                <w:sz w:val="24"/>
              </w:rPr>
            </w:pPr>
            <w:r>
              <w:rPr>
                <w:spacing w:val="-10"/>
                <w:sz w:val="24"/>
              </w:rPr>
              <w:t>2</w:t>
            </w:r>
          </w:p>
        </w:tc>
        <w:tc>
          <w:tcPr>
            <w:tcW w:w="874" w:type="dxa"/>
          </w:tcPr>
          <w:p>
            <w:pPr>
              <w:pStyle w:val="TableParagraph"/>
              <w:spacing w:line="251" w:lineRule="exact"/>
              <w:ind w:right="155"/>
              <w:jc w:val="right"/>
              <w:rPr>
                <w:sz w:val="24"/>
              </w:rPr>
            </w:pPr>
            <w:r>
              <w:rPr>
                <w:spacing w:val="-5"/>
                <w:sz w:val="24"/>
              </w:rPr>
              <w:t>14</w:t>
            </w:r>
          </w:p>
        </w:tc>
      </w:tr>
    </w:tbl>
    <w:p>
      <w:pPr>
        <w:pStyle w:val="BodyText"/>
        <w:rPr>
          <w:sz w:val="16"/>
        </w:rPr>
      </w:pPr>
      <w:r>
        <w:rPr/>
        <mc:AlternateContent>
          <mc:Choice Requires="wps">
            <w:drawing>
              <wp:anchor distT="0" distB="0" distL="0" distR="0" allowOverlap="1" layoutInCell="1" locked="0" behindDoc="1" simplePos="0" relativeHeight="487588352">
                <wp:simplePos x="0" y="0"/>
                <wp:positionH relativeFrom="page">
                  <wp:posOffset>1143000</wp:posOffset>
                </wp:positionH>
                <wp:positionV relativeFrom="paragraph">
                  <wp:posOffset>132376</wp:posOffset>
                </wp:positionV>
                <wp:extent cx="5486400" cy="1905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5486400" cy="19050"/>
                          <a:chExt cx="5486400" cy="19050"/>
                        </a:xfrm>
                      </wpg:grpSpPr>
                      <wps:wsp>
                        <wps:cNvPr id="12" name="Graphic 1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3" name="Graphic 13"/>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4" name="Graphic 14"/>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5" name="Graphic 15"/>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6" name="Graphic 16"/>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7" name="Graphic 17"/>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8" name="Graphic 18"/>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423359pt;width:432pt;height:1.5pt;mso-position-horizontal-relative:page;mso-position-vertical-relative:paragraph;z-index:-15728128;mso-wrap-distance-left:0;mso-wrap-distance-right:0" id="docshapegroup11" coordorigin="1800,208" coordsize="8640,30">
                <v:rect style="position:absolute;left:1800;top:208;width:8640;height:30" id="docshape12" filled="true" fillcolor="#808080" stroked="false">
                  <v:fill type="solid"/>
                </v:rect>
                <v:shape style="position:absolute;left:1800;top:208;width:8636;height:5" id="docshape13" coordorigin="1800,208" coordsize="8636,5" path="m10435,208l1805,208,1800,208,1800,213,1805,213,10435,213,10435,208xe" filled="true" fillcolor="#aca89a" stroked="false">
                  <v:path arrowok="t"/>
                  <v:fill type="solid"/>
                </v:shape>
                <v:rect style="position:absolute;left:10435;top:208;width:5;height:5" id="docshape14" filled="true" fillcolor="#f1efe2" stroked="false">
                  <v:fill type="solid"/>
                </v:rect>
                <v:shape style="position:absolute;left:1800;top:208;width:8640;height:26" id="docshape15" coordorigin="1800,208" coordsize="8640,26" path="m1805,213l1800,213,1800,234,1805,234,1805,213xm10440,208l10435,208,10435,213,10440,213,10440,208xe" filled="true" fillcolor="#aca89a" stroked="false">
                  <v:path arrowok="t"/>
                  <v:fill type="solid"/>
                </v:shape>
                <v:rect style="position:absolute;left:10435;top:213;width:5;height:21" id="docshape16" filled="true" fillcolor="#f1efe2" stroked="false">
                  <v:fill type="solid"/>
                </v:rect>
                <v:rect style="position:absolute;left:1800;top:233;width:5;height:5" id="docshape17" filled="true" fillcolor="#aca89a" stroked="false">
                  <v:fill type="solid"/>
                </v:rect>
                <v:shape style="position:absolute;left:1800;top:233;width:8640;height:5" id="docshape18" coordorigin="1800,234" coordsize="8640,5" path="m10440,234l10435,234,1800,234,1800,238,10435,238,10440,238,10440,234xe" filled="true" fillcolor="#f1efe2" stroked="false">
                  <v:path arrowok="t"/>
                  <v:fill type="solid"/>
                </v:shape>
                <w10:wrap type="topAndBottom"/>
              </v:group>
            </w:pict>
          </mc:Fallback>
        </mc:AlternateContent>
      </w:r>
    </w:p>
    <w:p>
      <w:pPr>
        <w:pStyle w:val="BodyText"/>
        <w:spacing w:before="53"/>
      </w:pPr>
    </w:p>
    <w:p>
      <w:pPr>
        <w:pStyle w:val="BodyText"/>
        <w:ind w:left="159" w:right="496"/>
        <w:jc w:val="both"/>
      </w:pPr>
      <w:r>
        <w:rPr/>
        <w:t>(a) Integrated primary course, there being no separate middle schools. (b) In the University of Bombay there is a two-year intermediate course followed by a two-year degree course.</w:t>
      </w:r>
    </w:p>
    <w:p>
      <w:pPr>
        <w:pStyle w:val="BodyText"/>
        <w:spacing w:before="3"/>
      </w:pPr>
    </w:p>
    <w:p>
      <w:pPr>
        <w:pStyle w:val="BodyText"/>
        <w:spacing w:before="1"/>
        <w:ind w:left="159"/>
        <w:jc w:val="both"/>
      </w:pPr>
      <w:r>
        <w:rPr/>
        <w:t>(c)</w:t>
      </w:r>
      <w:r>
        <w:rPr>
          <w:spacing w:val="-2"/>
        </w:rPr>
        <w:t> </w:t>
      </w:r>
      <w:r>
        <w:rPr/>
        <w:t>Refers</w:t>
      </w:r>
      <w:r>
        <w:rPr>
          <w:spacing w:val="-1"/>
        </w:rPr>
        <w:t> </w:t>
      </w:r>
      <w:r>
        <w:rPr/>
        <w:t>to</w:t>
      </w:r>
      <w:r>
        <w:rPr>
          <w:spacing w:val="-3"/>
        </w:rPr>
        <w:t> </w:t>
      </w:r>
      <w:r>
        <w:rPr/>
        <w:t>Intermediate</w:t>
      </w:r>
      <w:r>
        <w:rPr>
          <w:spacing w:val="-1"/>
        </w:rPr>
        <w:t> </w:t>
      </w:r>
      <w:r>
        <w:rPr>
          <w:spacing w:val="-2"/>
        </w:rPr>
        <w:t>colleges.</w:t>
      </w:r>
    </w:p>
    <w:p>
      <w:pPr>
        <w:pStyle w:val="BodyText"/>
        <w:spacing w:before="3"/>
      </w:pPr>
    </w:p>
    <w:p>
      <w:pPr>
        <w:pStyle w:val="BodyText"/>
        <w:ind w:left="159" w:right="496"/>
        <w:jc w:val="both"/>
      </w:pPr>
      <w:r>
        <w:rPr/>
        <w:t>N.B. (1) In totalling up the duration of each stage, please include (i) Secondary and PUC or (ii) Higher Secondary, but not both.</w:t>
      </w:r>
    </w:p>
    <w:p>
      <w:pPr>
        <w:pStyle w:val="BodyText"/>
        <w:spacing w:before="4"/>
      </w:pPr>
    </w:p>
    <w:p>
      <w:pPr>
        <w:pStyle w:val="BodyText"/>
        <w:ind w:left="159" w:right="497"/>
        <w:jc w:val="both"/>
      </w:pPr>
      <w:r>
        <w:rPr/>
        <w:t>(2) Among the Union Territories, Delhi, Andaman and Nicobar Islands and Laccadive, Minicoy and Amindivi Islands have adopted the higher secondary pattern. The other Union Territories usually follow the pattern of the State with whose Secondary Board or Universities they coordinate their educational programmes (e.g., Himachal Pradesh follows Punjab).</w:t>
      </w:r>
    </w:p>
    <w:p>
      <w:pPr>
        <w:pStyle w:val="BodyText"/>
        <w:spacing w:before="3"/>
      </w:pPr>
    </w:p>
    <w:p>
      <w:pPr>
        <w:pStyle w:val="ListParagraph"/>
        <w:numPr>
          <w:ilvl w:val="1"/>
          <w:numId w:val="21"/>
        </w:numPr>
        <w:tabs>
          <w:tab w:pos="665" w:val="left" w:leader="none"/>
        </w:tabs>
        <w:spacing w:line="240" w:lineRule="auto" w:before="1" w:after="0"/>
        <w:ind w:left="159" w:right="495" w:firstLine="0"/>
        <w:jc w:val="both"/>
        <w:rPr>
          <w:sz w:val="24"/>
        </w:rPr>
      </w:pPr>
      <w:r>
        <w:rPr>
          <w:sz w:val="24"/>
        </w:rPr>
        <w:t>Some witnesses who gave evidence before the Commission were of the view that</w:t>
      </w:r>
      <w:r>
        <w:rPr>
          <w:spacing w:val="40"/>
          <w:sz w:val="24"/>
        </w:rPr>
        <w:t> </w:t>
      </w:r>
      <w:r>
        <w:rPr>
          <w:sz w:val="24"/>
        </w:rPr>
        <w:t>the higher secondary pattern had not been given a fair trial. They believed that frequent changes of policy with regard to the educational structure were undesirable and that, instead of experimenting further with new patterns, it would be better to implement the higher secondary scheme itself more effectively all over the country. But a large majority were extremely critical of the scheme for the following reasons, among others:</w:t>
      </w:r>
    </w:p>
    <w:p>
      <w:pPr>
        <w:pStyle w:val="BodyText"/>
        <w:spacing w:before="3"/>
      </w:pPr>
    </w:p>
    <w:p>
      <w:pPr>
        <w:pStyle w:val="ListParagraph"/>
        <w:numPr>
          <w:ilvl w:val="0"/>
          <w:numId w:val="22"/>
        </w:numPr>
        <w:tabs>
          <w:tab w:pos="536" w:val="left" w:leader="none"/>
        </w:tabs>
        <w:spacing w:line="240" w:lineRule="auto" w:before="0" w:after="0"/>
        <w:ind w:left="159" w:right="497" w:firstLine="0"/>
        <w:jc w:val="both"/>
        <w:rPr>
          <w:sz w:val="24"/>
        </w:rPr>
      </w:pPr>
      <w:r>
        <w:rPr>
          <w:sz w:val="24"/>
        </w:rPr>
        <w:t>Specialization, which should not be introduced till after class X or the age of 16, begins too early in the pattern (after class IX or at the age of 13 or 14).</w:t>
      </w:r>
    </w:p>
    <w:p>
      <w:pPr>
        <w:spacing w:after="0" w:line="240" w:lineRule="auto"/>
        <w:jc w:val="both"/>
        <w:rPr>
          <w:sz w:val="24"/>
        </w:rPr>
        <w:sectPr>
          <w:pgSz w:w="12240" w:h="15840"/>
          <w:pgMar w:header="0" w:footer="743" w:top="1360" w:bottom="940" w:left="1640" w:right="1300"/>
        </w:sectPr>
      </w:pPr>
    </w:p>
    <w:p>
      <w:pPr>
        <w:pStyle w:val="ListParagraph"/>
        <w:numPr>
          <w:ilvl w:val="0"/>
          <w:numId w:val="22"/>
        </w:numPr>
        <w:tabs>
          <w:tab w:pos="512" w:val="left" w:leader="none"/>
        </w:tabs>
        <w:spacing w:line="240" w:lineRule="auto" w:before="76" w:after="0"/>
        <w:ind w:left="160" w:right="497" w:firstLine="0"/>
        <w:jc w:val="both"/>
        <w:rPr>
          <w:sz w:val="24"/>
        </w:rPr>
      </w:pPr>
      <w:r>
        <w:rPr>
          <w:sz w:val="24"/>
        </w:rPr>
        <w:t>The three-year integrated course in the higher secondary classes leads to a good deal of</w:t>
      </w:r>
      <w:r>
        <w:rPr>
          <w:spacing w:val="-1"/>
          <w:sz w:val="24"/>
        </w:rPr>
        <w:t> </w:t>
      </w:r>
      <w:r>
        <w:rPr>
          <w:sz w:val="24"/>
        </w:rPr>
        <w:t>unnecessary</w:t>
      </w:r>
      <w:r>
        <w:rPr>
          <w:spacing w:val="-1"/>
          <w:sz w:val="24"/>
        </w:rPr>
        <w:t> </w:t>
      </w:r>
      <w:r>
        <w:rPr>
          <w:sz w:val="24"/>
        </w:rPr>
        <w:t>and</w:t>
      </w:r>
      <w:r>
        <w:rPr>
          <w:spacing w:val="-1"/>
          <w:sz w:val="24"/>
        </w:rPr>
        <w:t> </w:t>
      </w:r>
      <w:r>
        <w:rPr>
          <w:sz w:val="24"/>
        </w:rPr>
        <w:t>increase</w:t>
      </w:r>
      <w:r>
        <w:rPr>
          <w:spacing w:val="-1"/>
          <w:sz w:val="24"/>
        </w:rPr>
        <w:t> </w:t>
      </w:r>
      <w:r>
        <w:rPr>
          <w:sz w:val="24"/>
        </w:rPr>
        <w:t>in</w:t>
      </w:r>
      <w:r>
        <w:rPr>
          <w:spacing w:val="-1"/>
          <w:sz w:val="24"/>
        </w:rPr>
        <w:t> </w:t>
      </w:r>
      <w:r>
        <w:rPr>
          <w:sz w:val="24"/>
        </w:rPr>
        <w:t>expenditure,</w:t>
      </w:r>
      <w:r>
        <w:rPr>
          <w:spacing w:val="-1"/>
          <w:sz w:val="24"/>
        </w:rPr>
        <w:t> </w:t>
      </w:r>
      <w:r>
        <w:rPr>
          <w:sz w:val="24"/>
        </w:rPr>
        <w:t>as a</w:t>
      </w:r>
      <w:r>
        <w:rPr>
          <w:spacing w:val="-1"/>
          <w:sz w:val="24"/>
        </w:rPr>
        <w:t> </w:t>
      </w:r>
      <w:r>
        <w:rPr>
          <w:sz w:val="24"/>
        </w:rPr>
        <w:t>child,</w:t>
      </w:r>
      <w:r>
        <w:rPr>
          <w:spacing w:val="-1"/>
          <w:sz w:val="24"/>
        </w:rPr>
        <w:t> </w:t>
      </w:r>
      <w:r>
        <w:rPr>
          <w:sz w:val="24"/>
        </w:rPr>
        <w:t>who</w:t>
      </w:r>
      <w:r>
        <w:rPr>
          <w:spacing w:val="-1"/>
          <w:sz w:val="24"/>
        </w:rPr>
        <w:t> </w:t>
      </w:r>
      <w:r>
        <w:rPr>
          <w:sz w:val="24"/>
        </w:rPr>
        <w:t>might</w:t>
      </w:r>
      <w:r>
        <w:rPr>
          <w:spacing w:val="-1"/>
          <w:sz w:val="24"/>
        </w:rPr>
        <w:t> </w:t>
      </w:r>
      <w:r>
        <w:rPr>
          <w:sz w:val="24"/>
        </w:rPr>
        <w:t>otherwise</w:t>
      </w:r>
      <w:r>
        <w:rPr>
          <w:spacing w:val="-1"/>
          <w:sz w:val="24"/>
        </w:rPr>
        <w:t> </w:t>
      </w:r>
      <w:r>
        <w:rPr>
          <w:sz w:val="24"/>
        </w:rPr>
        <w:t>have</w:t>
      </w:r>
      <w:r>
        <w:rPr>
          <w:spacing w:val="-1"/>
          <w:sz w:val="24"/>
        </w:rPr>
        <w:t> </w:t>
      </w:r>
      <w:r>
        <w:rPr>
          <w:sz w:val="24"/>
        </w:rPr>
        <w:t>stepped off into the world of work or a vocational course at the end of class V, is now forced to</w:t>
      </w:r>
      <w:r>
        <w:rPr>
          <w:spacing w:val="40"/>
          <w:sz w:val="24"/>
        </w:rPr>
        <w:t> </w:t>
      </w:r>
      <w:r>
        <w:rPr>
          <w:sz w:val="24"/>
        </w:rPr>
        <w:t>go up to class XI.</w:t>
      </w:r>
    </w:p>
    <w:p>
      <w:pPr>
        <w:pStyle w:val="BodyText"/>
        <w:spacing w:before="4"/>
      </w:pPr>
    </w:p>
    <w:p>
      <w:pPr>
        <w:pStyle w:val="ListParagraph"/>
        <w:numPr>
          <w:ilvl w:val="0"/>
          <w:numId w:val="22"/>
        </w:numPr>
        <w:tabs>
          <w:tab w:pos="511" w:val="left" w:leader="none"/>
        </w:tabs>
        <w:spacing w:line="240" w:lineRule="auto" w:before="0" w:after="0"/>
        <w:ind w:left="160" w:right="498" w:firstLine="0"/>
        <w:jc w:val="both"/>
        <w:rPr>
          <w:sz w:val="24"/>
        </w:rPr>
      </w:pPr>
      <w:r>
        <w:rPr>
          <w:sz w:val="24"/>
        </w:rPr>
        <w:t>The expectations that standards would improve as a result of the reorganization have not been generally realized. Qualified teachers are unwilling to work in higher secondary classes because of lower salaries, and even where salaries are equal, because of lower status. Moreover, for reasons other than educational, a number of high schools have been upgraded to the higher secondary pattern without any appreciable improvement in </w:t>
      </w:r>
      <w:r>
        <w:rPr>
          <w:sz w:val="24"/>
        </w:rPr>
        <w:t>their accommodation and equipment or in the qualifications of their staff.</w:t>
      </w:r>
    </w:p>
    <w:p>
      <w:pPr>
        <w:pStyle w:val="BodyText"/>
        <w:spacing w:before="4"/>
      </w:pPr>
    </w:p>
    <w:p>
      <w:pPr>
        <w:pStyle w:val="ListParagraph"/>
        <w:numPr>
          <w:ilvl w:val="0"/>
          <w:numId w:val="22"/>
        </w:numPr>
        <w:tabs>
          <w:tab w:pos="538" w:val="left" w:leader="none"/>
        </w:tabs>
        <w:spacing w:line="240" w:lineRule="auto" w:before="0" w:after="0"/>
        <w:ind w:left="160" w:right="496" w:firstLine="0"/>
        <w:jc w:val="both"/>
        <w:rPr>
          <w:sz w:val="24"/>
        </w:rPr>
      </w:pPr>
      <w:r>
        <w:rPr>
          <w:sz w:val="24"/>
        </w:rPr>
        <w:t>The experiment which is costly in itself has led in certain areas to an increase in expenditure in other directions. For instance, it was found almost impossible in practice</w:t>
      </w:r>
      <w:r>
        <w:rPr>
          <w:spacing w:val="40"/>
          <w:sz w:val="24"/>
        </w:rPr>
        <w:t> </w:t>
      </w:r>
      <w:r>
        <w:rPr>
          <w:sz w:val="24"/>
        </w:rPr>
        <w:t>to downgrade an intermediate college to a higher secondary school, so that intermediate college had to be raised to the costlier degree Similarly, the decision to convert, over a period of time, all high schools to the higher secondary pattern created pressures. Even small rural high schools, which under the previous system would have been more</w:t>
      </w:r>
      <w:r>
        <w:rPr>
          <w:spacing w:val="40"/>
          <w:sz w:val="24"/>
        </w:rPr>
        <w:t> </w:t>
      </w:r>
      <w:r>
        <w:rPr>
          <w:sz w:val="24"/>
        </w:rPr>
        <w:t>efficient and economical as ten-class institutions, were upgraded to the higher </w:t>
      </w:r>
      <w:r>
        <w:rPr>
          <w:sz w:val="24"/>
        </w:rPr>
        <w:t>secondary status and became both costly and less efficient.</w:t>
      </w:r>
    </w:p>
    <w:p>
      <w:pPr>
        <w:pStyle w:val="BodyText"/>
        <w:spacing w:before="5"/>
      </w:pPr>
    </w:p>
    <w:p>
      <w:pPr>
        <w:pStyle w:val="ListParagraph"/>
        <w:numPr>
          <w:ilvl w:val="1"/>
          <w:numId w:val="23"/>
        </w:numPr>
        <w:tabs>
          <w:tab w:pos="665" w:val="left" w:leader="none"/>
        </w:tabs>
        <w:spacing w:line="240" w:lineRule="auto" w:before="0" w:after="0"/>
        <w:ind w:left="160" w:right="497" w:firstLine="0"/>
        <w:jc w:val="both"/>
        <w:rPr>
          <w:b/>
          <w:sz w:val="24"/>
        </w:rPr>
      </w:pPr>
      <w:r>
        <w:rPr>
          <w:b/>
          <w:sz w:val="24"/>
        </w:rPr>
        <w:t>Uniformity of Pattern. </w:t>
      </w:r>
      <w:r>
        <w:rPr>
          <w:sz w:val="24"/>
        </w:rPr>
        <w:t>A number of different proposals for the reorganization of the educational structure were placed before the Commission. Most of these recommended a uniform pattern of school and college classes in all parts of the country.</w:t>
      </w:r>
      <w:r>
        <w:rPr>
          <w:spacing w:val="40"/>
          <w:sz w:val="24"/>
        </w:rPr>
        <w:t> </w:t>
      </w:r>
      <w:r>
        <w:rPr>
          <w:sz w:val="24"/>
        </w:rPr>
        <w:t>It may be pointed out in this connection that the Committee on Emotional Integration stated in their Report (1962) as follows:</w:t>
      </w:r>
    </w:p>
    <w:p>
      <w:pPr>
        <w:pStyle w:val="BodyText"/>
        <w:spacing w:before="3"/>
      </w:pPr>
    </w:p>
    <w:p>
      <w:pPr>
        <w:pStyle w:val="BodyText"/>
        <w:spacing w:before="1"/>
        <w:ind w:left="160" w:right="497"/>
        <w:jc w:val="both"/>
      </w:pPr>
      <w:r>
        <w:rPr/>
        <w:t>We consider that in the overall interest of our student population there should be a common pattern of education in the country which will minimize confusion and coordinate and maintain standards. 4</w:t>
      </w:r>
    </w:p>
    <w:p>
      <w:pPr>
        <w:spacing w:after="0"/>
        <w:jc w:val="both"/>
        <w:sectPr>
          <w:pgSz w:w="12240" w:h="15840"/>
          <w:pgMar w:header="0" w:footer="743" w:top="1360" w:bottom="940" w:left="1640" w:right="1300"/>
        </w:sectPr>
      </w:pPr>
    </w:p>
    <w:p>
      <w:pPr>
        <w:pStyle w:val="BodyText"/>
        <w:ind w:left="160"/>
        <w:rPr>
          <w:sz w:val="20"/>
        </w:rPr>
      </w:pPr>
      <w:r>
        <w:rPr>
          <w:sz w:val="20"/>
        </w:rPr>
        <w:drawing>
          <wp:inline distT="0" distB="0" distL="0" distR="0">
            <wp:extent cx="5528036" cy="7952994"/>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5528036" cy="7952994"/>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528036" cy="795299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9" cstate="print"/>
                    <a:stretch>
                      <a:fillRect/>
                    </a:stretch>
                  </pic:blipFill>
                  <pic:spPr>
                    <a:xfrm>
                      <a:off x="0" y="0"/>
                      <a:ext cx="5528036" cy="7952994"/>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160" w:right="495"/>
        <w:jc w:val="both"/>
      </w:pPr>
      <w:r>
        <w:rPr/>
        <w:t>This view has been gaining considerable ground in recent years. The concept of a</w:t>
      </w:r>
      <w:r>
        <w:rPr>
          <w:spacing w:val="40"/>
        </w:rPr>
        <w:t> </w:t>
      </w:r>
      <w:r>
        <w:rPr/>
        <w:t>national system of education has been increasingly linked with the adoption of a uniform educational pattern, and a belief has grown that such uniformity is essential for raising </w:t>
      </w:r>
      <w:r>
        <w:rPr>
          <w:spacing w:val="-2"/>
        </w:rPr>
        <w:t>standards.</w:t>
      </w:r>
    </w:p>
    <w:p>
      <w:pPr>
        <w:pStyle w:val="BodyText"/>
        <w:spacing w:before="4"/>
      </w:pPr>
    </w:p>
    <w:p>
      <w:pPr>
        <w:pStyle w:val="ListParagraph"/>
        <w:numPr>
          <w:ilvl w:val="1"/>
          <w:numId w:val="23"/>
        </w:numPr>
        <w:tabs>
          <w:tab w:pos="704" w:val="left" w:leader="none"/>
        </w:tabs>
        <w:spacing w:line="240" w:lineRule="auto" w:before="0" w:after="0"/>
        <w:ind w:left="159" w:right="496" w:firstLine="0"/>
        <w:jc w:val="both"/>
        <w:rPr>
          <w:sz w:val="24"/>
        </w:rPr>
      </w:pPr>
      <w:r>
        <w:rPr>
          <w:sz w:val="24"/>
        </w:rPr>
        <w:t>We have recommended elsewhere</w:t>
      </w:r>
      <w:r>
        <w:rPr>
          <w:b/>
          <w:sz w:val="24"/>
          <w:vertAlign w:val="superscript"/>
        </w:rPr>
        <w:t>16</w:t>
      </w:r>
      <w:r>
        <w:rPr>
          <w:b/>
          <w:sz w:val="24"/>
          <w:vertAlign w:val="baseline"/>
        </w:rPr>
        <w:t> </w:t>
      </w:r>
      <w:r>
        <w:rPr>
          <w:sz w:val="24"/>
          <w:vertAlign w:val="baseline"/>
        </w:rPr>
        <w:t>certain steps that should be taken for the coordination of educational standards at the school stage in the different States. But we</w:t>
      </w:r>
      <w:r>
        <w:rPr>
          <w:spacing w:val="40"/>
          <w:sz w:val="24"/>
          <w:vertAlign w:val="baseline"/>
        </w:rPr>
        <w:t> </w:t>
      </w:r>
      <w:r>
        <w:rPr>
          <w:sz w:val="24"/>
          <w:vertAlign w:val="baseline"/>
        </w:rPr>
        <w:t>do not believe that it is necessary or desirable to impose a uniform pattern of school and college classes in all parts of the country. There are several characteristic features of the Indian situation, such as the vastness of the country and the immense diversity of local conditions and traditions, that demand a certain element of flexibility in the educational structure. We are aware of other national systems of education which have a variety of educational patterns. Even in a country of small size such as the United Kingdom, for example, the pattern in England (generally thirteen years of</w:t>
      </w:r>
      <w:r>
        <w:rPr>
          <w:spacing w:val="-2"/>
          <w:sz w:val="24"/>
          <w:vertAlign w:val="baseline"/>
        </w:rPr>
        <w:t> </w:t>
      </w:r>
      <w:r>
        <w:rPr>
          <w:sz w:val="24"/>
          <w:vertAlign w:val="baseline"/>
        </w:rPr>
        <w:t>school education followed by a three-year course for the first degree) is different from that in Scotland (twelve years of school education followed by a four-year course for the first degree). In our country, where the different States are at unequal levels of development, a uniform pattern might be above the resources and real needs of the backward areas and below the capacity and requirements of the advanced areas and might operate to the disadvantage of both.</w:t>
      </w:r>
    </w:p>
    <w:p>
      <w:pPr>
        <w:pStyle w:val="BodyText"/>
        <w:spacing w:before="4"/>
      </w:pPr>
    </w:p>
    <w:p>
      <w:pPr>
        <w:pStyle w:val="ListParagraph"/>
        <w:numPr>
          <w:ilvl w:val="1"/>
          <w:numId w:val="23"/>
        </w:numPr>
        <w:tabs>
          <w:tab w:pos="657" w:val="left" w:leader="none"/>
        </w:tabs>
        <w:spacing w:line="240" w:lineRule="auto" w:before="0" w:after="0"/>
        <w:ind w:left="159" w:right="497" w:firstLine="0"/>
        <w:jc w:val="both"/>
        <w:rPr>
          <w:b/>
          <w:sz w:val="24"/>
        </w:rPr>
      </w:pPr>
      <w:r>
        <w:rPr>
          <w:b/>
          <w:sz w:val="24"/>
        </w:rPr>
        <w:t>Lengthening the Duration of Schooling. </w:t>
      </w:r>
      <w:r>
        <w:rPr>
          <w:sz w:val="24"/>
        </w:rPr>
        <w:t>A second popular demand that has been stressed in proposals for structural reorganization received by the Commission is </w:t>
      </w:r>
      <w:r>
        <w:rPr>
          <w:sz w:val="24"/>
        </w:rPr>
        <w:t>related to lengthening the total duration of school and higher education. This demand, it may be pointed</w:t>
      </w:r>
      <w:r>
        <w:rPr>
          <w:spacing w:val="-3"/>
          <w:sz w:val="24"/>
        </w:rPr>
        <w:t> </w:t>
      </w:r>
      <w:r>
        <w:rPr>
          <w:sz w:val="24"/>
        </w:rPr>
        <w:t>out,</w:t>
      </w:r>
      <w:r>
        <w:rPr>
          <w:spacing w:val="-3"/>
          <w:sz w:val="24"/>
        </w:rPr>
        <w:t> </w:t>
      </w:r>
      <w:r>
        <w:rPr>
          <w:sz w:val="24"/>
        </w:rPr>
        <w:t>is</w:t>
      </w:r>
      <w:r>
        <w:rPr>
          <w:spacing w:val="-3"/>
          <w:sz w:val="24"/>
        </w:rPr>
        <w:t> </w:t>
      </w:r>
      <w:r>
        <w:rPr>
          <w:sz w:val="24"/>
        </w:rPr>
        <w:t>not</w:t>
      </w:r>
      <w:r>
        <w:rPr>
          <w:spacing w:val="-3"/>
          <w:sz w:val="24"/>
        </w:rPr>
        <w:t> </w:t>
      </w:r>
      <w:r>
        <w:rPr>
          <w:sz w:val="24"/>
        </w:rPr>
        <w:t>related</w:t>
      </w:r>
      <w:r>
        <w:rPr>
          <w:spacing w:val="-3"/>
          <w:sz w:val="24"/>
        </w:rPr>
        <w:t> </w:t>
      </w:r>
      <w:r>
        <w:rPr>
          <w:sz w:val="24"/>
        </w:rPr>
        <w:t>to</w:t>
      </w:r>
      <w:r>
        <w:rPr>
          <w:spacing w:val="-2"/>
          <w:sz w:val="24"/>
        </w:rPr>
        <w:t> </w:t>
      </w:r>
      <w:r>
        <w:rPr>
          <w:sz w:val="24"/>
        </w:rPr>
        <w:t>the</w:t>
      </w:r>
      <w:r>
        <w:rPr>
          <w:spacing w:val="-2"/>
          <w:sz w:val="24"/>
        </w:rPr>
        <w:t> </w:t>
      </w:r>
      <w:r>
        <w:rPr>
          <w:sz w:val="24"/>
        </w:rPr>
        <w:t>professional</w:t>
      </w:r>
      <w:r>
        <w:rPr>
          <w:spacing w:val="-2"/>
          <w:sz w:val="24"/>
        </w:rPr>
        <w:t> </w:t>
      </w:r>
      <w:r>
        <w:rPr>
          <w:sz w:val="24"/>
        </w:rPr>
        <w:t>degrees</w:t>
      </w:r>
      <w:r>
        <w:rPr>
          <w:spacing w:val="-2"/>
          <w:sz w:val="24"/>
        </w:rPr>
        <w:t> </w:t>
      </w:r>
      <w:r>
        <w:rPr>
          <w:sz w:val="24"/>
        </w:rPr>
        <w:t>such</w:t>
      </w:r>
      <w:r>
        <w:rPr>
          <w:spacing w:val="-2"/>
          <w:sz w:val="24"/>
        </w:rPr>
        <w:t> </w:t>
      </w:r>
      <w:r>
        <w:rPr>
          <w:sz w:val="24"/>
        </w:rPr>
        <w:t>as</w:t>
      </w:r>
      <w:r>
        <w:rPr>
          <w:spacing w:val="-3"/>
          <w:sz w:val="24"/>
        </w:rPr>
        <w:t> </w:t>
      </w:r>
      <w:r>
        <w:rPr>
          <w:sz w:val="24"/>
        </w:rPr>
        <w:t>engineering</w:t>
      </w:r>
      <w:r>
        <w:rPr>
          <w:spacing w:val="-3"/>
          <w:sz w:val="24"/>
        </w:rPr>
        <w:t> </w:t>
      </w:r>
      <w:r>
        <w:rPr>
          <w:sz w:val="24"/>
        </w:rPr>
        <w:t>or</w:t>
      </w:r>
      <w:r>
        <w:rPr>
          <w:spacing w:val="-3"/>
          <w:sz w:val="24"/>
        </w:rPr>
        <w:t> </w:t>
      </w:r>
      <w:r>
        <w:rPr>
          <w:sz w:val="24"/>
        </w:rPr>
        <w:t>medicine,</w:t>
      </w:r>
      <w:r>
        <w:rPr>
          <w:spacing w:val="-3"/>
          <w:sz w:val="24"/>
        </w:rPr>
        <w:t> </w:t>
      </w:r>
      <w:r>
        <w:rPr>
          <w:sz w:val="24"/>
        </w:rPr>
        <w:t>the total duration of the study for which is not less than 16 years and is about the same as in most of the educationally advanced countries. This demand 'only refers to the first</w:t>
      </w:r>
      <w:r>
        <w:rPr>
          <w:spacing w:val="40"/>
          <w:sz w:val="24"/>
        </w:rPr>
        <w:t> </w:t>
      </w:r>
      <w:r>
        <w:rPr>
          <w:sz w:val="24"/>
        </w:rPr>
        <w:t>degrees in arts and science, which are now taken four years after the matriculation or an equivalent examination (or three years after the higher secondary course of eleven years), and the contention put forward is that this duration should be lengthened to not less than five years after the matriculation (or four years after the higher secondary). This view, it must be pointed out, accords with the thinking of several expert bodies on the subject. As far back as in 1919, the Calcutta University Commission proposed that the dividing line between the university and the secondary school should be drawn at the intermediate examination, which came after twelve years of education. Similarly, the University Education Commission (1948) recommended that students should be admitted to the university after the completion of twelve years of study, and that the first degree course should be of three years' duration. According to the Committee on Emotional Integration (1962), the eleven-year period of school education was inadequate preparation for entrance to the university, and the lengthening of the course by one year was deemed necessary. At the conference of the State Education Ministers held in 1964, it was resolved that 'a twelve-year course of schooling before admission to the degree course was the goal towards which the country must work'. We are in full agreement with these </w:t>
      </w:r>
      <w:r>
        <w:rPr>
          <w:spacing w:val="-2"/>
          <w:sz w:val="24"/>
        </w:rPr>
        <w:t>recommendations.</w:t>
      </w:r>
    </w:p>
    <w:p>
      <w:pPr>
        <w:tabs>
          <w:tab w:pos="2756" w:val="left" w:leader="none"/>
          <w:tab w:pos="5637" w:val="left" w:leader="none"/>
          <w:tab w:pos="8643" w:val="left" w:leader="none"/>
        </w:tabs>
        <w:spacing w:before="247"/>
        <w:ind w:left="160" w:right="0" w:firstLine="0"/>
        <w:jc w:val="both"/>
        <w:rPr>
          <w:b/>
          <w:sz w:val="16"/>
        </w:rPr>
      </w:pPr>
      <w:r>
        <w:rPr>
          <w:b/>
          <w:spacing w:val="-5"/>
          <w:sz w:val="16"/>
        </w:rPr>
        <w:t>16</w:t>
      </w:r>
      <w:r>
        <w:rPr>
          <w:b/>
          <w:sz w:val="16"/>
        </w:rPr>
        <w:tab/>
      </w:r>
      <w:r>
        <w:rPr>
          <w:b/>
          <w:spacing w:val="-2"/>
          <w:sz w:val="16"/>
        </w:rPr>
        <w:t>Vol.II,</w:t>
      </w:r>
      <w:r>
        <w:rPr>
          <w:b/>
          <w:sz w:val="16"/>
        </w:rPr>
        <w:tab/>
      </w:r>
      <w:r>
        <w:rPr>
          <w:b/>
          <w:spacing w:val="-2"/>
          <w:sz w:val="16"/>
        </w:rPr>
        <w:t>Chapter</w:t>
      </w:r>
      <w:r>
        <w:rPr>
          <w:b/>
          <w:sz w:val="16"/>
        </w:rPr>
        <w:tab/>
      </w:r>
      <w:r>
        <w:rPr>
          <w:b/>
          <w:spacing w:val="-5"/>
          <w:sz w:val="16"/>
        </w:rPr>
        <w:t>X.</w:t>
      </w:r>
    </w:p>
    <w:p>
      <w:pPr>
        <w:spacing w:after="0"/>
        <w:jc w:val="both"/>
        <w:rPr>
          <w:sz w:val="16"/>
        </w:rPr>
        <w:sectPr>
          <w:pgSz w:w="12240" w:h="15840"/>
          <w:pgMar w:header="0" w:footer="743" w:top="1360" w:bottom="940" w:left="1640" w:right="1300"/>
        </w:sectPr>
      </w:pPr>
    </w:p>
    <w:p>
      <w:pPr>
        <w:pStyle w:val="ListParagraph"/>
        <w:numPr>
          <w:ilvl w:val="1"/>
          <w:numId w:val="23"/>
        </w:numPr>
        <w:tabs>
          <w:tab w:pos="740" w:val="left" w:leader="none"/>
        </w:tabs>
        <w:spacing w:line="240" w:lineRule="auto" w:before="76" w:after="0"/>
        <w:ind w:left="159" w:right="496" w:firstLine="0"/>
        <w:jc w:val="both"/>
        <w:rPr>
          <w:b/>
          <w:sz w:val="24"/>
        </w:rPr>
      </w:pPr>
      <w:r>
        <w:rPr>
          <w:b/>
          <w:sz w:val="24"/>
        </w:rPr>
        <w:t>Reorganization of the Educational Structure. </w:t>
      </w:r>
      <w:r>
        <w:rPr>
          <w:sz w:val="24"/>
        </w:rPr>
        <w:t>The kind of reorganization suggested above, which involves a lengthening of the duration of school education, cannot obviously be effected within a short period. The vastness of the country and the variety of its educational patterns make the task a formidable one, and the pressure of more urgent claims on the limited educational resources adds to the complexity of the problem. We recommend that the reorganization should be carried out through a phased programme spread over at least twenty years. The first step in this direction would be the abandon- ing of the present higher secondary pattern in which specialization begins in class IX, and the institution of a new higher secondary course beginning in class Xi. Along with this measure, which should be completed by the end of the Fourth Plan period, a systematic attempt should be made to transfer the pre-university course at present located in universities and affiliated colleges, where it tends to depress standards of higher education, to secondary schools, where it rightly belongs. The next step would be to lengthen the total duration by adding a year to the higher secondary course. All</w:t>
      </w:r>
      <w:r>
        <w:rPr>
          <w:spacing w:val="40"/>
          <w:sz w:val="24"/>
        </w:rPr>
        <w:t> </w:t>
      </w:r>
      <w:r>
        <w:rPr>
          <w:sz w:val="24"/>
        </w:rPr>
        <w:t>these measures are discussed in detail in a later section of this chapter.</w:t>
      </w:r>
    </w:p>
    <w:p>
      <w:pPr>
        <w:pStyle w:val="BodyText"/>
        <w:spacing w:before="5"/>
      </w:pPr>
    </w:p>
    <w:p>
      <w:pPr>
        <w:pStyle w:val="ListParagraph"/>
        <w:numPr>
          <w:ilvl w:val="1"/>
          <w:numId w:val="23"/>
        </w:numPr>
        <w:tabs>
          <w:tab w:pos="639" w:val="left" w:leader="none"/>
        </w:tabs>
        <w:spacing w:line="240" w:lineRule="auto" w:before="1" w:after="0"/>
        <w:ind w:left="639" w:right="0" w:hanging="480"/>
        <w:jc w:val="both"/>
        <w:rPr>
          <w:sz w:val="24"/>
        </w:rPr>
      </w:pPr>
      <w:r>
        <w:rPr>
          <w:sz w:val="24"/>
        </w:rPr>
        <w:t>We</w:t>
      </w:r>
      <w:r>
        <w:rPr>
          <w:spacing w:val="-6"/>
          <w:sz w:val="24"/>
        </w:rPr>
        <w:t> </w:t>
      </w:r>
      <w:r>
        <w:rPr>
          <w:sz w:val="24"/>
        </w:rPr>
        <w:t>visualize</w:t>
      </w:r>
      <w:r>
        <w:rPr>
          <w:spacing w:val="-3"/>
          <w:sz w:val="24"/>
        </w:rPr>
        <w:t> </w:t>
      </w:r>
      <w:r>
        <w:rPr>
          <w:sz w:val="24"/>
        </w:rPr>
        <w:t>a</w:t>
      </w:r>
      <w:r>
        <w:rPr>
          <w:spacing w:val="-4"/>
          <w:sz w:val="24"/>
        </w:rPr>
        <w:t> </w:t>
      </w:r>
      <w:r>
        <w:rPr>
          <w:sz w:val="24"/>
        </w:rPr>
        <w:t>flexible</w:t>
      </w:r>
      <w:r>
        <w:rPr>
          <w:spacing w:val="-3"/>
          <w:sz w:val="24"/>
        </w:rPr>
        <w:t> </w:t>
      </w:r>
      <w:r>
        <w:rPr>
          <w:sz w:val="24"/>
        </w:rPr>
        <w:t>educational</w:t>
      </w:r>
      <w:r>
        <w:rPr>
          <w:spacing w:val="-4"/>
          <w:sz w:val="24"/>
        </w:rPr>
        <w:t> </w:t>
      </w:r>
      <w:r>
        <w:rPr>
          <w:sz w:val="24"/>
        </w:rPr>
        <w:t>structure</w:t>
      </w:r>
      <w:r>
        <w:rPr>
          <w:spacing w:val="-4"/>
          <w:sz w:val="24"/>
        </w:rPr>
        <w:t> </w:t>
      </w:r>
      <w:r>
        <w:rPr>
          <w:spacing w:val="-2"/>
          <w:sz w:val="24"/>
        </w:rPr>
        <w:t>covering</w:t>
      </w:r>
    </w:p>
    <w:p>
      <w:pPr>
        <w:pStyle w:val="BodyText"/>
        <w:spacing w:before="2"/>
      </w:pPr>
    </w:p>
    <w:p>
      <w:pPr>
        <w:pStyle w:val="ListParagraph"/>
        <w:numPr>
          <w:ilvl w:val="2"/>
          <w:numId w:val="23"/>
        </w:numPr>
        <w:tabs>
          <w:tab w:pos="343" w:val="left" w:leader="none"/>
        </w:tabs>
        <w:spacing w:line="240" w:lineRule="auto" w:before="0" w:after="0"/>
        <w:ind w:left="159" w:right="497" w:firstLine="0"/>
        <w:jc w:val="both"/>
        <w:rPr>
          <w:sz w:val="24"/>
        </w:rPr>
      </w:pPr>
      <w:r>
        <w:rPr>
          <w:sz w:val="24"/>
        </w:rPr>
        <w:t>a pre-school stage of one to three years; - a primary stage of seven or eight years divided into two sub-stages-a lower primary stage of four or five years and a higher Primary stage of three years</w:t>
      </w:r>
    </w:p>
    <w:p>
      <w:pPr>
        <w:pStyle w:val="BodyText"/>
        <w:spacing w:before="5"/>
      </w:pPr>
    </w:p>
    <w:p>
      <w:pPr>
        <w:pStyle w:val="ListParagraph"/>
        <w:numPr>
          <w:ilvl w:val="2"/>
          <w:numId w:val="23"/>
        </w:numPr>
        <w:tabs>
          <w:tab w:pos="309" w:val="left" w:leader="none"/>
        </w:tabs>
        <w:spacing w:line="240" w:lineRule="auto" w:before="0" w:after="0"/>
        <w:ind w:left="159" w:right="496" w:firstLine="0"/>
        <w:jc w:val="both"/>
        <w:rPr>
          <w:sz w:val="24"/>
        </w:rPr>
      </w:pPr>
      <w:r>
        <w:rPr>
          <w:sz w:val="24"/>
        </w:rPr>
        <w:t>a lower secondary or high school stage of three or two years in general education or of one to three years in vocational education;</w:t>
      </w:r>
    </w:p>
    <w:p>
      <w:pPr>
        <w:pStyle w:val="BodyText"/>
        <w:spacing w:before="3"/>
      </w:pPr>
    </w:p>
    <w:p>
      <w:pPr>
        <w:pStyle w:val="ListParagraph"/>
        <w:numPr>
          <w:ilvl w:val="2"/>
          <w:numId w:val="23"/>
        </w:numPr>
        <w:tabs>
          <w:tab w:pos="334" w:val="left" w:leader="none"/>
        </w:tabs>
        <w:spacing w:line="240" w:lineRule="auto" w:before="1" w:after="0"/>
        <w:ind w:left="159" w:right="497" w:firstLine="0"/>
        <w:jc w:val="both"/>
        <w:rPr>
          <w:sz w:val="24"/>
        </w:rPr>
      </w:pPr>
      <w:r>
        <w:rPr>
          <w:sz w:val="24"/>
        </w:rPr>
        <w:t>a higher secondary stage of two years of general education or one to three years of vocational education; - a higher education stage having a course of three years or more</w:t>
      </w:r>
      <w:r>
        <w:rPr>
          <w:spacing w:val="40"/>
          <w:sz w:val="24"/>
        </w:rPr>
        <w:t> </w:t>
      </w:r>
      <w:r>
        <w:rPr>
          <w:sz w:val="24"/>
        </w:rPr>
        <w:t>for the first degree, followed by courses of varying durations for the second or research degrees.</w:t>
      </w:r>
      <w:r>
        <w:rPr>
          <w:spacing w:val="29"/>
          <w:sz w:val="24"/>
        </w:rPr>
        <w:t> </w:t>
      </w:r>
      <w:r>
        <w:rPr>
          <w:sz w:val="24"/>
        </w:rPr>
        <w:t>The</w:t>
      </w:r>
      <w:r>
        <w:rPr>
          <w:spacing w:val="29"/>
          <w:sz w:val="24"/>
        </w:rPr>
        <w:t> </w:t>
      </w:r>
      <w:r>
        <w:rPr>
          <w:sz w:val="24"/>
        </w:rPr>
        <w:t>organization</w:t>
      </w:r>
      <w:r>
        <w:rPr>
          <w:spacing w:val="29"/>
          <w:sz w:val="24"/>
        </w:rPr>
        <w:t> </w:t>
      </w:r>
      <w:r>
        <w:rPr>
          <w:sz w:val="24"/>
        </w:rPr>
        <w:t>of</w:t>
      </w:r>
      <w:r>
        <w:rPr>
          <w:spacing w:val="29"/>
          <w:sz w:val="24"/>
        </w:rPr>
        <w:t> </w:t>
      </w:r>
      <w:r>
        <w:rPr>
          <w:sz w:val="24"/>
        </w:rPr>
        <w:t>pre-primary</w:t>
      </w:r>
      <w:r>
        <w:rPr>
          <w:spacing w:val="29"/>
          <w:sz w:val="24"/>
        </w:rPr>
        <w:t> </w:t>
      </w:r>
      <w:r>
        <w:rPr>
          <w:sz w:val="24"/>
        </w:rPr>
        <w:t>education</w:t>
      </w:r>
      <w:r>
        <w:rPr>
          <w:spacing w:val="29"/>
          <w:sz w:val="24"/>
        </w:rPr>
        <w:t> </w:t>
      </w:r>
      <w:r>
        <w:rPr>
          <w:sz w:val="24"/>
        </w:rPr>
        <w:t>is</w:t>
      </w:r>
      <w:r>
        <w:rPr>
          <w:spacing w:val="29"/>
          <w:sz w:val="24"/>
        </w:rPr>
        <w:t> </w:t>
      </w:r>
      <w:r>
        <w:rPr>
          <w:sz w:val="24"/>
        </w:rPr>
        <w:t>dealt</w:t>
      </w:r>
      <w:r>
        <w:rPr>
          <w:spacing w:val="29"/>
          <w:sz w:val="24"/>
        </w:rPr>
        <w:t> </w:t>
      </w:r>
      <w:r>
        <w:rPr>
          <w:sz w:val="24"/>
        </w:rPr>
        <w:t>with</w:t>
      </w:r>
      <w:r>
        <w:rPr>
          <w:spacing w:val="29"/>
          <w:sz w:val="24"/>
        </w:rPr>
        <w:t> </w:t>
      </w:r>
      <w:r>
        <w:rPr>
          <w:sz w:val="24"/>
        </w:rPr>
        <w:t>separately</w:t>
      </w:r>
      <w:r>
        <w:rPr>
          <w:spacing w:val="28"/>
          <w:sz w:val="24"/>
        </w:rPr>
        <w:t> </w:t>
      </w:r>
      <w:r>
        <w:rPr>
          <w:sz w:val="24"/>
        </w:rPr>
        <w:t>in</w:t>
      </w:r>
      <w:r>
        <w:rPr>
          <w:spacing w:val="28"/>
          <w:sz w:val="24"/>
        </w:rPr>
        <w:t> </w:t>
      </w:r>
      <w:r>
        <w:rPr>
          <w:sz w:val="24"/>
        </w:rPr>
        <w:t>Chapter</w:t>
      </w:r>
    </w:p>
    <w:p>
      <w:pPr>
        <w:pStyle w:val="BodyText"/>
        <w:ind w:left="159" w:right="497"/>
        <w:jc w:val="both"/>
      </w:pPr>
      <w:r>
        <w:rPr/>
        <w:t>VII. We shall now deal with details of the reorganization at the school and the higher education stages.</w:t>
      </w:r>
    </w:p>
    <w:p>
      <w:pPr>
        <w:pStyle w:val="BodyText"/>
        <w:spacing w:before="6"/>
      </w:pPr>
    </w:p>
    <w:p>
      <w:pPr>
        <w:pStyle w:val="Heading1"/>
        <w:ind w:left="291"/>
      </w:pPr>
      <w:bookmarkStart w:name="_TOC_250014" w:id="15"/>
      <w:r>
        <w:rPr/>
        <w:t>REORGANIZATION</w:t>
      </w:r>
      <w:r>
        <w:rPr>
          <w:spacing w:val="-2"/>
        </w:rPr>
        <w:t> </w:t>
      </w:r>
      <w:r>
        <w:rPr/>
        <w:t>OF</w:t>
      </w:r>
      <w:r>
        <w:rPr>
          <w:spacing w:val="-4"/>
        </w:rPr>
        <w:t> </w:t>
      </w:r>
      <w:r>
        <w:rPr/>
        <w:t>SCHOOL</w:t>
      </w:r>
      <w:r>
        <w:rPr>
          <w:spacing w:val="-3"/>
        </w:rPr>
        <w:t> </w:t>
      </w:r>
      <w:bookmarkEnd w:id="15"/>
      <w:r>
        <w:rPr>
          <w:spacing w:val="-2"/>
        </w:rPr>
        <w:t>EDUCATION</w:t>
      </w:r>
    </w:p>
    <w:p>
      <w:pPr>
        <w:pStyle w:val="BodyText"/>
        <w:spacing w:before="2"/>
        <w:rPr>
          <w:b/>
        </w:rPr>
      </w:pPr>
    </w:p>
    <w:p>
      <w:pPr>
        <w:pStyle w:val="ListParagraph"/>
        <w:numPr>
          <w:ilvl w:val="1"/>
          <w:numId w:val="23"/>
        </w:numPr>
        <w:tabs>
          <w:tab w:pos="649" w:val="left" w:leader="none"/>
        </w:tabs>
        <w:spacing w:line="240" w:lineRule="auto" w:before="0" w:after="0"/>
        <w:ind w:left="159" w:right="494" w:firstLine="0"/>
        <w:jc w:val="both"/>
        <w:rPr>
          <w:b/>
          <w:sz w:val="24"/>
        </w:rPr>
      </w:pPr>
      <w:r>
        <w:rPr>
          <w:b/>
          <w:sz w:val="24"/>
        </w:rPr>
        <w:t>The First Ten Years</w:t>
      </w:r>
      <w:r>
        <w:rPr>
          <w:sz w:val="24"/>
        </w:rPr>
        <w:t>. The primary and secondary schools will be of various types. The largest single group amongst them will consist of lower primary schools. A smaller number-about one in three-will provide education up to the end of the higher primary stage and these would necessarily include the lower classes. When the present higher secondary</w:t>
      </w:r>
      <w:r>
        <w:rPr>
          <w:spacing w:val="-2"/>
          <w:sz w:val="24"/>
        </w:rPr>
        <w:t> </w:t>
      </w:r>
      <w:r>
        <w:rPr>
          <w:sz w:val="24"/>
        </w:rPr>
        <w:t>pattern</w:t>
      </w:r>
      <w:r>
        <w:rPr>
          <w:spacing w:val="-2"/>
          <w:sz w:val="24"/>
        </w:rPr>
        <w:t> </w:t>
      </w:r>
      <w:r>
        <w:rPr>
          <w:sz w:val="24"/>
        </w:rPr>
        <w:t>is</w:t>
      </w:r>
      <w:r>
        <w:rPr>
          <w:spacing w:val="-2"/>
          <w:sz w:val="24"/>
        </w:rPr>
        <w:t> </w:t>
      </w:r>
      <w:r>
        <w:rPr>
          <w:sz w:val="24"/>
        </w:rPr>
        <w:t>abandoned,</w:t>
      </w:r>
      <w:r>
        <w:rPr>
          <w:spacing w:val="-4"/>
          <w:sz w:val="24"/>
        </w:rPr>
        <w:t> </w:t>
      </w:r>
      <w:r>
        <w:rPr>
          <w:sz w:val="24"/>
        </w:rPr>
        <w:t>most</w:t>
      </w:r>
      <w:r>
        <w:rPr>
          <w:spacing w:val="-2"/>
          <w:sz w:val="24"/>
        </w:rPr>
        <w:t> </w:t>
      </w:r>
      <w:r>
        <w:rPr>
          <w:sz w:val="24"/>
        </w:rPr>
        <w:t>of</w:t>
      </w:r>
      <w:r>
        <w:rPr>
          <w:spacing w:val="-2"/>
          <w:sz w:val="24"/>
        </w:rPr>
        <w:t> </w:t>
      </w:r>
      <w:r>
        <w:rPr>
          <w:sz w:val="24"/>
        </w:rPr>
        <w:t>the</w:t>
      </w:r>
      <w:r>
        <w:rPr>
          <w:spacing w:val="-2"/>
          <w:sz w:val="24"/>
        </w:rPr>
        <w:t> </w:t>
      </w:r>
      <w:r>
        <w:rPr>
          <w:sz w:val="24"/>
        </w:rPr>
        <w:t>secondary</w:t>
      </w:r>
      <w:r>
        <w:rPr>
          <w:spacing w:val="-2"/>
          <w:sz w:val="24"/>
        </w:rPr>
        <w:t> </w:t>
      </w:r>
      <w:r>
        <w:rPr>
          <w:sz w:val="24"/>
        </w:rPr>
        <w:t>schools-about</w:t>
      </w:r>
      <w:r>
        <w:rPr>
          <w:spacing w:val="-2"/>
          <w:sz w:val="24"/>
        </w:rPr>
        <w:t> </w:t>
      </w:r>
      <w:r>
        <w:rPr>
          <w:sz w:val="24"/>
        </w:rPr>
        <w:t>three-fourths-would provide education up to class X and may begin at any convenient point lower down; and the remaining one- fourth will be higher secondary schools providing education up to university</w:t>
      </w:r>
      <w:r>
        <w:rPr>
          <w:spacing w:val="-3"/>
          <w:sz w:val="24"/>
        </w:rPr>
        <w:t> </w:t>
      </w:r>
      <w:r>
        <w:rPr>
          <w:sz w:val="24"/>
        </w:rPr>
        <w:t>entrance.</w:t>
      </w:r>
      <w:r>
        <w:rPr>
          <w:spacing w:val="-2"/>
          <w:sz w:val="24"/>
        </w:rPr>
        <w:t> </w:t>
      </w:r>
      <w:r>
        <w:rPr>
          <w:sz w:val="24"/>
        </w:rPr>
        <w:t>The</w:t>
      </w:r>
      <w:r>
        <w:rPr>
          <w:spacing w:val="-3"/>
          <w:sz w:val="24"/>
        </w:rPr>
        <w:t> </w:t>
      </w:r>
      <w:r>
        <w:rPr>
          <w:sz w:val="24"/>
        </w:rPr>
        <w:t>existing</w:t>
      </w:r>
      <w:r>
        <w:rPr>
          <w:spacing w:val="-2"/>
          <w:sz w:val="24"/>
        </w:rPr>
        <w:t> </w:t>
      </w:r>
      <w:r>
        <w:rPr>
          <w:sz w:val="24"/>
        </w:rPr>
        <w:t>position,</w:t>
      </w:r>
      <w:r>
        <w:rPr>
          <w:spacing w:val="-2"/>
          <w:sz w:val="24"/>
        </w:rPr>
        <w:t> </w:t>
      </w:r>
      <w:r>
        <w:rPr>
          <w:sz w:val="24"/>
        </w:rPr>
        <w:t>however,</w:t>
      </w:r>
      <w:r>
        <w:rPr>
          <w:spacing w:val="-2"/>
          <w:sz w:val="24"/>
        </w:rPr>
        <w:t> </w:t>
      </w:r>
      <w:r>
        <w:rPr>
          <w:sz w:val="24"/>
        </w:rPr>
        <w:t>is</w:t>
      </w:r>
      <w:r>
        <w:rPr>
          <w:spacing w:val="-2"/>
          <w:sz w:val="24"/>
        </w:rPr>
        <w:t> </w:t>
      </w:r>
      <w:r>
        <w:rPr>
          <w:sz w:val="24"/>
        </w:rPr>
        <w:t>quite</w:t>
      </w:r>
      <w:r>
        <w:rPr>
          <w:spacing w:val="-2"/>
          <w:sz w:val="24"/>
        </w:rPr>
        <w:t> </w:t>
      </w:r>
      <w:r>
        <w:rPr>
          <w:sz w:val="24"/>
        </w:rPr>
        <w:t>different</w:t>
      </w:r>
      <w:r>
        <w:rPr>
          <w:spacing w:val="-2"/>
          <w:sz w:val="24"/>
        </w:rPr>
        <w:t> </w:t>
      </w:r>
      <w:r>
        <w:rPr>
          <w:sz w:val="24"/>
        </w:rPr>
        <w:t>from</w:t>
      </w:r>
      <w:r>
        <w:rPr>
          <w:spacing w:val="-4"/>
          <w:sz w:val="24"/>
        </w:rPr>
        <w:t> </w:t>
      </w:r>
      <w:r>
        <w:rPr>
          <w:sz w:val="24"/>
        </w:rPr>
        <w:t>this</w:t>
      </w:r>
      <w:r>
        <w:rPr>
          <w:spacing w:val="-2"/>
          <w:sz w:val="24"/>
        </w:rPr>
        <w:t> </w:t>
      </w:r>
      <w:r>
        <w:rPr>
          <w:sz w:val="24"/>
        </w:rPr>
        <w:t>and</w:t>
      </w:r>
      <w:r>
        <w:rPr>
          <w:spacing w:val="-2"/>
          <w:sz w:val="24"/>
        </w:rPr>
        <w:t> </w:t>
      </w:r>
      <w:r>
        <w:rPr>
          <w:sz w:val="24"/>
        </w:rPr>
        <w:t>shows considerable variations in the structure of the school system until the public examination at the end of the lower secondary stage is reached. A reference to chart on page 55 shows that</w:t>
      </w:r>
      <w:r>
        <w:rPr>
          <w:spacing w:val="-1"/>
          <w:sz w:val="24"/>
        </w:rPr>
        <w:t> </w:t>
      </w:r>
      <w:r>
        <w:rPr>
          <w:sz w:val="24"/>
        </w:rPr>
        <w:t>this</w:t>
      </w:r>
      <w:r>
        <w:rPr>
          <w:spacing w:val="-1"/>
          <w:sz w:val="24"/>
        </w:rPr>
        <w:t> </w:t>
      </w:r>
      <w:r>
        <w:rPr>
          <w:sz w:val="24"/>
        </w:rPr>
        <w:t>external</w:t>
      </w:r>
      <w:r>
        <w:rPr>
          <w:spacing w:val="-1"/>
          <w:sz w:val="24"/>
        </w:rPr>
        <w:t> </w:t>
      </w:r>
      <w:r>
        <w:rPr>
          <w:sz w:val="24"/>
        </w:rPr>
        <w:t>examination,</w:t>
      </w:r>
      <w:r>
        <w:rPr>
          <w:spacing w:val="-1"/>
          <w:sz w:val="24"/>
        </w:rPr>
        <w:t> </w:t>
      </w:r>
      <w:r>
        <w:rPr>
          <w:sz w:val="24"/>
        </w:rPr>
        <w:t>which</w:t>
      </w:r>
      <w:r>
        <w:rPr>
          <w:spacing w:val="-1"/>
          <w:sz w:val="24"/>
        </w:rPr>
        <w:t> </w:t>
      </w:r>
      <w:r>
        <w:rPr>
          <w:sz w:val="24"/>
        </w:rPr>
        <w:t>is</w:t>
      </w:r>
      <w:r>
        <w:rPr>
          <w:spacing w:val="-1"/>
          <w:sz w:val="24"/>
        </w:rPr>
        <w:t> </w:t>
      </w:r>
      <w:r>
        <w:rPr>
          <w:sz w:val="24"/>
        </w:rPr>
        <w:t>known</w:t>
      </w:r>
      <w:r>
        <w:rPr>
          <w:spacing w:val="-1"/>
          <w:sz w:val="24"/>
        </w:rPr>
        <w:t> </w:t>
      </w:r>
      <w:r>
        <w:rPr>
          <w:sz w:val="24"/>
        </w:rPr>
        <w:t>by</w:t>
      </w:r>
      <w:r>
        <w:rPr>
          <w:spacing w:val="-1"/>
          <w:sz w:val="24"/>
        </w:rPr>
        <w:t> </w:t>
      </w:r>
      <w:r>
        <w:rPr>
          <w:sz w:val="24"/>
        </w:rPr>
        <w:t>different</w:t>
      </w:r>
      <w:r>
        <w:rPr>
          <w:spacing w:val="-1"/>
          <w:sz w:val="24"/>
        </w:rPr>
        <w:t> </w:t>
      </w:r>
      <w:r>
        <w:rPr>
          <w:sz w:val="24"/>
        </w:rPr>
        <w:t>names</w:t>
      </w:r>
      <w:r>
        <w:rPr>
          <w:spacing w:val="-1"/>
          <w:sz w:val="24"/>
        </w:rPr>
        <w:t> </w:t>
      </w:r>
      <w:r>
        <w:rPr>
          <w:sz w:val="24"/>
        </w:rPr>
        <w:t>but</w:t>
      </w:r>
      <w:r>
        <w:rPr>
          <w:spacing w:val="-1"/>
          <w:sz w:val="24"/>
        </w:rPr>
        <w:t> </w:t>
      </w:r>
      <w:r>
        <w:rPr>
          <w:sz w:val="24"/>
        </w:rPr>
        <w:t>which</w:t>
      </w:r>
      <w:r>
        <w:rPr>
          <w:spacing w:val="-1"/>
          <w:sz w:val="24"/>
        </w:rPr>
        <w:t> </w:t>
      </w:r>
      <w:r>
        <w:rPr>
          <w:sz w:val="24"/>
        </w:rPr>
        <w:t>we</w:t>
      </w:r>
      <w:r>
        <w:rPr>
          <w:spacing w:val="-1"/>
          <w:sz w:val="24"/>
        </w:rPr>
        <w:t> </w:t>
      </w:r>
      <w:r>
        <w:rPr>
          <w:sz w:val="24"/>
        </w:rPr>
        <w:t>shall</w:t>
      </w:r>
      <w:r>
        <w:rPr>
          <w:spacing w:val="-1"/>
          <w:sz w:val="24"/>
        </w:rPr>
        <w:t> </w:t>
      </w:r>
      <w:r>
        <w:rPr>
          <w:sz w:val="24"/>
        </w:rPr>
        <w:t>call the</w:t>
      </w:r>
      <w:r>
        <w:rPr>
          <w:spacing w:val="36"/>
          <w:sz w:val="24"/>
        </w:rPr>
        <w:t> </w:t>
      </w:r>
      <w:r>
        <w:rPr>
          <w:sz w:val="24"/>
        </w:rPr>
        <w:t>high</w:t>
      </w:r>
      <w:r>
        <w:rPr>
          <w:spacing w:val="36"/>
          <w:sz w:val="24"/>
        </w:rPr>
        <w:t> </w:t>
      </w:r>
      <w:r>
        <w:rPr>
          <w:sz w:val="24"/>
        </w:rPr>
        <w:t>school</w:t>
      </w:r>
      <w:r>
        <w:rPr>
          <w:spacing w:val="36"/>
          <w:sz w:val="24"/>
        </w:rPr>
        <w:t> </w:t>
      </w:r>
      <w:r>
        <w:rPr>
          <w:sz w:val="24"/>
        </w:rPr>
        <w:t>examination,</w:t>
      </w:r>
      <w:r>
        <w:rPr>
          <w:spacing w:val="36"/>
          <w:sz w:val="24"/>
        </w:rPr>
        <w:t> </w:t>
      </w:r>
      <w:r>
        <w:rPr>
          <w:sz w:val="24"/>
        </w:rPr>
        <w:t>comes</w:t>
      </w:r>
      <w:r>
        <w:rPr>
          <w:spacing w:val="36"/>
          <w:sz w:val="24"/>
        </w:rPr>
        <w:t> </w:t>
      </w:r>
      <w:r>
        <w:rPr>
          <w:sz w:val="24"/>
        </w:rPr>
        <w:t>after</w:t>
      </w:r>
      <w:r>
        <w:rPr>
          <w:spacing w:val="36"/>
          <w:sz w:val="24"/>
        </w:rPr>
        <w:t> </w:t>
      </w:r>
      <w:r>
        <w:rPr>
          <w:sz w:val="24"/>
        </w:rPr>
        <w:t>ten</w:t>
      </w:r>
      <w:r>
        <w:rPr>
          <w:spacing w:val="37"/>
          <w:sz w:val="24"/>
        </w:rPr>
        <w:t> </w:t>
      </w:r>
      <w:r>
        <w:rPr>
          <w:sz w:val="24"/>
        </w:rPr>
        <w:t>to</w:t>
      </w:r>
      <w:r>
        <w:rPr>
          <w:spacing w:val="35"/>
          <w:sz w:val="24"/>
        </w:rPr>
        <w:t> </w:t>
      </w:r>
      <w:r>
        <w:rPr>
          <w:sz w:val="24"/>
        </w:rPr>
        <w:t>twelve</w:t>
      </w:r>
      <w:r>
        <w:rPr>
          <w:spacing w:val="35"/>
          <w:sz w:val="24"/>
        </w:rPr>
        <w:t> </w:t>
      </w:r>
      <w:r>
        <w:rPr>
          <w:sz w:val="24"/>
        </w:rPr>
        <w:t>years:</w:t>
      </w:r>
      <w:r>
        <w:rPr>
          <w:spacing w:val="35"/>
          <w:sz w:val="24"/>
        </w:rPr>
        <w:t> </w:t>
      </w:r>
      <w:r>
        <w:rPr>
          <w:sz w:val="24"/>
        </w:rPr>
        <w:t>two</w:t>
      </w:r>
      <w:r>
        <w:rPr>
          <w:spacing w:val="36"/>
          <w:sz w:val="24"/>
        </w:rPr>
        <w:t> </w:t>
      </w:r>
      <w:r>
        <w:rPr>
          <w:sz w:val="24"/>
        </w:rPr>
        <w:t>States</w:t>
      </w:r>
      <w:r>
        <w:rPr>
          <w:spacing w:val="36"/>
          <w:sz w:val="24"/>
        </w:rPr>
        <w:t> </w:t>
      </w:r>
      <w:r>
        <w:rPr>
          <w:sz w:val="24"/>
        </w:rPr>
        <w:t>(Assam</w:t>
      </w:r>
      <w:r>
        <w:rPr>
          <w:spacing w:val="34"/>
          <w:sz w:val="24"/>
        </w:rPr>
        <w:t> </w:t>
      </w:r>
      <w:r>
        <w:rPr>
          <w:sz w:val="24"/>
        </w:rPr>
        <w:t>and</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Nagaland) have the examination after twelve years; six States (Andhra Pradesh, Bihar, Gujarat, Madras, Maharashtra and Orissa) have it after eleven years; and the remaining eight States (Jammu &amp; Kashmir, Kerala, Madhya Pradesh</w:t>
      </w:r>
      <w:r>
        <w:rPr>
          <w:b/>
          <w:vertAlign w:val="superscript"/>
        </w:rPr>
        <w:t>17</w:t>
      </w:r>
      <w:r>
        <w:rPr>
          <w:vertAlign w:val="baseline"/>
        </w:rPr>
        <w:t>, Mysore, Punjab, Rajasthan, Uttar Pradesh and West Bengal) have it after ten years. No systematic study has yet been made for comparing the standards of attainment of the candidates at the examinations</w:t>
      </w:r>
      <w:r>
        <w:rPr>
          <w:spacing w:val="40"/>
          <w:vertAlign w:val="baseline"/>
        </w:rPr>
        <w:t> </w:t>
      </w:r>
      <w:r>
        <w:rPr>
          <w:vertAlign w:val="baseline"/>
        </w:rPr>
        <w:t>held in the different regions. But these are broadly comparable and, for administrative purposes, all these examinations are regarded as equivalent.</w:t>
      </w:r>
    </w:p>
    <w:p>
      <w:pPr>
        <w:pStyle w:val="BodyText"/>
        <w:spacing w:before="4"/>
      </w:pPr>
    </w:p>
    <w:p>
      <w:pPr>
        <w:pStyle w:val="ListParagraph"/>
        <w:numPr>
          <w:ilvl w:val="1"/>
          <w:numId w:val="23"/>
        </w:numPr>
        <w:tabs>
          <w:tab w:pos="655" w:val="left" w:leader="none"/>
        </w:tabs>
        <w:spacing w:line="240" w:lineRule="auto" w:before="0" w:after="0"/>
        <w:ind w:left="160" w:right="494" w:firstLine="0"/>
        <w:jc w:val="both"/>
        <w:rPr>
          <w:sz w:val="24"/>
        </w:rPr>
      </w:pPr>
      <w:r>
        <w:rPr>
          <w:sz w:val="24"/>
        </w:rPr>
        <w:t>It will be seen from the chart that in Assam and Nagaland, the first two classes are called A and B, and it is the next ten classes that are numbered consecutively as classes I to X. Since the Governments of the two States themselves seem to treat classes A and B as Infant classes and separate them from the other ten classes, the school stage leading to the high school examination in these States may be regarded as covering a period of ten years. In the six States which have an eleven-year school course, it is more appropriate to regard class I as a pre-primary class, particularly where the age of admission is less than six years. We believe that this pre-primary class is an advantage which these States possess. We recommend that they should try to retain it as such, organize the learning experiences therein on the play-way pattern rather than on the formal pattern, and extend it downwards, wherever possible, to cover a period of two years. We also suggest that the other eight States may try to provide pre-primary education of one year or more below class I to the extent possible, subject to the availability of financial resources.</w:t>
      </w:r>
    </w:p>
    <w:p>
      <w:pPr>
        <w:pStyle w:val="BodyText"/>
        <w:spacing w:before="4"/>
      </w:pPr>
    </w:p>
    <w:p>
      <w:pPr>
        <w:pStyle w:val="ListParagraph"/>
        <w:numPr>
          <w:ilvl w:val="1"/>
          <w:numId w:val="23"/>
        </w:numPr>
        <w:tabs>
          <w:tab w:pos="669" w:val="left" w:leader="none"/>
        </w:tabs>
        <w:spacing w:line="240" w:lineRule="auto" w:before="0" w:after="0"/>
        <w:ind w:left="160" w:right="498" w:firstLine="0"/>
        <w:jc w:val="both"/>
        <w:rPr>
          <w:sz w:val="24"/>
        </w:rPr>
      </w:pPr>
      <w:r>
        <w:rPr>
          <w:sz w:val="24"/>
        </w:rPr>
        <w:t>As we visualize, (1) the first ten years of schooling, covering a. primary stage of seven or eight years and a lower secondary stage of three or two years, will provide a course of general education without any specialization;</w:t>
      </w:r>
    </w:p>
    <w:p>
      <w:pPr>
        <w:pStyle w:val="BodyText"/>
        <w:spacing w:before="5"/>
      </w:pPr>
    </w:p>
    <w:p>
      <w:pPr>
        <w:pStyle w:val="ListParagraph"/>
        <w:numPr>
          <w:ilvl w:val="0"/>
          <w:numId w:val="24"/>
        </w:numPr>
        <w:tabs>
          <w:tab w:pos="524" w:val="left" w:leader="none"/>
        </w:tabs>
        <w:spacing w:line="240" w:lineRule="auto" w:before="0" w:after="0"/>
        <w:ind w:left="160" w:right="498" w:firstLine="0"/>
        <w:jc w:val="both"/>
        <w:rPr>
          <w:sz w:val="24"/>
        </w:rPr>
      </w:pPr>
      <w:r>
        <w:rPr>
          <w:sz w:val="24"/>
        </w:rPr>
        <w:t>the primary stage will be Preceded, wherever possible, by pre-primary education of one to three years;</w:t>
      </w:r>
    </w:p>
    <w:p>
      <w:pPr>
        <w:pStyle w:val="BodyText"/>
        <w:spacing w:before="5"/>
      </w:pPr>
    </w:p>
    <w:p>
      <w:pPr>
        <w:pStyle w:val="ListParagraph"/>
        <w:numPr>
          <w:ilvl w:val="0"/>
          <w:numId w:val="24"/>
        </w:numPr>
        <w:tabs>
          <w:tab w:pos="499" w:val="left" w:leader="none"/>
        </w:tabs>
        <w:spacing w:line="240" w:lineRule="auto" w:before="0" w:after="0"/>
        <w:ind w:left="499" w:right="0" w:hanging="339"/>
        <w:jc w:val="both"/>
        <w:rPr>
          <w:sz w:val="24"/>
        </w:rPr>
      </w:pPr>
      <w:r>
        <w:rPr>
          <w:sz w:val="24"/>
        </w:rPr>
        <w:t>the</w:t>
      </w:r>
      <w:r>
        <w:rPr>
          <w:spacing w:val="-1"/>
          <w:sz w:val="24"/>
        </w:rPr>
        <w:t> </w:t>
      </w:r>
      <w:r>
        <w:rPr>
          <w:sz w:val="24"/>
        </w:rPr>
        <w:t>age of</w:t>
      </w:r>
      <w:r>
        <w:rPr>
          <w:spacing w:val="-1"/>
          <w:sz w:val="24"/>
        </w:rPr>
        <w:t> </w:t>
      </w:r>
      <w:r>
        <w:rPr>
          <w:sz w:val="24"/>
        </w:rPr>
        <w:t>admission</w:t>
      </w:r>
      <w:r>
        <w:rPr>
          <w:spacing w:val="-1"/>
          <w:sz w:val="24"/>
        </w:rPr>
        <w:t> </w:t>
      </w:r>
      <w:r>
        <w:rPr>
          <w:sz w:val="24"/>
        </w:rPr>
        <w:t>to class I</w:t>
      </w:r>
      <w:r>
        <w:rPr>
          <w:spacing w:val="-1"/>
          <w:sz w:val="24"/>
        </w:rPr>
        <w:t> </w:t>
      </w:r>
      <w:r>
        <w:rPr>
          <w:sz w:val="24"/>
        </w:rPr>
        <w:t>will</w:t>
      </w:r>
      <w:r>
        <w:rPr>
          <w:spacing w:val="-1"/>
          <w:sz w:val="24"/>
        </w:rPr>
        <w:t> </w:t>
      </w:r>
      <w:r>
        <w:rPr>
          <w:sz w:val="24"/>
        </w:rPr>
        <w:t>ordinarily</w:t>
      </w:r>
      <w:r>
        <w:rPr>
          <w:spacing w:val="-1"/>
          <w:sz w:val="24"/>
        </w:rPr>
        <w:t> </w:t>
      </w:r>
      <w:r>
        <w:rPr>
          <w:sz w:val="24"/>
        </w:rPr>
        <w:t>be</w:t>
      </w:r>
      <w:r>
        <w:rPr>
          <w:spacing w:val="-2"/>
          <w:sz w:val="24"/>
        </w:rPr>
        <w:t> </w:t>
      </w:r>
      <w:r>
        <w:rPr>
          <w:sz w:val="24"/>
        </w:rPr>
        <w:t>not</w:t>
      </w:r>
      <w:r>
        <w:rPr>
          <w:spacing w:val="-1"/>
          <w:sz w:val="24"/>
        </w:rPr>
        <w:t> </w:t>
      </w:r>
      <w:r>
        <w:rPr>
          <w:sz w:val="24"/>
        </w:rPr>
        <w:t>less</w:t>
      </w:r>
      <w:r>
        <w:rPr>
          <w:spacing w:val="-1"/>
          <w:sz w:val="24"/>
        </w:rPr>
        <w:t> </w:t>
      </w:r>
      <w:r>
        <w:rPr>
          <w:sz w:val="24"/>
        </w:rPr>
        <w:t>than</w:t>
      </w:r>
      <w:r>
        <w:rPr>
          <w:spacing w:val="-1"/>
          <w:sz w:val="24"/>
        </w:rPr>
        <w:t> </w:t>
      </w:r>
      <w:r>
        <w:rPr>
          <w:spacing w:val="-5"/>
          <w:sz w:val="24"/>
        </w:rPr>
        <w:t>6+;</w:t>
      </w:r>
    </w:p>
    <w:p>
      <w:pPr>
        <w:pStyle w:val="BodyText"/>
        <w:spacing w:before="2"/>
      </w:pPr>
    </w:p>
    <w:p>
      <w:pPr>
        <w:pStyle w:val="ListParagraph"/>
        <w:numPr>
          <w:ilvl w:val="0"/>
          <w:numId w:val="24"/>
        </w:numPr>
        <w:tabs>
          <w:tab w:pos="543" w:val="left" w:leader="none"/>
        </w:tabs>
        <w:spacing w:line="240" w:lineRule="auto" w:before="0" w:after="0"/>
        <w:ind w:left="160" w:right="495" w:firstLine="0"/>
        <w:jc w:val="both"/>
        <w:rPr>
          <w:sz w:val="24"/>
        </w:rPr>
      </w:pPr>
      <w:r>
        <w:rPr>
          <w:sz w:val="24"/>
        </w:rPr>
        <w:t>at the end of the primary stage, a proportion of students will step off the school system and enter working life (about 20 per cent); some more will step out off the stream of general education into different vocational courses whose duration may range from</w:t>
      </w:r>
      <w:r>
        <w:rPr>
          <w:spacing w:val="40"/>
          <w:sz w:val="24"/>
        </w:rPr>
        <w:t> </w:t>
      </w:r>
      <w:r>
        <w:rPr>
          <w:sz w:val="24"/>
        </w:rPr>
        <w:t>one to three years (about 20 per cent); and those remaining will continue further in the stream of general education (about 60 per cent);</w:t>
      </w:r>
    </w:p>
    <w:p>
      <w:pPr>
        <w:pStyle w:val="BodyText"/>
        <w:spacing w:before="5"/>
      </w:pPr>
    </w:p>
    <w:p>
      <w:pPr>
        <w:pStyle w:val="ListParagraph"/>
        <w:numPr>
          <w:ilvl w:val="0"/>
          <w:numId w:val="24"/>
        </w:numPr>
        <w:tabs>
          <w:tab w:pos="499" w:val="left" w:leader="none"/>
        </w:tabs>
        <w:spacing w:line="240" w:lineRule="auto" w:before="0" w:after="0"/>
        <w:ind w:left="499" w:right="0" w:hanging="339"/>
        <w:jc w:val="both"/>
        <w:rPr>
          <w:sz w:val="24"/>
        </w:rPr>
      </w:pPr>
      <w:r>
        <w:rPr>
          <w:sz w:val="24"/>
        </w:rPr>
        <w:t>the</w:t>
      </w:r>
      <w:r>
        <w:rPr>
          <w:spacing w:val="-3"/>
          <w:sz w:val="24"/>
        </w:rPr>
        <w:t> </w:t>
      </w:r>
      <w:r>
        <w:rPr>
          <w:sz w:val="24"/>
        </w:rPr>
        <w:t>ten</w:t>
      </w:r>
      <w:r>
        <w:rPr>
          <w:spacing w:val="-1"/>
          <w:sz w:val="24"/>
        </w:rPr>
        <w:t> </w:t>
      </w:r>
      <w:r>
        <w:rPr>
          <w:sz w:val="24"/>
        </w:rPr>
        <w:t>years of</w:t>
      </w:r>
      <w:r>
        <w:rPr>
          <w:spacing w:val="-2"/>
          <w:sz w:val="24"/>
        </w:rPr>
        <w:t> </w:t>
      </w:r>
      <w:r>
        <w:rPr>
          <w:sz w:val="24"/>
        </w:rPr>
        <w:t>school</w:t>
      </w:r>
      <w:r>
        <w:rPr>
          <w:spacing w:val="-1"/>
          <w:sz w:val="24"/>
        </w:rPr>
        <w:t> </w:t>
      </w:r>
      <w:r>
        <w:rPr>
          <w:sz w:val="24"/>
        </w:rPr>
        <w:t>education</w:t>
      </w:r>
      <w:r>
        <w:rPr>
          <w:spacing w:val="-2"/>
          <w:sz w:val="24"/>
        </w:rPr>
        <w:t> </w:t>
      </w:r>
      <w:r>
        <w:rPr>
          <w:sz w:val="24"/>
        </w:rPr>
        <w:t>will</w:t>
      </w:r>
      <w:r>
        <w:rPr>
          <w:spacing w:val="-1"/>
          <w:sz w:val="24"/>
        </w:rPr>
        <w:t> </w:t>
      </w:r>
      <w:r>
        <w:rPr>
          <w:sz w:val="24"/>
        </w:rPr>
        <w:t>be</w:t>
      </w:r>
      <w:r>
        <w:rPr>
          <w:spacing w:val="-1"/>
          <w:sz w:val="24"/>
        </w:rPr>
        <w:t> </w:t>
      </w:r>
      <w:r>
        <w:rPr>
          <w:sz w:val="24"/>
        </w:rPr>
        <w:t>followed by</w:t>
      </w:r>
      <w:r>
        <w:rPr>
          <w:spacing w:val="-1"/>
          <w:sz w:val="24"/>
        </w:rPr>
        <w:t> </w:t>
      </w:r>
      <w:r>
        <w:rPr>
          <w:sz w:val="24"/>
        </w:rPr>
        <w:t>all</w:t>
      </w:r>
      <w:r>
        <w:rPr>
          <w:spacing w:val="-1"/>
          <w:sz w:val="24"/>
        </w:rPr>
        <w:t> </w:t>
      </w:r>
      <w:r>
        <w:rPr>
          <w:sz w:val="24"/>
        </w:rPr>
        <w:t>external </w:t>
      </w:r>
      <w:r>
        <w:rPr>
          <w:spacing w:val="-2"/>
          <w:sz w:val="24"/>
        </w:rPr>
        <w:t>examination;</w:t>
      </w:r>
    </w:p>
    <w:p>
      <w:pPr>
        <w:pStyle w:val="BodyText"/>
        <w:spacing w:before="4"/>
      </w:pPr>
    </w:p>
    <w:p>
      <w:pPr>
        <w:pStyle w:val="ListParagraph"/>
        <w:numPr>
          <w:ilvl w:val="0"/>
          <w:numId w:val="24"/>
        </w:numPr>
        <w:tabs>
          <w:tab w:pos="541" w:val="left" w:leader="none"/>
        </w:tabs>
        <w:spacing w:line="240" w:lineRule="auto" w:before="0" w:after="0"/>
        <w:ind w:left="160" w:right="497" w:firstLine="0"/>
        <w:jc w:val="both"/>
        <w:rPr>
          <w:sz w:val="24"/>
        </w:rPr>
      </w:pPr>
      <w:r>
        <w:rPr>
          <w:sz w:val="24"/>
        </w:rPr>
        <w:t>the standard at the end of the ten years will be broadly comparable in respect of curriculum and level of attainment to the national standard laid down for the end of this stage; (7) at the end of the ten years of school education, a proportion of students will</w:t>
      </w:r>
      <w:r>
        <w:rPr>
          <w:spacing w:val="40"/>
          <w:sz w:val="24"/>
        </w:rPr>
        <w:t> </w:t>
      </w:r>
      <w:r>
        <w:rPr>
          <w:sz w:val="24"/>
        </w:rPr>
        <w:t>step</w:t>
      </w:r>
      <w:r>
        <w:rPr>
          <w:spacing w:val="-2"/>
          <w:sz w:val="24"/>
        </w:rPr>
        <w:t> </w:t>
      </w:r>
      <w:r>
        <w:rPr>
          <w:sz w:val="24"/>
        </w:rPr>
        <w:t>off</w:t>
      </w:r>
      <w:r>
        <w:rPr>
          <w:spacing w:val="-2"/>
          <w:sz w:val="24"/>
        </w:rPr>
        <w:t> </w:t>
      </w:r>
      <w:r>
        <w:rPr>
          <w:sz w:val="24"/>
        </w:rPr>
        <w:t>the</w:t>
      </w:r>
      <w:r>
        <w:rPr>
          <w:spacing w:val="-1"/>
          <w:sz w:val="24"/>
        </w:rPr>
        <w:t> </w:t>
      </w:r>
      <w:r>
        <w:rPr>
          <w:sz w:val="24"/>
        </w:rPr>
        <w:t>school</w:t>
      </w:r>
      <w:r>
        <w:rPr>
          <w:spacing w:val="-2"/>
          <w:sz w:val="24"/>
        </w:rPr>
        <w:t> </w:t>
      </w:r>
      <w:r>
        <w:rPr>
          <w:sz w:val="24"/>
        </w:rPr>
        <w:t>system</w:t>
      </w:r>
      <w:r>
        <w:rPr>
          <w:spacing w:val="-1"/>
          <w:sz w:val="24"/>
        </w:rPr>
        <w:t> </w:t>
      </w:r>
      <w:r>
        <w:rPr>
          <w:sz w:val="24"/>
        </w:rPr>
        <w:t>and</w:t>
      </w:r>
      <w:r>
        <w:rPr>
          <w:spacing w:val="-2"/>
          <w:sz w:val="24"/>
        </w:rPr>
        <w:t> </w:t>
      </w:r>
      <w:r>
        <w:rPr>
          <w:sz w:val="24"/>
        </w:rPr>
        <w:t>enter</w:t>
      </w:r>
      <w:r>
        <w:rPr>
          <w:spacing w:val="-1"/>
          <w:sz w:val="24"/>
        </w:rPr>
        <w:t> </w:t>
      </w:r>
      <w:r>
        <w:rPr>
          <w:sz w:val="24"/>
        </w:rPr>
        <w:t>working</w:t>
      </w:r>
      <w:r>
        <w:rPr>
          <w:spacing w:val="-1"/>
          <w:sz w:val="24"/>
        </w:rPr>
        <w:t> </w:t>
      </w:r>
      <w:r>
        <w:rPr>
          <w:sz w:val="24"/>
        </w:rPr>
        <w:t>life</w:t>
      </w:r>
      <w:r>
        <w:rPr>
          <w:spacing w:val="-1"/>
          <w:sz w:val="24"/>
        </w:rPr>
        <w:t> </w:t>
      </w:r>
      <w:r>
        <w:rPr>
          <w:sz w:val="24"/>
        </w:rPr>
        <w:t>(about 40</w:t>
      </w:r>
      <w:r>
        <w:rPr>
          <w:spacing w:val="-1"/>
          <w:sz w:val="24"/>
        </w:rPr>
        <w:t> </w:t>
      </w:r>
      <w:r>
        <w:rPr>
          <w:sz w:val="24"/>
        </w:rPr>
        <w:t>per cent);</w:t>
      </w:r>
      <w:r>
        <w:rPr>
          <w:spacing w:val="-1"/>
          <w:sz w:val="24"/>
        </w:rPr>
        <w:t> </w:t>
      </w:r>
      <w:r>
        <w:rPr>
          <w:sz w:val="24"/>
        </w:rPr>
        <w:t>some more</w:t>
      </w:r>
      <w:r>
        <w:rPr>
          <w:spacing w:val="-1"/>
          <w:sz w:val="24"/>
        </w:rPr>
        <w:t> </w:t>
      </w:r>
      <w:r>
        <w:rPr>
          <w:sz w:val="24"/>
        </w:rPr>
        <w:t>will </w:t>
      </w:r>
      <w:r>
        <w:rPr>
          <w:spacing w:val="-4"/>
          <w:sz w:val="24"/>
        </w:rPr>
        <w:t>step</w:t>
      </w:r>
    </w:p>
    <w:p>
      <w:pPr>
        <w:spacing w:line="247" w:lineRule="auto" w:before="247"/>
        <w:ind w:left="159" w:right="497" w:firstLine="0"/>
        <w:jc w:val="both"/>
        <w:rPr>
          <w:sz w:val="20"/>
        </w:rPr>
      </w:pPr>
      <w:r>
        <w:rPr>
          <w:b/>
          <w:position w:val="11"/>
          <w:sz w:val="16"/>
        </w:rPr>
        <w:t>17</w:t>
      </w:r>
      <w:r>
        <w:rPr>
          <w:sz w:val="20"/>
        </w:rPr>
        <w:t>This examination is not held at present in Madhya Pradesh where all the schools are of the higher secondary status. But it is proposed to reintroduce it in 1967.</w:t>
      </w:r>
    </w:p>
    <w:p>
      <w:pPr>
        <w:spacing w:after="0" w:line="247" w:lineRule="auto"/>
        <w:jc w:val="both"/>
        <w:rPr>
          <w:sz w:val="20"/>
        </w:rPr>
        <w:sectPr>
          <w:pgSz w:w="12240" w:h="15840"/>
          <w:pgMar w:header="0" w:footer="743" w:top="1360" w:bottom="940" w:left="1640" w:right="1300"/>
        </w:sectPr>
      </w:pPr>
    </w:p>
    <w:p>
      <w:pPr>
        <w:pStyle w:val="BodyText"/>
        <w:ind w:left="160"/>
        <w:rPr>
          <w:sz w:val="20"/>
        </w:rPr>
      </w:pPr>
      <w:r>
        <w:rPr>
          <w:sz w:val="20"/>
        </w:rPr>
        <w:drawing>
          <wp:inline distT="0" distB="0" distL="0" distR="0">
            <wp:extent cx="5528036" cy="7952994"/>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5528036" cy="7952994"/>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160" w:right="496"/>
        <w:jc w:val="both"/>
      </w:pPr>
      <w:r>
        <w:rPr/>
        <w:t>out</w:t>
      </w:r>
      <w:r>
        <w:rPr>
          <w:spacing w:val="-2"/>
        </w:rPr>
        <w:t> </w:t>
      </w:r>
      <w:r>
        <w:rPr/>
        <w:t>off</w:t>
      </w:r>
      <w:r>
        <w:rPr>
          <w:spacing w:val="-2"/>
        </w:rPr>
        <w:t> </w:t>
      </w:r>
      <w:r>
        <w:rPr/>
        <w:t>the</w:t>
      </w:r>
      <w:r>
        <w:rPr>
          <w:spacing w:val="-2"/>
        </w:rPr>
        <w:t> </w:t>
      </w:r>
      <w:r>
        <w:rPr/>
        <w:t>stream</w:t>
      </w:r>
      <w:r>
        <w:rPr>
          <w:spacing w:val="-3"/>
        </w:rPr>
        <w:t> </w:t>
      </w:r>
      <w:r>
        <w:rPr/>
        <w:t>of</w:t>
      </w:r>
      <w:r>
        <w:rPr>
          <w:spacing w:val="-2"/>
        </w:rPr>
        <w:t> </w:t>
      </w:r>
      <w:r>
        <w:rPr/>
        <w:t>general</w:t>
      </w:r>
      <w:r>
        <w:rPr>
          <w:spacing w:val="-2"/>
        </w:rPr>
        <w:t> </w:t>
      </w:r>
      <w:r>
        <w:rPr/>
        <w:t>education</w:t>
      </w:r>
      <w:r>
        <w:rPr>
          <w:spacing w:val="-2"/>
        </w:rPr>
        <w:t> </w:t>
      </w:r>
      <w:r>
        <w:rPr/>
        <w:t>and</w:t>
      </w:r>
      <w:r>
        <w:rPr>
          <w:spacing w:val="-4"/>
        </w:rPr>
        <w:t> </w:t>
      </w:r>
      <w:r>
        <w:rPr/>
        <w:t>enter</w:t>
      </w:r>
      <w:r>
        <w:rPr>
          <w:spacing w:val="-3"/>
        </w:rPr>
        <w:t> </w:t>
      </w:r>
      <w:r>
        <w:rPr/>
        <w:t>vocational</w:t>
      </w:r>
      <w:r>
        <w:rPr>
          <w:spacing w:val="-2"/>
        </w:rPr>
        <w:t> </w:t>
      </w:r>
      <w:r>
        <w:rPr/>
        <w:t>courses</w:t>
      </w:r>
      <w:r>
        <w:rPr>
          <w:spacing w:val="-2"/>
        </w:rPr>
        <w:t> </w:t>
      </w:r>
      <w:r>
        <w:rPr/>
        <w:t>=duration</w:t>
      </w:r>
      <w:r>
        <w:rPr>
          <w:spacing w:val="-2"/>
        </w:rPr>
        <w:t> </w:t>
      </w:r>
      <w:r>
        <w:rPr/>
        <w:t>will</w:t>
      </w:r>
      <w:r>
        <w:rPr>
          <w:spacing w:val="-2"/>
        </w:rPr>
        <w:t> </w:t>
      </w:r>
      <w:r>
        <w:rPr/>
        <w:t>be</w:t>
      </w:r>
      <w:r>
        <w:rPr>
          <w:spacing w:val="-3"/>
        </w:rPr>
        <w:t> </w:t>
      </w:r>
      <w:r>
        <w:rPr/>
        <w:t>one to three years (about 30 per cent); and those remaining will continue further in the stream of general education whose duration will be one, and ultimately two years (about 30 per </w:t>
      </w:r>
      <w:r>
        <w:rPr>
          <w:spacing w:val="-2"/>
        </w:rPr>
        <w:t>cent).</w:t>
      </w:r>
    </w:p>
    <w:p>
      <w:pPr>
        <w:pStyle w:val="BodyText"/>
        <w:spacing w:before="4"/>
      </w:pPr>
    </w:p>
    <w:p>
      <w:pPr>
        <w:pStyle w:val="ListParagraph"/>
        <w:numPr>
          <w:ilvl w:val="1"/>
          <w:numId w:val="23"/>
        </w:numPr>
        <w:tabs>
          <w:tab w:pos="663" w:val="left" w:leader="none"/>
        </w:tabs>
        <w:spacing w:line="240" w:lineRule="auto" w:before="0" w:after="0"/>
        <w:ind w:left="160" w:right="496" w:firstLine="0"/>
        <w:jc w:val="both"/>
        <w:rPr>
          <w:b/>
          <w:sz w:val="24"/>
        </w:rPr>
      </w:pPr>
      <w:r>
        <w:rPr>
          <w:b/>
          <w:sz w:val="24"/>
        </w:rPr>
        <w:t>Modifications of the Higher Secondary Pattern. </w:t>
      </w:r>
      <w:r>
        <w:rPr>
          <w:sz w:val="24"/>
        </w:rPr>
        <w:t>We attach great significance to changes that have to be made in the existing higher secondary pattern in the light of the proposals for reorganization made above.</w:t>
      </w:r>
    </w:p>
    <w:p>
      <w:pPr>
        <w:pStyle w:val="BodyText"/>
        <w:spacing w:before="5"/>
      </w:pPr>
    </w:p>
    <w:p>
      <w:pPr>
        <w:pStyle w:val="ListParagraph"/>
        <w:numPr>
          <w:ilvl w:val="0"/>
          <w:numId w:val="25"/>
        </w:numPr>
        <w:tabs>
          <w:tab w:pos="509" w:val="left" w:leader="none"/>
        </w:tabs>
        <w:spacing w:line="240" w:lineRule="auto" w:before="0" w:after="0"/>
        <w:ind w:left="160" w:right="496" w:firstLine="0"/>
        <w:jc w:val="both"/>
        <w:rPr>
          <w:sz w:val="24"/>
        </w:rPr>
      </w:pPr>
      <w:r>
        <w:rPr>
          <w:sz w:val="24"/>
        </w:rPr>
        <w:t>As has already been stated, the system of 'streaming' in schools of general education, which now begins in class IX, should be given up and no attempt at specialization should be made till after class X. This will need a considerable reorganization of the existing curricula of the higher secondary schools.</w:t>
      </w:r>
    </w:p>
    <w:p>
      <w:pPr>
        <w:pStyle w:val="BodyText"/>
        <w:spacing w:before="4"/>
      </w:pPr>
    </w:p>
    <w:p>
      <w:pPr>
        <w:pStyle w:val="ListParagraph"/>
        <w:numPr>
          <w:ilvl w:val="0"/>
          <w:numId w:val="25"/>
        </w:numPr>
        <w:tabs>
          <w:tab w:pos="513" w:val="left" w:leader="none"/>
        </w:tabs>
        <w:spacing w:line="240" w:lineRule="auto" w:before="0" w:after="0"/>
        <w:ind w:left="160" w:right="496" w:firstLine="0"/>
        <w:jc w:val="both"/>
        <w:rPr>
          <w:sz w:val="24"/>
        </w:rPr>
      </w:pPr>
      <w:r>
        <w:rPr>
          <w:sz w:val="24"/>
        </w:rPr>
        <w:t>The idea that every secondary school should be raised to the higher secondary status should also be abandoned. It has been possible to upgrade all the high schools in Delhi because it is a metropolitan area. Such wholesale conversion of schools has also been carried out in Madhya Pradesh; but the cost has been very heavy in terms of deterioration of standards as well as of financial outlays. In a country where rural areas predominate, it is unwise to try to raise every high school to</w:t>
      </w:r>
      <w:r>
        <w:rPr>
          <w:spacing w:val="-1"/>
          <w:sz w:val="24"/>
        </w:rPr>
        <w:t> </w:t>
      </w:r>
      <w:r>
        <w:rPr>
          <w:sz w:val="24"/>
        </w:rPr>
        <w:t>the higher secondary status. We visualize, as a permanent feature of the educational system, secondary schools of two types: high schools providing the ten-year course described above, and higher secondary schools which in due course will offer a twelve- year course of education. With a view to concentrating resources and raising standards effectively, it is only the bigger and better type of high school that should be upgraded. If one-fourth of the total number of high schools were raised to the higher secondary status, they would meet all the needs of the situation, even on the assumption that there would be no pre-university courses in the colleges in the future. An essential requirement is that the institutions should be large, centrally</w:t>
      </w:r>
      <w:r>
        <w:rPr>
          <w:spacing w:val="-3"/>
          <w:sz w:val="24"/>
        </w:rPr>
        <w:t> </w:t>
      </w:r>
      <w:r>
        <w:rPr>
          <w:sz w:val="24"/>
        </w:rPr>
        <w:t>located</w:t>
      </w:r>
      <w:r>
        <w:rPr>
          <w:spacing w:val="-1"/>
          <w:sz w:val="24"/>
        </w:rPr>
        <w:t> </w:t>
      </w:r>
      <w:r>
        <w:rPr>
          <w:sz w:val="24"/>
        </w:rPr>
        <w:t>and</w:t>
      </w:r>
      <w:r>
        <w:rPr>
          <w:spacing w:val="-1"/>
          <w:sz w:val="24"/>
        </w:rPr>
        <w:t> </w:t>
      </w:r>
      <w:r>
        <w:rPr>
          <w:sz w:val="24"/>
        </w:rPr>
        <w:t>equitably</w:t>
      </w:r>
      <w:r>
        <w:rPr>
          <w:spacing w:val="-1"/>
          <w:sz w:val="24"/>
        </w:rPr>
        <w:t> </w:t>
      </w:r>
      <w:r>
        <w:rPr>
          <w:sz w:val="24"/>
        </w:rPr>
        <w:t>distributed</w:t>
      </w:r>
      <w:r>
        <w:rPr>
          <w:spacing w:val="-1"/>
          <w:sz w:val="24"/>
        </w:rPr>
        <w:t> </w:t>
      </w:r>
      <w:r>
        <w:rPr>
          <w:sz w:val="24"/>
        </w:rPr>
        <w:t>between</w:t>
      </w:r>
      <w:r>
        <w:rPr>
          <w:spacing w:val="-1"/>
          <w:sz w:val="24"/>
        </w:rPr>
        <w:t> </w:t>
      </w:r>
      <w:r>
        <w:rPr>
          <w:sz w:val="24"/>
        </w:rPr>
        <w:t>the</w:t>
      </w:r>
      <w:r>
        <w:rPr>
          <w:spacing w:val="-1"/>
          <w:sz w:val="24"/>
        </w:rPr>
        <w:t> </w:t>
      </w:r>
      <w:r>
        <w:rPr>
          <w:sz w:val="24"/>
        </w:rPr>
        <w:t>urban</w:t>
      </w:r>
      <w:r>
        <w:rPr>
          <w:spacing w:val="-1"/>
          <w:sz w:val="24"/>
        </w:rPr>
        <w:t> </w:t>
      </w:r>
      <w:r>
        <w:rPr>
          <w:sz w:val="24"/>
        </w:rPr>
        <w:t>and</w:t>
      </w:r>
      <w:r>
        <w:rPr>
          <w:spacing w:val="-1"/>
          <w:sz w:val="24"/>
        </w:rPr>
        <w:t> </w:t>
      </w:r>
      <w:r>
        <w:rPr>
          <w:sz w:val="24"/>
        </w:rPr>
        <w:t>the rural</w:t>
      </w:r>
      <w:r>
        <w:rPr>
          <w:spacing w:val="-1"/>
          <w:sz w:val="24"/>
        </w:rPr>
        <w:t> </w:t>
      </w:r>
      <w:r>
        <w:rPr>
          <w:sz w:val="24"/>
        </w:rPr>
        <w:t>areas.</w:t>
      </w:r>
      <w:r>
        <w:rPr>
          <w:spacing w:val="-1"/>
          <w:sz w:val="24"/>
        </w:rPr>
        <w:t> </w:t>
      </w:r>
      <w:r>
        <w:rPr>
          <w:sz w:val="24"/>
        </w:rPr>
        <w:t>It</w:t>
      </w:r>
      <w:r>
        <w:rPr>
          <w:spacing w:val="-1"/>
          <w:sz w:val="24"/>
        </w:rPr>
        <w:t> </w:t>
      </w:r>
      <w:r>
        <w:rPr>
          <w:sz w:val="24"/>
        </w:rPr>
        <w:t>would also be desirable to review the status of all existing higher secondary schools, and where these are too small and uneconomic or of very poor quality, they may be reconverted into high schools.</w:t>
      </w:r>
    </w:p>
    <w:p>
      <w:pPr>
        <w:pStyle w:val="BodyText"/>
        <w:spacing w:before="4"/>
      </w:pPr>
    </w:p>
    <w:p>
      <w:pPr>
        <w:pStyle w:val="ListParagraph"/>
        <w:numPr>
          <w:ilvl w:val="0"/>
          <w:numId w:val="25"/>
        </w:numPr>
        <w:tabs>
          <w:tab w:pos="523" w:val="left" w:leader="none"/>
        </w:tabs>
        <w:spacing w:line="240" w:lineRule="auto" w:before="0" w:after="0"/>
        <w:ind w:left="160" w:right="496" w:firstLine="0"/>
        <w:jc w:val="both"/>
        <w:rPr>
          <w:sz w:val="24"/>
        </w:rPr>
      </w:pPr>
      <w:r>
        <w:rPr>
          <w:sz w:val="24"/>
        </w:rPr>
        <w:t>There should be, as a rule, no integrated course of studies beginning with class IX. Classes IX and X will now form part of the first ten years of general education, and classes XI and XII (and during the transitional period, class XI only), which will provide for specialized studies in different subjects at the higher secondary stage, will become an independent, self-contained unit like the Sixth Form in England.</w:t>
      </w:r>
    </w:p>
    <w:p>
      <w:pPr>
        <w:pStyle w:val="BodyText"/>
        <w:spacing w:before="3"/>
      </w:pPr>
    </w:p>
    <w:p>
      <w:pPr>
        <w:pStyle w:val="ListParagraph"/>
        <w:numPr>
          <w:ilvl w:val="0"/>
          <w:numId w:val="25"/>
        </w:numPr>
        <w:tabs>
          <w:tab w:pos="502" w:val="left" w:leader="none"/>
        </w:tabs>
        <w:spacing w:line="240" w:lineRule="auto" w:before="1" w:after="0"/>
        <w:ind w:left="160" w:right="497" w:firstLine="0"/>
        <w:jc w:val="both"/>
        <w:rPr>
          <w:sz w:val="24"/>
        </w:rPr>
      </w:pPr>
      <w:r>
        <w:rPr>
          <w:sz w:val="24"/>
        </w:rPr>
        <w:t>There will be an external examination at the end of class X to mark the termination of the first ten years of general education. Therefore, a student studying in a ten-year high school</w:t>
      </w:r>
      <w:r>
        <w:rPr>
          <w:spacing w:val="-2"/>
          <w:sz w:val="24"/>
        </w:rPr>
        <w:t> </w:t>
      </w:r>
      <w:r>
        <w:rPr>
          <w:sz w:val="24"/>
        </w:rPr>
        <w:t>will</w:t>
      </w:r>
      <w:r>
        <w:rPr>
          <w:spacing w:val="-2"/>
          <w:sz w:val="24"/>
        </w:rPr>
        <w:t> </w:t>
      </w:r>
      <w:r>
        <w:rPr>
          <w:sz w:val="24"/>
        </w:rPr>
        <w:t>have</w:t>
      </w:r>
      <w:r>
        <w:rPr>
          <w:spacing w:val="-2"/>
          <w:sz w:val="24"/>
        </w:rPr>
        <w:t> </w:t>
      </w:r>
      <w:r>
        <w:rPr>
          <w:sz w:val="24"/>
        </w:rPr>
        <w:t>to</w:t>
      </w:r>
      <w:r>
        <w:rPr>
          <w:spacing w:val="-2"/>
          <w:sz w:val="24"/>
        </w:rPr>
        <w:t> </w:t>
      </w:r>
      <w:r>
        <w:rPr>
          <w:sz w:val="24"/>
        </w:rPr>
        <w:t>appear</w:t>
      </w:r>
      <w:r>
        <w:rPr>
          <w:spacing w:val="-2"/>
          <w:sz w:val="24"/>
        </w:rPr>
        <w:t> </w:t>
      </w:r>
      <w:r>
        <w:rPr>
          <w:sz w:val="24"/>
        </w:rPr>
        <w:t>for</w:t>
      </w:r>
      <w:r>
        <w:rPr>
          <w:spacing w:val="-2"/>
          <w:sz w:val="24"/>
        </w:rPr>
        <w:t> </w:t>
      </w:r>
      <w:r>
        <w:rPr>
          <w:sz w:val="24"/>
        </w:rPr>
        <w:t>two</w:t>
      </w:r>
      <w:r>
        <w:rPr>
          <w:spacing w:val="-2"/>
          <w:sz w:val="24"/>
        </w:rPr>
        <w:t> </w:t>
      </w:r>
      <w:r>
        <w:rPr>
          <w:sz w:val="24"/>
        </w:rPr>
        <w:t>external</w:t>
      </w:r>
      <w:r>
        <w:rPr>
          <w:spacing w:val="-2"/>
          <w:sz w:val="24"/>
        </w:rPr>
        <w:t> </w:t>
      </w:r>
      <w:r>
        <w:rPr>
          <w:sz w:val="24"/>
        </w:rPr>
        <w:t>examinations</w:t>
      </w:r>
      <w:r>
        <w:rPr>
          <w:spacing w:val="-3"/>
          <w:sz w:val="24"/>
        </w:rPr>
        <w:t> </w:t>
      </w:r>
      <w:r>
        <w:rPr>
          <w:sz w:val="24"/>
        </w:rPr>
        <w:t>at</w:t>
      </w:r>
      <w:r>
        <w:rPr>
          <w:spacing w:val="-3"/>
          <w:sz w:val="24"/>
        </w:rPr>
        <w:t> </w:t>
      </w:r>
      <w:r>
        <w:rPr>
          <w:sz w:val="24"/>
        </w:rPr>
        <w:t>the</w:t>
      </w:r>
      <w:r>
        <w:rPr>
          <w:spacing w:val="-3"/>
          <w:sz w:val="24"/>
        </w:rPr>
        <w:t> </w:t>
      </w:r>
      <w:r>
        <w:rPr>
          <w:sz w:val="24"/>
        </w:rPr>
        <w:t>end</w:t>
      </w:r>
      <w:r>
        <w:rPr>
          <w:spacing w:val="-3"/>
          <w:sz w:val="24"/>
        </w:rPr>
        <w:t> </w:t>
      </w:r>
      <w:r>
        <w:rPr>
          <w:sz w:val="24"/>
        </w:rPr>
        <w:t>of</w:t>
      </w:r>
      <w:r>
        <w:rPr>
          <w:spacing w:val="-3"/>
          <w:sz w:val="24"/>
        </w:rPr>
        <w:t> </w:t>
      </w:r>
      <w:r>
        <w:rPr>
          <w:sz w:val="24"/>
        </w:rPr>
        <w:t>classes</w:t>
      </w:r>
      <w:r>
        <w:rPr>
          <w:spacing w:val="-3"/>
          <w:sz w:val="24"/>
        </w:rPr>
        <w:t> </w:t>
      </w:r>
      <w:r>
        <w:rPr>
          <w:sz w:val="24"/>
        </w:rPr>
        <w:t>X</w:t>
      </w:r>
      <w:r>
        <w:rPr>
          <w:spacing w:val="-3"/>
          <w:sz w:val="24"/>
        </w:rPr>
        <w:t> </w:t>
      </w:r>
      <w:r>
        <w:rPr>
          <w:sz w:val="24"/>
        </w:rPr>
        <w:t>and</w:t>
      </w:r>
      <w:r>
        <w:rPr>
          <w:spacing w:val="-3"/>
          <w:sz w:val="24"/>
        </w:rPr>
        <w:t> </w:t>
      </w:r>
      <w:r>
        <w:rPr>
          <w:sz w:val="24"/>
        </w:rPr>
        <w:t>XI-at the interval of one year. This handicap will be removed with the extension of the higher secondary course to two years.</w:t>
      </w:r>
    </w:p>
    <w:p>
      <w:pPr>
        <w:spacing w:after="0" w:line="240" w:lineRule="auto"/>
        <w:jc w:val="both"/>
        <w:rPr>
          <w:sz w:val="24"/>
        </w:rPr>
        <w:sectPr>
          <w:pgSz w:w="12240" w:h="15840"/>
          <w:pgMar w:header="0" w:footer="743" w:top="1360" w:bottom="940" w:left="1640" w:right="1300"/>
        </w:sectPr>
      </w:pPr>
    </w:p>
    <w:p>
      <w:pPr>
        <w:pStyle w:val="ListParagraph"/>
        <w:numPr>
          <w:ilvl w:val="0"/>
          <w:numId w:val="25"/>
        </w:numPr>
        <w:tabs>
          <w:tab w:pos="515" w:val="left" w:leader="none"/>
        </w:tabs>
        <w:spacing w:line="240" w:lineRule="auto" w:before="76" w:after="0"/>
        <w:ind w:left="160" w:right="497" w:firstLine="0"/>
        <w:jc w:val="both"/>
        <w:rPr>
          <w:sz w:val="24"/>
        </w:rPr>
      </w:pPr>
      <w:r>
        <w:rPr>
          <w:sz w:val="24"/>
        </w:rPr>
        <w:t>Existing higher secondary schools with a well-organized integrated course in classes IX to XI may be permitted to carry on, if they so</w:t>
      </w:r>
      <w:r>
        <w:rPr>
          <w:spacing w:val="-1"/>
          <w:sz w:val="24"/>
        </w:rPr>
        <w:t> </w:t>
      </w:r>
      <w:r>
        <w:rPr>
          <w:sz w:val="24"/>
        </w:rPr>
        <w:t>desire,</w:t>
      </w:r>
      <w:r>
        <w:rPr>
          <w:spacing w:val="-1"/>
          <w:sz w:val="24"/>
        </w:rPr>
        <w:t> </w:t>
      </w:r>
      <w:r>
        <w:rPr>
          <w:sz w:val="24"/>
        </w:rPr>
        <w:t>with such a course until they add class XII. It will not be obligatory for the students of such schools to appear for an examination at the end of class X. They may take one final examination at the end of</w:t>
      </w:r>
      <w:r>
        <w:rPr>
          <w:spacing w:val="40"/>
          <w:sz w:val="24"/>
        </w:rPr>
        <w:t> </w:t>
      </w:r>
      <w:r>
        <w:rPr>
          <w:sz w:val="24"/>
        </w:rPr>
        <w:t>class XI or take it in two parts at the end of classes X and XI.</w:t>
      </w:r>
    </w:p>
    <w:p>
      <w:pPr>
        <w:pStyle w:val="BodyText"/>
        <w:spacing w:before="4"/>
      </w:pPr>
    </w:p>
    <w:p>
      <w:pPr>
        <w:pStyle w:val="ListParagraph"/>
        <w:numPr>
          <w:ilvl w:val="1"/>
          <w:numId w:val="23"/>
        </w:numPr>
        <w:tabs>
          <w:tab w:pos="640" w:val="left" w:leader="none"/>
        </w:tabs>
        <w:spacing w:line="240" w:lineRule="auto" w:before="0" w:after="0"/>
        <w:ind w:left="159" w:right="494" w:firstLine="0"/>
        <w:jc w:val="both"/>
        <w:rPr>
          <w:b/>
          <w:sz w:val="24"/>
        </w:rPr>
      </w:pPr>
      <w:r>
        <w:rPr>
          <w:b/>
          <w:sz w:val="24"/>
        </w:rPr>
        <w:t>Vocational</w:t>
      </w:r>
      <w:r>
        <w:rPr>
          <w:b/>
          <w:spacing w:val="-1"/>
          <w:sz w:val="24"/>
        </w:rPr>
        <w:t> </w:t>
      </w:r>
      <w:r>
        <w:rPr>
          <w:b/>
          <w:sz w:val="24"/>
        </w:rPr>
        <w:t>Courses</w:t>
      </w:r>
      <w:r>
        <w:rPr>
          <w:b/>
          <w:spacing w:val="-1"/>
          <w:sz w:val="24"/>
        </w:rPr>
        <w:t> </w:t>
      </w:r>
      <w:r>
        <w:rPr>
          <w:b/>
          <w:sz w:val="24"/>
        </w:rPr>
        <w:t>at</w:t>
      </w:r>
      <w:r>
        <w:rPr>
          <w:b/>
          <w:spacing w:val="-1"/>
          <w:sz w:val="24"/>
        </w:rPr>
        <w:t> </w:t>
      </w:r>
      <w:r>
        <w:rPr>
          <w:b/>
          <w:sz w:val="24"/>
        </w:rPr>
        <w:t>the</w:t>
      </w:r>
      <w:r>
        <w:rPr>
          <w:b/>
          <w:spacing w:val="-1"/>
          <w:sz w:val="24"/>
        </w:rPr>
        <w:t> </w:t>
      </w:r>
      <w:r>
        <w:rPr>
          <w:b/>
          <w:sz w:val="24"/>
        </w:rPr>
        <w:t>End</w:t>
      </w:r>
      <w:r>
        <w:rPr>
          <w:b/>
          <w:spacing w:val="-1"/>
          <w:sz w:val="24"/>
        </w:rPr>
        <w:t> </w:t>
      </w:r>
      <w:r>
        <w:rPr>
          <w:b/>
          <w:sz w:val="24"/>
        </w:rPr>
        <w:t>of</w:t>
      </w:r>
      <w:r>
        <w:rPr>
          <w:b/>
          <w:spacing w:val="-1"/>
          <w:sz w:val="24"/>
        </w:rPr>
        <w:t> </w:t>
      </w:r>
      <w:r>
        <w:rPr>
          <w:b/>
          <w:sz w:val="24"/>
        </w:rPr>
        <w:t>the</w:t>
      </w:r>
      <w:r>
        <w:rPr>
          <w:b/>
          <w:spacing w:val="-1"/>
          <w:sz w:val="24"/>
        </w:rPr>
        <w:t> </w:t>
      </w:r>
      <w:r>
        <w:rPr>
          <w:b/>
          <w:sz w:val="24"/>
        </w:rPr>
        <w:t>Primary</w:t>
      </w:r>
      <w:r>
        <w:rPr>
          <w:b/>
          <w:spacing w:val="-1"/>
          <w:sz w:val="24"/>
        </w:rPr>
        <w:t> </w:t>
      </w:r>
      <w:r>
        <w:rPr>
          <w:b/>
          <w:sz w:val="24"/>
        </w:rPr>
        <w:t>Stage.</w:t>
      </w:r>
      <w:r>
        <w:rPr>
          <w:b/>
          <w:spacing w:val="-6"/>
          <w:sz w:val="24"/>
        </w:rPr>
        <w:t> </w:t>
      </w:r>
      <w:r>
        <w:rPr>
          <w:sz w:val="24"/>
        </w:rPr>
        <w:t>It</w:t>
      </w:r>
      <w:r>
        <w:rPr>
          <w:spacing w:val="-1"/>
          <w:sz w:val="24"/>
        </w:rPr>
        <w:t> </w:t>
      </w:r>
      <w:r>
        <w:rPr>
          <w:sz w:val="24"/>
        </w:rPr>
        <w:t>has</w:t>
      </w:r>
      <w:r>
        <w:rPr>
          <w:spacing w:val="-1"/>
          <w:sz w:val="24"/>
        </w:rPr>
        <w:t> </w:t>
      </w:r>
      <w:r>
        <w:rPr>
          <w:sz w:val="24"/>
        </w:rPr>
        <w:t>been</w:t>
      </w:r>
      <w:r>
        <w:rPr>
          <w:spacing w:val="-1"/>
          <w:sz w:val="24"/>
        </w:rPr>
        <w:t> </w:t>
      </w:r>
      <w:r>
        <w:rPr>
          <w:sz w:val="24"/>
        </w:rPr>
        <w:t>stated</w:t>
      </w:r>
      <w:r>
        <w:rPr>
          <w:spacing w:val="-1"/>
          <w:sz w:val="24"/>
        </w:rPr>
        <w:t> </w:t>
      </w:r>
      <w:r>
        <w:rPr>
          <w:sz w:val="24"/>
        </w:rPr>
        <w:t>above</w:t>
      </w:r>
      <w:r>
        <w:rPr>
          <w:spacing w:val="-1"/>
          <w:sz w:val="24"/>
        </w:rPr>
        <w:t> </w:t>
      </w:r>
      <w:r>
        <w:rPr>
          <w:sz w:val="24"/>
        </w:rPr>
        <w:t>that about 20 per cent of the students will leave the educational system and join working life</w:t>
      </w:r>
      <w:r>
        <w:rPr>
          <w:spacing w:val="40"/>
          <w:sz w:val="24"/>
        </w:rPr>
        <w:t> </w:t>
      </w:r>
      <w:r>
        <w:rPr>
          <w:sz w:val="24"/>
        </w:rPr>
        <w:t>at the end of the primary stage and that about an equal proportion will step off from the stream of general education and join vocational courses. It will be necessary to provide adequate</w:t>
      </w:r>
      <w:r>
        <w:rPr>
          <w:spacing w:val="-1"/>
          <w:sz w:val="24"/>
        </w:rPr>
        <w:t> </w:t>
      </w:r>
      <w:r>
        <w:rPr>
          <w:sz w:val="24"/>
        </w:rPr>
        <w:t>facilities</w:t>
      </w:r>
      <w:r>
        <w:rPr>
          <w:spacing w:val="-1"/>
          <w:sz w:val="24"/>
        </w:rPr>
        <w:t> </w:t>
      </w:r>
      <w:r>
        <w:rPr>
          <w:sz w:val="24"/>
        </w:rPr>
        <w:t>for</w:t>
      </w:r>
      <w:r>
        <w:rPr>
          <w:spacing w:val="-1"/>
          <w:sz w:val="24"/>
        </w:rPr>
        <w:t> </w:t>
      </w:r>
      <w:r>
        <w:rPr>
          <w:sz w:val="24"/>
        </w:rPr>
        <w:t>suitable</w:t>
      </w:r>
      <w:r>
        <w:rPr>
          <w:spacing w:val="-3"/>
          <w:sz w:val="24"/>
        </w:rPr>
        <w:t> </w:t>
      </w:r>
      <w:r>
        <w:rPr>
          <w:sz w:val="24"/>
        </w:rPr>
        <w:t>forms</w:t>
      </w:r>
      <w:r>
        <w:rPr>
          <w:spacing w:val="-1"/>
          <w:sz w:val="24"/>
        </w:rPr>
        <w:t> </w:t>
      </w:r>
      <w:r>
        <w:rPr>
          <w:sz w:val="24"/>
        </w:rPr>
        <w:t>of</w:t>
      </w:r>
      <w:r>
        <w:rPr>
          <w:spacing w:val="-1"/>
          <w:sz w:val="24"/>
        </w:rPr>
        <w:t> </w:t>
      </w:r>
      <w:r>
        <w:rPr>
          <w:sz w:val="24"/>
        </w:rPr>
        <w:t>vocational</w:t>
      </w:r>
      <w:r>
        <w:rPr>
          <w:spacing w:val="-1"/>
          <w:sz w:val="24"/>
        </w:rPr>
        <w:t> </w:t>
      </w:r>
      <w:r>
        <w:rPr>
          <w:sz w:val="24"/>
        </w:rPr>
        <w:t>education,</w:t>
      </w:r>
      <w:r>
        <w:rPr>
          <w:spacing w:val="-3"/>
          <w:sz w:val="24"/>
        </w:rPr>
        <w:t> </w:t>
      </w:r>
      <w:r>
        <w:rPr>
          <w:sz w:val="24"/>
        </w:rPr>
        <w:t>either</w:t>
      </w:r>
      <w:r>
        <w:rPr>
          <w:spacing w:val="-1"/>
          <w:sz w:val="24"/>
        </w:rPr>
        <w:t> </w:t>
      </w:r>
      <w:r>
        <w:rPr>
          <w:sz w:val="24"/>
        </w:rPr>
        <w:t>on</w:t>
      </w:r>
      <w:r>
        <w:rPr>
          <w:spacing w:val="-1"/>
          <w:sz w:val="24"/>
        </w:rPr>
        <w:t> </w:t>
      </w:r>
      <w:r>
        <w:rPr>
          <w:sz w:val="24"/>
        </w:rPr>
        <w:t>a</w:t>
      </w:r>
      <w:r>
        <w:rPr>
          <w:spacing w:val="-1"/>
          <w:sz w:val="24"/>
        </w:rPr>
        <w:t> </w:t>
      </w:r>
      <w:r>
        <w:rPr>
          <w:sz w:val="24"/>
        </w:rPr>
        <w:t>part-time</w:t>
      </w:r>
      <w:r>
        <w:rPr>
          <w:spacing w:val="-1"/>
          <w:sz w:val="24"/>
        </w:rPr>
        <w:t> </w:t>
      </w:r>
      <w:r>
        <w:rPr>
          <w:sz w:val="24"/>
        </w:rPr>
        <w:t>or</w:t>
      </w:r>
      <w:r>
        <w:rPr>
          <w:spacing w:val="-1"/>
          <w:sz w:val="24"/>
        </w:rPr>
        <w:t> </w:t>
      </w:r>
      <w:r>
        <w:rPr>
          <w:sz w:val="24"/>
        </w:rPr>
        <w:t>on</w:t>
      </w:r>
      <w:r>
        <w:rPr>
          <w:spacing w:val="-1"/>
          <w:sz w:val="24"/>
        </w:rPr>
        <w:t> </w:t>
      </w:r>
      <w:r>
        <w:rPr>
          <w:sz w:val="24"/>
        </w:rPr>
        <w:t>a full-time basis, for these students. This problem will be discussed in greater detail </w:t>
      </w:r>
      <w:r>
        <w:rPr>
          <w:spacing w:val="-2"/>
          <w:sz w:val="24"/>
        </w:rPr>
        <w:t>elsewhere.</w:t>
      </w:r>
      <w:r>
        <w:rPr>
          <w:b/>
          <w:spacing w:val="-2"/>
          <w:sz w:val="24"/>
          <w:vertAlign w:val="superscript"/>
        </w:rPr>
        <w:t>18</w:t>
      </w:r>
    </w:p>
    <w:p>
      <w:pPr>
        <w:pStyle w:val="BodyText"/>
        <w:spacing w:before="4"/>
        <w:rPr>
          <w:b/>
        </w:rPr>
      </w:pPr>
    </w:p>
    <w:p>
      <w:pPr>
        <w:pStyle w:val="ListParagraph"/>
        <w:numPr>
          <w:ilvl w:val="1"/>
          <w:numId w:val="23"/>
        </w:numPr>
        <w:tabs>
          <w:tab w:pos="688" w:val="left" w:leader="none"/>
        </w:tabs>
        <w:spacing w:line="240" w:lineRule="auto" w:before="0" w:after="0"/>
        <w:ind w:left="159" w:right="496" w:firstLine="0"/>
        <w:jc w:val="both"/>
        <w:rPr>
          <w:b/>
          <w:sz w:val="24"/>
        </w:rPr>
      </w:pPr>
      <w:r>
        <w:rPr>
          <w:b/>
          <w:sz w:val="24"/>
        </w:rPr>
        <w:t>Courses Corresponding to the Higher Secondary Stage. </w:t>
      </w:r>
      <w:r>
        <w:rPr>
          <w:sz w:val="24"/>
        </w:rPr>
        <w:t>The name, duration, location and control of courses corresponding to the higher secondary stage vary </w:t>
      </w:r>
      <w:r>
        <w:rPr>
          <w:sz w:val="24"/>
        </w:rPr>
        <w:t>from State to State. In Uttar Pradesh, the course is</w:t>
      </w:r>
      <w:r>
        <w:rPr>
          <w:spacing w:val="-1"/>
          <w:sz w:val="24"/>
        </w:rPr>
        <w:t> </w:t>
      </w:r>
      <w:r>
        <w:rPr>
          <w:sz w:val="24"/>
        </w:rPr>
        <w:t>designated as 'Intermediate'</w:t>
      </w:r>
      <w:r>
        <w:rPr>
          <w:spacing w:val="-1"/>
          <w:sz w:val="24"/>
        </w:rPr>
        <w:t> </w:t>
      </w:r>
      <w:r>
        <w:rPr>
          <w:sz w:val="24"/>
        </w:rPr>
        <w:t>and the duration is two years. It is located either in the top classes of secondary schools or in the bottom classes of degree colleges and its academic control is vested in the Board of High School and Intermediate Examinations. In Kerala, the course is provided in institutions called 'Junior Colleges', which are sometimes independent and sometimes attached to affiliated colleges, and its control vests with the university. In Madhya Pradesh, where all secondary schools have been raised to the higher secondary pattern, there is no course at this stage outside the higher secondary schools. In States where the higher secondary pattern</w:t>
      </w:r>
      <w:r>
        <w:rPr>
          <w:spacing w:val="-3"/>
          <w:sz w:val="24"/>
        </w:rPr>
        <w:t> </w:t>
      </w:r>
      <w:r>
        <w:rPr>
          <w:sz w:val="24"/>
        </w:rPr>
        <w:t>is</w:t>
      </w:r>
      <w:r>
        <w:rPr>
          <w:spacing w:val="-3"/>
          <w:sz w:val="24"/>
        </w:rPr>
        <w:t> </w:t>
      </w:r>
      <w:r>
        <w:rPr>
          <w:sz w:val="24"/>
        </w:rPr>
        <w:t>adopted</w:t>
      </w:r>
      <w:r>
        <w:rPr>
          <w:spacing w:val="-3"/>
          <w:sz w:val="24"/>
        </w:rPr>
        <w:t> </w:t>
      </w:r>
      <w:r>
        <w:rPr>
          <w:sz w:val="24"/>
        </w:rPr>
        <w:t>but</w:t>
      </w:r>
      <w:r>
        <w:rPr>
          <w:spacing w:val="-3"/>
          <w:sz w:val="24"/>
        </w:rPr>
        <w:t> </w:t>
      </w:r>
      <w:r>
        <w:rPr>
          <w:sz w:val="24"/>
        </w:rPr>
        <w:t>all</w:t>
      </w:r>
      <w:r>
        <w:rPr>
          <w:spacing w:val="-3"/>
          <w:sz w:val="24"/>
        </w:rPr>
        <w:t> </w:t>
      </w:r>
      <w:r>
        <w:rPr>
          <w:sz w:val="24"/>
        </w:rPr>
        <w:t>high</w:t>
      </w:r>
      <w:r>
        <w:rPr>
          <w:spacing w:val="-3"/>
          <w:sz w:val="24"/>
        </w:rPr>
        <w:t> </w:t>
      </w:r>
      <w:r>
        <w:rPr>
          <w:sz w:val="24"/>
        </w:rPr>
        <w:t>schools</w:t>
      </w:r>
      <w:r>
        <w:rPr>
          <w:spacing w:val="-3"/>
          <w:sz w:val="24"/>
        </w:rPr>
        <w:t> </w:t>
      </w:r>
      <w:r>
        <w:rPr>
          <w:sz w:val="24"/>
        </w:rPr>
        <w:t>have</w:t>
      </w:r>
      <w:r>
        <w:rPr>
          <w:spacing w:val="-3"/>
          <w:sz w:val="24"/>
        </w:rPr>
        <w:t> </w:t>
      </w:r>
      <w:r>
        <w:rPr>
          <w:sz w:val="24"/>
        </w:rPr>
        <w:t>not</w:t>
      </w:r>
      <w:r>
        <w:rPr>
          <w:spacing w:val="-3"/>
          <w:sz w:val="24"/>
        </w:rPr>
        <w:t> </w:t>
      </w:r>
      <w:r>
        <w:rPr>
          <w:sz w:val="24"/>
        </w:rPr>
        <w:t>been</w:t>
      </w:r>
      <w:r>
        <w:rPr>
          <w:spacing w:val="-3"/>
          <w:sz w:val="24"/>
        </w:rPr>
        <w:t> </w:t>
      </w:r>
      <w:r>
        <w:rPr>
          <w:sz w:val="24"/>
        </w:rPr>
        <w:t>raised</w:t>
      </w:r>
      <w:r>
        <w:rPr>
          <w:spacing w:val="-3"/>
          <w:sz w:val="24"/>
        </w:rPr>
        <w:t> </w:t>
      </w:r>
      <w:r>
        <w:rPr>
          <w:sz w:val="24"/>
        </w:rPr>
        <w:t>to</w:t>
      </w:r>
      <w:r>
        <w:rPr>
          <w:spacing w:val="-3"/>
          <w:sz w:val="24"/>
        </w:rPr>
        <w:t> </w:t>
      </w:r>
      <w:r>
        <w:rPr>
          <w:sz w:val="24"/>
        </w:rPr>
        <w:t>the</w:t>
      </w:r>
      <w:r>
        <w:rPr>
          <w:spacing w:val="-3"/>
          <w:sz w:val="24"/>
        </w:rPr>
        <w:t> </w:t>
      </w:r>
      <w:r>
        <w:rPr>
          <w:sz w:val="24"/>
        </w:rPr>
        <w:t>higher</w:t>
      </w:r>
      <w:r>
        <w:rPr>
          <w:spacing w:val="-3"/>
          <w:sz w:val="24"/>
        </w:rPr>
        <w:t> </w:t>
      </w:r>
      <w:r>
        <w:rPr>
          <w:sz w:val="24"/>
        </w:rPr>
        <w:t>secondary</w:t>
      </w:r>
      <w:r>
        <w:rPr>
          <w:spacing w:val="-3"/>
          <w:sz w:val="24"/>
        </w:rPr>
        <w:t> </w:t>
      </w:r>
      <w:r>
        <w:rPr>
          <w:sz w:val="24"/>
        </w:rPr>
        <w:t>status, the stage is provided as class XI in the higher secondary schools and pre-university courses</w:t>
      </w:r>
      <w:r>
        <w:rPr>
          <w:spacing w:val="-3"/>
          <w:sz w:val="24"/>
        </w:rPr>
        <w:t> </w:t>
      </w:r>
      <w:r>
        <w:rPr>
          <w:sz w:val="24"/>
        </w:rPr>
        <w:t>in</w:t>
      </w:r>
      <w:r>
        <w:rPr>
          <w:spacing w:val="-3"/>
          <w:sz w:val="24"/>
        </w:rPr>
        <w:t> </w:t>
      </w:r>
      <w:r>
        <w:rPr>
          <w:sz w:val="24"/>
        </w:rPr>
        <w:t>colleges.</w:t>
      </w:r>
      <w:r>
        <w:rPr>
          <w:spacing w:val="-3"/>
          <w:sz w:val="24"/>
        </w:rPr>
        <w:t> </w:t>
      </w:r>
      <w:r>
        <w:rPr>
          <w:sz w:val="24"/>
        </w:rPr>
        <w:t>All</w:t>
      </w:r>
      <w:r>
        <w:rPr>
          <w:spacing w:val="-3"/>
          <w:sz w:val="24"/>
        </w:rPr>
        <w:t> </w:t>
      </w:r>
      <w:r>
        <w:rPr>
          <w:sz w:val="24"/>
        </w:rPr>
        <w:t>other</w:t>
      </w:r>
      <w:r>
        <w:rPr>
          <w:spacing w:val="-2"/>
          <w:sz w:val="24"/>
        </w:rPr>
        <w:t> </w:t>
      </w:r>
      <w:r>
        <w:rPr>
          <w:sz w:val="24"/>
        </w:rPr>
        <w:t>States</w:t>
      </w:r>
      <w:r>
        <w:rPr>
          <w:spacing w:val="-3"/>
          <w:sz w:val="24"/>
        </w:rPr>
        <w:t> </w:t>
      </w:r>
      <w:r>
        <w:rPr>
          <w:sz w:val="24"/>
        </w:rPr>
        <w:t>provide</w:t>
      </w:r>
      <w:r>
        <w:rPr>
          <w:spacing w:val="-3"/>
          <w:sz w:val="24"/>
        </w:rPr>
        <w:t> </w:t>
      </w:r>
      <w:r>
        <w:rPr>
          <w:sz w:val="24"/>
        </w:rPr>
        <w:t>a</w:t>
      </w:r>
      <w:r>
        <w:rPr>
          <w:spacing w:val="-3"/>
          <w:sz w:val="24"/>
        </w:rPr>
        <w:t> </w:t>
      </w:r>
      <w:r>
        <w:rPr>
          <w:sz w:val="24"/>
        </w:rPr>
        <w:t>pre-university</w:t>
      </w:r>
      <w:r>
        <w:rPr>
          <w:spacing w:val="-3"/>
          <w:sz w:val="24"/>
        </w:rPr>
        <w:t> </w:t>
      </w:r>
      <w:r>
        <w:rPr>
          <w:sz w:val="24"/>
        </w:rPr>
        <w:t>course</w:t>
      </w:r>
      <w:r>
        <w:rPr>
          <w:spacing w:val="-2"/>
          <w:sz w:val="24"/>
        </w:rPr>
        <w:t> </w:t>
      </w:r>
      <w:r>
        <w:rPr>
          <w:sz w:val="24"/>
        </w:rPr>
        <w:t>exclusively</w:t>
      </w:r>
      <w:r>
        <w:rPr>
          <w:spacing w:val="-4"/>
          <w:sz w:val="24"/>
        </w:rPr>
        <w:t> </w:t>
      </w:r>
      <w:r>
        <w:rPr>
          <w:sz w:val="24"/>
        </w:rPr>
        <w:t>located</w:t>
      </w:r>
      <w:r>
        <w:rPr>
          <w:spacing w:val="-2"/>
          <w:sz w:val="24"/>
        </w:rPr>
        <w:t> </w:t>
      </w:r>
      <w:r>
        <w:rPr>
          <w:sz w:val="24"/>
        </w:rPr>
        <w:t>in colleges and controlled by the universities.</w:t>
      </w:r>
    </w:p>
    <w:p>
      <w:pPr>
        <w:pStyle w:val="BodyText"/>
        <w:spacing w:before="4"/>
      </w:pPr>
    </w:p>
    <w:p>
      <w:pPr>
        <w:pStyle w:val="ListParagraph"/>
        <w:numPr>
          <w:ilvl w:val="1"/>
          <w:numId w:val="23"/>
        </w:numPr>
        <w:tabs>
          <w:tab w:pos="663" w:val="left" w:leader="none"/>
        </w:tabs>
        <w:spacing w:line="240" w:lineRule="auto" w:before="0" w:after="0"/>
        <w:ind w:left="159" w:right="497" w:firstLine="0"/>
        <w:jc w:val="both"/>
        <w:rPr>
          <w:sz w:val="24"/>
        </w:rPr>
      </w:pPr>
      <w:r>
        <w:rPr>
          <w:sz w:val="24"/>
        </w:rPr>
        <w:t>In discussing the proposed reorganization of the educational structure, we pointed out that two main reforms were needed at this stage:</w:t>
      </w:r>
    </w:p>
    <w:p>
      <w:pPr>
        <w:pStyle w:val="BodyText"/>
        <w:spacing w:before="5"/>
      </w:pPr>
    </w:p>
    <w:p>
      <w:pPr>
        <w:pStyle w:val="ListParagraph"/>
        <w:numPr>
          <w:ilvl w:val="2"/>
          <w:numId w:val="23"/>
        </w:numPr>
        <w:tabs>
          <w:tab w:pos="324" w:val="left" w:leader="none"/>
        </w:tabs>
        <w:spacing w:line="240" w:lineRule="auto" w:before="0" w:after="0"/>
        <w:ind w:left="159" w:right="497" w:firstLine="0"/>
        <w:jc w:val="both"/>
        <w:rPr>
          <w:sz w:val="24"/>
        </w:rPr>
      </w:pPr>
      <w:r>
        <w:rPr>
          <w:sz w:val="24"/>
        </w:rPr>
        <w:t>the transfer of the pre-university courses from the universities and the colleges to the schools; and - the lengthening of the duration of the courses of general </w:t>
      </w:r>
      <w:r>
        <w:rPr>
          <w:sz w:val="24"/>
        </w:rPr>
        <w:t>education uniformly to two years.</w:t>
      </w:r>
    </w:p>
    <w:p>
      <w:pPr>
        <w:pStyle w:val="BodyText"/>
        <w:spacing w:before="3"/>
      </w:pPr>
    </w:p>
    <w:p>
      <w:pPr>
        <w:pStyle w:val="BodyText"/>
        <w:ind w:left="159" w:right="496"/>
        <w:jc w:val="both"/>
      </w:pPr>
      <w:r>
        <w:rPr/>
        <w:t>In</w:t>
      </w:r>
      <w:r>
        <w:rPr>
          <w:spacing w:val="-1"/>
        </w:rPr>
        <w:t> </w:t>
      </w:r>
      <w:r>
        <w:rPr/>
        <w:t>our</w:t>
      </w:r>
      <w:r>
        <w:rPr>
          <w:spacing w:val="-1"/>
        </w:rPr>
        <w:t> </w:t>
      </w:r>
      <w:r>
        <w:rPr/>
        <w:t>view,</w:t>
      </w:r>
      <w:r>
        <w:rPr>
          <w:spacing w:val="-2"/>
        </w:rPr>
        <w:t> </w:t>
      </w:r>
      <w:r>
        <w:rPr/>
        <w:t>the</w:t>
      </w:r>
      <w:r>
        <w:rPr>
          <w:spacing w:val="-1"/>
        </w:rPr>
        <w:t> </w:t>
      </w:r>
      <w:r>
        <w:rPr/>
        <w:t>simpler</w:t>
      </w:r>
      <w:r>
        <w:rPr>
          <w:spacing w:val="-1"/>
        </w:rPr>
        <w:t> </w:t>
      </w:r>
      <w:r>
        <w:rPr/>
        <w:t>and</w:t>
      </w:r>
      <w:r>
        <w:rPr>
          <w:spacing w:val="-1"/>
        </w:rPr>
        <w:t> </w:t>
      </w:r>
      <w:r>
        <w:rPr/>
        <w:t>more</w:t>
      </w:r>
      <w:r>
        <w:rPr>
          <w:spacing w:val="-1"/>
        </w:rPr>
        <w:t> </w:t>
      </w:r>
      <w:r>
        <w:rPr/>
        <w:t>efficient</w:t>
      </w:r>
      <w:r>
        <w:rPr>
          <w:spacing w:val="-1"/>
        </w:rPr>
        <w:t> </w:t>
      </w:r>
      <w:r>
        <w:rPr/>
        <w:t>way</w:t>
      </w:r>
      <w:r>
        <w:rPr>
          <w:spacing w:val="-2"/>
        </w:rPr>
        <w:t> </w:t>
      </w:r>
      <w:r>
        <w:rPr/>
        <w:t>of</w:t>
      </w:r>
      <w:r>
        <w:rPr>
          <w:spacing w:val="-2"/>
        </w:rPr>
        <w:t> </w:t>
      </w:r>
      <w:r>
        <w:rPr/>
        <w:t>carrying</w:t>
      </w:r>
      <w:r>
        <w:rPr>
          <w:spacing w:val="-2"/>
        </w:rPr>
        <w:t> </w:t>
      </w:r>
      <w:r>
        <w:rPr/>
        <w:t>out</w:t>
      </w:r>
      <w:r>
        <w:rPr>
          <w:spacing w:val="-2"/>
        </w:rPr>
        <w:t> </w:t>
      </w:r>
      <w:r>
        <w:rPr/>
        <w:t>these</w:t>
      </w:r>
      <w:r>
        <w:rPr>
          <w:spacing w:val="-4"/>
        </w:rPr>
        <w:t> </w:t>
      </w:r>
      <w:r>
        <w:rPr/>
        <w:t>reforms</w:t>
      </w:r>
      <w:r>
        <w:rPr>
          <w:spacing w:val="-1"/>
        </w:rPr>
        <w:t> </w:t>
      </w:r>
      <w:r>
        <w:rPr/>
        <w:t>would</w:t>
      </w:r>
      <w:r>
        <w:rPr>
          <w:spacing w:val="-1"/>
        </w:rPr>
        <w:t> </w:t>
      </w:r>
      <w:r>
        <w:rPr/>
        <w:t>be</w:t>
      </w:r>
      <w:r>
        <w:rPr>
          <w:spacing w:val="-1"/>
        </w:rPr>
        <w:t> </w:t>
      </w:r>
      <w:r>
        <w:rPr/>
        <w:t>to take up their implementation in two successive stages. In the first stage, the pre- university, intermediate or junior college courses should be transferred from higher education to school education in a period of ten years (1966-75); in the second, their duration should be lengthened, in situ as it were, in a fifteen- year period beginning with the Fifth Plan (1971-85).</w:t>
      </w:r>
    </w:p>
    <w:p>
      <w:pPr>
        <w:pStyle w:val="BodyText"/>
        <w:spacing w:before="5"/>
      </w:pPr>
    </w:p>
    <w:p>
      <w:pPr>
        <w:pStyle w:val="BodyText"/>
        <w:ind w:left="160"/>
        <w:jc w:val="both"/>
      </w:pPr>
      <w:r>
        <w:rPr>
          <w:b/>
          <w:vertAlign w:val="superscript"/>
        </w:rPr>
        <w:t>18</w:t>
      </w:r>
      <w:r>
        <w:rPr>
          <w:vertAlign w:val="baseline"/>
        </w:rPr>
        <w:t>Chapter</w:t>
      </w:r>
      <w:r>
        <w:rPr>
          <w:spacing w:val="-3"/>
          <w:vertAlign w:val="baseline"/>
        </w:rPr>
        <w:t> </w:t>
      </w:r>
      <w:r>
        <w:rPr>
          <w:spacing w:val="-5"/>
          <w:vertAlign w:val="baseline"/>
        </w:rPr>
        <w:t>VII</w:t>
      </w:r>
    </w:p>
    <w:p>
      <w:pPr>
        <w:spacing w:after="0"/>
        <w:jc w:val="both"/>
        <w:sectPr>
          <w:pgSz w:w="12240" w:h="15840"/>
          <w:pgMar w:header="0" w:footer="743" w:top="1360" w:bottom="940" w:left="1640" w:right="1300"/>
        </w:sectPr>
      </w:pPr>
    </w:p>
    <w:p>
      <w:pPr>
        <w:pStyle w:val="ListParagraph"/>
        <w:numPr>
          <w:ilvl w:val="1"/>
          <w:numId w:val="23"/>
        </w:numPr>
        <w:tabs>
          <w:tab w:pos="712" w:val="left" w:leader="none"/>
        </w:tabs>
        <w:spacing w:line="240" w:lineRule="auto" w:before="76" w:after="0"/>
        <w:ind w:left="159" w:right="495" w:firstLine="0"/>
        <w:jc w:val="both"/>
        <w:rPr>
          <w:b/>
          <w:sz w:val="24"/>
        </w:rPr>
      </w:pPr>
      <w:r>
        <w:rPr>
          <w:b/>
          <w:sz w:val="24"/>
        </w:rPr>
        <w:t>Transfer of the Pre-University Course. </w:t>
      </w:r>
      <w:r>
        <w:rPr>
          <w:sz w:val="24"/>
        </w:rPr>
        <w:t>We attach great significance to the location, exclusively in the schools, of all the courses that form part of higher secondary education. When the higher secondary pattern was first recommended, the pre-university course was introduced only as a transitional measure. Unfortunately, the transition threatens to become permanent, and even today about 40 per cent of the total enrolment</w:t>
      </w:r>
      <w:r>
        <w:rPr>
          <w:spacing w:val="40"/>
          <w:sz w:val="24"/>
        </w:rPr>
        <w:t> </w:t>
      </w:r>
      <w:r>
        <w:rPr>
          <w:sz w:val="24"/>
        </w:rPr>
        <w:t>in the universities and affiliated colleges is in the intermediate or pre-university courses. This is a great evil from all points of view. It is bad for the universities and colleges as their resources and energies are being improperly utilized and even wasted in doing what is essentially the work of secondary schools. It is bad for the secondary schools because they are weakened by being deprived</w:t>
      </w:r>
      <w:r>
        <w:rPr>
          <w:spacing w:val="-1"/>
          <w:sz w:val="24"/>
        </w:rPr>
        <w:t> </w:t>
      </w:r>
      <w:r>
        <w:rPr>
          <w:sz w:val="24"/>
        </w:rPr>
        <w:t>of a</w:t>
      </w:r>
      <w:r>
        <w:rPr>
          <w:spacing w:val="-2"/>
          <w:sz w:val="24"/>
        </w:rPr>
        <w:t> </w:t>
      </w:r>
      <w:r>
        <w:rPr>
          <w:sz w:val="24"/>
        </w:rPr>
        <w:t>stage which could give them</w:t>
      </w:r>
      <w:r>
        <w:rPr>
          <w:spacing w:val="-2"/>
          <w:sz w:val="24"/>
        </w:rPr>
        <w:t> </w:t>
      </w:r>
      <w:r>
        <w:rPr>
          <w:sz w:val="24"/>
        </w:rPr>
        <w:t>good teachers and facilities, with the result that they are obliged to do a good deal of work which ought to have been done at the primary stage. It is bad for the students because they are now required to enter universities at too early an age, and compelled to learn through methods of higher education which are beyond their capacity and more suited to maturer students. We, therefore, strongly recommend that the pre-university course, irrespective of its duration, should first be transferred to the school on a high priority basis-this transfer to be completed by the end of the Fifth Five Year Plan at the latest.</w:t>
      </w:r>
    </w:p>
    <w:p>
      <w:pPr>
        <w:pStyle w:val="BodyText"/>
        <w:spacing w:before="5"/>
      </w:pPr>
    </w:p>
    <w:p>
      <w:pPr>
        <w:pStyle w:val="ListParagraph"/>
        <w:numPr>
          <w:ilvl w:val="1"/>
          <w:numId w:val="23"/>
        </w:numPr>
        <w:tabs>
          <w:tab w:pos="639" w:val="left" w:leader="none"/>
        </w:tabs>
        <w:spacing w:line="240" w:lineRule="auto" w:before="1" w:after="0"/>
        <w:ind w:left="639" w:right="0" w:hanging="480"/>
        <w:jc w:val="both"/>
        <w:rPr>
          <w:sz w:val="24"/>
        </w:rPr>
      </w:pPr>
      <w:r>
        <w:rPr>
          <w:sz w:val="24"/>
        </w:rPr>
        <w:t>The</w:t>
      </w:r>
      <w:r>
        <w:rPr>
          <w:spacing w:val="-1"/>
          <w:sz w:val="24"/>
        </w:rPr>
        <w:t> </w:t>
      </w:r>
      <w:r>
        <w:rPr>
          <w:sz w:val="24"/>
        </w:rPr>
        <w:t>following measures</w:t>
      </w:r>
      <w:r>
        <w:rPr>
          <w:spacing w:val="-1"/>
          <w:sz w:val="24"/>
        </w:rPr>
        <w:t> </w:t>
      </w:r>
      <w:r>
        <w:rPr>
          <w:sz w:val="24"/>
        </w:rPr>
        <w:t>may be adopted</w:t>
      </w:r>
      <w:r>
        <w:rPr>
          <w:spacing w:val="-1"/>
          <w:sz w:val="24"/>
        </w:rPr>
        <w:t> </w:t>
      </w:r>
      <w:r>
        <w:rPr>
          <w:sz w:val="24"/>
        </w:rPr>
        <w:t>to bring</w:t>
      </w:r>
      <w:r>
        <w:rPr>
          <w:spacing w:val="-1"/>
          <w:sz w:val="24"/>
        </w:rPr>
        <w:t> </w:t>
      </w:r>
      <w:r>
        <w:rPr>
          <w:sz w:val="24"/>
        </w:rPr>
        <w:t>about this </w:t>
      </w:r>
      <w:r>
        <w:rPr>
          <w:spacing w:val="-2"/>
          <w:sz w:val="24"/>
        </w:rPr>
        <w:t>transfer:</w:t>
      </w:r>
    </w:p>
    <w:p>
      <w:pPr>
        <w:pStyle w:val="BodyText"/>
        <w:spacing w:before="2"/>
      </w:pPr>
    </w:p>
    <w:p>
      <w:pPr>
        <w:pStyle w:val="ListParagraph"/>
        <w:numPr>
          <w:ilvl w:val="0"/>
          <w:numId w:val="26"/>
        </w:numPr>
        <w:tabs>
          <w:tab w:pos="532" w:val="left" w:leader="none"/>
        </w:tabs>
        <w:spacing w:line="240" w:lineRule="auto" w:before="0" w:after="0"/>
        <w:ind w:left="159" w:right="497" w:firstLine="0"/>
        <w:jc w:val="both"/>
        <w:rPr>
          <w:sz w:val="24"/>
        </w:rPr>
      </w:pPr>
      <w:r>
        <w:rPr>
          <w:sz w:val="24"/>
        </w:rPr>
        <w:t>The responsibility for transferring all pre-university or intermediate work from the universities and affiliated colleges should be placed on the University Grants Commission, which should be asked to prepare a phased programme, to be spread over not more than ten years, for the purpose. A beginning should be made with the universities and the postgraduate colleges which should be required to shed this work as soon as practicable. This policy should then be extended to degree colleges, where the enrolments at this stage should be frozen at a certain time, after which the colleges would be required to taper them off as their enrolments at the undergraduate stage begin to</w:t>
      </w:r>
      <w:r>
        <w:rPr>
          <w:spacing w:val="40"/>
          <w:sz w:val="24"/>
        </w:rPr>
        <w:t> </w:t>
      </w:r>
      <w:r>
        <w:rPr>
          <w:sz w:val="24"/>
        </w:rPr>
        <w:t>grow. Beyond the Fourth Plan, the opening of new pre-university or inter- mediate</w:t>
      </w:r>
      <w:r>
        <w:rPr>
          <w:spacing w:val="40"/>
          <w:sz w:val="24"/>
        </w:rPr>
        <w:t> </w:t>
      </w:r>
      <w:r>
        <w:rPr>
          <w:sz w:val="24"/>
        </w:rPr>
        <w:t>classes in the universities and affiliated colleges should not be permitted. The University Grants Commission and the State Governments should be requested to reduce gradually their allotment of funds earmarked for this stage of education and to stop them</w:t>
      </w:r>
      <w:r>
        <w:rPr>
          <w:spacing w:val="40"/>
          <w:sz w:val="24"/>
        </w:rPr>
        <w:t> </w:t>
      </w:r>
      <w:r>
        <w:rPr>
          <w:sz w:val="24"/>
        </w:rPr>
        <w:t>completely by the end of the Fifth Plan.</w:t>
      </w:r>
    </w:p>
    <w:p>
      <w:pPr>
        <w:pStyle w:val="BodyText"/>
        <w:spacing w:before="4"/>
      </w:pPr>
    </w:p>
    <w:p>
      <w:pPr>
        <w:pStyle w:val="ListParagraph"/>
        <w:numPr>
          <w:ilvl w:val="0"/>
          <w:numId w:val="26"/>
        </w:numPr>
        <w:tabs>
          <w:tab w:pos="524" w:val="left" w:leader="none"/>
        </w:tabs>
        <w:spacing w:line="240" w:lineRule="auto" w:before="0" w:after="0"/>
        <w:ind w:left="159" w:right="497" w:firstLine="0"/>
        <w:jc w:val="both"/>
        <w:rPr>
          <w:sz w:val="24"/>
        </w:rPr>
      </w:pPr>
      <w:r>
        <w:rPr>
          <w:sz w:val="24"/>
        </w:rPr>
        <w:t>While these steps are being taken, arrangements should be made to start the higher secondary class or classes in selected schools. The responsibility for making these arrangements should be placed on the State Education Departments, which should work out a proper programme for the purpose in consultation with the universities in the State. Good high schools should be selected and given adequate grant-in-aid to start a higher secondary class or classes as a self-contained unit which is not to be integrated with the lower classes, so that students from other high schools may join it. A scheme of this type has been tried in Mysore and found to work well. Recurring grants for this purpose</w:t>
      </w:r>
      <w:r>
        <w:rPr>
          <w:spacing w:val="40"/>
          <w:sz w:val="24"/>
        </w:rPr>
        <w:t> </w:t>
      </w:r>
      <w:r>
        <w:rPr>
          <w:sz w:val="24"/>
        </w:rPr>
        <w:t>should be made available to each selected institution one year in advance so that the preliminary arrangements can be satisfactorily completed in time.</w:t>
      </w:r>
    </w:p>
    <w:p>
      <w:pPr>
        <w:spacing w:after="0" w:line="240" w:lineRule="auto"/>
        <w:jc w:val="both"/>
        <w:rPr>
          <w:sz w:val="24"/>
        </w:rPr>
        <w:sectPr>
          <w:pgSz w:w="12240" w:h="15840"/>
          <w:pgMar w:header="0" w:footer="743" w:top="1360" w:bottom="940" w:left="1640" w:right="1300"/>
        </w:sectPr>
      </w:pPr>
    </w:p>
    <w:p>
      <w:pPr>
        <w:pStyle w:val="ListParagraph"/>
        <w:numPr>
          <w:ilvl w:val="0"/>
          <w:numId w:val="26"/>
        </w:numPr>
        <w:tabs>
          <w:tab w:pos="501" w:val="left" w:leader="none"/>
        </w:tabs>
        <w:spacing w:line="240" w:lineRule="auto" w:before="76" w:after="0"/>
        <w:ind w:left="160" w:right="497" w:firstLine="0"/>
        <w:jc w:val="both"/>
        <w:rPr>
          <w:sz w:val="24"/>
        </w:rPr>
      </w:pPr>
      <w:r>
        <w:rPr>
          <w:sz w:val="24"/>
        </w:rPr>
        <w:t>Most</w:t>
      </w:r>
      <w:r>
        <w:rPr>
          <w:spacing w:val="-1"/>
          <w:sz w:val="24"/>
        </w:rPr>
        <w:t> </w:t>
      </w:r>
      <w:r>
        <w:rPr>
          <w:sz w:val="24"/>
        </w:rPr>
        <w:t>of</w:t>
      </w:r>
      <w:r>
        <w:rPr>
          <w:spacing w:val="-1"/>
          <w:sz w:val="24"/>
        </w:rPr>
        <w:t> </w:t>
      </w:r>
      <w:r>
        <w:rPr>
          <w:sz w:val="24"/>
        </w:rPr>
        <w:t>the</w:t>
      </w:r>
      <w:r>
        <w:rPr>
          <w:spacing w:val="-1"/>
          <w:sz w:val="24"/>
        </w:rPr>
        <w:t> </w:t>
      </w:r>
      <w:r>
        <w:rPr>
          <w:sz w:val="24"/>
        </w:rPr>
        <w:t>Boards</w:t>
      </w:r>
      <w:r>
        <w:rPr>
          <w:spacing w:val="-1"/>
          <w:sz w:val="24"/>
        </w:rPr>
        <w:t> </w:t>
      </w:r>
      <w:r>
        <w:rPr>
          <w:sz w:val="24"/>
        </w:rPr>
        <w:t>of</w:t>
      </w:r>
      <w:r>
        <w:rPr>
          <w:spacing w:val="-2"/>
          <w:sz w:val="24"/>
        </w:rPr>
        <w:t> </w:t>
      </w:r>
      <w:r>
        <w:rPr>
          <w:sz w:val="24"/>
        </w:rPr>
        <w:t>Secondary</w:t>
      </w:r>
      <w:r>
        <w:rPr>
          <w:spacing w:val="-1"/>
          <w:sz w:val="24"/>
        </w:rPr>
        <w:t> </w:t>
      </w:r>
      <w:r>
        <w:rPr>
          <w:sz w:val="24"/>
        </w:rPr>
        <w:t>Education</w:t>
      </w:r>
      <w:r>
        <w:rPr>
          <w:spacing w:val="-1"/>
          <w:sz w:val="24"/>
        </w:rPr>
        <w:t> </w:t>
      </w:r>
      <w:r>
        <w:rPr>
          <w:sz w:val="24"/>
        </w:rPr>
        <w:t>will</w:t>
      </w:r>
      <w:r>
        <w:rPr>
          <w:spacing w:val="-1"/>
          <w:sz w:val="24"/>
        </w:rPr>
        <w:t> </w:t>
      </w:r>
      <w:r>
        <w:rPr>
          <w:sz w:val="24"/>
        </w:rPr>
        <w:t>have</w:t>
      </w:r>
      <w:r>
        <w:rPr>
          <w:spacing w:val="-1"/>
          <w:sz w:val="24"/>
        </w:rPr>
        <w:t> </w:t>
      </w:r>
      <w:r>
        <w:rPr>
          <w:sz w:val="24"/>
        </w:rPr>
        <w:t>to</w:t>
      </w:r>
      <w:r>
        <w:rPr>
          <w:spacing w:val="-1"/>
          <w:sz w:val="24"/>
        </w:rPr>
        <w:t> </w:t>
      </w:r>
      <w:r>
        <w:rPr>
          <w:sz w:val="24"/>
        </w:rPr>
        <w:t>be</w:t>
      </w:r>
      <w:r>
        <w:rPr>
          <w:spacing w:val="-1"/>
          <w:sz w:val="24"/>
        </w:rPr>
        <w:t> </w:t>
      </w:r>
      <w:r>
        <w:rPr>
          <w:sz w:val="24"/>
        </w:rPr>
        <w:t>reconstituted</w:t>
      </w:r>
      <w:r>
        <w:rPr>
          <w:spacing w:val="-1"/>
          <w:sz w:val="24"/>
        </w:rPr>
        <w:t> </w:t>
      </w:r>
      <w:r>
        <w:rPr>
          <w:sz w:val="24"/>
        </w:rPr>
        <w:t>to</w:t>
      </w:r>
      <w:r>
        <w:rPr>
          <w:spacing w:val="-1"/>
          <w:sz w:val="24"/>
        </w:rPr>
        <w:t> </w:t>
      </w:r>
      <w:r>
        <w:rPr>
          <w:sz w:val="24"/>
        </w:rPr>
        <w:t>accept</w:t>
      </w:r>
      <w:r>
        <w:rPr>
          <w:spacing w:val="-1"/>
          <w:sz w:val="24"/>
        </w:rPr>
        <w:t> </w:t>
      </w:r>
      <w:r>
        <w:rPr>
          <w:sz w:val="24"/>
        </w:rPr>
        <w:t>the responsibility for the higher secondary stage, and in some cases, their Acts will have to</w:t>
      </w:r>
      <w:r>
        <w:rPr>
          <w:spacing w:val="40"/>
          <w:sz w:val="24"/>
        </w:rPr>
        <w:t> </w:t>
      </w:r>
      <w:r>
        <w:rPr>
          <w:sz w:val="24"/>
        </w:rPr>
        <w:t>be amended. We shall discuss this matter in detail in Chapter X.</w:t>
      </w:r>
    </w:p>
    <w:p>
      <w:pPr>
        <w:pStyle w:val="BodyText"/>
        <w:spacing w:before="4"/>
      </w:pPr>
    </w:p>
    <w:p>
      <w:pPr>
        <w:pStyle w:val="ListParagraph"/>
        <w:numPr>
          <w:ilvl w:val="1"/>
          <w:numId w:val="23"/>
        </w:numPr>
        <w:tabs>
          <w:tab w:pos="657" w:val="left" w:leader="none"/>
        </w:tabs>
        <w:spacing w:line="240" w:lineRule="auto" w:before="0" w:after="0"/>
        <w:ind w:left="159" w:right="495" w:firstLine="0"/>
        <w:jc w:val="both"/>
        <w:rPr>
          <w:sz w:val="24"/>
        </w:rPr>
      </w:pPr>
      <w:r>
        <w:rPr>
          <w:sz w:val="24"/>
        </w:rPr>
        <w:t>This programme of transfer will not involve any wastage. The universities and the affiliated colleges from which the pre- university courses will disappear will be able to utilize the existing facilities so released for the purpose of expanded admissions in undergraduate classes. For creating the new facilities required at the school stage, however, a much larger investment of resources is needed. The nonrecurring expenditure will be much greater, because most of the secondary schools are in a very bad shape at present. Even with regard to recurring expenditure, there will be an overall increase, because the income from fees may show a fall after a transfer of these classes to the schools. But the advantage of this additional investment will be spread, to some extent, over a very large proportion of the student population at the secondary stage and the benefit to society in terms of a better output from secondary education, will be much greater. There should, therefore, be no hesitation in incurring the somewhat larger expenditure involved in the execution of this programme.</w:t>
      </w:r>
    </w:p>
    <w:p>
      <w:pPr>
        <w:pStyle w:val="BodyText"/>
        <w:spacing w:before="4"/>
      </w:pPr>
    </w:p>
    <w:p>
      <w:pPr>
        <w:pStyle w:val="ListParagraph"/>
        <w:numPr>
          <w:ilvl w:val="1"/>
          <w:numId w:val="23"/>
        </w:numPr>
        <w:tabs>
          <w:tab w:pos="665" w:val="left" w:leader="none"/>
        </w:tabs>
        <w:spacing w:line="240" w:lineRule="auto" w:before="0" w:after="0"/>
        <w:ind w:left="160" w:right="496" w:firstLine="0"/>
        <w:jc w:val="both"/>
        <w:rPr>
          <w:b/>
          <w:sz w:val="24"/>
        </w:rPr>
      </w:pPr>
      <w:r>
        <w:rPr>
          <w:b/>
          <w:sz w:val="24"/>
        </w:rPr>
        <w:t>Programme for Lengthening of Duration. </w:t>
      </w:r>
      <w:r>
        <w:rPr>
          <w:sz w:val="24"/>
        </w:rPr>
        <w:t>Our second proposal in this regard is that, in all the States except Uttar Pradesh and Kerala, the duration of the higher secondary course should be lengthened to two years through a phased programme spread over twenty years and divided into two stages. The first stage, covering a period of five years, should be devoted to securing a better utilization of existing facilities and to making the needed preparation for a successful implementation of this important reform. Even</w:t>
      </w:r>
      <w:r>
        <w:rPr>
          <w:spacing w:val="-1"/>
          <w:sz w:val="24"/>
        </w:rPr>
        <w:t> </w:t>
      </w:r>
      <w:r>
        <w:rPr>
          <w:sz w:val="24"/>
        </w:rPr>
        <w:t>during</w:t>
      </w:r>
      <w:r>
        <w:rPr>
          <w:spacing w:val="-3"/>
          <w:sz w:val="24"/>
        </w:rPr>
        <w:t> </w:t>
      </w:r>
      <w:r>
        <w:rPr>
          <w:sz w:val="24"/>
        </w:rPr>
        <w:t>this</w:t>
      </w:r>
      <w:r>
        <w:rPr>
          <w:spacing w:val="-1"/>
          <w:sz w:val="24"/>
        </w:rPr>
        <w:t> </w:t>
      </w:r>
      <w:r>
        <w:rPr>
          <w:sz w:val="24"/>
        </w:rPr>
        <w:t>period,</w:t>
      </w:r>
      <w:r>
        <w:rPr>
          <w:spacing w:val="-3"/>
          <w:sz w:val="24"/>
        </w:rPr>
        <w:t> </w:t>
      </w:r>
      <w:r>
        <w:rPr>
          <w:sz w:val="24"/>
        </w:rPr>
        <w:t>selected</w:t>
      </w:r>
      <w:r>
        <w:rPr>
          <w:spacing w:val="-1"/>
          <w:sz w:val="24"/>
        </w:rPr>
        <w:t> </w:t>
      </w:r>
      <w:r>
        <w:rPr>
          <w:sz w:val="24"/>
        </w:rPr>
        <w:t>higher</w:t>
      </w:r>
      <w:r>
        <w:rPr>
          <w:spacing w:val="-1"/>
          <w:sz w:val="24"/>
        </w:rPr>
        <w:t> </w:t>
      </w:r>
      <w:r>
        <w:rPr>
          <w:sz w:val="24"/>
        </w:rPr>
        <w:t>secondary</w:t>
      </w:r>
      <w:r>
        <w:rPr>
          <w:spacing w:val="-1"/>
          <w:sz w:val="24"/>
        </w:rPr>
        <w:t> </w:t>
      </w:r>
      <w:r>
        <w:rPr>
          <w:sz w:val="24"/>
        </w:rPr>
        <w:t>schools</w:t>
      </w:r>
      <w:r>
        <w:rPr>
          <w:spacing w:val="-1"/>
          <w:sz w:val="24"/>
        </w:rPr>
        <w:t> </w:t>
      </w:r>
      <w:r>
        <w:rPr>
          <w:sz w:val="24"/>
        </w:rPr>
        <w:t>should</w:t>
      </w:r>
      <w:r>
        <w:rPr>
          <w:spacing w:val="-1"/>
          <w:sz w:val="24"/>
        </w:rPr>
        <w:t> </w:t>
      </w:r>
      <w:r>
        <w:rPr>
          <w:sz w:val="24"/>
        </w:rPr>
        <w:t>be</w:t>
      </w:r>
      <w:r>
        <w:rPr>
          <w:spacing w:val="-1"/>
          <w:sz w:val="24"/>
        </w:rPr>
        <w:t> </w:t>
      </w:r>
      <w:r>
        <w:rPr>
          <w:sz w:val="24"/>
        </w:rPr>
        <w:t>permitted</w:t>
      </w:r>
      <w:r>
        <w:rPr>
          <w:spacing w:val="-1"/>
          <w:sz w:val="24"/>
        </w:rPr>
        <w:t> </w:t>
      </w:r>
      <w:r>
        <w:rPr>
          <w:sz w:val="24"/>
        </w:rPr>
        <w:t>to</w:t>
      </w:r>
      <w:r>
        <w:rPr>
          <w:spacing w:val="-1"/>
          <w:sz w:val="24"/>
        </w:rPr>
        <w:t> </w:t>
      </w:r>
      <w:r>
        <w:rPr>
          <w:sz w:val="24"/>
        </w:rPr>
        <w:t>add</w:t>
      </w:r>
      <w:r>
        <w:rPr>
          <w:spacing w:val="-1"/>
          <w:sz w:val="24"/>
        </w:rPr>
        <w:t> </w:t>
      </w:r>
      <w:r>
        <w:rPr>
          <w:sz w:val="24"/>
        </w:rPr>
        <w:t>the twelfth year, and some high schools of good quality and possessing the necessary facilities may be allowed to introduce the two-year higher secondary course as pilot projects. The second stage will cover a span of</w:t>
      </w:r>
      <w:r>
        <w:rPr>
          <w:spacing w:val="-1"/>
          <w:sz w:val="24"/>
        </w:rPr>
        <w:t> </w:t>
      </w:r>
      <w:r>
        <w:rPr>
          <w:sz w:val="24"/>
        </w:rPr>
        <w:t>fifteen years; the programme of extending the duration should begin in the Fifth Plan, gather momentum in the following decade, and be completed by the end of the Seventh Plan.</w:t>
      </w:r>
    </w:p>
    <w:p>
      <w:pPr>
        <w:pStyle w:val="BodyText"/>
        <w:spacing w:before="4"/>
      </w:pPr>
    </w:p>
    <w:p>
      <w:pPr>
        <w:pStyle w:val="ListParagraph"/>
        <w:numPr>
          <w:ilvl w:val="1"/>
          <w:numId w:val="23"/>
        </w:numPr>
        <w:tabs>
          <w:tab w:pos="693" w:val="left" w:leader="none"/>
        </w:tabs>
        <w:spacing w:line="240" w:lineRule="auto" w:before="0" w:after="0"/>
        <w:ind w:left="160" w:right="495" w:firstLine="0"/>
        <w:jc w:val="both"/>
        <w:rPr>
          <w:sz w:val="24"/>
        </w:rPr>
      </w:pPr>
      <w:r>
        <w:rPr>
          <w:sz w:val="24"/>
        </w:rPr>
        <w:t>Some explanation is necessary for the first stage of implementation referred to above, which implies a postponement of the actual programme of lengthening the duration to the Fifth Plan. We recommend such postponement for three important</w:t>
      </w:r>
      <w:r>
        <w:rPr>
          <w:spacing w:val="40"/>
          <w:sz w:val="24"/>
        </w:rPr>
        <w:t> </w:t>
      </w:r>
      <w:r>
        <w:rPr>
          <w:spacing w:val="-2"/>
          <w:sz w:val="24"/>
        </w:rPr>
        <w:t>reasons:</w:t>
      </w:r>
    </w:p>
    <w:p>
      <w:pPr>
        <w:pStyle w:val="BodyText"/>
        <w:spacing w:before="5"/>
      </w:pPr>
    </w:p>
    <w:p>
      <w:pPr>
        <w:pStyle w:val="ListParagraph"/>
        <w:numPr>
          <w:ilvl w:val="0"/>
          <w:numId w:val="27"/>
        </w:numPr>
        <w:tabs>
          <w:tab w:pos="500" w:val="left" w:leader="none"/>
        </w:tabs>
        <w:spacing w:line="240" w:lineRule="auto" w:before="0" w:after="0"/>
        <w:ind w:left="160" w:right="497" w:firstLine="0"/>
        <w:jc w:val="both"/>
        <w:rPr>
          <w:sz w:val="24"/>
        </w:rPr>
      </w:pPr>
      <w:r>
        <w:rPr>
          <w:sz w:val="24"/>
        </w:rPr>
        <w:t>The first reason is that of priority. There are three possible choices in school or higher education in the next five years: qualitative improvement of general education (with special emphasis on raising the salaries and qualifications of teachers); vocationalization of secondary and higher education; or lengthening of the duration of the total period of general education. in our opinion, the first two of these are of far greater urgency and</w:t>
      </w:r>
      <w:r>
        <w:rPr>
          <w:spacing w:val="40"/>
          <w:sz w:val="24"/>
        </w:rPr>
        <w:t> </w:t>
      </w:r>
      <w:r>
        <w:rPr>
          <w:sz w:val="24"/>
        </w:rPr>
        <w:t>may absorb all the additional resources likely to be available during the next five years.</w:t>
      </w:r>
    </w:p>
    <w:p>
      <w:pPr>
        <w:pStyle w:val="BodyText"/>
        <w:spacing w:before="3"/>
      </w:pPr>
    </w:p>
    <w:p>
      <w:pPr>
        <w:pStyle w:val="ListParagraph"/>
        <w:numPr>
          <w:ilvl w:val="0"/>
          <w:numId w:val="27"/>
        </w:numPr>
        <w:tabs>
          <w:tab w:pos="534" w:val="left" w:leader="none"/>
        </w:tabs>
        <w:spacing w:line="240" w:lineRule="auto" w:before="1" w:after="0"/>
        <w:ind w:left="160" w:right="495" w:firstLine="0"/>
        <w:jc w:val="both"/>
        <w:rPr>
          <w:sz w:val="24"/>
        </w:rPr>
      </w:pPr>
      <w:r>
        <w:rPr>
          <w:sz w:val="24"/>
        </w:rPr>
        <w:t>The second reason is our anxiety for improving the utilization of the time already available before the duration of the school course is lengthened. We would emphasize</w:t>
      </w:r>
      <w:r>
        <w:rPr>
          <w:spacing w:val="40"/>
          <w:sz w:val="24"/>
        </w:rPr>
        <w:t> </w:t>
      </w:r>
      <w:r>
        <w:rPr>
          <w:sz w:val="24"/>
        </w:rPr>
        <w:t>that</w:t>
      </w:r>
      <w:r>
        <w:rPr>
          <w:spacing w:val="49"/>
          <w:sz w:val="24"/>
        </w:rPr>
        <w:t> </w:t>
      </w:r>
      <w:r>
        <w:rPr>
          <w:sz w:val="24"/>
        </w:rPr>
        <w:t>a</w:t>
      </w:r>
      <w:r>
        <w:rPr>
          <w:spacing w:val="50"/>
          <w:sz w:val="24"/>
        </w:rPr>
        <w:t> </w:t>
      </w:r>
      <w:r>
        <w:rPr>
          <w:sz w:val="24"/>
        </w:rPr>
        <w:t>hasty</w:t>
      </w:r>
      <w:r>
        <w:rPr>
          <w:spacing w:val="49"/>
          <w:sz w:val="24"/>
        </w:rPr>
        <w:t> </w:t>
      </w:r>
      <w:r>
        <w:rPr>
          <w:sz w:val="24"/>
        </w:rPr>
        <w:t>addition</w:t>
      </w:r>
      <w:r>
        <w:rPr>
          <w:spacing w:val="50"/>
          <w:sz w:val="24"/>
        </w:rPr>
        <w:t> </w:t>
      </w:r>
      <w:r>
        <w:rPr>
          <w:sz w:val="24"/>
        </w:rPr>
        <w:t>of</w:t>
      </w:r>
      <w:r>
        <w:rPr>
          <w:spacing w:val="48"/>
          <w:sz w:val="24"/>
        </w:rPr>
        <w:t> </w:t>
      </w:r>
      <w:r>
        <w:rPr>
          <w:sz w:val="24"/>
        </w:rPr>
        <w:t>one</w:t>
      </w:r>
      <w:r>
        <w:rPr>
          <w:spacing w:val="50"/>
          <w:sz w:val="24"/>
        </w:rPr>
        <w:t> </w:t>
      </w:r>
      <w:r>
        <w:rPr>
          <w:sz w:val="24"/>
        </w:rPr>
        <w:t>year</w:t>
      </w:r>
      <w:r>
        <w:rPr>
          <w:spacing w:val="50"/>
          <w:sz w:val="24"/>
        </w:rPr>
        <w:t> </w:t>
      </w:r>
      <w:r>
        <w:rPr>
          <w:sz w:val="24"/>
        </w:rPr>
        <w:t>to</w:t>
      </w:r>
      <w:r>
        <w:rPr>
          <w:spacing w:val="50"/>
          <w:sz w:val="24"/>
        </w:rPr>
        <w:t> </w:t>
      </w:r>
      <w:r>
        <w:rPr>
          <w:sz w:val="24"/>
        </w:rPr>
        <w:t>secondary</w:t>
      </w:r>
      <w:r>
        <w:rPr>
          <w:spacing w:val="49"/>
          <w:sz w:val="24"/>
        </w:rPr>
        <w:t> </w:t>
      </w:r>
      <w:r>
        <w:rPr>
          <w:sz w:val="24"/>
        </w:rPr>
        <w:t>education</w:t>
      </w:r>
      <w:r>
        <w:rPr>
          <w:spacing w:val="50"/>
          <w:sz w:val="24"/>
        </w:rPr>
        <w:t> </w:t>
      </w:r>
      <w:r>
        <w:rPr>
          <w:sz w:val="24"/>
        </w:rPr>
        <w:t>will</w:t>
      </w:r>
      <w:r>
        <w:rPr>
          <w:spacing w:val="50"/>
          <w:sz w:val="24"/>
        </w:rPr>
        <w:t> </w:t>
      </w:r>
      <w:r>
        <w:rPr>
          <w:sz w:val="24"/>
        </w:rPr>
        <w:t>not</w:t>
      </w:r>
      <w:r>
        <w:rPr>
          <w:spacing w:val="50"/>
          <w:sz w:val="24"/>
        </w:rPr>
        <w:t> </w:t>
      </w:r>
      <w:r>
        <w:rPr>
          <w:sz w:val="24"/>
        </w:rPr>
        <w:t>lead</w:t>
      </w:r>
      <w:r>
        <w:rPr>
          <w:spacing w:val="50"/>
          <w:sz w:val="24"/>
        </w:rPr>
        <w:t> </w:t>
      </w:r>
      <w:r>
        <w:rPr>
          <w:sz w:val="24"/>
        </w:rPr>
        <w:t>to</w:t>
      </w:r>
      <w:r>
        <w:rPr>
          <w:spacing w:val="50"/>
          <w:sz w:val="24"/>
        </w:rPr>
        <w:t> </w:t>
      </w:r>
      <w:r>
        <w:rPr>
          <w:spacing w:val="-2"/>
          <w:sz w:val="24"/>
        </w:rPr>
        <w:t>qualitative</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pPr>
      <w:r>
        <w:rPr/>
        <w:t>improvement unless there is a proper climate of hard work in the educational institutions. Moreover, 'time' is only one of the 'inputs' that can bring about improvement in quality. There</w:t>
      </w:r>
      <w:r>
        <w:rPr>
          <w:spacing w:val="-1"/>
        </w:rPr>
        <w:t> </w:t>
      </w:r>
      <w:r>
        <w:rPr/>
        <w:t>are</w:t>
      </w:r>
      <w:r>
        <w:rPr>
          <w:spacing w:val="-1"/>
        </w:rPr>
        <w:t> </w:t>
      </w:r>
      <w:r>
        <w:rPr/>
        <w:t>several</w:t>
      </w:r>
      <w:r>
        <w:rPr>
          <w:spacing w:val="-1"/>
        </w:rPr>
        <w:t> </w:t>
      </w:r>
      <w:r>
        <w:rPr/>
        <w:t>other</w:t>
      </w:r>
      <w:r>
        <w:rPr>
          <w:spacing w:val="-1"/>
        </w:rPr>
        <w:t> </w:t>
      </w:r>
      <w:r>
        <w:rPr/>
        <w:t>'inputs'</w:t>
      </w:r>
      <w:r>
        <w:rPr>
          <w:spacing w:val="-2"/>
        </w:rPr>
        <w:t> </w:t>
      </w:r>
      <w:r>
        <w:rPr/>
        <w:t>that</w:t>
      </w:r>
      <w:r>
        <w:rPr>
          <w:spacing w:val="-1"/>
        </w:rPr>
        <w:t> </w:t>
      </w:r>
      <w:r>
        <w:rPr/>
        <w:t>are</w:t>
      </w:r>
      <w:r>
        <w:rPr>
          <w:spacing w:val="-1"/>
        </w:rPr>
        <w:t> </w:t>
      </w:r>
      <w:r>
        <w:rPr/>
        <w:t>necessary</w:t>
      </w:r>
      <w:r>
        <w:rPr>
          <w:spacing w:val="-1"/>
        </w:rPr>
        <w:t> </w:t>
      </w:r>
      <w:r>
        <w:rPr/>
        <w:t>for</w:t>
      </w:r>
      <w:r>
        <w:rPr>
          <w:spacing w:val="-1"/>
        </w:rPr>
        <w:t> </w:t>
      </w:r>
      <w:r>
        <w:rPr/>
        <w:t>raising</w:t>
      </w:r>
      <w:r>
        <w:rPr>
          <w:spacing w:val="-1"/>
        </w:rPr>
        <w:t> </w:t>
      </w:r>
      <w:r>
        <w:rPr/>
        <w:t>standards,</w:t>
      </w:r>
      <w:r>
        <w:rPr>
          <w:spacing w:val="-1"/>
        </w:rPr>
        <w:t> </w:t>
      </w:r>
      <w:r>
        <w:rPr/>
        <w:t>e.g.,</w:t>
      </w:r>
      <w:r>
        <w:rPr>
          <w:spacing w:val="-1"/>
        </w:rPr>
        <w:t> </w:t>
      </w:r>
      <w:r>
        <w:rPr/>
        <w:t>motivation</w:t>
      </w:r>
      <w:r>
        <w:rPr>
          <w:spacing w:val="-1"/>
        </w:rPr>
        <w:t> </w:t>
      </w:r>
      <w:r>
        <w:rPr/>
        <w:t>of students, competence of teachers, upgraded curricula, better methods of teaching and evaluation, improved textbooks and teaching materials and adequate equipment,</w:t>
      </w:r>
      <w:r>
        <w:rPr>
          <w:spacing w:val="40"/>
        </w:rPr>
        <w:t> </w:t>
      </w:r>
      <w:r>
        <w:rPr/>
        <w:t>buildings and other physical facilities. Qualitative improvement will result from the cumulative effect of all these factors. If they are of the right kind, an increase in the duration will certainly add to the improvement in quality; but if they are not, the</w:t>
      </w:r>
      <w:r>
        <w:rPr>
          <w:spacing w:val="40"/>
        </w:rPr>
        <w:t> </w:t>
      </w:r>
      <w:r>
        <w:rPr/>
        <w:t>extension of the course by a year may only mean further wastage.</w:t>
      </w:r>
    </w:p>
    <w:p>
      <w:pPr>
        <w:pStyle w:val="BodyText"/>
        <w:spacing w:before="4"/>
      </w:pPr>
    </w:p>
    <w:p>
      <w:pPr>
        <w:pStyle w:val="ListParagraph"/>
        <w:numPr>
          <w:ilvl w:val="0"/>
          <w:numId w:val="27"/>
        </w:numPr>
        <w:tabs>
          <w:tab w:pos="582" w:val="left" w:leader="none"/>
        </w:tabs>
        <w:spacing w:line="240" w:lineRule="auto" w:before="0" w:after="0"/>
        <w:ind w:left="160" w:right="495" w:firstLine="0"/>
        <w:jc w:val="both"/>
        <w:rPr>
          <w:sz w:val="24"/>
        </w:rPr>
      </w:pPr>
      <w:r>
        <w:rPr>
          <w:sz w:val="24"/>
        </w:rPr>
        <w:t>The third reason is related to the need to make advance preparation for the lengthening of the duration. In our opinion, it will be nothing short of wasting scarce resources if State Governments embark on this programme without preparatory work. This requires (a) that State Governments should take the necessary steps, right from the moment the proposal is accepted, to expand postgraduate education and to prepare the needed teachers; and (b) that they should select, by way of a pilot project, good</w:t>
      </w:r>
      <w:r>
        <w:rPr>
          <w:spacing w:val="80"/>
          <w:sz w:val="24"/>
        </w:rPr>
        <w:t> </w:t>
      </w:r>
      <w:r>
        <w:rPr>
          <w:sz w:val="24"/>
        </w:rPr>
        <w:t>secondary or higher secondary schools and permit them to add two or one-year courses,</w:t>
      </w:r>
      <w:r>
        <w:rPr>
          <w:spacing w:val="40"/>
          <w:sz w:val="24"/>
        </w:rPr>
        <w:t> </w:t>
      </w:r>
      <w:r>
        <w:rPr>
          <w:sz w:val="24"/>
        </w:rPr>
        <w:t>as the case may be. On the completion of these courses, the students should be able to</w:t>
      </w:r>
      <w:r>
        <w:rPr>
          <w:spacing w:val="40"/>
          <w:sz w:val="24"/>
        </w:rPr>
        <w:t> </w:t>
      </w:r>
      <w:r>
        <w:rPr>
          <w:sz w:val="24"/>
        </w:rPr>
        <w:t>join the under- graduate courses at the appropriate points. This will be broadly equivalent to the 'advance placement programme in the USA. We think that it will be of</w:t>
      </w:r>
      <w:r>
        <w:rPr>
          <w:spacing w:val="40"/>
          <w:sz w:val="24"/>
        </w:rPr>
        <w:t> </w:t>
      </w:r>
      <w:r>
        <w:rPr>
          <w:sz w:val="24"/>
        </w:rPr>
        <w:t>considerable</w:t>
      </w:r>
      <w:r>
        <w:rPr>
          <w:spacing w:val="-3"/>
          <w:sz w:val="24"/>
        </w:rPr>
        <w:t> </w:t>
      </w:r>
      <w:r>
        <w:rPr>
          <w:sz w:val="24"/>
        </w:rPr>
        <w:t>help</w:t>
      </w:r>
      <w:r>
        <w:rPr>
          <w:spacing w:val="-3"/>
          <w:sz w:val="24"/>
        </w:rPr>
        <w:t> </w:t>
      </w:r>
      <w:r>
        <w:rPr>
          <w:sz w:val="24"/>
        </w:rPr>
        <w:t>to</w:t>
      </w:r>
      <w:r>
        <w:rPr>
          <w:spacing w:val="-3"/>
          <w:sz w:val="24"/>
        </w:rPr>
        <w:t> </w:t>
      </w:r>
      <w:r>
        <w:rPr>
          <w:sz w:val="24"/>
        </w:rPr>
        <w:t>several</w:t>
      </w:r>
      <w:r>
        <w:rPr>
          <w:spacing w:val="-4"/>
          <w:sz w:val="24"/>
        </w:rPr>
        <w:t> </w:t>
      </w:r>
      <w:r>
        <w:rPr>
          <w:sz w:val="24"/>
        </w:rPr>
        <w:t>students</w:t>
      </w:r>
      <w:r>
        <w:rPr>
          <w:spacing w:val="-3"/>
          <w:sz w:val="24"/>
        </w:rPr>
        <w:t> </w:t>
      </w:r>
      <w:r>
        <w:rPr>
          <w:sz w:val="24"/>
        </w:rPr>
        <w:t>who</w:t>
      </w:r>
      <w:r>
        <w:rPr>
          <w:spacing w:val="-3"/>
          <w:sz w:val="24"/>
        </w:rPr>
        <w:t> </w:t>
      </w:r>
      <w:r>
        <w:rPr>
          <w:sz w:val="24"/>
        </w:rPr>
        <w:t>would</w:t>
      </w:r>
      <w:r>
        <w:rPr>
          <w:spacing w:val="-3"/>
          <w:sz w:val="24"/>
        </w:rPr>
        <w:t> </w:t>
      </w:r>
      <w:r>
        <w:rPr>
          <w:sz w:val="24"/>
        </w:rPr>
        <w:t>prefer</w:t>
      </w:r>
      <w:r>
        <w:rPr>
          <w:spacing w:val="-3"/>
          <w:sz w:val="24"/>
        </w:rPr>
        <w:t> </w:t>
      </w:r>
      <w:r>
        <w:rPr>
          <w:sz w:val="24"/>
        </w:rPr>
        <w:t>to</w:t>
      </w:r>
      <w:r>
        <w:rPr>
          <w:spacing w:val="-3"/>
          <w:sz w:val="24"/>
        </w:rPr>
        <w:t> </w:t>
      </w:r>
      <w:r>
        <w:rPr>
          <w:sz w:val="24"/>
        </w:rPr>
        <w:t>work</w:t>
      </w:r>
      <w:r>
        <w:rPr>
          <w:spacing w:val="-3"/>
          <w:sz w:val="24"/>
        </w:rPr>
        <w:t> </w:t>
      </w:r>
      <w:r>
        <w:rPr>
          <w:sz w:val="24"/>
        </w:rPr>
        <w:t>for</w:t>
      </w:r>
      <w:r>
        <w:rPr>
          <w:spacing w:val="-3"/>
          <w:sz w:val="24"/>
        </w:rPr>
        <w:t> </w:t>
      </w:r>
      <w:r>
        <w:rPr>
          <w:sz w:val="24"/>
        </w:rPr>
        <w:t>some</w:t>
      </w:r>
      <w:r>
        <w:rPr>
          <w:spacing w:val="-3"/>
          <w:sz w:val="24"/>
        </w:rPr>
        <w:t> </w:t>
      </w:r>
      <w:r>
        <w:rPr>
          <w:sz w:val="24"/>
        </w:rPr>
        <w:t>time</w:t>
      </w:r>
      <w:r>
        <w:rPr>
          <w:spacing w:val="-3"/>
          <w:sz w:val="24"/>
        </w:rPr>
        <w:t> </w:t>
      </w:r>
      <w:r>
        <w:rPr>
          <w:sz w:val="24"/>
        </w:rPr>
        <w:t>longer</w:t>
      </w:r>
      <w:r>
        <w:rPr>
          <w:spacing w:val="-3"/>
          <w:sz w:val="24"/>
        </w:rPr>
        <w:t> </w:t>
      </w:r>
      <w:r>
        <w:rPr>
          <w:sz w:val="24"/>
        </w:rPr>
        <w:t>with their own school teachers and in their own school atmosphere rather than transfer themselves abruptly to a new and unfamiliar environment.</w:t>
      </w:r>
    </w:p>
    <w:p>
      <w:pPr>
        <w:pStyle w:val="BodyText"/>
        <w:spacing w:before="4"/>
      </w:pPr>
    </w:p>
    <w:p>
      <w:pPr>
        <w:pStyle w:val="ListParagraph"/>
        <w:numPr>
          <w:ilvl w:val="1"/>
          <w:numId w:val="23"/>
        </w:numPr>
        <w:tabs>
          <w:tab w:pos="651" w:val="left" w:leader="none"/>
        </w:tabs>
        <w:spacing w:line="240" w:lineRule="auto" w:before="0" w:after="0"/>
        <w:ind w:left="160" w:right="496" w:firstLine="0"/>
        <w:jc w:val="both"/>
        <w:rPr>
          <w:sz w:val="24"/>
        </w:rPr>
      </w:pPr>
      <w:r>
        <w:rPr>
          <w:sz w:val="24"/>
        </w:rPr>
        <w:t>In this connection, it is 'interesting to note that the Committee on Higher Education in the United Kingdom, after considering a somewhat similar suggestion for lengthening the duration of the first degree course in the United Kingdom from three to four years, turned it down principally on the ground that a general extension of the course would not be justified while students were not making proper use of the vacations. This reinforces the view that the proper policy to be adopted in this matter, especially in a developing country, is to increase the duration only after all steps have been taken to maximize the utilization of the time available. It is for this reason that we have recommended the postponement of the programme of lengthening the duration to the Fifth Plan. But once the utilization is improved and necessary preparations made, the programme should be started on a big scale and completed by 1985.</w:t>
      </w:r>
    </w:p>
    <w:p>
      <w:pPr>
        <w:pStyle w:val="BodyText"/>
        <w:spacing w:before="4"/>
      </w:pPr>
    </w:p>
    <w:p>
      <w:pPr>
        <w:pStyle w:val="ListParagraph"/>
        <w:numPr>
          <w:ilvl w:val="1"/>
          <w:numId w:val="23"/>
        </w:numPr>
        <w:tabs>
          <w:tab w:pos="764" w:val="left" w:leader="none"/>
        </w:tabs>
        <w:spacing w:line="240" w:lineRule="auto" w:before="0" w:after="0"/>
        <w:ind w:left="160" w:right="495" w:firstLine="0"/>
        <w:jc w:val="both"/>
        <w:rPr>
          <w:b/>
          <w:sz w:val="24"/>
        </w:rPr>
      </w:pPr>
      <w:r>
        <w:rPr>
          <w:b/>
          <w:sz w:val="24"/>
        </w:rPr>
        <w:t>Vocationalization at the Higher Secondary Stage. </w:t>
      </w:r>
      <w:r>
        <w:rPr>
          <w:sz w:val="24"/>
        </w:rPr>
        <w:t>We must emphasize particularly the need to vocationalize higher secondary education and to expand the vocational courses to cover about half of the total enrolment at this stage. A large variety of terminal courses should be organized, varying in duration from one to three years. They will include courses for the training of primary and pre- primary teachers; courses conducted</w:t>
      </w:r>
      <w:r>
        <w:rPr>
          <w:spacing w:val="-1"/>
          <w:sz w:val="24"/>
        </w:rPr>
        <w:t> </w:t>
      </w:r>
      <w:r>
        <w:rPr>
          <w:sz w:val="24"/>
        </w:rPr>
        <w:t>by</w:t>
      </w:r>
      <w:r>
        <w:rPr>
          <w:spacing w:val="-2"/>
          <w:sz w:val="24"/>
        </w:rPr>
        <w:t> </w:t>
      </w:r>
      <w:r>
        <w:rPr>
          <w:sz w:val="24"/>
        </w:rPr>
        <w:t>the</w:t>
      </w:r>
      <w:r>
        <w:rPr>
          <w:spacing w:val="-1"/>
          <w:sz w:val="24"/>
        </w:rPr>
        <w:t> </w:t>
      </w:r>
      <w:r>
        <w:rPr>
          <w:sz w:val="24"/>
        </w:rPr>
        <w:t>industrial</w:t>
      </w:r>
      <w:r>
        <w:rPr>
          <w:spacing w:val="-1"/>
          <w:sz w:val="24"/>
        </w:rPr>
        <w:t> </w:t>
      </w:r>
      <w:r>
        <w:rPr>
          <w:sz w:val="24"/>
        </w:rPr>
        <w:t>training</w:t>
      </w:r>
      <w:r>
        <w:rPr>
          <w:spacing w:val="-3"/>
          <w:sz w:val="24"/>
        </w:rPr>
        <w:t> </w:t>
      </w:r>
      <w:r>
        <w:rPr>
          <w:sz w:val="24"/>
        </w:rPr>
        <w:t>institutions</w:t>
      </w:r>
      <w:r>
        <w:rPr>
          <w:spacing w:val="-1"/>
          <w:sz w:val="24"/>
        </w:rPr>
        <w:t> </w:t>
      </w:r>
      <w:r>
        <w:rPr>
          <w:sz w:val="24"/>
        </w:rPr>
        <w:t>for</w:t>
      </w:r>
      <w:r>
        <w:rPr>
          <w:spacing w:val="-1"/>
          <w:sz w:val="24"/>
        </w:rPr>
        <w:t> </w:t>
      </w:r>
      <w:r>
        <w:rPr>
          <w:sz w:val="24"/>
        </w:rPr>
        <w:t>a</w:t>
      </w:r>
      <w:r>
        <w:rPr>
          <w:spacing w:val="-1"/>
          <w:sz w:val="24"/>
        </w:rPr>
        <w:t> </w:t>
      </w:r>
      <w:r>
        <w:rPr>
          <w:sz w:val="24"/>
        </w:rPr>
        <w:t>large</w:t>
      </w:r>
      <w:r>
        <w:rPr>
          <w:spacing w:val="-1"/>
          <w:sz w:val="24"/>
        </w:rPr>
        <w:t> </w:t>
      </w:r>
      <w:r>
        <w:rPr>
          <w:sz w:val="24"/>
        </w:rPr>
        <w:t>number</w:t>
      </w:r>
      <w:r>
        <w:rPr>
          <w:spacing w:val="-1"/>
          <w:sz w:val="24"/>
        </w:rPr>
        <w:t> </w:t>
      </w:r>
      <w:r>
        <w:rPr>
          <w:sz w:val="24"/>
        </w:rPr>
        <w:t>of</w:t>
      </w:r>
      <w:r>
        <w:rPr>
          <w:spacing w:val="-1"/>
          <w:sz w:val="24"/>
        </w:rPr>
        <w:t> </w:t>
      </w:r>
      <w:r>
        <w:rPr>
          <w:sz w:val="24"/>
        </w:rPr>
        <w:t>trades</w:t>
      </w:r>
      <w:r>
        <w:rPr>
          <w:spacing w:val="-1"/>
          <w:sz w:val="24"/>
        </w:rPr>
        <w:t> </w:t>
      </w:r>
      <w:r>
        <w:rPr>
          <w:sz w:val="24"/>
        </w:rPr>
        <w:t>for</w:t>
      </w:r>
      <w:r>
        <w:rPr>
          <w:spacing w:val="-1"/>
          <w:sz w:val="24"/>
        </w:rPr>
        <w:t> </w:t>
      </w:r>
      <w:r>
        <w:rPr>
          <w:sz w:val="24"/>
        </w:rPr>
        <w:t>which</w:t>
      </w:r>
      <w:r>
        <w:rPr>
          <w:spacing w:val="-2"/>
          <w:sz w:val="24"/>
        </w:rPr>
        <w:t> </w:t>
      </w:r>
      <w:r>
        <w:rPr>
          <w:sz w:val="24"/>
        </w:rPr>
        <w:t>the completion of studies in class X is the minimum qualification; courses in agriculture and industry which will train the middle level of personnel needed; courses for training paramedical/health</w:t>
      </w:r>
      <w:r>
        <w:rPr>
          <w:spacing w:val="10"/>
          <w:sz w:val="24"/>
        </w:rPr>
        <w:t> </w:t>
      </w:r>
      <w:r>
        <w:rPr>
          <w:sz w:val="24"/>
        </w:rPr>
        <w:t>personnel;</w:t>
      </w:r>
      <w:r>
        <w:rPr>
          <w:spacing w:val="11"/>
          <w:sz w:val="24"/>
        </w:rPr>
        <w:t> </w:t>
      </w:r>
      <w:r>
        <w:rPr>
          <w:sz w:val="24"/>
        </w:rPr>
        <w:t>courses</w:t>
      </w:r>
      <w:r>
        <w:rPr>
          <w:spacing w:val="10"/>
          <w:sz w:val="24"/>
        </w:rPr>
        <w:t> </w:t>
      </w:r>
      <w:r>
        <w:rPr>
          <w:sz w:val="24"/>
        </w:rPr>
        <w:t>for</w:t>
      </w:r>
      <w:r>
        <w:rPr>
          <w:spacing w:val="11"/>
          <w:sz w:val="24"/>
        </w:rPr>
        <w:t> </w:t>
      </w:r>
      <w:r>
        <w:rPr>
          <w:sz w:val="24"/>
        </w:rPr>
        <w:t>secretariat</w:t>
      </w:r>
      <w:r>
        <w:rPr>
          <w:spacing w:val="10"/>
          <w:sz w:val="24"/>
        </w:rPr>
        <w:t> </w:t>
      </w:r>
      <w:r>
        <w:rPr>
          <w:sz w:val="24"/>
        </w:rPr>
        <w:t>work;</w:t>
      </w:r>
      <w:r>
        <w:rPr>
          <w:spacing w:val="11"/>
          <w:sz w:val="24"/>
        </w:rPr>
        <w:t> </w:t>
      </w:r>
      <w:r>
        <w:rPr>
          <w:sz w:val="24"/>
        </w:rPr>
        <w:t>and</w:t>
      </w:r>
      <w:r>
        <w:rPr>
          <w:spacing w:val="10"/>
          <w:sz w:val="24"/>
        </w:rPr>
        <w:t> </w:t>
      </w:r>
      <w:r>
        <w:rPr>
          <w:sz w:val="24"/>
        </w:rPr>
        <w:t>courses</w:t>
      </w:r>
      <w:r>
        <w:rPr>
          <w:spacing w:val="11"/>
          <w:sz w:val="24"/>
        </w:rPr>
        <w:t> </w:t>
      </w:r>
      <w:r>
        <w:rPr>
          <w:sz w:val="24"/>
        </w:rPr>
        <w:t>in</w:t>
      </w:r>
      <w:r>
        <w:rPr>
          <w:spacing w:val="10"/>
          <w:sz w:val="24"/>
        </w:rPr>
        <w:t> </w:t>
      </w:r>
      <w:r>
        <w:rPr>
          <w:sz w:val="24"/>
        </w:rPr>
        <w:t>home</w:t>
      </w:r>
      <w:r>
        <w:rPr>
          <w:spacing w:val="11"/>
          <w:sz w:val="24"/>
        </w:rPr>
        <w:t> </w:t>
      </w:r>
      <w:r>
        <w:rPr>
          <w:spacing w:val="-2"/>
          <w:sz w:val="24"/>
        </w:rPr>
        <w:t>science.</w:t>
      </w:r>
    </w:p>
    <w:p>
      <w:pPr>
        <w:spacing w:after="0" w:line="240" w:lineRule="auto"/>
        <w:jc w:val="both"/>
        <w:rPr>
          <w:sz w:val="24"/>
        </w:rPr>
        <w:sectPr>
          <w:pgSz w:w="12240" w:h="15840"/>
          <w:pgMar w:header="0" w:footer="743" w:top="1360" w:bottom="940" w:left="1640" w:right="1300"/>
        </w:sectPr>
      </w:pPr>
    </w:p>
    <w:p>
      <w:pPr>
        <w:pStyle w:val="BodyText"/>
        <w:spacing w:before="76"/>
        <w:ind w:left="160"/>
        <w:rPr>
          <w:b/>
        </w:rPr>
      </w:pPr>
      <w:r>
        <w:rPr/>
        <w:t>It</w:t>
      </w:r>
      <w:r>
        <w:rPr>
          <w:spacing w:val="26"/>
        </w:rPr>
        <w:t> </w:t>
      </w:r>
      <w:r>
        <w:rPr/>
        <w:t>is</w:t>
      </w:r>
      <w:r>
        <w:rPr>
          <w:spacing w:val="26"/>
        </w:rPr>
        <w:t> </w:t>
      </w:r>
      <w:r>
        <w:rPr/>
        <w:t>such</w:t>
      </w:r>
      <w:r>
        <w:rPr>
          <w:spacing w:val="26"/>
        </w:rPr>
        <w:t> </w:t>
      </w:r>
      <w:r>
        <w:rPr/>
        <w:t>courses</w:t>
      </w:r>
      <w:r>
        <w:rPr>
          <w:spacing w:val="26"/>
        </w:rPr>
        <w:t> </w:t>
      </w:r>
      <w:r>
        <w:rPr/>
        <w:t>that</w:t>
      </w:r>
      <w:r>
        <w:rPr>
          <w:spacing w:val="26"/>
        </w:rPr>
        <w:t> </w:t>
      </w:r>
      <w:r>
        <w:rPr/>
        <w:t>will</w:t>
      </w:r>
      <w:r>
        <w:rPr>
          <w:spacing w:val="26"/>
        </w:rPr>
        <w:t> </w:t>
      </w:r>
      <w:r>
        <w:rPr/>
        <w:t>make</w:t>
      </w:r>
      <w:r>
        <w:rPr>
          <w:spacing w:val="26"/>
        </w:rPr>
        <w:t> </w:t>
      </w:r>
      <w:r>
        <w:rPr/>
        <w:t>secondary</w:t>
      </w:r>
      <w:r>
        <w:rPr>
          <w:spacing w:val="26"/>
        </w:rPr>
        <w:t> </w:t>
      </w:r>
      <w:r>
        <w:rPr/>
        <w:t>education</w:t>
      </w:r>
      <w:r>
        <w:rPr>
          <w:spacing w:val="26"/>
        </w:rPr>
        <w:t> </w:t>
      </w:r>
      <w:r>
        <w:rPr/>
        <w:t>mainly</w:t>
      </w:r>
      <w:r>
        <w:rPr>
          <w:spacing w:val="26"/>
        </w:rPr>
        <w:t> </w:t>
      </w:r>
      <w:r>
        <w:rPr/>
        <w:t>terminal.</w:t>
      </w:r>
      <w:r>
        <w:rPr>
          <w:spacing w:val="26"/>
        </w:rPr>
        <w:t> </w:t>
      </w:r>
      <w:r>
        <w:rPr/>
        <w:t>The</w:t>
      </w:r>
      <w:r>
        <w:rPr>
          <w:spacing w:val="26"/>
        </w:rPr>
        <w:t> </w:t>
      </w:r>
      <w:r>
        <w:rPr/>
        <w:t>problem</w:t>
      </w:r>
      <w:r>
        <w:rPr>
          <w:spacing w:val="26"/>
        </w:rPr>
        <w:t> </w:t>
      </w:r>
      <w:r>
        <w:rPr/>
        <w:t>is discussed in detail elsewhere.</w:t>
      </w:r>
      <w:r>
        <w:rPr>
          <w:b/>
          <w:vertAlign w:val="superscript"/>
        </w:rPr>
        <w:t>19</w:t>
      </w:r>
    </w:p>
    <w:p>
      <w:pPr>
        <w:pStyle w:val="BodyText"/>
        <w:spacing w:before="5"/>
        <w:rPr>
          <w:b/>
        </w:rPr>
      </w:pPr>
    </w:p>
    <w:p>
      <w:pPr>
        <w:pStyle w:val="ListParagraph"/>
        <w:numPr>
          <w:ilvl w:val="1"/>
          <w:numId w:val="23"/>
        </w:numPr>
        <w:tabs>
          <w:tab w:pos="640" w:val="left" w:leader="none"/>
        </w:tabs>
        <w:spacing w:line="240" w:lineRule="auto" w:before="0" w:after="0"/>
        <w:ind w:left="640" w:right="0" w:hanging="480"/>
        <w:jc w:val="both"/>
        <w:rPr>
          <w:b/>
          <w:sz w:val="24"/>
        </w:rPr>
      </w:pPr>
      <w:r>
        <w:rPr>
          <w:b/>
          <w:sz w:val="24"/>
        </w:rPr>
        <w:t>To</w:t>
      </w:r>
      <w:r>
        <w:rPr>
          <w:b/>
          <w:spacing w:val="-1"/>
          <w:sz w:val="24"/>
        </w:rPr>
        <w:t> </w:t>
      </w:r>
      <w:r>
        <w:rPr>
          <w:b/>
          <w:sz w:val="24"/>
        </w:rPr>
        <w:t>Sum</w:t>
      </w:r>
      <w:r>
        <w:rPr>
          <w:b/>
          <w:spacing w:val="-1"/>
          <w:sz w:val="24"/>
        </w:rPr>
        <w:t> </w:t>
      </w:r>
      <w:r>
        <w:rPr>
          <w:b/>
          <w:sz w:val="24"/>
        </w:rPr>
        <w:t>Up.</w:t>
      </w:r>
      <w:r>
        <w:rPr>
          <w:b/>
          <w:spacing w:val="-2"/>
          <w:sz w:val="24"/>
        </w:rPr>
        <w:t> </w:t>
      </w:r>
      <w:r>
        <w:rPr>
          <w:sz w:val="24"/>
        </w:rPr>
        <w:t>We</w:t>
      </w:r>
      <w:r>
        <w:rPr>
          <w:spacing w:val="-1"/>
          <w:sz w:val="24"/>
        </w:rPr>
        <w:t> </w:t>
      </w:r>
      <w:r>
        <w:rPr>
          <w:sz w:val="24"/>
        </w:rPr>
        <w:t>recommend</w:t>
      </w:r>
      <w:r>
        <w:rPr>
          <w:spacing w:val="-1"/>
          <w:sz w:val="24"/>
        </w:rPr>
        <w:t> </w:t>
      </w:r>
      <w:r>
        <w:rPr>
          <w:spacing w:val="-2"/>
          <w:sz w:val="24"/>
        </w:rPr>
        <w:t>that-</w:t>
      </w:r>
    </w:p>
    <w:p>
      <w:pPr>
        <w:pStyle w:val="BodyText"/>
        <w:spacing w:before="4"/>
      </w:pPr>
    </w:p>
    <w:p>
      <w:pPr>
        <w:pStyle w:val="ListParagraph"/>
        <w:numPr>
          <w:ilvl w:val="0"/>
          <w:numId w:val="28"/>
        </w:numPr>
        <w:tabs>
          <w:tab w:pos="532" w:val="left" w:leader="none"/>
        </w:tabs>
        <w:spacing w:line="240" w:lineRule="auto" w:before="0" w:after="0"/>
        <w:ind w:left="160" w:right="498" w:firstLine="0"/>
        <w:jc w:val="both"/>
        <w:rPr>
          <w:sz w:val="24"/>
        </w:rPr>
      </w:pPr>
      <w:r>
        <w:rPr>
          <w:sz w:val="24"/>
        </w:rPr>
        <w:t>the higher secondary stage should be extended to cover a period of two years and should be located exclusively in the schools;</w:t>
      </w:r>
    </w:p>
    <w:p>
      <w:pPr>
        <w:pStyle w:val="BodyText"/>
        <w:spacing w:before="3"/>
      </w:pPr>
    </w:p>
    <w:p>
      <w:pPr>
        <w:pStyle w:val="ListParagraph"/>
        <w:numPr>
          <w:ilvl w:val="0"/>
          <w:numId w:val="28"/>
        </w:numPr>
        <w:tabs>
          <w:tab w:pos="518" w:val="left" w:leader="none"/>
        </w:tabs>
        <w:spacing w:line="240" w:lineRule="auto" w:before="1" w:after="0"/>
        <w:ind w:left="160" w:right="498" w:firstLine="0"/>
        <w:jc w:val="both"/>
        <w:rPr>
          <w:sz w:val="24"/>
        </w:rPr>
      </w:pPr>
      <w:r>
        <w:rPr>
          <w:sz w:val="24"/>
        </w:rPr>
        <w:t>steps should be taken to implement this reform through a phased programme spread over the next 20 years (1966-85);</w:t>
      </w:r>
    </w:p>
    <w:p>
      <w:pPr>
        <w:pStyle w:val="BodyText"/>
        <w:spacing w:before="3"/>
      </w:pPr>
    </w:p>
    <w:p>
      <w:pPr>
        <w:pStyle w:val="ListParagraph"/>
        <w:numPr>
          <w:ilvl w:val="0"/>
          <w:numId w:val="28"/>
        </w:numPr>
        <w:tabs>
          <w:tab w:pos="515" w:val="left" w:leader="none"/>
        </w:tabs>
        <w:spacing w:line="240" w:lineRule="auto" w:before="0" w:after="0"/>
        <w:ind w:left="160" w:right="498" w:firstLine="0"/>
        <w:jc w:val="both"/>
        <w:rPr>
          <w:sz w:val="24"/>
        </w:rPr>
      </w:pPr>
      <w:r>
        <w:rPr>
          <w:sz w:val="24"/>
        </w:rPr>
        <w:t>as a first step in this direction, the pre-university course, irrespective of its duration, should be transferred from the colleges to the schools on a high priority basis within the next ten years;</w:t>
      </w:r>
    </w:p>
    <w:p>
      <w:pPr>
        <w:pStyle w:val="BodyText"/>
        <w:spacing w:before="4"/>
      </w:pPr>
    </w:p>
    <w:p>
      <w:pPr>
        <w:pStyle w:val="ListParagraph"/>
        <w:numPr>
          <w:ilvl w:val="0"/>
          <w:numId w:val="28"/>
        </w:numPr>
        <w:tabs>
          <w:tab w:pos="510" w:val="left" w:leader="none"/>
        </w:tabs>
        <w:spacing w:line="240" w:lineRule="auto" w:before="0" w:after="0"/>
        <w:ind w:left="160" w:right="496" w:firstLine="0"/>
        <w:jc w:val="both"/>
        <w:rPr>
          <w:sz w:val="24"/>
        </w:rPr>
      </w:pPr>
      <w:r>
        <w:rPr>
          <w:sz w:val="24"/>
        </w:rPr>
        <w:t>simultaneously, attempts should be made in the Fourth Five Year Plan for improving the utilization of the existing period to the best extent possible, for the preparation of teachers for the two-year course by expanding and improving the postgraduate stage, and for the working out of pilot projects with two-year higher secondary courses in selected secondary schools;</w:t>
      </w:r>
    </w:p>
    <w:p>
      <w:pPr>
        <w:pStyle w:val="BodyText"/>
        <w:spacing w:before="5"/>
      </w:pPr>
    </w:p>
    <w:p>
      <w:pPr>
        <w:pStyle w:val="ListParagraph"/>
        <w:numPr>
          <w:ilvl w:val="0"/>
          <w:numId w:val="28"/>
        </w:numPr>
        <w:tabs>
          <w:tab w:pos="511" w:val="left" w:leader="none"/>
        </w:tabs>
        <w:spacing w:line="240" w:lineRule="auto" w:before="0" w:after="0"/>
        <w:ind w:left="160" w:right="498" w:firstLine="0"/>
        <w:jc w:val="both"/>
        <w:rPr>
          <w:sz w:val="24"/>
        </w:rPr>
      </w:pPr>
      <w:r>
        <w:rPr>
          <w:sz w:val="24"/>
        </w:rPr>
        <w:t>with the beginning of the Fifth Five Year Plan (1971- 72), the implementation of the programme should start on a large scale and it should be completed by the end of the Seventh Plan (1985-86); and</w:t>
      </w:r>
    </w:p>
    <w:p>
      <w:pPr>
        <w:pStyle w:val="BodyText"/>
        <w:spacing w:before="3"/>
      </w:pPr>
    </w:p>
    <w:p>
      <w:pPr>
        <w:pStyle w:val="ListParagraph"/>
        <w:numPr>
          <w:ilvl w:val="0"/>
          <w:numId w:val="28"/>
        </w:numPr>
        <w:tabs>
          <w:tab w:pos="521" w:val="left" w:leader="none"/>
        </w:tabs>
        <w:spacing w:line="240" w:lineRule="auto" w:before="1" w:after="0"/>
        <w:ind w:left="160" w:right="497" w:firstLine="0"/>
        <w:jc w:val="both"/>
        <w:rPr>
          <w:sz w:val="24"/>
        </w:rPr>
      </w:pPr>
      <w:r>
        <w:rPr>
          <w:sz w:val="24"/>
        </w:rPr>
        <w:t>provision should also be made from the very outset for the introduction of different types of vocational courses at</w:t>
      </w:r>
      <w:r>
        <w:rPr>
          <w:spacing w:val="-1"/>
          <w:sz w:val="24"/>
        </w:rPr>
        <w:t> </w:t>
      </w:r>
      <w:r>
        <w:rPr>
          <w:sz w:val="24"/>
        </w:rPr>
        <w:t>the higher secondary stage, varying in duration from</w:t>
      </w:r>
      <w:r>
        <w:rPr>
          <w:spacing w:val="-1"/>
          <w:sz w:val="24"/>
        </w:rPr>
        <w:t> </w:t>
      </w:r>
      <w:r>
        <w:rPr>
          <w:sz w:val="24"/>
        </w:rPr>
        <w:t>one to three years, which would prepare young persons for employment.</w:t>
      </w:r>
    </w:p>
    <w:p>
      <w:pPr>
        <w:pStyle w:val="BodyText"/>
        <w:spacing w:before="4"/>
      </w:pPr>
    </w:p>
    <w:p>
      <w:pPr>
        <w:pStyle w:val="BodyText"/>
        <w:spacing w:before="1"/>
        <w:ind w:left="160"/>
      </w:pPr>
      <w:r>
        <w:rPr/>
        <w:t>The</w:t>
      </w:r>
      <w:r>
        <w:rPr>
          <w:spacing w:val="-6"/>
        </w:rPr>
        <w:t> </w:t>
      </w:r>
      <w:r>
        <w:rPr/>
        <w:t>changes</w:t>
      </w:r>
      <w:r>
        <w:rPr>
          <w:spacing w:val="-3"/>
        </w:rPr>
        <w:t> </w:t>
      </w:r>
      <w:r>
        <w:rPr/>
        <w:t>proposed</w:t>
      </w:r>
      <w:r>
        <w:rPr>
          <w:spacing w:val="-3"/>
        </w:rPr>
        <w:t> </w:t>
      </w:r>
      <w:r>
        <w:rPr/>
        <w:t>here</w:t>
      </w:r>
      <w:r>
        <w:rPr>
          <w:spacing w:val="-3"/>
        </w:rPr>
        <w:t> </w:t>
      </w:r>
      <w:r>
        <w:rPr/>
        <w:t>have</w:t>
      </w:r>
      <w:r>
        <w:rPr>
          <w:spacing w:val="-3"/>
        </w:rPr>
        <w:t> </w:t>
      </w:r>
      <w:r>
        <w:rPr/>
        <w:t>been</w:t>
      </w:r>
      <w:r>
        <w:rPr>
          <w:spacing w:val="-3"/>
        </w:rPr>
        <w:t> </w:t>
      </w:r>
      <w:r>
        <w:rPr/>
        <w:t>shown</w:t>
      </w:r>
      <w:r>
        <w:rPr>
          <w:spacing w:val="-4"/>
        </w:rPr>
        <w:t> </w:t>
      </w:r>
      <w:r>
        <w:rPr/>
        <w:t>graphically</w:t>
      </w:r>
      <w:r>
        <w:rPr>
          <w:spacing w:val="-3"/>
        </w:rPr>
        <w:t> </w:t>
      </w:r>
      <w:r>
        <w:rPr/>
        <w:t>in</w:t>
      </w:r>
      <w:r>
        <w:rPr>
          <w:spacing w:val="-3"/>
        </w:rPr>
        <w:t> </w:t>
      </w:r>
      <w:r>
        <w:rPr/>
        <w:t>the</w:t>
      </w:r>
      <w:r>
        <w:rPr>
          <w:spacing w:val="-3"/>
        </w:rPr>
        <w:t> </w:t>
      </w:r>
      <w:r>
        <w:rPr/>
        <w:t>chart</w:t>
      </w:r>
      <w:r>
        <w:rPr>
          <w:spacing w:val="-3"/>
        </w:rPr>
        <w:t> </w:t>
      </w:r>
      <w:r>
        <w:rPr/>
        <w:t>on</w:t>
      </w:r>
      <w:r>
        <w:rPr>
          <w:spacing w:val="-3"/>
        </w:rPr>
        <w:t> </w:t>
      </w:r>
      <w:r>
        <w:rPr/>
        <w:t>page</w:t>
      </w:r>
      <w:r>
        <w:rPr>
          <w:spacing w:val="-3"/>
        </w:rPr>
        <w:t> </w:t>
      </w:r>
      <w:r>
        <w:rPr>
          <w:spacing w:val="-5"/>
        </w:rPr>
        <w:t>65.</w:t>
      </w:r>
    </w:p>
    <w:p>
      <w:pPr>
        <w:pStyle w:val="BodyText"/>
        <w:spacing w:before="5"/>
      </w:pPr>
    </w:p>
    <w:p>
      <w:pPr>
        <w:pStyle w:val="Heading1"/>
        <w:spacing w:before="1"/>
        <w:ind w:left="292"/>
      </w:pPr>
      <w:bookmarkStart w:name="_TOC_250013" w:id="16"/>
      <w:r>
        <w:rPr/>
        <w:t>REORGANIZATION</w:t>
      </w:r>
      <w:r>
        <w:rPr>
          <w:spacing w:val="-2"/>
        </w:rPr>
        <w:t> </w:t>
      </w:r>
      <w:r>
        <w:rPr/>
        <w:t>AT</w:t>
      </w:r>
      <w:r>
        <w:rPr>
          <w:spacing w:val="-2"/>
        </w:rPr>
        <w:t> </w:t>
      </w:r>
      <w:r>
        <w:rPr/>
        <w:t>THE</w:t>
      </w:r>
      <w:r>
        <w:rPr>
          <w:spacing w:val="-2"/>
        </w:rPr>
        <w:t> </w:t>
      </w:r>
      <w:r>
        <w:rPr/>
        <w:t>UNIVERSITY</w:t>
      </w:r>
      <w:r>
        <w:rPr>
          <w:spacing w:val="-1"/>
        </w:rPr>
        <w:t> </w:t>
      </w:r>
      <w:bookmarkEnd w:id="16"/>
      <w:r>
        <w:rPr>
          <w:spacing w:val="-2"/>
        </w:rPr>
        <w:t>STAGE</w:t>
      </w:r>
    </w:p>
    <w:p>
      <w:pPr>
        <w:pStyle w:val="BodyText"/>
        <w:spacing w:before="2"/>
        <w:rPr>
          <w:b/>
        </w:rPr>
      </w:pPr>
    </w:p>
    <w:p>
      <w:pPr>
        <w:pStyle w:val="ListParagraph"/>
        <w:numPr>
          <w:ilvl w:val="1"/>
          <w:numId w:val="23"/>
        </w:numPr>
        <w:tabs>
          <w:tab w:pos="649" w:val="left" w:leader="none"/>
        </w:tabs>
        <w:spacing w:line="240" w:lineRule="auto" w:before="0" w:after="0"/>
        <w:ind w:left="160" w:right="496" w:firstLine="0"/>
        <w:jc w:val="both"/>
        <w:rPr>
          <w:sz w:val="24"/>
        </w:rPr>
      </w:pPr>
      <w:r>
        <w:rPr>
          <w:sz w:val="24"/>
        </w:rPr>
        <w:t>Prior to 1947, the pattern of higher education was largely uniform in all parts of the country. The duration of the course leading to the first degree in arts and science was two years, and this was followed by a two-year course leading to the second degree. But several changes have been introduced into the pattern since Independence. The most important is that the duration of the course for the first degree in arts, science and commerce has been lengthened to three years in all the universities except those in Uttar Pradesh and the University of Bombay, which still provide the two-year degree course after the Intermediate Examination. One or two universities have experimented with an honours course in certain subjects, covering a period of four years in the aggregate.</w:t>
      </w:r>
    </w:p>
    <w:p>
      <w:pPr>
        <w:pStyle w:val="BodyText"/>
        <w:spacing w:before="4"/>
      </w:pPr>
    </w:p>
    <w:p>
      <w:pPr>
        <w:pStyle w:val="BodyText"/>
        <w:ind w:left="160"/>
      </w:pPr>
      <w:r>
        <w:rPr>
          <w:b/>
          <w:vertAlign w:val="superscript"/>
        </w:rPr>
        <w:t>19</w:t>
      </w:r>
      <w:r>
        <w:rPr>
          <w:vertAlign w:val="baseline"/>
        </w:rPr>
        <w:t>Chapter</w:t>
      </w:r>
      <w:r>
        <w:rPr>
          <w:spacing w:val="-9"/>
          <w:vertAlign w:val="baseline"/>
        </w:rPr>
        <w:t> </w:t>
      </w:r>
      <w:r>
        <w:rPr>
          <w:spacing w:val="-5"/>
          <w:vertAlign w:val="baseline"/>
        </w:rPr>
        <w:t>XV.</w:t>
      </w:r>
    </w:p>
    <w:p>
      <w:pPr>
        <w:spacing w:after="0"/>
        <w:sectPr>
          <w:pgSz w:w="12240" w:h="15840"/>
          <w:pgMar w:header="0" w:footer="743" w:top="1360" w:bottom="940" w:left="1640" w:right="1300"/>
        </w:sectPr>
      </w:pPr>
    </w:p>
    <w:p>
      <w:pPr>
        <w:pStyle w:val="BodyText"/>
        <w:spacing w:before="76"/>
        <w:ind w:left="160" w:right="496"/>
        <w:jc w:val="both"/>
      </w:pPr>
      <w:r>
        <w:rPr/>
        <w:t>Again, the degree courses in professional subjects are generally longer than the courses for the degrees in arts and science. The agricultural and the engineering courses extend to four and five years respectively after the pre- university course and the medical course</w:t>
      </w:r>
      <w:r>
        <w:rPr>
          <w:spacing w:val="40"/>
        </w:rPr>
        <w:t> </w:t>
      </w:r>
      <w:r>
        <w:rPr/>
        <w:t>has an even longer duration.</w:t>
      </w:r>
    </w:p>
    <w:p>
      <w:pPr>
        <w:pStyle w:val="BodyText"/>
        <w:spacing w:before="4"/>
      </w:pPr>
    </w:p>
    <w:p>
      <w:pPr>
        <w:pStyle w:val="ListParagraph"/>
        <w:numPr>
          <w:ilvl w:val="1"/>
          <w:numId w:val="23"/>
        </w:numPr>
        <w:tabs>
          <w:tab w:pos="691" w:val="left" w:leader="none"/>
        </w:tabs>
        <w:spacing w:line="240" w:lineRule="auto" w:before="0" w:after="0"/>
        <w:ind w:left="160" w:right="496" w:firstLine="0"/>
        <w:jc w:val="both"/>
        <w:rPr>
          <w:b/>
          <w:sz w:val="24"/>
        </w:rPr>
      </w:pPr>
      <w:r>
        <w:rPr>
          <w:b/>
          <w:sz w:val="24"/>
        </w:rPr>
        <w:t>Proposals for Reorganization. </w:t>
      </w:r>
      <w:r>
        <w:rPr>
          <w:sz w:val="24"/>
        </w:rPr>
        <w:t>Since progress in higher education lies through freedom to experiment, there can be no objection to this variety. The principal criticism</w:t>
      </w:r>
      <w:r>
        <w:rPr>
          <w:spacing w:val="40"/>
          <w:sz w:val="24"/>
        </w:rPr>
        <w:t> </w:t>
      </w:r>
      <w:r>
        <w:rPr>
          <w:sz w:val="24"/>
        </w:rPr>
        <w:t>of higher education is directed, however, not so much against the pattern of organization as against the comparatively low standards of the degrees awarded by the Indian universities in arts, commerce and science. The causes for these low standards are discussed in a later section.</w:t>
      </w:r>
      <w:r>
        <w:rPr>
          <w:b/>
          <w:sz w:val="24"/>
          <w:vertAlign w:val="superscript"/>
        </w:rPr>
        <w:t>20</w:t>
      </w:r>
      <w:r>
        <w:rPr>
          <w:b/>
          <w:sz w:val="24"/>
          <w:vertAlign w:val="baseline"/>
        </w:rPr>
        <w:t> </w:t>
      </w:r>
      <w:r>
        <w:rPr>
          <w:sz w:val="24"/>
          <w:vertAlign w:val="baseline"/>
        </w:rPr>
        <w:t>We are concerned here only with the question of the structural reorganization necessary at the university stage for the improvement </w:t>
      </w:r>
      <w:r>
        <w:rPr>
          <w:sz w:val="24"/>
          <w:vertAlign w:val="baseline"/>
        </w:rPr>
        <w:t>of standards. The following proposals are made in this connection:</w:t>
      </w:r>
    </w:p>
    <w:p>
      <w:pPr>
        <w:pStyle w:val="BodyText"/>
        <w:spacing w:before="4"/>
      </w:pPr>
    </w:p>
    <w:p>
      <w:pPr>
        <w:pStyle w:val="ListParagraph"/>
        <w:numPr>
          <w:ilvl w:val="0"/>
          <w:numId w:val="29"/>
        </w:numPr>
        <w:tabs>
          <w:tab w:pos="503" w:val="left" w:leader="none"/>
        </w:tabs>
        <w:spacing w:line="240" w:lineRule="auto" w:before="0" w:after="0"/>
        <w:ind w:left="160" w:right="496" w:firstLine="0"/>
        <w:jc w:val="both"/>
        <w:rPr>
          <w:sz w:val="24"/>
        </w:rPr>
      </w:pPr>
      <w:r>
        <w:rPr>
          <w:sz w:val="24"/>
        </w:rPr>
        <w:t>The duration of the first degree course should not be less than three years. Apart from this, there should be no rigidity about the duration of courses in higher education. These may vary from university to university, and even in the same university, from subject to subject. The duration of courses for the second degree may be two or three years.</w:t>
      </w:r>
    </w:p>
    <w:p>
      <w:pPr>
        <w:pStyle w:val="BodyText"/>
        <w:spacing w:before="5"/>
      </w:pPr>
    </w:p>
    <w:p>
      <w:pPr>
        <w:pStyle w:val="ListParagraph"/>
        <w:numPr>
          <w:ilvl w:val="0"/>
          <w:numId w:val="29"/>
        </w:numPr>
        <w:tabs>
          <w:tab w:pos="687" w:val="left" w:leader="none"/>
        </w:tabs>
        <w:spacing w:line="240" w:lineRule="auto" w:before="0" w:after="0"/>
        <w:ind w:left="159" w:right="494" w:firstLine="0"/>
        <w:jc w:val="both"/>
        <w:rPr>
          <w:sz w:val="24"/>
        </w:rPr>
      </w:pPr>
      <w:r>
        <w:rPr>
          <w:sz w:val="24"/>
        </w:rPr>
        <w:t>In some universities, strong 'graduate schools' providing a three-year M.A./M.Sc./M.Com.</w:t>
      </w:r>
      <w:r>
        <w:rPr>
          <w:spacing w:val="-3"/>
          <w:sz w:val="24"/>
        </w:rPr>
        <w:t> </w:t>
      </w:r>
      <w:r>
        <w:rPr>
          <w:sz w:val="24"/>
        </w:rPr>
        <w:t>degree</w:t>
      </w:r>
      <w:r>
        <w:rPr>
          <w:spacing w:val="-3"/>
          <w:sz w:val="24"/>
        </w:rPr>
        <w:t> </w:t>
      </w:r>
      <w:r>
        <w:rPr>
          <w:sz w:val="24"/>
        </w:rPr>
        <w:t>course</w:t>
      </w:r>
      <w:r>
        <w:rPr>
          <w:spacing w:val="-3"/>
          <w:sz w:val="24"/>
        </w:rPr>
        <w:t> </w:t>
      </w:r>
      <w:r>
        <w:rPr>
          <w:sz w:val="24"/>
        </w:rPr>
        <w:t>may</w:t>
      </w:r>
      <w:r>
        <w:rPr>
          <w:spacing w:val="-3"/>
          <w:sz w:val="24"/>
        </w:rPr>
        <w:t> </w:t>
      </w:r>
      <w:r>
        <w:rPr>
          <w:sz w:val="24"/>
        </w:rPr>
        <w:t>be</w:t>
      </w:r>
      <w:r>
        <w:rPr>
          <w:spacing w:val="-3"/>
          <w:sz w:val="24"/>
        </w:rPr>
        <w:t> </w:t>
      </w:r>
      <w:r>
        <w:rPr>
          <w:sz w:val="24"/>
        </w:rPr>
        <w:t>established</w:t>
      </w:r>
      <w:r>
        <w:rPr>
          <w:spacing w:val="-2"/>
          <w:sz w:val="24"/>
        </w:rPr>
        <w:t> </w:t>
      </w:r>
      <w:r>
        <w:rPr>
          <w:sz w:val="24"/>
        </w:rPr>
        <w:t>in</w:t>
      </w:r>
      <w:r>
        <w:rPr>
          <w:spacing w:val="-2"/>
          <w:sz w:val="24"/>
        </w:rPr>
        <w:t> </w:t>
      </w:r>
      <w:r>
        <w:rPr>
          <w:sz w:val="24"/>
        </w:rPr>
        <w:t>certain</w:t>
      </w:r>
      <w:r>
        <w:rPr>
          <w:spacing w:val="-2"/>
          <w:sz w:val="24"/>
        </w:rPr>
        <w:t> </w:t>
      </w:r>
      <w:r>
        <w:rPr>
          <w:sz w:val="24"/>
        </w:rPr>
        <w:t>subjects.</w:t>
      </w:r>
      <w:r>
        <w:rPr>
          <w:spacing w:val="-3"/>
          <w:sz w:val="24"/>
        </w:rPr>
        <w:t> </w:t>
      </w:r>
      <w:r>
        <w:rPr>
          <w:sz w:val="24"/>
        </w:rPr>
        <w:t>For</w:t>
      </w:r>
      <w:r>
        <w:rPr>
          <w:spacing w:val="-3"/>
          <w:sz w:val="24"/>
        </w:rPr>
        <w:t> </w:t>
      </w:r>
      <w:r>
        <w:rPr>
          <w:sz w:val="24"/>
        </w:rPr>
        <w:t>the</w:t>
      </w:r>
      <w:r>
        <w:rPr>
          <w:spacing w:val="-3"/>
          <w:sz w:val="24"/>
        </w:rPr>
        <w:t> </w:t>
      </w:r>
      <w:r>
        <w:rPr>
          <w:sz w:val="24"/>
        </w:rPr>
        <w:t>sake</w:t>
      </w:r>
      <w:r>
        <w:rPr>
          <w:spacing w:val="-3"/>
          <w:sz w:val="24"/>
        </w:rPr>
        <w:t> </w:t>
      </w:r>
      <w:r>
        <w:rPr>
          <w:sz w:val="24"/>
        </w:rPr>
        <w:t>of convenience, these courses may be designated as honours courses or they may be given some other suitable name. If they are properly organized and a careful selection of students is made, they will be able to produce excellent personnel for the teaching faculty and for high-grade research.</w:t>
      </w:r>
    </w:p>
    <w:p>
      <w:pPr>
        <w:pStyle w:val="BodyText"/>
        <w:spacing w:before="3"/>
      </w:pPr>
    </w:p>
    <w:p>
      <w:pPr>
        <w:pStyle w:val="ListParagraph"/>
        <w:numPr>
          <w:ilvl w:val="0"/>
          <w:numId w:val="29"/>
        </w:numPr>
        <w:tabs>
          <w:tab w:pos="519" w:val="left" w:leader="none"/>
        </w:tabs>
        <w:spacing w:line="240" w:lineRule="auto" w:before="1" w:after="0"/>
        <w:ind w:left="159" w:right="497" w:firstLine="0"/>
        <w:jc w:val="both"/>
        <w:rPr>
          <w:sz w:val="24"/>
        </w:rPr>
      </w:pPr>
      <w:r>
        <w:rPr>
          <w:sz w:val="24"/>
        </w:rPr>
        <w:t>A beginning should also be made with the organization of four-year special courses for the first degree in selected</w:t>
      </w:r>
      <w:r>
        <w:rPr>
          <w:spacing w:val="-1"/>
          <w:sz w:val="24"/>
        </w:rPr>
        <w:t> </w:t>
      </w:r>
      <w:r>
        <w:rPr>
          <w:sz w:val="24"/>
        </w:rPr>
        <w:t>subjects. The first year of these courses will be the same as the first year of the present three-year degree course. But students will be selected, at the end of that year, for admission to a further three-year special course leading to the first (special) degree in, the subject. The experiment should be tried, in the first instance, in</w:t>
      </w:r>
      <w:r>
        <w:rPr>
          <w:spacing w:val="40"/>
          <w:sz w:val="24"/>
        </w:rPr>
        <w:t> </w:t>
      </w:r>
      <w:r>
        <w:rPr>
          <w:sz w:val="24"/>
        </w:rPr>
        <w:t>the university departments only and in subjects where teachers and facilities are</w:t>
      </w:r>
      <w:r>
        <w:rPr>
          <w:spacing w:val="80"/>
          <w:sz w:val="24"/>
        </w:rPr>
        <w:t> </w:t>
      </w:r>
      <w:r>
        <w:rPr>
          <w:sz w:val="24"/>
        </w:rPr>
        <w:t>available. In the light of the experience gained, it may be extended subsequently to other subjects and to good affiliated colleges doing postgraduate work.</w:t>
      </w:r>
    </w:p>
    <w:p>
      <w:pPr>
        <w:pStyle w:val="BodyText"/>
        <w:spacing w:before="3"/>
      </w:pPr>
    </w:p>
    <w:p>
      <w:pPr>
        <w:pStyle w:val="ListParagraph"/>
        <w:numPr>
          <w:ilvl w:val="0"/>
          <w:numId w:val="29"/>
        </w:numPr>
        <w:tabs>
          <w:tab w:pos="515" w:val="left" w:leader="none"/>
        </w:tabs>
        <w:spacing w:line="240" w:lineRule="auto" w:before="0" w:after="0"/>
        <w:ind w:left="159" w:right="496" w:firstLine="0"/>
        <w:jc w:val="both"/>
        <w:rPr>
          <w:sz w:val="24"/>
        </w:rPr>
      </w:pPr>
      <w:r>
        <w:rPr>
          <w:sz w:val="24"/>
        </w:rPr>
        <w:t>The above proposal will need to be modified in Uttar Pradesh, where the immediate problem is to raise the duration of the first degree course in arts, commerce and science from two to three years. Since large financial and personnel problems are involved, we suggest that this programme should be spread over 15 to 20 years. A beginning may be made with the establishment of graduate schools and challenging three- year courses to</w:t>
      </w:r>
      <w:r>
        <w:rPr>
          <w:spacing w:val="40"/>
          <w:sz w:val="24"/>
        </w:rPr>
        <w:t> </w:t>
      </w:r>
      <w:r>
        <w:rPr>
          <w:sz w:val="24"/>
        </w:rPr>
        <w:t>be introduced in selected subjects and selected universities; and as funds and teachers become available, the programme should be extended to affiliated postgraduate colleges doing good work and to other subjects.</w:t>
      </w:r>
    </w:p>
    <w:p>
      <w:pPr>
        <w:pStyle w:val="BodyText"/>
        <w:spacing w:before="5"/>
      </w:pPr>
    </w:p>
    <w:p>
      <w:pPr>
        <w:pStyle w:val="BodyText"/>
        <w:ind w:left="160"/>
        <w:jc w:val="both"/>
      </w:pPr>
      <w:r>
        <w:rPr>
          <w:b/>
          <w:vertAlign w:val="superscript"/>
        </w:rPr>
        <w:t>20</w:t>
      </w:r>
      <w:r>
        <w:rPr>
          <w:vertAlign w:val="baseline"/>
        </w:rPr>
        <w:t>Chapter</w:t>
      </w:r>
      <w:r>
        <w:rPr>
          <w:spacing w:val="-2"/>
          <w:vertAlign w:val="baseline"/>
        </w:rPr>
        <w:t> </w:t>
      </w:r>
      <w:r>
        <w:rPr>
          <w:spacing w:val="-5"/>
          <w:vertAlign w:val="baseline"/>
        </w:rPr>
        <w:t>XI,</w:t>
      </w:r>
    </w:p>
    <w:p>
      <w:pPr>
        <w:spacing w:after="0"/>
        <w:jc w:val="both"/>
        <w:sectPr>
          <w:pgSz w:w="12240" w:h="15840"/>
          <w:pgMar w:header="0" w:footer="743" w:top="1360" w:bottom="940" w:left="1640" w:right="1300"/>
        </w:sectPr>
      </w:pPr>
    </w:p>
    <w:p>
      <w:pPr>
        <w:pStyle w:val="ListParagraph"/>
        <w:numPr>
          <w:ilvl w:val="0"/>
          <w:numId w:val="29"/>
        </w:numPr>
        <w:tabs>
          <w:tab w:pos="551" w:val="left" w:leader="none"/>
        </w:tabs>
        <w:spacing w:line="240" w:lineRule="auto" w:before="76" w:after="0"/>
        <w:ind w:left="160" w:right="499" w:firstLine="0"/>
        <w:jc w:val="left"/>
        <w:rPr>
          <w:sz w:val="24"/>
        </w:rPr>
      </w:pPr>
      <w:r>
        <w:rPr>
          <w:sz w:val="24"/>
        </w:rPr>
        <w:t>Suitable</w:t>
      </w:r>
      <w:r>
        <w:rPr>
          <w:spacing w:val="40"/>
          <w:sz w:val="24"/>
        </w:rPr>
        <w:t> </w:t>
      </w:r>
      <w:r>
        <w:rPr>
          <w:sz w:val="24"/>
        </w:rPr>
        <w:t>'bridges'</w:t>
      </w:r>
      <w:r>
        <w:rPr>
          <w:spacing w:val="40"/>
          <w:sz w:val="24"/>
        </w:rPr>
        <w:t> </w:t>
      </w:r>
      <w:r>
        <w:rPr>
          <w:sz w:val="24"/>
        </w:rPr>
        <w:t>should</w:t>
      </w:r>
      <w:r>
        <w:rPr>
          <w:spacing w:val="40"/>
          <w:sz w:val="24"/>
        </w:rPr>
        <w:t> </w:t>
      </w:r>
      <w:r>
        <w:rPr>
          <w:sz w:val="24"/>
        </w:rPr>
        <w:t>be</w:t>
      </w:r>
      <w:r>
        <w:rPr>
          <w:spacing w:val="40"/>
          <w:sz w:val="24"/>
        </w:rPr>
        <w:t> </w:t>
      </w:r>
      <w:r>
        <w:rPr>
          <w:sz w:val="24"/>
        </w:rPr>
        <w:t>built</w:t>
      </w:r>
      <w:r>
        <w:rPr>
          <w:spacing w:val="40"/>
          <w:sz w:val="24"/>
        </w:rPr>
        <w:t> </w:t>
      </w:r>
      <w:r>
        <w:rPr>
          <w:sz w:val="24"/>
        </w:rPr>
        <w:t>between</w:t>
      </w:r>
      <w:r>
        <w:rPr>
          <w:spacing w:val="40"/>
          <w:sz w:val="24"/>
        </w:rPr>
        <w:t> </w:t>
      </w:r>
      <w:r>
        <w:rPr>
          <w:sz w:val="24"/>
        </w:rPr>
        <w:t>these</w:t>
      </w:r>
      <w:r>
        <w:rPr>
          <w:spacing w:val="40"/>
          <w:sz w:val="24"/>
        </w:rPr>
        <w:t> </w:t>
      </w:r>
      <w:r>
        <w:rPr>
          <w:sz w:val="24"/>
        </w:rPr>
        <w:t>new</w:t>
      </w:r>
      <w:r>
        <w:rPr>
          <w:spacing w:val="40"/>
          <w:sz w:val="24"/>
        </w:rPr>
        <w:t> </w:t>
      </w:r>
      <w:r>
        <w:rPr>
          <w:sz w:val="24"/>
        </w:rPr>
        <w:t>and</w:t>
      </w:r>
      <w:r>
        <w:rPr>
          <w:spacing w:val="40"/>
          <w:sz w:val="24"/>
        </w:rPr>
        <w:t> </w:t>
      </w:r>
      <w:r>
        <w:rPr>
          <w:sz w:val="24"/>
        </w:rPr>
        <w:t>longer</w:t>
      </w:r>
      <w:r>
        <w:rPr>
          <w:spacing w:val="40"/>
          <w:sz w:val="24"/>
        </w:rPr>
        <w:t> </w:t>
      </w:r>
      <w:r>
        <w:rPr>
          <w:sz w:val="24"/>
        </w:rPr>
        <w:t>courses</w:t>
      </w:r>
      <w:r>
        <w:rPr>
          <w:spacing w:val="40"/>
          <w:sz w:val="24"/>
        </w:rPr>
        <w:t> </w:t>
      </w:r>
      <w:r>
        <w:rPr>
          <w:sz w:val="24"/>
        </w:rPr>
        <w:t>and</w:t>
      </w:r>
      <w:r>
        <w:rPr>
          <w:spacing w:val="40"/>
          <w:sz w:val="24"/>
        </w:rPr>
        <w:t> </w:t>
      </w:r>
      <w:r>
        <w:rPr>
          <w:sz w:val="24"/>
        </w:rPr>
        <w:t>the existing courses of shorter duration.</w:t>
      </w:r>
    </w:p>
    <w:p>
      <w:pPr>
        <w:pStyle w:val="BodyText"/>
        <w:spacing w:before="29"/>
        <w:rPr>
          <w:sz w:val="20"/>
        </w:rPr>
      </w:pPr>
      <w:r>
        <w:rPr/>
        <w:drawing>
          <wp:anchor distT="0" distB="0" distL="0" distR="0" allowOverlap="1" layoutInCell="1" locked="0" behindDoc="1" simplePos="0" relativeHeight="487588864">
            <wp:simplePos x="0" y="0"/>
            <wp:positionH relativeFrom="page">
              <wp:posOffset>1142999</wp:posOffset>
            </wp:positionH>
            <wp:positionV relativeFrom="paragraph">
              <wp:posOffset>180115</wp:posOffset>
            </wp:positionV>
            <wp:extent cx="5527517" cy="7392924"/>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1" cstate="print"/>
                    <a:stretch>
                      <a:fillRect/>
                    </a:stretch>
                  </pic:blipFill>
                  <pic:spPr>
                    <a:xfrm>
                      <a:off x="0" y="0"/>
                      <a:ext cx="5527517" cy="7392924"/>
                    </a:xfrm>
                    <a:prstGeom prst="rect">
                      <a:avLst/>
                    </a:prstGeom>
                  </pic:spPr>
                </pic:pic>
              </a:graphicData>
            </a:graphic>
          </wp:anchor>
        </w:drawing>
      </w:r>
    </w:p>
    <w:p>
      <w:pPr>
        <w:spacing w:after="0"/>
        <w:rPr>
          <w:sz w:val="20"/>
        </w:rPr>
        <w:sectPr>
          <w:pgSz w:w="12240" w:h="15840"/>
          <w:pgMar w:header="0" w:footer="743" w:top="1360" w:bottom="940" w:left="1640" w:right="1300"/>
        </w:sectPr>
      </w:pPr>
    </w:p>
    <w:p>
      <w:pPr>
        <w:pStyle w:val="ListParagraph"/>
        <w:numPr>
          <w:ilvl w:val="0"/>
          <w:numId w:val="29"/>
        </w:numPr>
        <w:tabs>
          <w:tab w:pos="506" w:val="left" w:leader="none"/>
        </w:tabs>
        <w:spacing w:line="240" w:lineRule="auto" w:before="76" w:after="0"/>
        <w:ind w:left="160" w:right="497" w:firstLine="0"/>
        <w:jc w:val="both"/>
        <w:rPr>
          <w:sz w:val="24"/>
        </w:rPr>
      </w:pPr>
      <w:r>
        <w:rPr>
          <w:sz w:val="24"/>
        </w:rPr>
        <w:t>Some incentives will have to be provided to students for undergoing these longer and higher level courses.</w:t>
      </w:r>
      <w:r>
        <w:rPr>
          <w:b/>
          <w:sz w:val="24"/>
          <w:vertAlign w:val="superscript"/>
        </w:rPr>
        <w:t>21</w:t>
      </w:r>
      <w:r>
        <w:rPr>
          <w:b/>
          <w:sz w:val="24"/>
          <w:vertAlign w:val="baseline"/>
        </w:rPr>
        <w:t> </w:t>
      </w:r>
      <w:r>
        <w:rPr>
          <w:sz w:val="24"/>
          <w:vertAlign w:val="baseline"/>
        </w:rPr>
        <w:t>For instance, a more liberal provision of scholarships should be made for these longer courses for the first and the second degrees. Students completing the courses should be entitled to advance increments in the usual scales. They should receive preferential consideration in recruitment; and as soon as the supply becomes adequate, the recruitment of teachers should be restricted to the holders of these degrees only. It need hardly be stressed that the admissions to these courses should be made on a highly selective basis.</w:t>
      </w:r>
    </w:p>
    <w:p>
      <w:pPr>
        <w:pStyle w:val="BodyText"/>
        <w:spacing w:before="4"/>
      </w:pPr>
    </w:p>
    <w:p>
      <w:pPr>
        <w:pStyle w:val="ListParagraph"/>
        <w:numPr>
          <w:ilvl w:val="1"/>
          <w:numId w:val="23"/>
        </w:numPr>
        <w:tabs>
          <w:tab w:pos="660" w:val="left" w:leader="none"/>
        </w:tabs>
        <w:spacing w:line="240" w:lineRule="auto" w:before="0" w:after="0"/>
        <w:ind w:left="160" w:right="497" w:firstLine="0"/>
        <w:jc w:val="both"/>
        <w:rPr>
          <w:sz w:val="24"/>
        </w:rPr>
      </w:pPr>
      <w:r>
        <w:rPr>
          <w:sz w:val="24"/>
        </w:rPr>
        <w:t>Just as we laid considerable stress on the vocationalization of secondary education we would also like to emphasize the importance of professional education at the university stage. This is of particular urgency in the Indian</w:t>
      </w:r>
      <w:r>
        <w:rPr>
          <w:spacing w:val="-1"/>
          <w:sz w:val="24"/>
        </w:rPr>
        <w:t> </w:t>
      </w:r>
      <w:r>
        <w:rPr>
          <w:sz w:val="24"/>
        </w:rPr>
        <w:t>context where the emphasis in higher education in the past has been on training persons mainly for white-collar jobs. Our proposals on this subject are discussed elsewhere.</w:t>
      </w:r>
      <w:r>
        <w:rPr>
          <w:b/>
          <w:sz w:val="24"/>
          <w:vertAlign w:val="superscript"/>
        </w:rPr>
        <w:t>22</w:t>
      </w:r>
    </w:p>
    <w:p>
      <w:pPr>
        <w:pStyle w:val="BodyText"/>
        <w:spacing w:before="6"/>
        <w:rPr>
          <w:b/>
        </w:rPr>
      </w:pPr>
    </w:p>
    <w:p>
      <w:pPr>
        <w:pStyle w:val="Heading1"/>
        <w:ind w:left="292"/>
      </w:pPr>
      <w:bookmarkStart w:name="_TOC_250012" w:id="17"/>
      <w:r>
        <w:rPr/>
        <w:t>UTILIZATION</w:t>
      </w:r>
      <w:r>
        <w:rPr>
          <w:spacing w:val="-6"/>
        </w:rPr>
        <w:t> </w:t>
      </w:r>
      <w:r>
        <w:rPr/>
        <w:t>OF</w:t>
      </w:r>
      <w:r>
        <w:rPr>
          <w:spacing w:val="-5"/>
        </w:rPr>
        <w:t> </w:t>
      </w:r>
      <w:bookmarkEnd w:id="17"/>
      <w:r>
        <w:rPr>
          <w:spacing w:val="-2"/>
        </w:rPr>
        <w:t>FACILITIES</w:t>
      </w:r>
    </w:p>
    <w:p>
      <w:pPr>
        <w:pStyle w:val="BodyText"/>
        <w:spacing w:before="3"/>
        <w:rPr>
          <w:b/>
        </w:rPr>
      </w:pPr>
    </w:p>
    <w:p>
      <w:pPr>
        <w:pStyle w:val="ListParagraph"/>
        <w:numPr>
          <w:ilvl w:val="1"/>
          <w:numId w:val="23"/>
        </w:numPr>
        <w:tabs>
          <w:tab w:pos="690" w:val="left" w:leader="none"/>
        </w:tabs>
        <w:spacing w:line="240" w:lineRule="auto" w:before="0" w:after="0"/>
        <w:ind w:left="160" w:right="498" w:firstLine="0"/>
        <w:jc w:val="both"/>
        <w:rPr>
          <w:sz w:val="24"/>
        </w:rPr>
      </w:pPr>
      <w:r>
        <w:rPr>
          <w:sz w:val="24"/>
        </w:rPr>
        <w:t>The principal object of the changes in structure and duration which have been discussed above is to raise standards. In this context, however, it is essential to note that</w:t>
      </w:r>
    </w:p>
    <w:p>
      <w:pPr>
        <w:pStyle w:val="BodyText"/>
        <w:spacing w:before="5"/>
      </w:pPr>
    </w:p>
    <w:p>
      <w:pPr>
        <w:pStyle w:val="ListParagraph"/>
        <w:numPr>
          <w:ilvl w:val="2"/>
          <w:numId w:val="23"/>
        </w:numPr>
        <w:tabs>
          <w:tab w:pos="298" w:val="left" w:leader="none"/>
        </w:tabs>
        <w:spacing w:line="240" w:lineRule="auto" w:before="0" w:after="0"/>
        <w:ind w:left="298" w:right="0" w:hanging="138"/>
        <w:jc w:val="both"/>
        <w:rPr>
          <w:sz w:val="24"/>
        </w:rPr>
      </w:pPr>
      <w:r>
        <w:rPr>
          <w:sz w:val="24"/>
        </w:rPr>
        <w:t>structure</w:t>
      </w:r>
      <w:r>
        <w:rPr>
          <w:spacing w:val="-2"/>
          <w:sz w:val="24"/>
        </w:rPr>
        <w:t> </w:t>
      </w:r>
      <w:r>
        <w:rPr>
          <w:sz w:val="24"/>
        </w:rPr>
        <w:t>and</w:t>
      </w:r>
      <w:r>
        <w:rPr>
          <w:spacing w:val="-1"/>
          <w:sz w:val="24"/>
        </w:rPr>
        <w:t> </w:t>
      </w:r>
      <w:r>
        <w:rPr>
          <w:sz w:val="24"/>
        </w:rPr>
        <w:t>duration</w:t>
      </w:r>
      <w:r>
        <w:rPr>
          <w:spacing w:val="-1"/>
          <w:sz w:val="24"/>
        </w:rPr>
        <w:t> </w:t>
      </w:r>
      <w:r>
        <w:rPr>
          <w:sz w:val="24"/>
        </w:rPr>
        <w:t>play</w:t>
      </w:r>
      <w:r>
        <w:rPr>
          <w:spacing w:val="-1"/>
          <w:sz w:val="24"/>
        </w:rPr>
        <w:t> </w:t>
      </w:r>
      <w:r>
        <w:rPr>
          <w:sz w:val="24"/>
        </w:rPr>
        <w:t>a significant</w:t>
      </w:r>
      <w:r>
        <w:rPr>
          <w:spacing w:val="-1"/>
          <w:sz w:val="24"/>
        </w:rPr>
        <w:t> </w:t>
      </w:r>
      <w:r>
        <w:rPr>
          <w:sz w:val="24"/>
        </w:rPr>
        <w:t>but secondary role in improving </w:t>
      </w:r>
      <w:r>
        <w:rPr>
          <w:spacing w:val="-2"/>
          <w:sz w:val="24"/>
        </w:rPr>
        <w:t>standards;</w:t>
      </w:r>
    </w:p>
    <w:p>
      <w:pPr>
        <w:pStyle w:val="BodyText"/>
        <w:spacing w:before="2"/>
      </w:pPr>
    </w:p>
    <w:p>
      <w:pPr>
        <w:pStyle w:val="ListParagraph"/>
        <w:numPr>
          <w:ilvl w:val="2"/>
          <w:numId w:val="23"/>
        </w:numPr>
        <w:tabs>
          <w:tab w:pos="308" w:val="left" w:leader="none"/>
        </w:tabs>
        <w:spacing w:line="240" w:lineRule="auto" w:before="0" w:after="0"/>
        <w:ind w:left="160" w:right="498" w:firstLine="0"/>
        <w:jc w:val="both"/>
        <w:rPr>
          <w:sz w:val="24"/>
        </w:rPr>
      </w:pPr>
      <w:r>
        <w:rPr>
          <w:sz w:val="24"/>
        </w:rPr>
        <w:t>the changes proposed in structure and duration will be rather slow in making an impact on quality, because their full implementation has been spread over twenty years; and</w:t>
      </w:r>
    </w:p>
    <w:p>
      <w:pPr>
        <w:pStyle w:val="BodyText"/>
        <w:spacing w:before="5"/>
      </w:pPr>
    </w:p>
    <w:p>
      <w:pPr>
        <w:pStyle w:val="ListParagraph"/>
        <w:numPr>
          <w:ilvl w:val="2"/>
          <w:numId w:val="23"/>
        </w:numPr>
        <w:tabs>
          <w:tab w:pos="322" w:val="left" w:leader="none"/>
        </w:tabs>
        <w:spacing w:line="240" w:lineRule="auto" w:before="0" w:after="0"/>
        <w:ind w:left="160" w:right="497" w:firstLine="0"/>
        <w:jc w:val="both"/>
        <w:rPr>
          <w:sz w:val="24"/>
        </w:rPr>
      </w:pPr>
      <w:r>
        <w:rPr>
          <w:sz w:val="24"/>
        </w:rPr>
        <w:t>the most serious weakness of the existing educational system lies, not in its structure, but in its feebleness. We are getting relatively much less than what we should from the system as it exists and the resources that go into it. No reorganization of structure or addition of time can remedy this basic weakness.</w:t>
      </w:r>
    </w:p>
    <w:p>
      <w:pPr>
        <w:pStyle w:val="BodyText"/>
        <w:spacing w:before="4"/>
      </w:pPr>
    </w:p>
    <w:p>
      <w:pPr>
        <w:pStyle w:val="BodyText"/>
        <w:ind w:left="160" w:right="496"/>
        <w:jc w:val="both"/>
      </w:pPr>
      <w:r>
        <w:rPr/>
        <w:t>It is, therefore, necessary to place a much greater emphasis in all our plans of educational reconstruction on programmes of intensive utilization of facilities available, and on improving the extent and quality of the inputs other than time, and particularly on the improvement of teachers. These will yield immediate and far-reaching results.</w:t>
      </w:r>
    </w:p>
    <w:p>
      <w:pPr>
        <w:pStyle w:val="BodyText"/>
        <w:spacing w:before="3"/>
      </w:pPr>
    </w:p>
    <w:p>
      <w:pPr>
        <w:pStyle w:val="ListParagraph"/>
        <w:numPr>
          <w:ilvl w:val="1"/>
          <w:numId w:val="23"/>
        </w:numPr>
        <w:tabs>
          <w:tab w:pos="657" w:val="left" w:leader="none"/>
        </w:tabs>
        <w:spacing w:line="240" w:lineRule="auto" w:before="0" w:after="0"/>
        <w:ind w:left="160" w:right="495" w:firstLine="0"/>
        <w:jc w:val="both"/>
        <w:rPr>
          <w:sz w:val="24"/>
        </w:rPr>
      </w:pPr>
      <w:r>
        <w:rPr>
          <w:sz w:val="24"/>
        </w:rPr>
        <w:t>It will be generally agreed that the facilities in our educational system, deficient as they are, are not utilized to their full advantage. There is much that can be done to improve standards even in existing circumstances by lengthening the school day, increasing the number of working days, making full use of the long vacations, and</w:t>
      </w:r>
    </w:p>
    <w:p>
      <w:pPr>
        <w:spacing w:line="242" w:lineRule="auto" w:before="247"/>
        <w:ind w:left="159" w:right="497" w:firstLine="0"/>
        <w:jc w:val="both"/>
        <w:rPr>
          <w:sz w:val="20"/>
        </w:rPr>
      </w:pPr>
      <w:r>
        <w:rPr>
          <w:b/>
          <w:position w:val="11"/>
          <w:sz w:val="16"/>
        </w:rPr>
        <w:t>21</w:t>
      </w:r>
      <w:r>
        <w:rPr>
          <w:sz w:val="20"/>
        </w:rPr>
        <w:t>The three-year honours courses offered formerly by the universities in U.P. did not prove a Success for a variety of reasons, one of them being that the pass course had a duration of two years and admissions to postgraduate courses were open to honours as well as to pass graduates.</w:t>
      </w:r>
    </w:p>
    <w:p>
      <w:pPr>
        <w:pStyle w:val="BodyText"/>
        <w:spacing w:before="51"/>
        <w:rPr>
          <w:sz w:val="20"/>
        </w:rPr>
      </w:pPr>
    </w:p>
    <w:p>
      <w:pPr>
        <w:pStyle w:val="BodyText"/>
        <w:ind w:left="160"/>
        <w:jc w:val="both"/>
      </w:pPr>
      <w:r>
        <w:rPr>
          <w:b/>
          <w:vertAlign w:val="superscript"/>
        </w:rPr>
        <w:t>22</w:t>
      </w:r>
      <w:r>
        <w:rPr>
          <w:vertAlign w:val="baseline"/>
        </w:rPr>
        <w:t>Chapters</w:t>
      </w:r>
      <w:r>
        <w:rPr>
          <w:spacing w:val="-5"/>
          <w:vertAlign w:val="baseline"/>
        </w:rPr>
        <w:t> </w:t>
      </w:r>
      <w:r>
        <w:rPr>
          <w:vertAlign w:val="baseline"/>
        </w:rPr>
        <w:t>V,</w:t>
      </w:r>
      <w:r>
        <w:rPr>
          <w:spacing w:val="-4"/>
          <w:vertAlign w:val="baseline"/>
        </w:rPr>
        <w:t> </w:t>
      </w:r>
      <w:r>
        <w:rPr>
          <w:vertAlign w:val="baseline"/>
        </w:rPr>
        <w:t>XII,</w:t>
      </w:r>
      <w:r>
        <w:rPr>
          <w:spacing w:val="-4"/>
          <w:vertAlign w:val="baseline"/>
        </w:rPr>
        <w:t> </w:t>
      </w:r>
      <w:r>
        <w:rPr>
          <w:vertAlign w:val="baseline"/>
        </w:rPr>
        <w:t>XIV</w:t>
      </w:r>
      <w:r>
        <w:rPr>
          <w:spacing w:val="-5"/>
          <w:vertAlign w:val="baseline"/>
        </w:rPr>
        <w:t> </w:t>
      </w:r>
      <w:r>
        <w:rPr>
          <w:vertAlign w:val="baseline"/>
        </w:rPr>
        <w:t>and</w:t>
      </w:r>
      <w:r>
        <w:rPr>
          <w:spacing w:val="-4"/>
          <w:vertAlign w:val="baseline"/>
        </w:rPr>
        <w:t> </w:t>
      </w:r>
      <w:r>
        <w:rPr>
          <w:spacing w:val="-5"/>
          <w:vertAlign w:val="baseline"/>
        </w:rPr>
        <w:t>XV.</w:t>
      </w:r>
    </w:p>
    <w:p>
      <w:pPr>
        <w:spacing w:after="0"/>
        <w:jc w:val="both"/>
        <w:sectPr>
          <w:pgSz w:w="12240" w:h="15840"/>
          <w:pgMar w:header="0" w:footer="743" w:top="1360" w:bottom="940" w:left="1640" w:right="1300"/>
        </w:sectPr>
      </w:pPr>
    </w:p>
    <w:p>
      <w:pPr>
        <w:pStyle w:val="BodyText"/>
        <w:spacing w:before="76"/>
        <w:ind w:left="160" w:right="496"/>
        <w:jc w:val="both"/>
      </w:pPr>
      <w:r>
        <w:rPr/>
        <w:t>generally creating a climate of hard and sustained work. The key to rapid national development is dedication and hard work. Educational institutions should give a lead to society in this matter and create the required climate, in the first instance, in the educational system itself.</w:t>
      </w:r>
    </w:p>
    <w:p>
      <w:pPr>
        <w:pStyle w:val="BodyText"/>
        <w:spacing w:before="4"/>
      </w:pPr>
    </w:p>
    <w:p>
      <w:pPr>
        <w:pStyle w:val="ListParagraph"/>
        <w:numPr>
          <w:ilvl w:val="1"/>
          <w:numId w:val="23"/>
        </w:numPr>
        <w:tabs>
          <w:tab w:pos="639" w:val="left" w:leader="none"/>
        </w:tabs>
        <w:spacing w:line="240" w:lineRule="auto" w:before="0" w:after="0"/>
        <w:ind w:left="159" w:right="491" w:firstLine="0"/>
        <w:jc w:val="both"/>
        <w:rPr>
          <w:b/>
          <w:sz w:val="24"/>
        </w:rPr>
      </w:pPr>
      <w:r>
        <w:rPr>
          <w:b/>
          <w:sz w:val="24"/>
        </w:rPr>
        <w:t>Working</w:t>
      </w:r>
      <w:r>
        <w:rPr>
          <w:b/>
          <w:spacing w:val="-3"/>
          <w:sz w:val="24"/>
        </w:rPr>
        <w:t> </w:t>
      </w:r>
      <w:r>
        <w:rPr>
          <w:b/>
          <w:sz w:val="24"/>
        </w:rPr>
        <w:t>and</w:t>
      </w:r>
      <w:r>
        <w:rPr>
          <w:b/>
          <w:spacing w:val="-3"/>
          <w:sz w:val="24"/>
        </w:rPr>
        <w:t> </w:t>
      </w:r>
      <w:r>
        <w:rPr>
          <w:b/>
          <w:sz w:val="24"/>
        </w:rPr>
        <w:t>Instructional</w:t>
      </w:r>
      <w:r>
        <w:rPr>
          <w:b/>
          <w:spacing w:val="-3"/>
          <w:sz w:val="24"/>
        </w:rPr>
        <w:t> </w:t>
      </w:r>
      <w:r>
        <w:rPr>
          <w:b/>
          <w:sz w:val="24"/>
        </w:rPr>
        <w:t>Days.</w:t>
      </w:r>
      <w:r>
        <w:rPr>
          <w:b/>
          <w:spacing w:val="-4"/>
          <w:sz w:val="24"/>
        </w:rPr>
        <w:t> </w:t>
      </w:r>
      <w:r>
        <w:rPr>
          <w:sz w:val="24"/>
        </w:rPr>
        <w:t>At</w:t>
      </w:r>
      <w:r>
        <w:rPr>
          <w:spacing w:val="-3"/>
          <w:sz w:val="24"/>
        </w:rPr>
        <w:t> </w:t>
      </w:r>
      <w:r>
        <w:rPr>
          <w:sz w:val="24"/>
        </w:rPr>
        <w:t>present,</w:t>
      </w:r>
      <w:r>
        <w:rPr>
          <w:spacing w:val="-3"/>
          <w:sz w:val="24"/>
        </w:rPr>
        <w:t> </w:t>
      </w:r>
      <w:r>
        <w:rPr>
          <w:sz w:val="24"/>
        </w:rPr>
        <w:t>the</w:t>
      </w:r>
      <w:r>
        <w:rPr>
          <w:spacing w:val="-3"/>
          <w:sz w:val="24"/>
        </w:rPr>
        <w:t> </w:t>
      </w:r>
      <w:r>
        <w:rPr>
          <w:sz w:val="24"/>
        </w:rPr>
        <w:t>total</w:t>
      </w:r>
      <w:r>
        <w:rPr>
          <w:spacing w:val="-3"/>
          <w:sz w:val="24"/>
        </w:rPr>
        <w:t> </w:t>
      </w:r>
      <w:r>
        <w:rPr>
          <w:sz w:val="24"/>
        </w:rPr>
        <w:t>number</w:t>
      </w:r>
      <w:r>
        <w:rPr>
          <w:spacing w:val="-3"/>
          <w:sz w:val="24"/>
        </w:rPr>
        <w:t> </w:t>
      </w:r>
      <w:r>
        <w:rPr>
          <w:sz w:val="24"/>
        </w:rPr>
        <w:t>of</w:t>
      </w:r>
      <w:r>
        <w:rPr>
          <w:spacing w:val="-3"/>
          <w:sz w:val="24"/>
        </w:rPr>
        <w:t> </w:t>
      </w:r>
      <w:r>
        <w:rPr>
          <w:sz w:val="24"/>
        </w:rPr>
        <w:t>working</w:t>
      </w:r>
      <w:r>
        <w:rPr>
          <w:spacing w:val="-3"/>
          <w:sz w:val="24"/>
        </w:rPr>
        <w:t> </w:t>
      </w:r>
      <w:r>
        <w:rPr>
          <w:sz w:val="24"/>
        </w:rPr>
        <w:t>days</w:t>
      </w:r>
      <w:r>
        <w:rPr>
          <w:spacing w:val="-3"/>
          <w:sz w:val="24"/>
        </w:rPr>
        <w:t> </w:t>
      </w:r>
      <w:r>
        <w:rPr>
          <w:sz w:val="24"/>
        </w:rPr>
        <w:t>and hours prescribed for educational institutions at all levels is inadequate. What is far worse, a very large proportion of these working days is lost to education for a variety of reasons with the result that the total number of instructional days, i.e., days which are fully utilized for instructional purposes, is often reduced to an absurdly low figure. The details of a study conducted by the Commission to ascertain the number of working days and hours in schools and colleges in different parts of the country (as officially prescribed by the State Education Departments and universities) has been given elsewhere. It shows</w:t>
      </w:r>
      <w:r>
        <w:rPr>
          <w:spacing w:val="40"/>
          <w:sz w:val="24"/>
        </w:rPr>
        <w:t> </w:t>
      </w:r>
      <w:r>
        <w:rPr>
          <w:sz w:val="24"/>
        </w:rPr>
        <w:t>that</w:t>
      </w:r>
      <w:r>
        <w:rPr>
          <w:spacing w:val="-1"/>
          <w:sz w:val="24"/>
        </w:rPr>
        <w:t> </w:t>
      </w:r>
      <w:r>
        <w:rPr>
          <w:sz w:val="24"/>
        </w:rPr>
        <w:t>there</w:t>
      </w:r>
      <w:r>
        <w:rPr>
          <w:spacing w:val="-1"/>
          <w:sz w:val="24"/>
        </w:rPr>
        <w:t> </w:t>
      </w:r>
      <w:r>
        <w:rPr>
          <w:sz w:val="24"/>
        </w:rPr>
        <w:t>is</w:t>
      </w:r>
      <w:r>
        <w:rPr>
          <w:spacing w:val="-1"/>
          <w:sz w:val="24"/>
        </w:rPr>
        <w:t> </w:t>
      </w:r>
      <w:r>
        <w:rPr>
          <w:sz w:val="24"/>
        </w:rPr>
        <w:t>considerable</w:t>
      </w:r>
      <w:r>
        <w:rPr>
          <w:spacing w:val="-1"/>
          <w:sz w:val="24"/>
        </w:rPr>
        <w:t> </w:t>
      </w:r>
      <w:r>
        <w:rPr>
          <w:sz w:val="24"/>
        </w:rPr>
        <w:t>variation,</w:t>
      </w:r>
      <w:r>
        <w:rPr>
          <w:spacing w:val="-1"/>
          <w:sz w:val="24"/>
        </w:rPr>
        <w:t> </w:t>
      </w:r>
      <w:r>
        <w:rPr>
          <w:sz w:val="24"/>
        </w:rPr>
        <w:t>from</w:t>
      </w:r>
      <w:r>
        <w:rPr>
          <w:spacing w:val="-3"/>
          <w:sz w:val="24"/>
        </w:rPr>
        <w:t> </w:t>
      </w:r>
      <w:r>
        <w:rPr>
          <w:sz w:val="24"/>
        </w:rPr>
        <w:t>area</w:t>
      </w:r>
      <w:r>
        <w:rPr>
          <w:spacing w:val="-1"/>
          <w:sz w:val="24"/>
        </w:rPr>
        <w:t> </w:t>
      </w:r>
      <w:r>
        <w:rPr>
          <w:sz w:val="24"/>
        </w:rPr>
        <w:t>to</w:t>
      </w:r>
      <w:r>
        <w:rPr>
          <w:spacing w:val="-1"/>
          <w:sz w:val="24"/>
        </w:rPr>
        <w:t> </w:t>
      </w:r>
      <w:r>
        <w:rPr>
          <w:sz w:val="24"/>
        </w:rPr>
        <w:t>area,</w:t>
      </w:r>
      <w:r>
        <w:rPr>
          <w:spacing w:val="-1"/>
          <w:sz w:val="24"/>
        </w:rPr>
        <w:t> </w:t>
      </w:r>
      <w:r>
        <w:rPr>
          <w:sz w:val="24"/>
        </w:rPr>
        <w:t>in</w:t>
      </w:r>
      <w:r>
        <w:rPr>
          <w:spacing w:val="-1"/>
          <w:sz w:val="24"/>
        </w:rPr>
        <w:t> </w:t>
      </w:r>
      <w:r>
        <w:rPr>
          <w:sz w:val="24"/>
        </w:rPr>
        <w:t>the</w:t>
      </w:r>
      <w:r>
        <w:rPr>
          <w:spacing w:val="-1"/>
          <w:sz w:val="24"/>
        </w:rPr>
        <w:t> </w:t>
      </w:r>
      <w:r>
        <w:rPr>
          <w:sz w:val="24"/>
        </w:rPr>
        <w:t>total</w:t>
      </w:r>
      <w:r>
        <w:rPr>
          <w:spacing w:val="-1"/>
          <w:sz w:val="24"/>
        </w:rPr>
        <w:t> </w:t>
      </w:r>
      <w:r>
        <w:rPr>
          <w:sz w:val="24"/>
        </w:rPr>
        <w:t>number</w:t>
      </w:r>
      <w:r>
        <w:rPr>
          <w:spacing w:val="-1"/>
          <w:sz w:val="24"/>
        </w:rPr>
        <w:t> </w:t>
      </w:r>
      <w:r>
        <w:rPr>
          <w:sz w:val="24"/>
        </w:rPr>
        <w:t>of</w:t>
      </w:r>
      <w:r>
        <w:rPr>
          <w:spacing w:val="-1"/>
          <w:sz w:val="24"/>
        </w:rPr>
        <w:t> </w:t>
      </w:r>
      <w:r>
        <w:rPr>
          <w:sz w:val="24"/>
        </w:rPr>
        <w:t>working</w:t>
      </w:r>
      <w:r>
        <w:rPr>
          <w:spacing w:val="-1"/>
          <w:sz w:val="24"/>
        </w:rPr>
        <w:t> </w:t>
      </w:r>
      <w:r>
        <w:rPr>
          <w:sz w:val="24"/>
        </w:rPr>
        <w:t>days in a year-these range from 172 to 309 at the school stage and from 120 to 240 at the university stage. The number of holidays given within a school year shows even larger variations- from 20 to 75 at the school stage and from 4 to 49 at the university stage. Similarly,</w:t>
      </w:r>
      <w:r>
        <w:rPr>
          <w:spacing w:val="-1"/>
          <w:sz w:val="24"/>
        </w:rPr>
        <w:t> </w:t>
      </w:r>
      <w:r>
        <w:rPr>
          <w:sz w:val="24"/>
        </w:rPr>
        <w:t>the</w:t>
      </w:r>
      <w:r>
        <w:rPr>
          <w:spacing w:val="-1"/>
          <w:sz w:val="24"/>
        </w:rPr>
        <w:t> </w:t>
      </w:r>
      <w:r>
        <w:rPr>
          <w:sz w:val="24"/>
        </w:rPr>
        <w:t>total</w:t>
      </w:r>
      <w:r>
        <w:rPr>
          <w:spacing w:val="-1"/>
          <w:sz w:val="24"/>
        </w:rPr>
        <w:t> </w:t>
      </w:r>
      <w:r>
        <w:rPr>
          <w:sz w:val="24"/>
        </w:rPr>
        <w:t>duration</w:t>
      </w:r>
      <w:r>
        <w:rPr>
          <w:spacing w:val="-1"/>
          <w:sz w:val="24"/>
        </w:rPr>
        <w:t> </w:t>
      </w:r>
      <w:r>
        <w:rPr>
          <w:sz w:val="24"/>
        </w:rPr>
        <w:t>of</w:t>
      </w:r>
      <w:r>
        <w:rPr>
          <w:spacing w:val="-1"/>
          <w:sz w:val="24"/>
        </w:rPr>
        <w:t> </w:t>
      </w:r>
      <w:r>
        <w:rPr>
          <w:sz w:val="24"/>
        </w:rPr>
        <w:t>vacations</w:t>
      </w:r>
      <w:r>
        <w:rPr>
          <w:spacing w:val="-1"/>
          <w:sz w:val="24"/>
        </w:rPr>
        <w:t> </w:t>
      </w:r>
      <w:r>
        <w:rPr>
          <w:sz w:val="24"/>
        </w:rPr>
        <w:t>varies</w:t>
      </w:r>
      <w:r>
        <w:rPr>
          <w:spacing w:val="-3"/>
          <w:sz w:val="24"/>
        </w:rPr>
        <w:t> </w:t>
      </w:r>
      <w:r>
        <w:rPr>
          <w:sz w:val="24"/>
        </w:rPr>
        <w:t>from</w:t>
      </w:r>
      <w:r>
        <w:rPr>
          <w:spacing w:val="-3"/>
          <w:sz w:val="24"/>
        </w:rPr>
        <w:t> </w:t>
      </w:r>
      <w:r>
        <w:rPr>
          <w:sz w:val="24"/>
        </w:rPr>
        <w:t>36</w:t>
      </w:r>
      <w:r>
        <w:rPr>
          <w:spacing w:val="-1"/>
          <w:sz w:val="24"/>
        </w:rPr>
        <w:t> </w:t>
      </w:r>
      <w:r>
        <w:rPr>
          <w:sz w:val="24"/>
        </w:rPr>
        <w:t>to</w:t>
      </w:r>
      <w:r>
        <w:rPr>
          <w:spacing w:val="-1"/>
          <w:sz w:val="24"/>
        </w:rPr>
        <w:t> </w:t>
      </w:r>
      <w:r>
        <w:rPr>
          <w:sz w:val="24"/>
        </w:rPr>
        <w:t>84</w:t>
      </w:r>
      <w:r>
        <w:rPr>
          <w:spacing w:val="-1"/>
          <w:sz w:val="24"/>
        </w:rPr>
        <w:t> </w:t>
      </w:r>
      <w:r>
        <w:rPr>
          <w:sz w:val="24"/>
        </w:rPr>
        <w:t>days</w:t>
      </w:r>
      <w:r>
        <w:rPr>
          <w:spacing w:val="-1"/>
          <w:sz w:val="24"/>
        </w:rPr>
        <w:t> </w:t>
      </w:r>
      <w:r>
        <w:rPr>
          <w:sz w:val="24"/>
        </w:rPr>
        <w:t>at</w:t>
      </w:r>
      <w:r>
        <w:rPr>
          <w:spacing w:val="-1"/>
          <w:sz w:val="24"/>
        </w:rPr>
        <w:t> </w:t>
      </w:r>
      <w:r>
        <w:rPr>
          <w:sz w:val="24"/>
        </w:rPr>
        <w:t>the</w:t>
      </w:r>
      <w:r>
        <w:rPr>
          <w:spacing w:val="-1"/>
          <w:sz w:val="24"/>
        </w:rPr>
        <w:t> </w:t>
      </w:r>
      <w:r>
        <w:rPr>
          <w:sz w:val="24"/>
        </w:rPr>
        <w:t>school</w:t>
      </w:r>
      <w:r>
        <w:rPr>
          <w:spacing w:val="-1"/>
          <w:sz w:val="24"/>
        </w:rPr>
        <w:t> </w:t>
      </w:r>
      <w:r>
        <w:rPr>
          <w:sz w:val="24"/>
        </w:rPr>
        <w:t>stage</w:t>
      </w:r>
      <w:r>
        <w:rPr>
          <w:spacing w:val="-1"/>
          <w:sz w:val="24"/>
        </w:rPr>
        <w:t> </w:t>
      </w:r>
      <w:r>
        <w:rPr>
          <w:sz w:val="24"/>
        </w:rPr>
        <w:t>and from 62 to 137 at the university stage. The days utilized for examinations (inclusive of preparatory leave) vary from 10 to 77 and the loss on account of celebrations such as foundation days, annual functions of societies, etc is sometimes as high as 40 to 60 days in a year. These facts are a sad reflection on the efficiency of the educational system, and the general under- utilization which they represent in a developing economy like ours is tantamount to an unpardonable waste of scarce resources. We, therefore, recommend that the number of instructional days in a year should be increased to about 234 (or 39 weeks) for schools and 216 (or 36 weeks) for colleges (and pre-primary schools).</w:t>
      </w:r>
    </w:p>
    <w:p>
      <w:pPr>
        <w:pStyle w:val="BodyText"/>
        <w:spacing w:before="4"/>
      </w:pPr>
    </w:p>
    <w:p>
      <w:pPr>
        <w:pStyle w:val="ListParagraph"/>
        <w:numPr>
          <w:ilvl w:val="1"/>
          <w:numId w:val="23"/>
        </w:numPr>
        <w:tabs>
          <w:tab w:pos="652" w:val="left" w:leader="none"/>
        </w:tabs>
        <w:spacing w:line="240" w:lineRule="auto" w:before="0" w:after="0"/>
        <w:ind w:left="160" w:right="497" w:firstLine="0"/>
        <w:jc w:val="both"/>
        <w:rPr>
          <w:b/>
          <w:sz w:val="24"/>
        </w:rPr>
      </w:pPr>
      <w:r>
        <w:rPr>
          <w:b/>
          <w:sz w:val="24"/>
        </w:rPr>
        <w:t>Specimen Calendar. </w:t>
      </w:r>
      <w:r>
        <w:rPr>
          <w:sz w:val="24"/>
        </w:rPr>
        <w:t>In addition, it may be useful to see how this recommendation will be reflected in terms of an academic calendar. For this purpose, we give below a specimen calendar for schools and colleges:</w:t>
      </w:r>
    </w:p>
    <w:p>
      <w:pPr>
        <w:pStyle w:val="BodyText"/>
        <w:spacing w:before="5"/>
      </w:pPr>
    </w:p>
    <w:p>
      <w:pPr>
        <w:pStyle w:val="ListParagraph"/>
        <w:numPr>
          <w:ilvl w:val="0"/>
          <w:numId w:val="30"/>
        </w:numPr>
        <w:tabs>
          <w:tab w:pos="499" w:val="left" w:leader="none"/>
        </w:tabs>
        <w:spacing w:line="240" w:lineRule="auto" w:before="0" w:after="0"/>
        <w:ind w:left="499" w:right="0" w:hanging="339"/>
        <w:jc w:val="both"/>
        <w:rPr>
          <w:sz w:val="24"/>
        </w:rPr>
      </w:pPr>
      <w:r>
        <w:rPr>
          <w:sz w:val="24"/>
        </w:rPr>
        <w:t>For</w:t>
      </w:r>
      <w:r>
        <w:rPr>
          <w:spacing w:val="-1"/>
          <w:sz w:val="24"/>
        </w:rPr>
        <w:t> </w:t>
      </w:r>
      <w:r>
        <w:rPr>
          <w:sz w:val="24"/>
        </w:rPr>
        <w:t>the</w:t>
      </w:r>
      <w:r>
        <w:rPr>
          <w:spacing w:val="-1"/>
          <w:sz w:val="24"/>
        </w:rPr>
        <w:t> </w:t>
      </w:r>
      <w:r>
        <w:rPr>
          <w:sz w:val="24"/>
        </w:rPr>
        <w:t>schools,</w:t>
      </w:r>
      <w:r>
        <w:rPr>
          <w:spacing w:val="-1"/>
          <w:sz w:val="24"/>
        </w:rPr>
        <w:t> </w:t>
      </w:r>
      <w:r>
        <w:rPr>
          <w:sz w:val="24"/>
        </w:rPr>
        <w:t>the</w:t>
      </w:r>
      <w:r>
        <w:rPr>
          <w:spacing w:val="-1"/>
          <w:sz w:val="24"/>
        </w:rPr>
        <w:t> </w:t>
      </w:r>
      <w:r>
        <w:rPr>
          <w:sz w:val="24"/>
        </w:rPr>
        <w:t>calendar will</w:t>
      </w:r>
      <w:r>
        <w:rPr>
          <w:spacing w:val="-1"/>
          <w:sz w:val="24"/>
        </w:rPr>
        <w:t> </w:t>
      </w:r>
      <w:r>
        <w:rPr>
          <w:sz w:val="24"/>
        </w:rPr>
        <w:t>be</w:t>
      </w:r>
      <w:r>
        <w:rPr>
          <w:spacing w:val="-1"/>
          <w:sz w:val="24"/>
        </w:rPr>
        <w:t> </w:t>
      </w:r>
      <w:r>
        <w:rPr>
          <w:sz w:val="24"/>
        </w:rPr>
        <w:t>somewhat</w:t>
      </w:r>
      <w:r>
        <w:rPr>
          <w:spacing w:val="-1"/>
          <w:sz w:val="24"/>
        </w:rPr>
        <w:t> </w:t>
      </w:r>
      <w:r>
        <w:rPr>
          <w:sz w:val="24"/>
        </w:rPr>
        <w:t>like</w:t>
      </w:r>
      <w:r>
        <w:rPr>
          <w:spacing w:val="-1"/>
          <w:sz w:val="24"/>
        </w:rPr>
        <w:t> </w:t>
      </w:r>
      <w:r>
        <w:rPr>
          <w:sz w:val="24"/>
        </w:rPr>
        <w:t>the </w:t>
      </w:r>
      <w:r>
        <w:rPr>
          <w:spacing w:val="-2"/>
          <w:sz w:val="24"/>
        </w:rPr>
        <w:t>following:</w:t>
      </w:r>
    </w:p>
    <w:p>
      <w:pPr>
        <w:pStyle w:val="BodyText"/>
        <w:spacing w:before="4"/>
      </w:pPr>
    </w:p>
    <w:p>
      <w:pPr>
        <w:pStyle w:val="BodyText"/>
        <w:ind w:left="160" w:right="496"/>
        <w:jc w:val="both"/>
      </w:pPr>
      <w:r>
        <w:rPr/>
        <w:t>July 15-Opening day. (Teachers will attend school one week earlier to make admissions and to prepare plans for the next year.) July 15 to November 30-First working term. (Not more than one week to be lost in admissions') December 1 to December 15-First vacation term of two weeks. December 16 to May 30-Second working term. Teaching to be over by April 15. April 16 to April 30-Guided studies by students to prepare for their examinations. Annual examinations in the first week of May and to be over by the 7th of May (if necessary, the preparatory period may be cut down). Second week of May- Vacation term of one week for students while teachers examine papers. May 15- Declaration of results. May 16 to May 30-Guidance classes to students for the new year. July 1 to July 14-Second vacation term of six weeks. (For students who have failed in the annual examinations, special tutorials to be organized during the vacation term, a re- examination to be held in the second week of July and the students to be promoted to the next class if they pass.)</w:t>
      </w:r>
    </w:p>
    <w:p>
      <w:pPr>
        <w:spacing w:after="0"/>
        <w:jc w:val="both"/>
        <w:sectPr>
          <w:pgSz w:w="12240" w:h="15840"/>
          <w:pgMar w:header="0" w:footer="743" w:top="1360" w:bottom="940" w:left="1640" w:right="1300"/>
        </w:sectPr>
      </w:pPr>
    </w:p>
    <w:p>
      <w:pPr>
        <w:pStyle w:val="BodyText"/>
        <w:spacing w:before="76"/>
        <w:ind w:left="160" w:right="497"/>
        <w:jc w:val="both"/>
      </w:pPr>
      <w:r>
        <w:rPr/>
        <w:t>Note: Some clarification may be given. The idea of vacation terms should be made secular and dissociated from religious festivals like Diwali, Christmas or Puja. The</w:t>
      </w:r>
      <w:r>
        <w:rPr>
          <w:spacing w:val="40"/>
        </w:rPr>
        <w:t> </w:t>
      </w:r>
      <w:r>
        <w:rPr/>
        <w:t>breaks needed for these holidays could be adjusted within the 10 holidays permitted in a year (or with the addition of 3-7 days which could be reduced from the break at the end</w:t>
      </w:r>
      <w:r>
        <w:rPr>
          <w:spacing w:val="40"/>
        </w:rPr>
        <w:t> </w:t>
      </w:r>
      <w:r>
        <w:rPr/>
        <w:t>of the first term).</w:t>
      </w:r>
    </w:p>
    <w:p>
      <w:pPr>
        <w:pStyle w:val="BodyText"/>
        <w:spacing w:before="4"/>
      </w:pPr>
    </w:p>
    <w:p>
      <w:pPr>
        <w:pStyle w:val="BodyText"/>
        <w:ind w:left="160" w:right="496"/>
        <w:jc w:val="both"/>
      </w:pPr>
      <w:r>
        <w:rPr/>
        <w:t>For the students in Classes X and XII who will take an external examination, the time- table will be slightly different, as follows: July I to November 15-First working term. November 15 to November 22 (one week)-First vacation term. November 23 to January 31 (Teaching time)-Second working term.</w:t>
      </w:r>
    </w:p>
    <w:p>
      <w:pPr>
        <w:pStyle w:val="BodyText"/>
        <w:spacing w:before="4"/>
      </w:pPr>
    </w:p>
    <w:p>
      <w:pPr>
        <w:pStyle w:val="BodyText"/>
        <w:ind w:left="160" w:right="493"/>
        <w:jc w:val="both"/>
      </w:pPr>
      <w:r>
        <w:rPr/>
        <w:t>February 1 to February 28-Guided preparation. March 1 to March 15-Examinations (may also be arranged from February 15 to February 28). May 30 to July 15-Declaration of results.</w:t>
      </w:r>
      <w:r>
        <w:rPr>
          <w:spacing w:val="-2"/>
        </w:rPr>
        <w:t> </w:t>
      </w:r>
      <w:r>
        <w:rPr/>
        <w:t>The</w:t>
      </w:r>
      <w:r>
        <w:rPr>
          <w:spacing w:val="-2"/>
        </w:rPr>
        <w:t> </w:t>
      </w:r>
      <w:r>
        <w:rPr/>
        <w:t>time</w:t>
      </w:r>
      <w:r>
        <w:rPr>
          <w:spacing w:val="-2"/>
        </w:rPr>
        <w:t> </w:t>
      </w:r>
      <w:r>
        <w:rPr/>
        <w:t>allowed</w:t>
      </w:r>
      <w:r>
        <w:rPr>
          <w:spacing w:val="-2"/>
        </w:rPr>
        <w:t> </w:t>
      </w:r>
      <w:r>
        <w:rPr/>
        <w:t>in</w:t>
      </w:r>
      <w:r>
        <w:rPr>
          <w:spacing w:val="-2"/>
        </w:rPr>
        <w:t> </w:t>
      </w:r>
      <w:r>
        <w:rPr/>
        <w:t>this</w:t>
      </w:r>
      <w:r>
        <w:rPr>
          <w:spacing w:val="-2"/>
        </w:rPr>
        <w:t> </w:t>
      </w:r>
      <w:r>
        <w:rPr/>
        <w:t>arrangement</w:t>
      </w:r>
      <w:r>
        <w:rPr>
          <w:spacing w:val="-2"/>
        </w:rPr>
        <w:t> </w:t>
      </w:r>
      <w:r>
        <w:rPr/>
        <w:t>for</w:t>
      </w:r>
      <w:r>
        <w:rPr>
          <w:spacing w:val="-1"/>
        </w:rPr>
        <w:t> </w:t>
      </w:r>
      <w:r>
        <w:rPr/>
        <w:t>the</w:t>
      </w:r>
      <w:r>
        <w:rPr>
          <w:spacing w:val="-2"/>
        </w:rPr>
        <w:t> </w:t>
      </w:r>
      <w:r>
        <w:rPr/>
        <w:t>declaration</w:t>
      </w:r>
      <w:r>
        <w:rPr>
          <w:spacing w:val="-2"/>
        </w:rPr>
        <w:t> </w:t>
      </w:r>
      <w:r>
        <w:rPr/>
        <w:t>of</w:t>
      </w:r>
      <w:r>
        <w:rPr>
          <w:spacing w:val="-2"/>
        </w:rPr>
        <w:t> </w:t>
      </w:r>
      <w:r>
        <w:rPr/>
        <w:t>results</w:t>
      </w:r>
      <w:r>
        <w:rPr>
          <w:spacing w:val="-2"/>
        </w:rPr>
        <w:t> </w:t>
      </w:r>
      <w:r>
        <w:rPr/>
        <w:t>varies</w:t>
      </w:r>
      <w:r>
        <w:rPr>
          <w:spacing w:val="-2"/>
        </w:rPr>
        <w:t> </w:t>
      </w:r>
      <w:r>
        <w:rPr/>
        <w:t>from</w:t>
      </w:r>
      <w:r>
        <w:rPr>
          <w:spacing w:val="-2"/>
        </w:rPr>
        <w:t> </w:t>
      </w:r>
      <w:r>
        <w:rPr/>
        <w:t>1.5 to 3.5 months. There is, however, an urgent need to reduce this time to not more than 2.5 months (from March 15 to May 30) and steps should be taken from this point of view.</w:t>
      </w:r>
    </w:p>
    <w:p>
      <w:pPr>
        <w:pStyle w:val="BodyText"/>
        <w:spacing w:before="5"/>
      </w:pPr>
    </w:p>
    <w:p>
      <w:pPr>
        <w:pStyle w:val="ListParagraph"/>
        <w:numPr>
          <w:ilvl w:val="0"/>
          <w:numId w:val="30"/>
        </w:numPr>
        <w:tabs>
          <w:tab w:pos="580" w:val="left" w:leader="none"/>
        </w:tabs>
        <w:spacing w:line="240" w:lineRule="auto" w:before="0" w:after="0"/>
        <w:ind w:left="160" w:right="495" w:firstLine="60"/>
        <w:jc w:val="both"/>
        <w:rPr>
          <w:sz w:val="24"/>
        </w:rPr>
      </w:pPr>
      <w:r>
        <w:rPr>
          <w:sz w:val="24"/>
        </w:rPr>
        <w:t>For the colleges and universities, the time-table will be somewhat on the following lines: July 15 to November 30-First working term. December 1 to December 15-First vacation term (2 weeks). December 16 to April 30-Second working term. (Examinations to begin after April 1 and to be finished by April 30.) May 1 to July 14-Second vacation term (10 weeks). (All results to be declared by May 30. For shortening the time, the practice of the IITs of inviting all examiners to a central place may be adopted.)</w:t>
      </w:r>
    </w:p>
    <w:p>
      <w:pPr>
        <w:pStyle w:val="BodyText"/>
        <w:spacing w:before="3"/>
      </w:pPr>
    </w:p>
    <w:p>
      <w:pPr>
        <w:pStyle w:val="ListParagraph"/>
        <w:numPr>
          <w:ilvl w:val="1"/>
          <w:numId w:val="23"/>
        </w:numPr>
        <w:tabs>
          <w:tab w:pos="649" w:val="left" w:leader="none"/>
        </w:tabs>
        <w:spacing w:line="240" w:lineRule="auto" w:before="1" w:after="0"/>
        <w:ind w:left="159" w:right="495" w:firstLine="0"/>
        <w:jc w:val="both"/>
        <w:rPr>
          <w:sz w:val="24"/>
        </w:rPr>
      </w:pPr>
      <w:r>
        <w:rPr>
          <w:sz w:val="24"/>
        </w:rPr>
        <w:t>The calendar given above is merely illustrative, and consultations with the agencies concerned will be necessary before it can be given a final shape. We recommend that this should be done by the Ministry of Education in consultation with the State Governments and by the University Grants Commission with the universities. We realize that, with the large variations in climate, the school calendar will have to vary from area to area. But whatever the calendar adopted, it should be ensured that the minimum number of instructional days should not be less than 234 a year for schools and 216 a year for colleges. This can be done by introducing two reforms:</w:t>
      </w:r>
    </w:p>
    <w:p>
      <w:pPr>
        <w:pStyle w:val="BodyText"/>
        <w:spacing w:before="3"/>
      </w:pPr>
    </w:p>
    <w:p>
      <w:pPr>
        <w:pStyle w:val="ListParagraph"/>
        <w:numPr>
          <w:ilvl w:val="0"/>
          <w:numId w:val="31"/>
        </w:numPr>
        <w:tabs>
          <w:tab w:pos="499" w:val="left" w:leader="none"/>
        </w:tabs>
        <w:spacing w:line="240" w:lineRule="auto" w:before="0" w:after="0"/>
        <w:ind w:left="159" w:right="495" w:firstLine="0"/>
        <w:jc w:val="both"/>
        <w:rPr>
          <w:sz w:val="24"/>
        </w:rPr>
      </w:pPr>
      <w:r>
        <w:rPr>
          <w:sz w:val="24"/>
        </w:rPr>
        <w:t>The</w:t>
      </w:r>
      <w:r>
        <w:rPr>
          <w:spacing w:val="-1"/>
          <w:sz w:val="24"/>
        </w:rPr>
        <w:t> </w:t>
      </w:r>
      <w:r>
        <w:rPr>
          <w:sz w:val="24"/>
        </w:rPr>
        <w:t>first</w:t>
      </w:r>
      <w:r>
        <w:rPr>
          <w:spacing w:val="-1"/>
          <w:sz w:val="24"/>
        </w:rPr>
        <w:t> </w:t>
      </w:r>
      <w:r>
        <w:rPr>
          <w:sz w:val="24"/>
        </w:rPr>
        <w:t>is</w:t>
      </w:r>
      <w:r>
        <w:rPr>
          <w:spacing w:val="-1"/>
          <w:sz w:val="24"/>
        </w:rPr>
        <w:t> </w:t>
      </w:r>
      <w:r>
        <w:rPr>
          <w:sz w:val="24"/>
        </w:rPr>
        <w:t>to</w:t>
      </w:r>
      <w:r>
        <w:rPr>
          <w:spacing w:val="-1"/>
          <w:sz w:val="24"/>
        </w:rPr>
        <w:t> </w:t>
      </w:r>
      <w:r>
        <w:rPr>
          <w:sz w:val="24"/>
        </w:rPr>
        <w:t>cut</w:t>
      </w:r>
      <w:r>
        <w:rPr>
          <w:spacing w:val="-1"/>
          <w:sz w:val="24"/>
        </w:rPr>
        <w:t> </w:t>
      </w:r>
      <w:r>
        <w:rPr>
          <w:sz w:val="24"/>
        </w:rPr>
        <w:t>down</w:t>
      </w:r>
      <w:r>
        <w:rPr>
          <w:spacing w:val="-1"/>
          <w:sz w:val="24"/>
        </w:rPr>
        <w:t> </w:t>
      </w:r>
      <w:r>
        <w:rPr>
          <w:sz w:val="24"/>
        </w:rPr>
        <w:t>other</w:t>
      </w:r>
      <w:r>
        <w:rPr>
          <w:spacing w:val="-1"/>
          <w:sz w:val="24"/>
        </w:rPr>
        <w:t> </w:t>
      </w:r>
      <w:r>
        <w:rPr>
          <w:sz w:val="24"/>
        </w:rPr>
        <w:t>holidays</w:t>
      </w:r>
      <w:r>
        <w:rPr>
          <w:spacing w:val="-1"/>
          <w:sz w:val="24"/>
        </w:rPr>
        <w:t> </w:t>
      </w:r>
      <w:r>
        <w:rPr>
          <w:sz w:val="24"/>
        </w:rPr>
        <w:t>which</w:t>
      </w:r>
      <w:r>
        <w:rPr>
          <w:spacing w:val="-2"/>
          <w:sz w:val="24"/>
        </w:rPr>
        <w:t> </w:t>
      </w:r>
      <w:r>
        <w:rPr>
          <w:sz w:val="24"/>
        </w:rPr>
        <w:t>are</w:t>
      </w:r>
      <w:r>
        <w:rPr>
          <w:spacing w:val="-2"/>
          <w:sz w:val="24"/>
        </w:rPr>
        <w:t> </w:t>
      </w:r>
      <w:r>
        <w:rPr>
          <w:sz w:val="24"/>
        </w:rPr>
        <w:t>now</w:t>
      </w:r>
      <w:r>
        <w:rPr>
          <w:spacing w:val="-2"/>
          <w:sz w:val="24"/>
        </w:rPr>
        <w:t> </w:t>
      </w:r>
      <w:r>
        <w:rPr>
          <w:sz w:val="24"/>
        </w:rPr>
        <w:t>as</w:t>
      </w:r>
      <w:r>
        <w:rPr>
          <w:spacing w:val="-2"/>
          <w:sz w:val="24"/>
        </w:rPr>
        <w:t> </w:t>
      </w:r>
      <w:r>
        <w:rPr>
          <w:sz w:val="24"/>
        </w:rPr>
        <w:t>many</w:t>
      </w:r>
      <w:r>
        <w:rPr>
          <w:spacing w:val="-2"/>
          <w:sz w:val="24"/>
        </w:rPr>
        <w:t> </w:t>
      </w:r>
      <w:r>
        <w:rPr>
          <w:sz w:val="24"/>
        </w:rPr>
        <w:t>as</w:t>
      </w:r>
      <w:r>
        <w:rPr>
          <w:spacing w:val="-2"/>
          <w:sz w:val="24"/>
        </w:rPr>
        <w:t> </w:t>
      </w:r>
      <w:r>
        <w:rPr>
          <w:sz w:val="24"/>
        </w:rPr>
        <w:t>35</w:t>
      </w:r>
      <w:r>
        <w:rPr>
          <w:spacing w:val="-1"/>
          <w:sz w:val="24"/>
        </w:rPr>
        <w:t> </w:t>
      </w:r>
      <w:r>
        <w:rPr>
          <w:sz w:val="24"/>
        </w:rPr>
        <w:t>or</w:t>
      </w:r>
      <w:r>
        <w:rPr>
          <w:spacing w:val="-1"/>
          <w:sz w:val="24"/>
        </w:rPr>
        <w:t> </w:t>
      </w:r>
      <w:r>
        <w:rPr>
          <w:sz w:val="24"/>
        </w:rPr>
        <w:t>even</w:t>
      </w:r>
      <w:r>
        <w:rPr>
          <w:spacing w:val="-1"/>
          <w:sz w:val="24"/>
        </w:rPr>
        <w:t> </w:t>
      </w:r>
      <w:r>
        <w:rPr>
          <w:sz w:val="24"/>
        </w:rPr>
        <w:t>more</w:t>
      </w:r>
      <w:r>
        <w:rPr>
          <w:spacing w:val="-1"/>
          <w:sz w:val="24"/>
        </w:rPr>
        <w:t> </w:t>
      </w:r>
      <w:r>
        <w:rPr>
          <w:sz w:val="24"/>
        </w:rPr>
        <w:t>in</w:t>
      </w:r>
      <w:r>
        <w:rPr>
          <w:spacing w:val="-1"/>
          <w:sz w:val="24"/>
        </w:rPr>
        <w:t> </w:t>
      </w:r>
      <w:r>
        <w:rPr>
          <w:sz w:val="24"/>
        </w:rPr>
        <w:t>a year. The general experience is that they serve no useful purpose and merely disturb the work of educational institutions. We recommend, therefore, that these should be drastically</w:t>
      </w:r>
      <w:r>
        <w:rPr>
          <w:spacing w:val="-3"/>
          <w:sz w:val="24"/>
        </w:rPr>
        <w:t> </w:t>
      </w:r>
      <w:r>
        <w:rPr>
          <w:sz w:val="24"/>
        </w:rPr>
        <w:t>cut</w:t>
      </w:r>
      <w:r>
        <w:rPr>
          <w:spacing w:val="-3"/>
          <w:sz w:val="24"/>
        </w:rPr>
        <w:t> </w:t>
      </w:r>
      <w:r>
        <w:rPr>
          <w:sz w:val="24"/>
        </w:rPr>
        <w:t>down</w:t>
      </w:r>
      <w:r>
        <w:rPr>
          <w:spacing w:val="-3"/>
          <w:sz w:val="24"/>
        </w:rPr>
        <w:t> </w:t>
      </w:r>
      <w:r>
        <w:rPr>
          <w:sz w:val="24"/>
        </w:rPr>
        <w:t>to</w:t>
      </w:r>
      <w:r>
        <w:rPr>
          <w:spacing w:val="-3"/>
          <w:sz w:val="24"/>
        </w:rPr>
        <w:t> </w:t>
      </w:r>
      <w:r>
        <w:rPr>
          <w:sz w:val="24"/>
        </w:rPr>
        <w:t>ten</w:t>
      </w:r>
      <w:r>
        <w:rPr>
          <w:spacing w:val="-3"/>
          <w:sz w:val="24"/>
        </w:rPr>
        <w:t> </w:t>
      </w:r>
      <w:r>
        <w:rPr>
          <w:sz w:val="24"/>
        </w:rPr>
        <w:t>(which</w:t>
      </w:r>
      <w:r>
        <w:rPr>
          <w:spacing w:val="-3"/>
          <w:sz w:val="24"/>
        </w:rPr>
        <w:t> </w:t>
      </w:r>
      <w:r>
        <w:rPr>
          <w:sz w:val="24"/>
        </w:rPr>
        <w:t>also</w:t>
      </w:r>
      <w:r>
        <w:rPr>
          <w:spacing w:val="-3"/>
          <w:sz w:val="24"/>
        </w:rPr>
        <w:t> </w:t>
      </w:r>
      <w:r>
        <w:rPr>
          <w:sz w:val="24"/>
        </w:rPr>
        <w:t>includes</w:t>
      </w:r>
      <w:r>
        <w:rPr>
          <w:spacing w:val="-3"/>
          <w:sz w:val="24"/>
        </w:rPr>
        <w:t> </w:t>
      </w:r>
      <w:r>
        <w:rPr>
          <w:sz w:val="24"/>
        </w:rPr>
        <w:t>three</w:t>
      </w:r>
      <w:r>
        <w:rPr>
          <w:spacing w:val="-3"/>
          <w:sz w:val="24"/>
        </w:rPr>
        <w:t> </w:t>
      </w:r>
      <w:r>
        <w:rPr>
          <w:sz w:val="24"/>
        </w:rPr>
        <w:t>days</w:t>
      </w:r>
      <w:r>
        <w:rPr>
          <w:spacing w:val="-3"/>
          <w:sz w:val="24"/>
        </w:rPr>
        <w:t> </w:t>
      </w:r>
      <w:r>
        <w:rPr>
          <w:sz w:val="24"/>
        </w:rPr>
        <w:t>for</w:t>
      </w:r>
      <w:r>
        <w:rPr>
          <w:spacing w:val="-3"/>
          <w:sz w:val="24"/>
        </w:rPr>
        <w:t> </w:t>
      </w:r>
      <w:r>
        <w:rPr>
          <w:sz w:val="24"/>
        </w:rPr>
        <w:t>'unexpected'</w:t>
      </w:r>
      <w:r>
        <w:rPr>
          <w:spacing w:val="-5"/>
          <w:sz w:val="24"/>
        </w:rPr>
        <w:t> </w:t>
      </w:r>
      <w:r>
        <w:rPr>
          <w:sz w:val="24"/>
        </w:rPr>
        <w:t>events).</w:t>
      </w:r>
      <w:r>
        <w:rPr>
          <w:spacing w:val="-3"/>
          <w:sz w:val="24"/>
        </w:rPr>
        <w:t> </w:t>
      </w:r>
      <w:r>
        <w:rPr>
          <w:sz w:val="24"/>
        </w:rPr>
        <w:t>in</w:t>
      </w:r>
      <w:r>
        <w:rPr>
          <w:spacing w:val="-3"/>
          <w:sz w:val="24"/>
        </w:rPr>
        <w:t> </w:t>
      </w:r>
      <w:r>
        <w:rPr>
          <w:sz w:val="24"/>
        </w:rPr>
        <w:t>our opinion, there is no need to close an educational institution on a religious holiday. Nor is it necessary, for instance, to close it on birthdays or death anniversaries of' great Indians; the time could be better utilized in working hard for national development.</w:t>
      </w:r>
    </w:p>
    <w:p>
      <w:pPr>
        <w:pStyle w:val="BodyText"/>
        <w:spacing w:before="4"/>
      </w:pPr>
    </w:p>
    <w:p>
      <w:pPr>
        <w:pStyle w:val="ListParagraph"/>
        <w:numPr>
          <w:ilvl w:val="0"/>
          <w:numId w:val="31"/>
        </w:numPr>
        <w:tabs>
          <w:tab w:pos="501" w:val="left" w:leader="none"/>
        </w:tabs>
        <w:spacing w:line="240" w:lineRule="auto" w:before="0" w:after="0"/>
        <w:ind w:left="159" w:right="496" w:firstLine="0"/>
        <w:jc w:val="both"/>
        <w:rPr>
          <w:sz w:val="24"/>
        </w:rPr>
      </w:pPr>
      <w:r>
        <w:rPr>
          <w:sz w:val="24"/>
        </w:rPr>
        <w:t>The second is to fix an upper limit, in each given year, for the loss of working days to instruction due to all causes including examinations-21 days in schools and 27 in</w:t>
      </w:r>
      <w:r>
        <w:rPr>
          <w:spacing w:val="40"/>
          <w:sz w:val="24"/>
        </w:rPr>
        <w:t> </w:t>
      </w:r>
      <w:r>
        <w:rPr>
          <w:spacing w:val="-2"/>
          <w:sz w:val="24"/>
        </w:rPr>
        <w:t>colleges.</w:t>
      </w:r>
    </w:p>
    <w:p>
      <w:pPr>
        <w:spacing w:after="0" w:line="240" w:lineRule="auto"/>
        <w:jc w:val="both"/>
        <w:rPr>
          <w:sz w:val="24"/>
        </w:rPr>
        <w:sectPr>
          <w:pgSz w:w="12240" w:h="15840"/>
          <w:pgMar w:header="0" w:footer="743" w:top="1360" w:bottom="940" w:left="1640" w:right="1300"/>
        </w:sectPr>
      </w:pPr>
    </w:p>
    <w:p>
      <w:pPr>
        <w:pStyle w:val="ListParagraph"/>
        <w:numPr>
          <w:ilvl w:val="1"/>
          <w:numId w:val="23"/>
        </w:numPr>
        <w:tabs>
          <w:tab w:pos="640" w:val="left" w:leader="none"/>
        </w:tabs>
        <w:spacing w:line="240" w:lineRule="auto" w:before="76" w:after="0"/>
        <w:ind w:left="159" w:right="497" w:firstLine="0"/>
        <w:jc w:val="both"/>
        <w:rPr>
          <w:sz w:val="24"/>
        </w:rPr>
      </w:pPr>
      <w:r>
        <w:rPr>
          <w:sz w:val="24"/>
        </w:rPr>
        <w:t>In</w:t>
      </w:r>
      <w:r>
        <w:rPr>
          <w:spacing w:val="-2"/>
          <w:sz w:val="24"/>
        </w:rPr>
        <w:t> </w:t>
      </w:r>
      <w:r>
        <w:rPr>
          <w:sz w:val="24"/>
        </w:rPr>
        <w:t>our</w:t>
      </w:r>
      <w:r>
        <w:rPr>
          <w:spacing w:val="-2"/>
          <w:sz w:val="24"/>
        </w:rPr>
        <w:t> </w:t>
      </w:r>
      <w:r>
        <w:rPr>
          <w:sz w:val="24"/>
        </w:rPr>
        <w:t>opinion,</w:t>
      </w:r>
      <w:r>
        <w:rPr>
          <w:spacing w:val="-2"/>
          <w:sz w:val="24"/>
        </w:rPr>
        <w:t> </w:t>
      </w:r>
      <w:r>
        <w:rPr>
          <w:sz w:val="24"/>
        </w:rPr>
        <w:t>it</w:t>
      </w:r>
      <w:r>
        <w:rPr>
          <w:spacing w:val="-2"/>
          <w:sz w:val="24"/>
        </w:rPr>
        <w:t> </w:t>
      </w:r>
      <w:r>
        <w:rPr>
          <w:sz w:val="24"/>
        </w:rPr>
        <w:t>is</w:t>
      </w:r>
      <w:r>
        <w:rPr>
          <w:spacing w:val="-1"/>
          <w:sz w:val="24"/>
        </w:rPr>
        <w:t> </w:t>
      </w:r>
      <w:r>
        <w:rPr>
          <w:sz w:val="24"/>
        </w:rPr>
        <w:t>desirable</w:t>
      </w:r>
      <w:r>
        <w:rPr>
          <w:spacing w:val="-1"/>
          <w:sz w:val="24"/>
        </w:rPr>
        <w:t> </w:t>
      </w:r>
      <w:r>
        <w:rPr>
          <w:sz w:val="24"/>
        </w:rPr>
        <w:t>to</w:t>
      </w:r>
      <w:r>
        <w:rPr>
          <w:spacing w:val="-1"/>
          <w:sz w:val="24"/>
        </w:rPr>
        <w:t> </w:t>
      </w:r>
      <w:r>
        <w:rPr>
          <w:sz w:val="24"/>
        </w:rPr>
        <w:t>begin</w:t>
      </w:r>
      <w:r>
        <w:rPr>
          <w:spacing w:val="-1"/>
          <w:sz w:val="24"/>
        </w:rPr>
        <w:t> </w:t>
      </w:r>
      <w:r>
        <w:rPr>
          <w:sz w:val="24"/>
        </w:rPr>
        <w:t>the</w:t>
      </w:r>
      <w:r>
        <w:rPr>
          <w:spacing w:val="-1"/>
          <w:sz w:val="24"/>
        </w:rPr>
        <w:t> </w:t>
      </w:r>
      <w:r>
        <w:rPr>
          <w:sz w:val="24"/>
        </w:rPr>
        <w:t>academic year</w:t>
      </w:r>
      <w:r>
        <w:rPr>
          <w:spacing w:val="-1"/>
          <w:sz w:val="24"/>
        </w:rPr>
        <w:t> </w:t>
      </w:r>
      <w:r>
        <w:rPr>
          <w:sz w:val="24"/>
        </w:rPr>
        <w:t>on</w:t>
      </w:r>
      <w:r>
        <w:rPr>
          <w:spacing w:val="-1"/>
          <w:sz w:val="24"/>
        </w:rPr>
        <w:t> </w:t>
      </w:r>
      <w:r>
        <w:rPr>
          <w:sz w:val="24"/>
        </w:rPr>
        <w:t>the</w:t>
      </w:r>
      <w:r>
        <w:rPr>
          <w:spacing w:val="-1"/>
          <w:sz w:val="24"/>
        </w:rPr>
        <w:t> </w:t>
      </w:r>
      <w:r>
        <w:rPr>
          <w:sz w:val="24"/>
        </w:rPr>
        <w:t>same day</w:t>
      </w:r>
      <w:r>
        <w:rPr>
          <w:spacing w:val="-1"/>
          <w:sz w:val="24"/>
        </w:rPr>
        <w:t> </w:t>
      </w:r>
      <w:r>
        <w:rPr>
          <w:sz w:val="24"/>
        </w:rPr>
        <w:t>throughout India. Our discussions with educationists on this issue make us feel that it would be possible to do this if the opening day of the school year were placed in November. We recommend that this idea should be pursued by the Ministry of Education and the University Grants Commission.</w:t>
      </w:r>
    </w:p>
    <w:p>
      <w:pPr>
        <w:pStyle w:val="BodyText"/>
        <w:spacing w:before="4"/>
      </w:pPr>
    </w:p>
    <w:p>
      <w:pPr>
        <w:pStyle w:val="ListParagraph"/>
        <w:numPr>
          <w:ilvl w:val="1"/>
          <w:numId w:val="23"/>
        </w:numPr>
        <w:tabs>
          <w:tab w:pos="651" w:val="left" w:leader="none"/>
        </w:tabs>
        <w:spacing w:line="240" w:lineRule="auto" w:before="0" w:after="0"/>
        <w:ind w:left="159" w:right="496" w:firstLine="0"/>
        <w:jc w:val="both"/>
        <w:rPr>
          <w:b/>
          <w:sz w:val="24"/>
        </w:rPr>
      </w:pPr>
      <w:r>
        <w:rPr>
          <w:b/>
          <w:sz w:val="24"/>
        </w:rPr>
        <w:t>Utilization of Vacations. </w:t>
      </w:r>
      <w:r>
        <w:rPr>
          <w:sz w:val="24"/>
        </w:rPr>
        <w:t>In addition, steps should be taken to ensure that adequate use is made of vacations which are very often wasted. Even in advanced countries, where vacations are already being utilized much better than here, there is a growing feeling that they could be used even more intensively. A country like India cannot afford to waste vacation time. We would, therefore, prefer to call this period a 'vacation term' rather than a 'vacation' and recommend that all steps should be taken to utilize it fully. This is what teachers actively interested in research do; they use the vacations for pursuing their studies in a manner which it is not possible to follow during term</w:t>
      </w:r>
      <w:r>
        <w:rPr>
          <w:spacing w:val="-1"/>
          <w:sz w:val="24"/>
        </w:rPr>
        <w:t> </w:t>
      </w:r>
      <w:r>
        <w:rPr>
          <w:sz w:val="24"/>
        </w:rPr>
        <w:t>time. A similar practice deserves to be adopted more widely by students as well as by teachers.</w:t>
      </w:r>
    </w:p>
    <w:p>
      <w:pPr>
        <w:pStyle w:val="BodyText"/>
        <w:spacing w:before="4"/>
      </w:pPr>
    </w:p>
    <w:p>
      <w:pPr>
        <w:pStyle w:val="ListParagraph"/>
        <w:numPr>
          <w:ilvl w:val="1"/>
          <w:numId w:val="23"/>
        </w:numPr>
        <w:tabs>
          <w:tab w:pos="645" w:val="left" w:leader="none"/>
        </w:tabs>
        <w:spacing w:line="240" w:lineRule="auto" w:before="0" w:after="0"/>
        <w:ind w:left="159" w:right="497" w:firstLine="0"/>
        <w:jc w:val="both"/>
        <w:rPr>
          <w:sz w:val="24"/>
        </w:rPr>
      </w:pPr>
      <w:r>
        <w:rPr>
          <w:sz w:val="24"/>
        </w:rPr>
        <w:t>It is quite possible to organize interesting and challenging programmes for students, such as</w:t>
      </w:r>
    </w:p>
    <w:p>
      <w:pPr>
        <w:pStyle w:val="BodyText"/>
        <w:spacing w:before="5"/>
      </w:pPr>
    </w:p>
    <w:p>
      <w:pPr>
        <w:pStyle w:val="ListParagraph"/>
        <w:numPr>
          <w:ilvl w:val="2"/>
          <w:numId w:val="23"/>
        </w:numPr>
        <w:tabs>
          <w:tab w:pos="375" w:val="left" w:leader="none"/>
        </w:tabs>
        <w:spacing w:line="240" w:lineRule="auto" w:before="0" w:after="0"/>
        <w:ind w:left="159" w:right="498" w:firstLine="0"/>
        <w:jc w:val="both"/>
        <w:rPr>
          <w:sz w:val="24"/>
        </w:rPr>
      </w:pPr>
      <w:r>
        <w:rPr>
          <w:sz w:val="24"/>
        </w:rPr>
        <w:t>participation in social service camps, NCC and work- experience; - earning for maintenance; - studies for the ensuing year, including general studies, with the help of school and college libraries and laboratories; - hikes, excursions, tours, cultivation of bobbies; and - participation in nation-building programmes such as literacy drives.</w:t>
      </w:r>
    </w:p>
    <w:p>
      <w:pPr>
        <w:pStyle w:val="BodyText"/>
        <w:spacing w:before="3"/>
      </w:pPr>
    </w:p>
    <w:p>
      <w:pPr>
        <w:pStyle w:val="BodyText"/>
        <w:spacing w:before="1"/>
        <w:ind w:left="159" w:right="496"/>
        <w:jc w:val="both"/>
      </w:pPr>
      <w:r>
        <w:rPr/>
        <w:t>For these programmes, it will be essential to secure the assistance of a certain proportion of teachers. This could be done by the appointment of additional staff, by the payment of honorarium at prescribed rates to the existing staff, or by granting them compensatory leave in lieu of the vacation lost.</w:t>
      </w:r>
    </w:p>
    <w:p>
      <w:pPr>
        <w:pStyle w:val="BodyText"/>
        <w:spacing w:before="3"/>
      </w:pPr>
    </w:p>
    <w:p>
      <w:pPr>
        <w:pStyle w:val="ListParagraph"/>
        <w:numPr>
          <w:ilvl w:val="1"/>
          <w:numId w:val="23"/>
        </w:numPr>
        <w:tabs>
          <w:tab w:pos="645" w:val="left" w:leader="none"/>
        </w:tabs>
        <w:spacing w:line="240" w:lineRule="auto" w:before="0" w:after="0"/>
        <w:ind w:left="159" w:right="495" w:firstLine="0"/>
        <w:jc w:val="both"/>
        <w:rPr>
          <w:b/>
          <w:sz w:val="24"/>
        </w:rPr>
      </w:pPr>
      <w:r>
        <w:rPr>
          <w:b/>
          <w:sz w:val="24"/>
        </w:rPr>
        <w:t>School Hours</w:t>
      </w:r>
      <w:r>
        <w:rPr>
          <w:sz w:val="24"/>
        </w:rPr>
        <w:t>. It is not enough simply to increase the number of instructional days. For the best results, it is also essential to increase the duration of the working day as indicated below:</w:t>
      </w:r>
    </w:p>
    <w:p>
      <w:pPr>
        <w:pStyle w:val="BodyText"/>
        <w:spacing w:before="4"/>
      </w:pPr>
    </w:p>
    <w:p>
      <w:pPr>
        <w:pStyle w:val="ListParagraph"/>
        <w:numPr>
          <w:ilvl w:val="0"/>
          <w:numId w:val="32"/>
        </w:numPr>
        <w:tabs>
          <w:tab w:pos="499" w:val="left" w:leader="none"/>
        </w:tabs>
        <w:spacing w:line="240" w:lineRule="auto" w:before="0" w:after="0"/>
        <w:ind w:left="159" w:right="495" w:firstLine="0"/>
        <w:jc w:val="both"/>
        <w:rPr>
          <w:sz w:val="24"/>
        </w:rPr>
      </w:pPr>
      <w:r>
        <w:rPr>
          <w:sz w:val="24"/>
        </w:rPr>
        <w:t>At</w:t>
      </w:r>
      <w:r>
        <w:rPr>
          <w:spacing w:val="-1"/>
          <w:sz w:val="24"/>
        </w:rPr>
        <w:t> </w:t>
      </w:r>
      <w:r>
        <w:rPr>
          <w:sz w:val="24"/>
        </w:rPr>
        <w:t>the</w:t>
      </w:r>
      <w:r>
        <w:rPr>
          <w:spacing w:val="-1"/>
          <w:sz w:val="24"/>
        </w:rPr>
        <w:t> </w:t>
      </w:r>
      <w:r>
        <w:rPr>
          <w:sz w:val="24"/>
        </w:rPr>
        <w:t>school</w:t>
      </w:r>
      <w:r>
        <w:rPr>
          <w:spacing w:val="-1"/>
          <w:sz w:val="24"/>
        </w:rPr>
        <w:t> </w:t>
      </w:r>
      <w:r>
        <w:rPr>
          <w:sz w:val="24"/>
        </w:rPr>
        <w:t>stage,</w:t>
      </w:r>
      <w:r>
        <w:rPr>
          <w:spacing w:val="-1"/>
          <w:sz w:val="24"/>
        </w:rPr>
        <w:t> </w:t>
      </w:r>
      <w:r>
        <w:rPr>
          <w:sz w:val="24"/>
        </w:rPr>
        <w:t>the</w:t>
      </w:r>
      <w:r>
        <w:rPr>
          <w:spacing w:val="-1"/>
          <w:sz w:val="24"/>
        </w:rPr>
        <w:t> </w:t>
      </w:r>
      <w:r>
        <w:rPr>
          <w:sz w:val="24"/>
        </w:rPr>
        <w:t>working</w:t>
      </w:r>
      <w:r>
        <w:rPr>
          <w:spacing w:val="-1"/>
          <w:sz w:val="24"/>
        </w:rPr>
        <w:t> </w:t>
      </w:r>
      <w:r>
        <w:rPr>
          <w:sz w:val="24"/>
        </w:rPr>
        <w:t>hours</w:t>
      </w:r>
      <w:r>
        <w:rPr>
          <w:spacing w:val="-1"/>
          <w:sz w:val="24"/>
        </w:rPr>
        <w:t> </w:t>
      </w:r>
      <w:r>
        <w:rPr>
          <w:sz w:val="24"/>
        </w:rPr>
        <w:t>per</w:t>
      </w:r>
      <w:r>
        <w:rPr>
          <w:spacing w:val="-5"/>
          <w:sz w:val="24"/>
        </w:rPr>
        <w:t> </w:t>
      </w:r>
      <w:r>
        <w:rPr>
          <w:sz w:val="24"/>
        </w:rPr>
        <w:t>day</w:t>
      </w:r>
      <w:r>
        <w:rPr>
          <w:spacing w:val="-1"/>
          <w:sz w:val="24"/>
        </w:rPr>
        <w:t> </w:t>
      </w:r>
      <w:r>
        <w:rPr>
          <w:sz w:val="24"/>
        </w:rPr>
        <w:t>should</w:t>
      </w:r>
      <w:r>
        <w:rPr>
          <w:spacing w:val="-1"/>
          <w:sz w:val="24"/>
        </w:rPr>
        <w:t> </w:t>
      </w:r>
      <w:r>
        <w:rPr>
          <w:sz w:val="24"/>
        </w:rPr>
        <w:t>vary</w:t>
      </w:r>
      <w:r>
        <w:rPr>
          <w:spacing w:val="-1"/>
          <w:sz w:val="24"/>
        </w:rPr>
        <w:t> </w:t>
      </w:r>
      <w:r>
        <w:rPr>
          <w:sz w:val="24"/>
        </w:rPr>
        <w:t>from</w:t>
      </w:r>
      <w:r>
        <w:rPr>
          <w:spacing w:val="-1"/>
          <w:sz w:val="24"/>
        </w:rPr>
        <w:t> </w:t>
      </w:r>
      <w:r>
        <w:rPr>
          <w:sz w:val="24"/>
        </w:rPr>
        <w:t>four</w:t>
      </w:r>
      <w:r>
        <w:rPr>
          <w:spacing w:val="-1"/>
          <w:sz w:val="24"/>
        </w:rPr>
        <w:t> </w:t>
      </w:r>
      <w:r>
        <w:rPr>
          <w:sz w:val="24"/>
        </w:rPr>
        <w:t>hours</w:t>
      </w:r>
      <w:r>
        <w:rPr>
          <w:spacing w:val="-1"/>
          <w:sz w:val="24"/>
        </w:rPr>
        <w:t> </w:t>
      </w:r>
      <w:r>
        <w:rPr>
          <w:sz w:val="24"/>
        </w:rPr>
        <w:t>at</w:t>
      </w:r>
      <w:r>
        <w:rPr>
          <w:spacing w:val="-1"/>
          <w:sz w:val="24"/>
        </w:rPr>
        <w:t> </w:t>
      </w:r>
      <w:r>
        <w:rPr>
          <w:sz w:val="24"/>
        </w:rPr>
        <w:t>the</w:t>
      </w:r>
      <w:r>
        <w:rPr>
          <w:spacing w:val="-1"/>
          <w:sz w:val="24"/>
        </w:rPr>
        <w:t> </w:t>
      </w:r>
      <w:r>
        <w:rPr>
          <w:sz w:val="24"/>
        </w:rPr>
        <w:t>pre- primary stage to about six hours at the higher secondary stage. This total period does not include the time for co-curricular activities, but includes the time when the students</w:t>
      </w:r>
      <w:r>
        <w:rPr>
          <w:spacing w:val="40"/>
          <w:sz w:val="24"/>
        </w:rPr>
        <w:t> </w:t>
      </w:r>
      <w:r>
        <w:rPr>
          <w:sz w:val="24"/>
        </w:rPr>
        <w:t>would be working on their own (e.g., the library period), or on guided studies. In an academic year, the hours of instruction at the lower primary stage should be about 900, and at the higher primary and secondary stages, they should be not less than 1,000, and preferably raised to 1,100 or even 1,200 if conditions are favourable.</w:t>
      </w:r>
    </w:p>
    <w:p>
      <w:pPr>
        <w:pStyle w:val="BodyText"/>
        <w:spacing w:before="5"/>
      </w:pPr>
    </w:p>
    <w:p>
      <w:pPr>
        <w:pStyle w:val="ListParagraph"/>
        <w:numPr>
          <w:ilvl w:val="0"/>
          <w:numId w:val="32"/>
        </w:numPr>
        <w:tabs>
          <w:tab w:pos="524" w:val="left" w:leader="none"/>
        </w:tabs>
        <w:spacing w:line="240" w:lineRule="auto" w:before="0" w:after="0"/>
        <w:ind w:left="159" w:right="496" w:firstLine="0"/>
        <w:jc w:val="both"/>
        <w:rPr>
          <w:sz w:val="24"/>
        </w:rPr>
      </w:pPr>
      <w:r>
        <w:rPr>
          <w:sz w:val="24"/>
        </w:rPr>
        <w:t>At the university stage, the hours of work are already long enough for professional courses (e.g., engineering, medicine, agriculture) and also for science students. It is only the students in the humanities courses who do not seem to work hard enough. The more serious weakness of the situation, however, is the lack of adequate facilities for students to</w:t>
      </w:r>
      <w:r>
        <w:rPr>
          <w:spacing w:val="5"/>
          <w:sz w:val="24"/>
        </w:rPr>
        <w:t> </w:t>
      </w:r>
      <w:r>
        <w:rPr>
          <w:sz w:val="24"/>
        </w:rPr>
        <w:t>study</w:t>
      </w:r>
      <w:r>
        <w:rPr>
          <w:spacing w:val="6"/>
          <w:sz w:val="24"/>
        </w:rPr>
        <w:t> </w:t>
      </w:r>
      <w:r>
        <w:rPr>
          <w:sz w:val="24"/>
        </w:rPr>
        <w:t>on</w:t>
      </w:r>
      <w:r>
        <w:rPr>
          <w:spacing w:val="5"/>
          <w:sz w:val="24"/>
        </w:rPr>
        <w:t> </w:t>
      </w:r>
      <w:r>
        <w:rPr>
          <w:sz w:val="24"/>
        </w:rPr>
        <w:t>their</w:t>
      </w:r>
      <w:r>
        <w:rPr>
          <w:spacing w:val="6"/>
          <w:sz w:val="24"/>
        </w:rPr>
        <w:t> </w:t>
      </w:r>
      <w:r>
        <w:rPr>
          <w:sz w:val="24"/>
        </w:rPr>
        <w:t>own.</w:t>
      </w:r>
      <w:r>
        <w:rPr>
          <w:spacing w:val="6"/>
          <w:sz w:val="24"/>
        </w:rPr>
        <w:t> </w:t>
      </w:r>
      <w:r>
        <w:rPr>
          <w:sz w:val="24"/>
        </w:rPr>
        <w:t>We</w:t>
      </w:r>
      <w:r>
        <w:rPr>
          <w:spacing w:val="6"/>
          <w:sz w:val="24"/>
        </w:rPr>
        <w:t> </w:t>
      </w:r>
      <w:r>
        <w:rPr>
          <w:sz w:val="24"/>
        </w:rPr>
        <w:t>believe</w:t>
      </w:r>
      <w:r>
        <w:rPr>
          <w:spacing w:val="6"/>
          <w:sz w:val="24"/>
        </w:rPr>
        <w:t> </w:t>
      </w:r>
      <w:r>
        <w:rPr>
          <w:sz w:val="24"/>
        </w:rPr>
        <w:t>that</w:t>
      </w:r>
      <w:r>
        <w:rPr>
          <w:spacing w:val="6"/>
          <w:sz w:val="24"/>
        </w:rPr>
        <w:t> </w:t>
      </w:r>
      <w:r>
        <w:rPr>
          <w:sz w:val="24"/>
        </w:rPr>
        <w:t>the</w:t>
      </w:r>
      <w:r>
        <w:rPr>
          <w:spacing w:val="5"/>
          <w:sz w:val="24"/>
        </w:rPr>
        <w:t> </w:t>
      </w:r>
      <w:r>
        <w:rPr>
          <w:sz w:val="24"/>
        </w:rPr>
        <w:t>'contact'</w:t>
      </w:r>
      <w:r>
        <w:rPr>
          <w:spacing w:val="5"/>
          <w:sz w:val="24"/>
        </w:rPr>
        <w:t> </w:t>
      </w:r>
      <w:r>
        <w:rPr>
          <w:sz w:val="24"/>
        </w:rPr>
        <w:t>hours</w:t>
      </w:r>
      <w:r>
        <w:rPr>
          <w:spacing w:val="7"/>
          <w:sz w:val="24"/>
        </w:rPr>
        <w:t> </w:t>
      </w:r>
      <w:r>
        <w:rPr>
          <w:sz w:val="24"/>
        </w:rPr>
        <w:t>at</w:t>
      </w:r>
      <w:r>
        <w:rPr>
          <w:spacing w:val="6"/>
          <w:sz w:val="24"/>
        </w:rPr>
        <w:t> </w:t>
      </w:r>
      <w:r>
        <w:rPr>
          <w:sz w:val="24"/>
        </w:rPr>
        <w:t>this</w:t>
      </w:r>
      <w:r>
        <w:rPr>
          <w:spacing w:val="7"/>
          <w:sz w:val="24"/>
        </w:rPr>
        <w:t> </w:t>
      </w:r>
      <w:r>
        <w:rPr>
          <w:sz w:val="24"/>
        </w:rPr>
        <w:t>stage</w:t>
      </w:r>
      <w:r>
        <w:rPr>
          <w:spacing w:val="6"/>
          <w:sz w:val="24"/>
        </w:rPr>
        <w:t> </w:t>
      </w:r>
      <w:r>
        <w:rPr>
          <w:sz w:val="24"/>
        </w:rPr>
        <w:t>should</w:t>
      </w:r>
      <w:r>
        <w:rPr>
          <w:spacing w:val="5"/>
          <w:sz w:val="24"/>
        </w:rPr>
        <w:t> </w:t>
      </w:r>
      <w:r>
        <w:rPr>
          <w:sz w:val="24"/>
        </w:rPr>
        <w:t>be</w:t>
      </w:r>
      <w:r>
        <w:rPr>
          <w:spacing w:val="6"/>
          <w:sz w:val="24"/>
        </w:rPr>
        <w:t> </w:t>
      </w:r>
      <w:r>
        <w:rPr>
          <w:sz w:val="24"/>
        </w:rPr>
        <w:t>about</w:t>
      </w:r>
      <w:r>
        <w:rPr>
          <w:spacing w:val="6"/>
          <w:sz w:val="24"/>
        </w:rPr>
        <w:t> </w:t>
      </w:r>
      <w:r>
        <w:rPr>
          <w:spacing w:val="-5"/>
          <w:sz w:val="24"/>
        </w:rPr>
        <w:t>15</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to 20 a week; but that they should involve the student in working on his own for at least twice as much, so that his total work-load per week is about 50 to 60 hours. As one goes higher up, the contact hours could be less, and self-study periods even longer. At present, students and teachers come together in lectures, where there is hardly any personal contact, and there is no other way in which they can meet. The most urgent reform needed, therefore, is not to lengthen the working day in terms of the lectures delivered- these need to be cut down-but to increase the self-study facilities for students and to ensure that they work adequately. To make it possible, several additional facilities, now lacking in most of our educational institutions, will have to be provided. A well-kept and commodious library with an adequate number of 'reading seats' is necessary; teachers must have rooms, or, lacking this, separate desks of their own in the library; and canteens should be established to provide substantial meals prepared at a reasonable cost under hygienic conditions for students and teachers. Owing mainly to the financial implications involved, it may not be possible to adopt this reform in all institutions. But we feel that a beginning should be made, Wherever possible, and the programme should be expanded, on a priority basis, as resources become available.</w:t>
      </w:r>
    </w:p>
    <w:p>
      <w:pPr>
        <w:pStyle w:val="BodyText"/>
        <w:spacing w:before="4"/>
      </w:pPr>
    </w:p>
    <w:p>
      <w:pPr>
        <w:pStyle w:val="ListParagraph"/>
        <w:numPr>
          <w:ilvl w:val="1"/>
          <w:numId w:val="23"/>
        </w:numPr>
        <w:tabs>
          <w:tab w:pos="702" w:val="left" w:leader="none"/>
        </w:tabs>
        <w:spacing w:line="240" w:lineRule="auto" w:before="0" w:after="0"/>
        <w:ind w:left="159" w:right="496" w:firstLine="0"/>
        <w:jc w:val="both"/>
        <w:rPr>
          <w:b/>
          <w:sz w:val="24"/>
        </w:rPr>
      </w:pPr>
      <w:r>
        <w:rPr>
          <w:b/>
          <w:sz w:val="24"/>
        </w:rPr>
        <w:t>Utilization of Institutional Facilities. </w:t>
      </w:r>
      <w:r>
        <w:rPr>
          <w:sz w:val="24"/>
        </w:rPr>
        <w:t>One more aspect of the problem needs attention. Since it is very costly to provide and maintain the physical plant of educational institutions, it becomes necessary to utilize it as fully as possible, for the longest time on each</w:t>
      </w:r>
      <w:r>
        <w:rPr>
          <w:spacing w:val="-1"/>
          <w:sz w:val="24"/>
        </w:rPr>
        <w:t> </w:t>
      </w:r>
      <w:r>
        <w:rPr>
          <w:sz w:val="24"/>
        </w:rPr>
        <w:t>day</w:t>
      </w:r>
      <w:r>
        <w:rPr>
          <w:spacing w:val="-1"/>
          <w:sz w:val="24"/>
        </w:rPr>
        <w:t> </w:t>
      </w:r>
      <w:r>
        <w:rPr>
          <w:sz w:val="24"/>
        </w:rPr>
        <w:t>and</w:t>
      </w:r>
      <w:r>
        <w:rPr>
          <w:spacing w:val="-1"/>
          <w:sz w:val="24"/>
        </w:rPr>
        <w:t> </w:t>
      </w:r>
      <w:r>
        <w:rPr>
          <w:sz w:val="24"/>
        </w:rPr>
        <w:t>for</w:t>
      </w:r>
      <w:r>
        <w:rPr>
          <w:spacing w:val="-1"/>
          <w:sz w:val="24"/>
        </w:rPr>
        <w:t> </w:t>
      </w:r>
      <w:r>
        <w:rPr>
          <w:sz w:val="24"/>
        </w:rPr>
        <w:t>all</w:t>
      </w:r>
      <w:r>
        <w:rPr>
          <w:spacing w:val="-1"/>
          <w:sz w:val="24"/>
        </w:rPr>
        <w:t> </w:t>
      </w:r>
      <w:r>
        <w:rPr>
          <w:sz w:val="24"/>
        </w:rPr>
        <w:t>the</w:t>
      </w:r>
      <w:r>
        <w:rPr>
          <w:spacing w:val="-1"/>
          <w:sz w:val="24"/>
        </w:rPr>
        <w:t> </w:t>
      </w:r>
      <w:r>
        <w:rPr>
          <w:sz w:val="24"/>
        </w:rPr>
        <w:t>days</w:t>
      </w:r>
      <w:r>
        <w:rPr>
          <w:spacing w:val="-1"/>
          <w:sz w:val="24"/>
        </w:rPr>
        <w:t> </w:t>
      </w:r>
      <w:r>
        <w:rPr>
          <w:sz w:val="24"/>
        </w:rPr>
        <w:t>in</w:t>
      </w:r>
      <w:r>
        <w:rPr>
          <w:spacing w:val="-1"/>
          <w:sz w:val="24"/>
        </w:rPr>
        <w:t> </w:t>
      </w:r>
      <w:r>
        <w:rPr>
          <w:sz w:val="24"/>
        </w:rPr>
        <w:t>the</w:t>
      </w:r>
      <w:r>
        <w:rPr>
          <w:spacing w:val="-1"/>
          <w:sz w:val="24"/>
        </w:rPr>
        <w:t> </w:t>
      </w:r>
      <w:r>
        <w:rPr>
          <w:sz w:val="24"/>
        </w:rPr>
        <w:t>year,</w:t>
      </w:r>
      <w:r>
        <w:rPr>
          <w:spacing w:val="-1"/>
          <w:sz w:val="24"/>
        </w:rPr>
        <w:t> </w:t>
      </w:r>
      <w:r>
        <w:rPr>
          <w:sz w:val="24"/>
        </w:rPr>
        <w:t>by making</w:t>
      </w:r>
      <w:r>
        <w:rPr>
          <w:spacing w:val="-1"/>
          <w:sz w:val="24"/>
        </w:rPr>
        <w:t> </w:t>
      </w:r>
      <w:r>
        <w:rPr>
          <w:sz w:val="24"/>
        </w:rPr>
        <w:t>suitable</w:t>
      </w:r>
      <w:r>
        <w:rPr>
          <w:spacing w:val="-1"/>
          <w:sz w:val="24"/>
        </w:rPr>
        <w:t> </w:t>
      </w:r>
      <w:r>
        <w:rPr>
          <w:sz w:val="24"/>
        </w:rPr>
        <w:t>administrative</w:t>
      </w:r>
      <w:r>
        <w:rPr>
          <w:spacing w:val="-1"/>
          <w:sz w:val="24"/>
        </w:rPr>
        <w:t> </w:t>
      </w:r>
      <w:r>
        <w:rPr>
          <w:sz w:val="24"/>
        </w:rPr>
        <w:t>arrangements. Teachers and students would continue to have their own hours of work and vacations as recommended above. The libraries, laboratories, workshops, craftsheds, etc., should be open all the year round and should be utilized for at least eight hours a day, if not longer. Special vacation programmes should be arranged to utilize institutional facilities for community service, adult education, temporary hostels for day students, enrichment programmes for gifted students and supporting programmes for retarded students. It is</w:t>
      </w:r>
      <w:r>
        <w:rPr>
          <w:spacing w:val="80"/>
          <w:sz w:val="24"/>
        </w:rPr>
        <w:t> </w:t>
      </w:r>
      <w:r>
        <w:rPr>
          <w:sz w:val="24"/>
        </w:rPr>
        <w:t>not necessary to indicate all the different ways in which the institutional facilities could</w:t>
      </w:r>
      <w:r>
        <w:rPr>
          <w:spacing w:val="40"/>
          <w:sz w:val="24"/>
        </w:rPr>
        <w:t> </w:t>
      </w:r>
      <w:r>
        <w:rPr>
          <w:sz w:val="24"/>
        </w:rPr>
        <w:t>be utilized all the year round. If an understanding is developed that educational institutions are like temples of learning and should never remain closed, and if a proper climate for sustained work is created, teachers, students and the local communities will themselves discover innumerable methods of utilizing school facilities to the maximum potential throughout the year. As it is difficult to expand educational facilities adequately and wasteful to under-utilize existing resources, such programmes demand urgent </w:t>
      </w:r>
      <w:r>
        <w:rPr>
          <w:spacing w:val="-2"/>
          <w:sz w:val="24"/>
        </w:rPr>
        <w:t>attention.</w:t>
      </w:r>
    </w:p>
    <w:p>
      <w:pPr>
        <w:pStyle w:val="BodyText"/>
        <w:spacing w:before="7"/>
      </w:pPr>
    </w:p>
    <w:p>
      <w:pPr>
        <w:pStyle w:val="Heading1"/>
      </w:pPr>
      <w:bookmarkStart w:name="_TOC_250011" w:id="18"/>
      <w:r>
        <w:rPr/>
        <w:t>DYNAMIC</w:t>
      </w:r>
      <w:r>
        <w:rPr>
          <w:spacing w:val="-7"/>
        </w:rPr>
        <w:t> </w:t>
      </w:r>
      <w:r>
        <w:rPr/>
        <w:t>AND</w:t>
      </w:r>
      <w:r>
        <w:rPr>
          <w:spacing w:val="-4"/>
        </w:rPr>
        <w:t> </w:t>
      </w:r>
      <w:r>
        <w:rPr/>
        <w:t>EVOLVING</w:t>
      </w:r>
      <w:r>
        <w:rPr>
          <w:spacing w:val="-4"/>
        </w:rPr>
        <w:t> </w:t>
      </w:r>
      <w:bookmarkEnd w:id="18"/>
      <w:r>
        <w:rPr>
          <w:spacing w:val="-2"/>
        </w:rPr>
        <w:t>STANDARDS</w:t>
      </w:r>
    </w:p>
    <w:p>
      <w:pPr>
        <w:pStyle w:val="BodyText"/>
        <w:spacing w:before="2"/>
        <w:rPr>
          <w:b/>
        </w:rPr>
      </w:pPr>
    </w:p>
    <w:p>
      <w:pPr>
        <w:pStyle w:val="ListParagraph"/>
        <w:numPr>
          <w:ilvl w:val="1"/>
          <w:numId w:val="23"/>
        </w:numPr>
        <w:tabs>
          <w:tab w:pos="674" w:val="left" w:leader="none"/>
        </w:tabs>
        <w:spacing w:line="240" w:lineRule="auto" w:before="0" w:after="0"/>
        <w:ind w:left="159" w:right="497" w:firstLine="0"/>
        <w:jc w:val="both"/>
        <w:rPr>
          <w:sz w:val="24"/>
        </w:rPr>
      </w:pPr>
      <w:r>
        <w:rPr>
          <w:sz w:val="24"/>
        </w:rPr>
        <w:t>One of the common criticisms against the development of education in the post- Independence period is that there has been a fall in standards, and two main illustrations are given to support it: the increase in the number of sub-standard institutions of general education, and the increase in the number of students with sub- standard attainments. The first of these is far more serious and is largely the cause of the second. We admit that there is considerable force in this criticism and we do not wish to minimize its gravity. But we would not like to ignore the other side of the picture either. It has to be remembered that</w:t>
      </w:r>
    </w:p>
    <w:p>
      <w:pPr>
        <w:spacing w:after="0" w:line="240" w:lineRule="auto"/>
        <w:jc w:val="both"/>
        <w:rPr>
          <w:sz w:val="24"/>
        </w:rPr>
        <w:sectPr>
          <w:pgSz w:w="12240" w:h="15840"/>
          <w:pgMar w:header="0" w:footer="743" w:top="1360" w:bottom="940" w:left="1640" w:right="1300"/>
        </w:sectPr>
      </w:pPr>
    </w:p>
    <w:p>
      <w:pPr>
        <w:pStyle w:val="ListParagraph"/>
        <w:numPr>
          <w:ilvl w:val="2"/>
          <w:numId w:val="23"/>
        </w:numPr>
        <w:tabs>
          <w:tab w:pos="301" w:val="left" w:leader="none"/>
        </w:tabs>
        <w:spacing w:line="240" w:lineRule="auto" w:before="76" w:after="0"/>
        <w:ind w:left="160" w:right="497" w:firstLine="0"/>
        <w:jc w:val="both"/>
        <w:rPr>
          <w:sz w:val="24"/>
        </w:rPr>
      </w:pPr>
      <w:r>
        <w:rPr>
          <w:sz w:val="24"/>
        </w:rPr>
        <w:t>a part of the increase in the number of students with 'sub- standard'</w:t>
      </w:r>
      <w:r>
        <w:rPr>
          <w:spacing w:val="-2"/>
          <w:sz w:val="24"/>
        </w:rPr>
        <w:t> </w:t>
      </w:r>
      <w:r>
        <w:rPr>
          <w:sz w:val="24"/>
        </w:rPr>
        <w:t>attainments is due to the first generation learners, who depress the standards to some extent, but whose entry into secondary schools and colleges in large numbers, especially in rural areas, is also a sign of progress; - considerable improvements have been made in recent years in the teaching of several subjects;</w:t>
      </w:r>
    </w:p>
    <w:p>
      <w:pPr>
        <w:pStyle w:val="BodyText"/>
        <w:spacing w:before="4"/>
      </w:pPr>
    </w:p>
    <w:p>
      <w:pPr>
        <w:pStyle w:val="ListParagraph"/>
        <w:numPr>
          <w:ilvl w:val="2"/>
          <w:numId w:val="23"/>
        </w:numPr>
        <w:tabs>
          <w:tab w:pos="335" w:val="left" w:leader="none"/>
        </w:tabs>
        <w:spacing w:line="240" w:lineRule="auto" w:before="0" w:after="0"/>
        <w:ind w:left="160" w:right="498" w:firstLine="0"/>
        <w:jc w:val="both"/>
        <w:rPr>
          <w:sz w:val="24"/>
        </w:rPr>
      </w:pPr>
      <w:r>
        <w:rPr>
          <w:sz w:val="24"/>
        </w:rPr>
        <w:t>good institutions and first-rate students are now more numerous and qualitatively as good as ever, if not better; and</w:t>
      </w:r>
    </w:p>
    <w:p>
      <w:pPr>
        <w:pStyle w:val="BodyText"/>
        <w:spacing w:before="5"/>
      </w:pPr>
    </w:p>
    <w:p>
      <w:pPr>
        <w:pStyle w:val="ListParagraph"/>
        <w:numPr>
          <w:ilvl w:val="2"/>
          <w:numId w:val="23"/>
        </w:numPr>
        <w:tabs>
          <w:tab w:pos="327" w:val="left" w:leader="none"/>
        </w:tabs>
        <w:spacing w:line="240" w:lineRule="auto" w:before="0" w:after="0"/>
        <w:ind w:left="160" w:right="496" w:firstLine="0"/>
        <w:jc w:val="both"/>
        <w:rPr>
          <w:sz w:val="24"/>
        </w:rPr>
      </w:pPr>
      <w:r>
        <w:rPr>
          <w:sz w:val="24"/>
        </w:rPr>
        <w:t>the total amount of education in society is substantially higher at present than at any time in the past. The overall situation is thus a mixed picture of light and shade, of improvement as well as deterioration, and of a rise in standards in some areas accompanied by a comparative decline in others. While we fully support the need and urgency for raising standards, we would also like to recognize the </w:t>
      </w:r>
      <w:r>
        <w:rPr>
          <w:sz w:val="24"/>
        </w:rPr>
        <w:t>qualitative achievements of the educational system in the last few years. They are a source of inspiration and guidance and can help us to face the task ahead with greater confidence.</w:t>
      </w:r>
    </w:p>
    <w:p>
      <w:pPr>
        <w:pStyle w:val="BodyText"/>
        <w:spacing w:before="4"/>
      </w:pPr>
    </w:p>
    <w:p>
      <w:pPr>
        <w:pStyle w:val="ListParagraph"/>
        <w:numPr>
          <w:ilvl w:val="1"/>
          <w:numId w:val="23"/>
        </w:numPr>
        <w:tabs>
          <w:tab w:pos="660" w:val="left" w:leader="none"/>
        </w:tabs>
        <w:spacing w:line="240" w:lineRule="auto" w:before="0" w:after="0"/>
        <w:ind w:left="159" w:right="497" w:firstLine="0"/>
        <w:jc w:val="both"/>
        <w:rPr>
          <w:b/>
          <w:sz w:val="24"/>
        </w:rPr>
      </w:pPr>
      <w:r>
        <w:rPr>
          <w:b/>
          <w:sz w:val="24"/>
        </w:rPr>
        <w:t>Criteria for Evaluating Standards. </w:t>
      </w:r>
      <w:r>
        <w:rPr>
          <w:sz w:val="24"/>
        </w:rPr>
        <w:t>In our opinion, the basic issue in educational reconstruction is not to compare the standards of today with those of the past or to determine whether they are rising or falling. On the other hand, we should judge them on the basis of three interrelated criteria: adequacy, dynamism, and international comparability. Standards must be:</w:t>
      </w:r>
    </w:p>
    <w:p>
      <w:pPr>
        <w:pStyle w:val="BodyText"/>
        <w:spacing w:before="5"/>
      </w:pPr>
    </w:p>
    <w:p>
      <w:pPr>
        <w:pStyle w:val="ListParagraph"/>
        <w:numPr>
          <w:ilvl w:val="2"/>
          <w:numId w:val="23"/>
        </w:numPr>
        <w:tabs>
          <w:tab w:pos="297" w:val="left" w:leader="none"/>
        </w:tabs>
        <w:spacing w:line="240" w:lineRule="auto" w:before="0" w:after="0"/>
        <w:ind w:left="297" w:right="0" w:hanging="138"/>
        <w:jc w:val="both"/>
        <w:rPr>
          <w:sz w:val="24"/>
        </w:rPr>
      </w:pPr>
      <w:r>
        <w:rPr>
          <w:sz w:val="24"/>
        </w:rPr>
        <w:t>adequate</w:t>
      </w:r>
      <w:r>
        <w:rPr>
          <w:spacing w:val="-4"/>
          <w:sz w:val="24"/>
        </w:rPr>
        <w:t> </w:t>
      </w:r>
      <w:r>
        <w:rPr>
          <w:sz w:val="24"/>
        </w:rPr>
        <w:t>in</w:t>
      </w:r>
      <w:r>
        <w:rPr>
          <w:spacing w:val="-1"/>
          <w:sz w:val="24"/>
        </w:rPr>
        <w:t> </w:t>
      </w:r>
      <w:r>
        <w:rPr>
          <w:sz w:val="24"/>
        </w:rPr>
        <w:t>relation</w:t>
      </w:r>
      <w:r>
        <w:rPr>
          <w:spacing w:val="-2"/>
          <w:sz w:val="24"/>
        </w:rPr>
        <w:t> </w:t>
      </w:r>
      <w:r>
        <w:rPr>
          <w:sz w:val="24"/>
        </w:rPr>
        <w:t>to</w:t>
      </w:r>
      <w:r>
        <w:rPr>
          <w:spacing w:val="-1"/>
          <w:sz w:val="24"/>
        </w:rPr>
        <w:t> </w:t>
      </w:r>
      <w:r>
        <w:rPr>
          <w:sz w:val="24"/>
        </w:rPr>
        <w:t>the</w:t>
      </w:r>
      <w:r>
        <w:rPr>
          <w:spacing w:val="-1"/>
          <w:sz w:val="24"/>
        </w:rPr>
        <w:t> </w:t>
      </w:r>
      <w:r>
        <w:rPr>
          <w:sz w:val="24"/>
        </w:rPr>
        <w:t>tasks</w:t>
      </w:r>
      <w:r>
        <w:rPr>
          <w:spacing w:val="-2"/>
          <w:sz w:val="24"/>
        </w:rPr>
        <w:t> </w:t>
      </w:r>
      <w:r>
        <w:rPr>
          <w:sz w:val="24"/>
        </w:rPr>
        <w:t>for</w:t>
      </w:r>
      <w:r>
        <w:rPr>
          <w:spacing w:val="-1"/>
          <w:sz w:val="24"/>
        </w:rPr>
        <w:t> </w:t>
      </w:r>
      <w:r>
        <w:rPr>
          <w:sz w:val="24"/>
        </w:rPr>
        <w:t>which</w:t>
      </w:r>
      <w:r>
        <w:rPr>
          <w:spacing w:val="-2"/>
          <w:sz w:val="24"/>
        </w:rPr>
        <w:t> </w:t>
      </w:r>
      <w:r>
        <w:rPr>
          <w:sz w:val="24"/>
        </w:rPr>
        <w:t>they</w:t>
      </w:r>
      <w:r>
        <w:rPr>
          <w:spacing w:val="-1"/>
          <w:sz w:val="24"/>
        </w:rPr>
        <w:t> </w:t>
      </w:r>
      <w:r>
        <w:rPr>
          <w:sz w:val="24"/>
        </w:rPr>
        <w:t>are</w:t>
      </w:r>
      <w:r>
        <w:rPr>
          <w:spacing w:val="-1"/>
          <w:sz w:val="24"/>
        </w:rPr>
        <w:t> </w:t>
      </w:r>
      <w:r>
        <w:rPr>
          <w:spacing w:val="-2"/>
          <w:sz w:val="24"/>
        </w:rPr>
        <w:t>intended;</w:t>
      </w:r>
    </w:p>
    <w:p>
      <w:pPr>
        <w:pStyle w:val="BodyText"/>
        <w:spacing w:before="2"/>
      </w:pPr>
    </w:p>
    <w:p>
      <w:pPr>
        <w:pStyle w:val="ListParagraph"/>
        <w:numPr>
          <w:ilvl w:val="2"/>
          <w:numId w:val="23"/>
        </w:numPr>
        <w:tabs>
          <w:tab w:pos="375" w:val="left" w:leader="none"/>
        </w:tabs>
        <w:spacing w:line="240" w:lineRule="auto" w:before="0" w:after="0"/>
        <w:ind w:left="159" w:right="497" w:firstLine="0"/>
        <w:jc w:val="both"/>
        <w:rPr>
          <w:sz w:val="24"/>
        </w:rPr>
      </w:pPr>
      <w:r>
        <w:rPr>
          <w:sz w:val="24"/>
        </w:rPr>
        <w:t>dynamic, and should keep on rising with the demands for the higher levels of knowledge, skills or character which a modernizing society makes; and</w:t>
      </w:r>
    </w:p>
    <w:p>
      <w:pPr>
        <w:pStyle w:val="BodyText"/>
        <w:spacing w:before="5"/>
      </w:pPr>
    </w:p>
    <w:p>
      <w:pPr>
        <w:pStyle w:val="ListParagraph"/>
        <w:numPr>
          <w:ilvl w:val="2"/>
          <w:numId w:val="23"/>
        </w:numPr>
        <w:tabs>
          <w:tab w:pos="351" w:val="left" w:leader="none"/>
        </w:tabs>
        <w:spacing w:line="240" w:lineRule="auto" w:before="0" w:after="0"/>
        <w:ind w:left="159" w:right="499" w:firstLine="0"/>
        <w:jc w:val="both"/>
        <w:rPr>
          <w:sz w:val="24"/>
        </w:rPr>
      </w:pPr>
      <w:r>
        <w:rPr>
          <w:sz w:val="24"/>
        </w:rPr>
        <w:t>internationally comparable, at least in those key sectors where such comparison is </w:t>
      </w:r>
      <w:r>
        <w:rPr>
          <w:spacing w:val="-2"/>
          <w:sz w:val="24"/>
        </w:rPr>
        <w:t>important.</w:t>
      </w:r>
    </w:p>
    <w:p>
      <w:pPr>
        <w:pStyle w:val="BodyText"/>
        <w:spacing w:before="4"/>
      </w:pPr>
    </w:p>
    <w:p>
      <w:pPr>
        <w:pStyle w:val="BodyText"/>
        <w:ind w:left="159" w:right="493"/>
        <w:jc w:val="both"/>
      </w:pPr>
      <w:r>
        <w:rPr/>
        <w:t>Judged on the basis of these criteria, the existing situation appears to be far from satisfactory. Our universities do a good deal of work which really belongs to the secondary school and the latter in its turn</w:t>
      </w:r>
      <w:r>
        <w:rPr>
          <w:spacing w:val="-4"/>
        </w:rPr>
        <w:t> </w:t>
      </w:r>
      <w:r>
        <w:rPr/>
        <w:t>does a good deal of work of the primary school. Even where the standards have risen, the rise has not been adequate and better results would have been possible if the existing facilities had been intensively utilized. The main purpose of the first degree should be to bring students to the frontiers of knowledge and</w:t>
      </w:r>
      <w:r>
        <w:rPr>
          <w:spacing w:val="40"/>
        </w:rPr>
        <w:t> </w:t>
      </w:r>
      <w:r>
        <w:rPr/>
        <w:t>to the threshold of the world of research; and that of the second degree to provide a high level of specialization or to initiate the student into research itself. Our first and second degrees in arts, commerce and science do not generally come up to these standards. Moreover, our degrees should be internationally comparable in the sense that those given by our best centres should be as good as those of similar institutions in any part of the world. But by and large, it is our second degree in arts, commerce and science that introduces the student to the world of research</w:t>
      </w:r>
      <w:r>
        <w:rPr>
          <w:spacing w:val="-3"/>
        </w:rPr>
        <w:t> </w:t>
      </w:r>
      <w:r>
        <w:rPr/>
        <w:t>and is comparable to the</w:t>
      </w:r>
      <w:r>
        <w:rPr>
          <w:spacing w:val="-1"/>
        </w:rPr>
        <w:t> </w:t>
      </w:r>
      <w:r>
        <w:rPr/>
        <w:t>first degree in the educationally advanced countries.</w:t>
      </w:r>
    </w:p>
    <w:p>
      <w:pPr>
        <w:spacing w:after="0"/>
        <w:jc w:val="both"/>
        <w:sectPr>
          <w:pgSz w:w="12240" w:h="15840"/>
          <w:pgMar w:header="0" w:footer="743" w:top="1360" w:bottom="940" w:left="1640" w:right="1300"/>
        </w:sectPr>
      </w:pPr>
    </w:p>
    <w:p>
      <w:pPr>
        <w:pStyle w:val="ListParagraph"/>
        <w:numPr>
          <w:ilvl w:val="1"/>
          <w:numId w:val="23"/>
        </w:numPr>
        <w:tabs>
          <w:tab w:pos="668" w:val="left" w:leader="none"/>
        </w:tabs>
        <w:spacing w:line="240" w:lineRule="auto" w:before="76" w:after="0"/>
        <w:ind w:left="160" w:right="496" w:firstLine="0"/>
        <w:jc w:val="both"/>
        <w:rPr>
          <w:sz w:val="24"/>
        </w:rPr>
      </w:pPr>
      <w:r>
        <w:rPr>
          <w:sz w:val="24"/>
        </w:rPr>
        <w:t>A lower standard for these degrees was deliberately adopted in the early years of higher education, because universities had to institute a quick first degree in arts and science in order to produce the large number of graduates needed for the expanding administration.</w:t>
      </w:r>
      <w:r>
        <w:rPr>
          <w:b/>
          <w:sz w:val="24"/>
          <w:vertAlign w:val="superscript"/>
        </w:rPr>
        <w:t>23</w:t>
      </w:r>
      <w:r>
        <w:rPr>
          <w:b/>
          <w:sz w:val="24"/>
          <w:vertAlign w:val="baseline"/>
        </w:rPr>
        <w:t> </w:t>
      </w:r>
      <w:r>
        <w:rPr>
          <w:sz w:val="24"/>
          <w:vertAlign w:val="baseline"/>
        </w:rPr>
        <w:t>The weakness of these degrees was pointed out by the Calcutta University Commission more than forty years ago. But the situation has not materially changed to this day. Meanwhile, advanced countries have made phenomenal progress in education, specially since the Second World War. The gap between our standards and theirs has widened further; and the holders of the first degree of our universities in arts and science are now generally equated with matriculates in the important universities of western countries and are eligible for admission only to the first year of their first degree </w:t>
      </w:r>
      <w:r>
        <w:rPr>
          <w:spacing w:val="-2"/>
          <w:sz w:val="24"/>
          <w:vertAlign w:val="baseline"/>
        </w:rPr>
        <w:t>course.</w:t>
      </w:r>
    </w:p>
    <w:p>
      <w:pPr>
        <w:pStyle w:val="BodyText"/>
        <w:spacing w:before="4"/>
      </w:pPr>
    </w:p>
    <w:p>
      <w:pPr>
        <w:pStyle w:val="ListParagraph"/>
        <w:numPr>
          <w:ilvl w:val="1"/>
          <w:numId w:val="23"/>
        </w:numPr>
        <w:tabs>
          <w:tab w:pos="716" w:val="left" w:leader="none"/>
        </w:tabs>
        <w:spacing w:line="240" w:lineRule="auto" w:before="0" w:after="0"/>
        <w:ind w:left="160" w:right="496" w:firstLine="0"/>
        <w:jc w:val="both"/>
        <w:rPr>
          <w:b/>
          <w:sz w:val="24"/>
        </w:rPr>
      </w:pPr>
      <w:r>
        <w:rPr>
          <w:b/>
          <w:sz w:val="24"/>
        </w:rPr>
        <w:t>Recommendations</w:t>
      </w:r>
      <w:r>
        <w:rPr>
          <w:sz w:val="24"/>
        </w:rPr>
        <w:t>. We recommend that an intensive effort should be made, through measures for reorganization of the structure, increase of duration, intensive utilization and improvement of the quality and extent of inputs other than time, to raise standards continually at all stages of education. The immediate programmes to </w:t>
      </w:r>
      <w:r>
        <w:rPr>
          <w:sz w:val="24"/>
        </w:rPr>
        <w:t>be undertaken from this point of view should be the following:</w:t>
      </w:r>
    </w:p>
    <w:p>
      <w:pPr>
        <w:pStyle w:val="BodyText"/>
        <w:spacing w:before="4"/>
      </w:pPr>
    </w:p>
    <w:p>
      <w:pPr>
        <w:pStyle w:val="ListParagraph"/>
        <w:numPr>
          <w:ilvl w:val="0"/>
          <w:numId w:val="33"/>
        </w:numPr>
        <w:tabs>
          <w:tab w:pos="504" w:val="left" w:leader="none"/>
        </w:tabs>
        <w:spacing w:line="240" w:lineRule="auto" w:before="0" w:after="0"/>
        <w:ind w:left="159" w:right="496" w:firstLine="0"/>
        <w:jc w:val="both"/>
        <w:rPr>
          <w:sz w:val="24"/>
        </w:rPr>
      </w:pPr>
      <w:r>
        <w:rPr>
          <w:sz w:val="24"/>
        </w:rPr>
        <w:t>Standards at the End of the First Stage of School Education. The standards reached at the end of the first ten years of school education at present are far from satisfactory. We, therefore, recommend that for the next ten years the principal effort ill all the States and Union Territories should be directed towards the qualitative improvement of this stage of school education so that its wastage-which reaches appalling dimensions at present-is reduced to the minimum. Our proposals on this subject are discussed in detail</w:t>
      </w:r>
      <w:r>
        <w:rPr>
          <w:spacing w:val="40"/>
          <w:sz w:val="24"/>
        </w:rPr>
        <w:t> </w:t>
      </w:r>
      <w:r>
        <w:rPr>
          <w:sz w:val="24"/>
        </w:rPr>
        <w:t>elsewhere.</w:t>
      </w:r>
      <w:r>
        <w:rPr>
          <w:b/>
          <w:sz w:val="24"/>
          <w:vertAlign w:val="superscript"/>
        </w:rPr>
        <w:t>24</w:t>
      </w:r>
      <w:r>
        <w:rPr>
          <w:b/>
          <w:sz w:val="24"/>
          <w:vertAlign w:val="baseline"/>
        </w:rPr>
        <w:t> </w:t>
      </w:r>
      <w:r>
        <w:rPr>
          <w:sz w:val="24"/>
          <w:vertAlign w:val="baseline"/>
        </w:rPr>
        <w:t>With a substantial reduction in wastage and with better inputs in terms of teachers, curricula, methods of teaching and evaluation, and facilities, we believe it is possible to raise within a decade or so the existing standard at the end of Class X to the standard now being attained on the completion of the higher secondary course. In other words, the schools will add, not one year of time, but one year of content, and achieve in</w:t>
      </w:r>
      <w:r>
        <w:rPr>
          <w:spacing w:val="40"/>
          <w:sz w:val="24"/>
          <w:vertAlign w:val="baseline"/>
        </w:rPr>
        <w:t> </w:t>
      </w:r>
      <w:r>
        <w:rPr>
          <w:sz w:val="24"/>
          <w:vertAlign w:val="baseline"/>
        </w:rPr>
        <w:t>a period of ten years what is now being done in eleven.</w:t>
      </w:r>
    </w:p>
    <w:p>
      <w:pPr>
        <w:spacing w:line="240" w:lineRule="auto" w:before="247"/>
        <w:ind w:left="159" w:right="497" w:firstLine="0"/>
        <w:jc w:val="both"/>
        <w:rPr>
          <w:sz w:val="20"/>
        </w:rPr>
      </w:pPr>
      <w:r>
        <w:rPr>
          <w:b/>
          <w:position w:val="11"/>
          <w:sz w:val="16"/>
        </w:rPr>
        <w:t>23</w:t>
      </w:r>
      <w:r>
        <w:rPr>
          <w:sz w:val="20"/>
        </w:rPr>
        <w:t>It</w:t>
      </w:r>
      <w:r>
        <w:rPr>
          <w:spacing w:val="-1"/>
          <w:sz w:val="20"/>
        </w:rPr>
        <w:t> </w:t>
      </w:r>
      <w:r>
        <w:rPr>
          <w:sz w:val="20"/>
        </w:rPr>
        <w:t>is</w:t>
      </w:r>
      <w:r>
        <w:rPr>
          <w:spacing w:val="-1"/>
          <w:sz w:val="20"/>
        </w:rPr>
        <w:t> </w:t>
      </w:r>
      <w:r>
        <w:rPr>
          <w:sz w:val="20"/>
        </w:rPr>
        <w:t>interesting that</w:t>
      </w:r>
      <w:r>
        <w:rPr>
          <w:spacing w:val="-1"/>
          <w:sz w:val="20"/>
        </w:rPr>
        <w:t> </w:t>
      </w:r>
      <w:r>
        <w:rPr>
          <w:sz w:val="20"/>
        </w:rPr>
        <w:t>this</w:t>
      </w:r>
      <w:r>
        <w:rPr>
          <w:spacing w:val="-1"/>
          <w:sz w:val="20"/>
        </w:rPr>
        <w:t> </w:t>
      </w:r>
      <w:r>
        <w:rPr>
          <w:sz w:val="20"/>
        </w:rPr>
        <w:t>proposal</w:t>
      </w:r>
      <w:r>
        <w:rPr>
          <w:spacing w:val="-1"/>
          <w:sz w:val="20"/>
        </w:rPr>
        <w:t> </w:t>
      </w:r>
      <w:r>
        <w:rPr>
          <w:sz w:val="20"/>
        </w:rPr>
        <w:t>of a</w:t>
      </w:r>
      <w:r>
        <w:rPr>
          <w:spacing w:val="-1"/>
          <w:sz w:val="20"/>
        </w:rPr>
        <w:t> </w:t>
      </w:r>
      <w:r>
        <w:rPr>
          <w:sz w:val="20"/>
        </w:rPr>
        <w:t>'half-way'</w:t>
      </w:r>
      <w:r>
        <w:rPr>
          <w:spacing w:val="-1"/>
          <w:sz w:val="20"/>
        </w:rPr>
        <w:t> </w:t>
      </w:r>
      <w:r>
        <w:rPr>
          <w:sz w:val="20"/>
        </w:rPr>
        <w:t>degree</w:t>
      </w:r>
      <w:r>
        <w:rPr>
          <w:spacing w:val="-1"/>
          <w:sz w:val="20"/>
        </w:rPr>
        <w:t> </w:t>
      </w:r>
      <w:r>
        <w:rPr>
          <w:sz w:val="20"/>
        </w:rPr>
        <w:t>which</w:t>
      </w:r>
      <w:r>
        <w:rPr>
          <w:spacing w:val="-2"/>
          <w:sz w:val="20"/>
        </w:rPr>
        <w:t> </w:t>
      </w:r>
      <w:r>
        <w:rPr>
          <w:sz w:val="20"/>
        </w:rPr>
        <w:t>was</w:t>
      </w:r>
      <w:r>
        <w:rPr>
          <w:spacing w:val="-1"/>
          <w:sz w:val="20"/>
        </w:rPr>
        <w:t> </w:t>
      </w:r>
      <w:r>
        <w:rPr>
          <w:sz w:val="20"/>
        </w:rPr>
        <w:t>adopted</w:t>
      </w:r>
      <w:r>
        <w:rPr>
          <w:spacing w:val="-1"/>
          <w:sz w:val="20"/>
        </w:rPr>
        <w:t> </w:t>
      </w:r>
      <w:r>
        <w:rPr>
          <w:sz w:val="20"/>
        </w:rPr>
        <w:t>in</w:t>
      </w:r>
      <w:r>
        <w:rPr>
          <w:spacing w:val="-2"/>
          <w:sz w:val="20"/>
        </w:rPr>
        <w:t> </w:t>
      </w:r>
      <w:r>
        <w:rPr>
          <w:sz w:val="20"/>
        </w:rPr>
        <w:t>our</w:t>
      </w:r>
      <w:r>
        <w:rPr>
          <w:spacing w:val="-1"/>
          <w:sz w:val="20"/>
        </w:rPr>
        <w:t> </w:t>
      </w:r>
      <w:r>
        <w:rPr>
          <w:sz w:val="20"/>
        </w:rPr>
        <w:t>country</w:t>
      </w:r>
      <w:r>
        <w:rPr>
          <w:spacing w:val="-1"/>
          <w:sz w:val="20"/>
        </w:rPr>
        <w:t> </w:t>
      </w:r>
      <w:r>
        <w:rPr>
          <w:sz w:val="20"/>
        </w:rPr>
        <w:t>about</w:t>
      </w:r>
      <w:r>
        <w:rPr>
          <w:spacing w:val="-1"/>
          <w:sz w:val="20"/>
        </w:rPr>
        <w:t> </w:t>
      </w:r>
      <w:r>
        <w:rPr>
          <w:sz w:val="20"/>
        </w:rPr>
        <w:t>a</w:t>
      </w:r>
      <w:r>
        <w:rPr>
          <w:spacing w:val="-1"/>
          <w:sz w:val="20"/>
        </w:rPr>
        <w:t> </w:t>
      </w:r>
      <w:r>
        <w:rPr>
          <w:sz w:val="20"/>
        </w:rPr>
        <w:t>century ago, is now coming into favour, although for entirely different reasons, in sonic of the educationally advanced countries. On the continent of Europe, the first degree course (in arts, science and technology) is of about 5 years. In the USA the courses are of 4 years, whereas in the UK the period is 3 years. With rapidly expanding enrolment it is increasingly recognized that there is a need to reduce by about half the duration of some of the undergraduate courses and provide 'half- way' degrees of the Bachelor level. This will</w:t>
      </w:r>
      <w:r>
        <w:rPr>
          <w:spacing w:val="-1"/>
          <w:sz w:val="20"/>
        </w:rPr>
        <w:t> </w:t>
      </w:r>
      <w:r>
        <w:rPr>
          <w:sz w:val="20"/>
        </w:rPr>
        <w:t>serve</w:t>
      </w:r>
      <w:r>
        <w:rPr>
          <w:spacing w:val="-1"/>
          <w:sz w:val="20"/>
        </w:rPr>
        <w:t> </w:t>
      </w:r>
      <w:r>
        <w:rPr>
          <w:sz w:val="20"/>
        </w:rPr>
        <w:t>to screen</w:t>
      </w:r>
      <w:r>
        <w:rPr>
          <w:spacing w:val="-1"/>
          <w:sz w:val="20"/>
        </w:rPr>
        <w:t> </w:t>
      </w:r>
      <w:r>
        <w:rPr>
          <w:sz w:val="20"/>
        </w:rPr>
        <w:t>students</w:t>
      </w:r>
      <w:r>
        <w:rPr>
          <w:spacing w:val="-1"/>
          <w:sz w:val="20"/>
        </w:rPr>
        <w:t> </w:t>
      </w:r>
      <w:r>
        <w:rPr>
          <w:sz w:val="20"/>
        </w:rPr>
        <w:t>going</w:t>
      </w:r>
      <w:r>
        <w:rPr>
          <w:spacing w:val="-1"/>
          <w:sz w:val="20"/>
        </w:rPr>
        <w:t> </w:t>
      </w:r>
      <w:r>
        <w:rPr>
          <w:sz w:val="20"/>
        </w:rPr>
        <w:t>up</w:t>
      </w:r>
      <w:r>
        <w:rPr>
          <w:spacing w:val="-1"/>
          <w:sz w:val="20"/>
        </w:rPr>
        <w:t> </w:t>
      </w:r>
      <w:r>
        <w:rPr>
          <w:sz w:val="20"/>
        </w:rPr>
        <w:t>to the</w:t>
      </w:r>
      <w:r>
        <w:rPr>
          <w:spacing w:val="-1"/>
          <w:sz w:val="20"/>
        </w:rPr>
        <w:t> </w:t>
      </w:r>
      <w:r>
        <w:rPr>
          <w:sz w:val="20"/>
        </w:rPr>
        <w:t>frill</w:t>
      </w:r>
      <w:r>
        <w:rPr>
          <w:spacing w:val="-1"/>
          <w:sz w:val="20"/>
        </w:rPr>
        <w:t> </w:t>
      </w:r>
      <w:r>
        <w:rPr>
          <w:sz w:val="20"/>
        </w:rPr>
        <w:t>Bachelor's</w:t>
      </w:r>
      <w:r>
        <w:rPr>
          <w:spacing w:val="-2"/>
          <w:sz w:val="20"/>
        </w:rPr>
        <w:t> </w:t>
      </w:r>
      <w:r>
        <w:rPr>
          <w:sz w:val="20"/>
        </w:rPr>
        <w:t>degree,</w:t>
      </w:r>
      <w:r>
        <w:rPr>
          <w:spacing w:val="-1"/>
          <w:sz w:val="20"/>
        </w:rPr>
        <w:t> </w:t>
      </w:r>
      <w:r>
        <w:rPr>
          <w:sz w:val="20"/>
        </w:rPr>
        <w:t>and</w:t>
      </w:r>
      <w:r>
        <w:rPr>
          <w:spacing w:val="-2"/>
          <w:sz w:val="20"/>
        </w:rPr>
        <w:t> </w:t>
      </w:r>
      <w:r>
        <w:rPr>
          <w:sz w:val="20"/>
        </w:rPr>
        <w:t>will</w:t>
      </w:r>
      <w:r>
        <w:rPr>
          <w:spacing w:val="-1"/>
          <w:sz w:val="20"/>
        </w:rPr>
        <w:t> </w:t>
      </w:r>
      <w:r>
        <w:rPr>
          <w:sz w:val="20"/>
        </w:rPr>
        <w:t>help in</w:t>
      </w:r>
      <w:r>
        <w:rPr>
          <w:spacing w:val="-1"/>
          <w:sz w:val="20"/>
        </w:rPr>
        <w:t> </w:t>
      </w:r>
      <w:r>
        <w:rPr>
          <w:sz w:val="20"/>
        </w:rPr>
        <w:t>maintaining</w:t>
      </w:r>
      <w:r>
        <w:rPr>
          <w:spacing w:val="-1"/>
          <w:sz w:val="20"/>
        </w:rPr>
        <w:t> </w:t>
      </w:r>
      <w:r>
        <w:rPr>
          <w:sz w:val="20"/>
        </w:rPr>
        <w:t>and</w:t>
      </w:r>
      <w:r>
        <w:rPr>
          <w:spacing w:val="-2"/>
          <w:sz w:val="20"/>
        </w:rPr>
        <w:t> </w:t>
      </w:r>
      <w:r>
        <w:rPr>
          <w:sz w:val="20"/>
        </w:rPr>
        <w:t>raising the standard of the full degree. (OECD Ministerial Meeting in Science: Fundamental Research and the Policies of Government, Paris, 1966.)</w:t>
      </w:r>
    </w:p>
    <w:p>
      <w:pPr>
        <w:pStyle w:val="BodyText"/>
        <w:spacing w:before="58"/>
        <w:rPr>
          <w:sz w:val="20"/>
        </w:rPr>
      </w:pPr>
    </w:p>
    <w:p>
      <w:pPr>
        <w:pStyle w:val="BodyText"/>
        <w:ind w:left="160"/>
        <w:jc w:val="both"/>
      </w:pPr>
      <w:r>
        <w:rPr>
          <w:b/>
          <w:vertAlign w:val="superscript"/>
        </w:rPr>
        <w:t>24</w:t>
      </w:r>
      <w:r>
        <w:rPr>
          <w:vertAlign w:val="baseline"/>
        </w:rPr>
        <w:t>Chapter</w:t>
      </w:r>
      <w:r>
        <w:rPr>
          <w:spacing w:val="-3"/>
          <w:vertAlign w:val="baseline"/>
        </w:rPr>
        <w:t> </w:t>
      </w:r>
      <w:r>
        <w:rPr>
          <w:spacing w:val="-4"/>
          <w:vertAlign w:val="baseline"/>
        </w:rPr>
        <w:t>VII.</w:t>
      </w:r>
    </w:p>
    <w:p>
      <w:pPr>
        <w:spacing w:after="0"/>
        <w:jc w:val="both"/>
        <w:sectPr>
          <w:pgSz w:w="12240" w:h="15840"/>
          <w:pgMar w:header="0" w:footer="743" w:top="1360" w:bottom="940" w:left="1640" w:right="1300"/>
        </w:sectPr>
      </w:pPr>
    </w:p>
    <w:p>
      <w:pPr>
        <w:pStyle w:val="BodyText"/>
        <w:spacing w:before="76"/>
        <w:ind w:left="160" w:right="497"/>
        <w:jc w:val="both"/>
      </w:pPr>
      <w:r>
        <w:rPr/>
        <w:t>2) Standards at the University Stage. Beyond Class X, we have proposed the addition </w:t>
      </w:r>
      <w:r>
        <w:rPr/>
        <w:t>of at least one year of time. If we intensify utilization and improve other inputs, it may be possible to add a year of content to this stage also. The total gain would thus be equal to two years of content and this would raise the standards of our degrees considerably.</w:t>
      </w:r>
      <w:r>
        <w:rPr>
          <w:spacing w:val="40"/>
        </w:rPr>
        <w:t> </w:t>
      </w:r>
      <w:r>
        <w:rPr/>
        <w:t>When</w:t>
      </w:r>
      <w:r>
        <w:rPr>
          <w:spacing w:val="-3"/>
        </w:rPr>
        <w:t> </w:t>
      </w:r>
      <w:r>
        <w:rPr/>
        <w:t>the</w:t>
      </w:r>
      <w:r>
        <w:rPr>
          <w:spacing w:val="-3"/>
        </w:rPr>
        <w:t> </w:t>
      </w:r>
      <w:r>
        <w:rPr/>
        <w:t>standard</w:t>
      </w:r>
      <w:r>
        <w:rPr>
          <w:spacing w:val="-3"/>
        </w:rPr>
        <w:t> </w:t>
      </w:r>
      <w:r>
        <w:rPr/>
        <w:t>at</w:t>
      </w:r>
      <w:r>
        <w:rPr>
          <w:spacing w:val="-3"/>
        </w:rPr>
        <w:t> </w:t>
      </w:r>
      <w:r>
        <w:rPr/>
        <w:t>the</w:t>
      </w:r>
      <w:r>
        <w:rPr>
          <w:spacing w:val="-3"/>
        </w:rPr>
        <w:t> </w:t>
      </w:r>
      <w:r>
        <w:rPr/>
        <w:t>end</w:t>
      </w:r>
      <w:r>
        <w:rPr>
          <w:spacing w:val="-3"/>
        </w:rPr>
        <w:t> </w:t>
      </w:r>
      <w:r>
        <w:rPr/>
        <w:t>of</w:t>
      </w:r>
      <w:r>
        <w:rPr>
          <w:spacing w:val="-3"/>
        </w:rPr>
        <w:t> </w:t>
      </w:r>
      <w:r>
        <w:rPr/>
        <w:t>the</w:t>
      </w:r>
      <w:r>
        <w:rPr>
          <w:spacing w:val="-3"/>
        </w:rPr>
        <w:t> </w:t>
      </w:r>
      <w:r>
        <w:rPr/>
        <w:t>first</w:t>
      </w:r>
      <w:r>
        <w:rPr>
          <w:spacing w:val="-3"/>
        </w:rPr>
        <w:t> </w:t>
      </w:r>
      <w:r>
        <w:rPr/>
        <w:t>stage</w:t>
      </w:r>
      <w:r>
        <w:rPr>
          <w:spacing w:val="-2"/>
        </w:rPr>
        <w:t> </w:t>
      </w:r>
      <w:r>
        <w:rPr/>
        <w:t>of</w:t>
      </w:r>
      <w:r>
        <w:rPr>
          <w:spacing w:val="-2"/>
        </w:rPr>
        <w:t> </w:t>
      </w:r>
      <w:r>
        <w:rPr/>
        <w:t>school</w:t>
      </w:r>
      <w:r>
        <w:rPr>
          <w:spacing w:val="-2"/>
        </w:rPr>
        <w:t> </w:t>
      </w:r>
      <w:r>
        <w:rPr/>
        <w:t>education</w:t>
      </w:r>
      <w:r>
        <w:rPr>
          <w:spacing w:val="-2"/>
        </w:rPr>
        <w:t> </w:t>
      </w:r>
      <w:r>
        <w:rPr/>
        <w:t>is</w:t>
      </w:r>
      <w:r>
        <w:rPr>
          <w:spacing w:val="-2"/>
        </w:rPr>
        <w:t> </w:t>
      </w:r>
      <w:r>
        <w:rPr/>
        <w:t>raised</w:t>
      </w:r>
      <w:r>
        <w:rPr>
          <w:spacing w:val="-2"/>
        </w:rPr>
        <w:t> </w:t>
      </w:r>
      <w:r>
        <w:rPr/>
        <w:t>by</w:t>
      </w:r>
      <w:r>
        <w:rPr>
          <w:spacing w:val="-2"/>
        </w:rPr>
        <w:t> </w:t>
      </w:r>
      <w:r>
        <w:rPr/>
        <w:t>one</w:t>
      </w:r>
      <w:r>
        <w:rPr>
          <w:spacing w:val="-2"/>
        </w:rPr>
        <w:t> </w:t>
      </w:r>
      <w:r>
        <w:rPr/>
        <w:t>year</w:t>
      </w:r>
      <w:r>
        <w:rPr>
          <w:spacing w:val="-2"/>
        </w:rPr>
        <w:t> </w:t>
      </w:r>
      <w:r>
        <w:rPr/>
        <w:t>of content, the standards of our degrees will rise even higher. Against this background, with the adoption of the programme of developing a few major universities which we </w:t>
      </w:r>
      <w:r>
        <w:rPr/>
        <w:t>shall discuss elsewhere,</w:t>
      </w:r>
      <w:r>
        <w:rPr>
          <w:b/>
          <w:vertAlign w:val="superscript"/>
        </w:rPr>
        <w:t>25</w:t>
      </w:r>
      <w:r>
        <w:rPr>
          <w:b/>
          <w:vertAlign w:val="baseline"/>
        </w:rPr>
        <w:t> </w:t>
      </w:r>
      <w:r>
        <w:rPr>
          <w:vertAlign w:val="baseline"/>
        </w:rPr>
        <w:t>we could make the standards of some of our universities comparable to the best institutions of their type in any part of the world.</w:t>
      </w:r>
    </w:p>
    <w:p>
      <w:pPr>
        <w:pStyle w:val="BodyText"/>
        <w:spacing w:before="4"/>
      </w:pPr>
    </w:p>
    <w:p>
      <w:pPr>
        <w:pStyle w:val="ListParagraph"/>
        <w:numPr>
          <w:ilvl w:val="1"/>
          <w:numId w:val="23"/>
        </w:numPr>
        <w:tabs>
          <w:tab w:pos="661" w:val="left" w:leader="none"/>
        </w:tabs>
        <w:spacing w:line="240" w:lineRule="auto" w:before="0" w:after="0"/>
        <w:ind w:left="160" w:right="495" w:firstLine="0"/>
        <w:jc w:val="both"/>
        <w:rPr>
          <w:sz w:val="24"/>
        </w:rPr>
      </w:pPr>
      <w:r>
        <w:rPr>
          <w:sz w:val="24"/>
        </w:rPr>
        <w:t>We have referred earlier to the popular misconception that it is essential to have a uniform</w:t>
      </w:r>
      <w:r>
        <w:rPr>
          <w:spacing w:val="-3"/>
          <w:sz w:val="24"/>
        </w:rPr>
        <w:t> </w:t>
      </w:r>
      <w:r>
        <w:rPr>
          <w:sz w:val="24"/>
        </w:rPr>
        <w:t>pattern</w:t>
      </w:r>
      <w:r>
        <w:rPr>
          <w:spacing w:val="-1"/>
          <w:sz w:val="24"/>
        </w:rPr>
        <w:t> </w:t>
      </w:r>
      <w:r>
        <w:rPr>
          <w:sz w:val="24"/>
        </w:rPr>
        <w:t>of</w:t>
      </w:r>
      <w:r>
        <w:rPr>
          <w:spacing w:val="-1"/>
          <w:sz w:val="24"/>
        </w:rPr>
        <w:t> </w:t>
      </w:r>
      <w:r>
        <w:rPr>
          <w:sz w:val="24"/>
        </w:rPr>
        <w:t>school</w:t>
      </w:r>
      <w:r>
        <w:rPr>
          <w:spacing w:val="-1"/>
          <w:sz w:val="24"/>
        </w:rPr>
        <w:t> </w:t>
      </w:r>
      <w:r>
        <w:rPr>
          <w:sz w:val="24"/>
        </w:rPr>
        <w:t>and</w:t>
      </w:r>
      <w:r>
        <w:rPr>
          <w:spacing w:val="-1"/>
          <w:sz w:val="24"/>
        </w:rPr>
        <w:t> </w:t>
      </w:r>
      <w:r>
        <w:rPr>
          <w:sz w:val="24"/>
        </w:rPr>
        <w:t>higher</w:t>
      </w:r>
      <w:r>
        <w:rPr>
          <w:spacing w:val="-1"/>
          <w:sz w:val="24"/>
        </w:rPr>
        <w:t> </w:t>
      </w:r>
      <w:r>
        <w:rPr>
          <w:sz w:val="24"/>
        </w:rPr>
        <w:t>education</w:t>
      </w:r>
      <w:r>
        <w:rPr>
          <w:spacing w:val="-1"/>
          <w:sz w:val="24"/>
        </w:rPr>
        <w:t> </w:t>
      </w:r>
      <w:r>
        <w:rPr>
          <w:sz w:val="24"/>
        </w:rPr>
        <w:t>in</w:t>
      </w:r>
      <w:r>
        <w:rPr>
          <w:spacing w:val="-7"/>
          <w:sz w:val="24"/>
        </w:rPr>
        <w:t> </w:t>
      </w:r>
      <w:r>
        <w:rPr>
          <w:sz w:val="24"/>
        </w:rPr>
        <w:t>order</w:t>
      </w:r>
      <w:r>
        <w:rPr>
          <w:spacing w:val="-1"/>
          <w:sz w:val="24"/>
        </w:rPr>
        <w:t> </w:t>
      </w:r>
      <w:r>
        <w:rPr>
          <w:sz w:val="24"/>
        </w:rPr>
        <w:t>to</w:t>
      </w:r>
      <w:r>
        <w:rPr>
          <w:spacing w:val="-1"/>
          <w:sz w:val="24"/>
        </w:rPr>
        <w:t> </w:t>
      </w:r>
      <w:r>
        <w:rPr>
          <w:sz w:val="24"/>
        </w:rPr>
        <w:t>improve</w:t>
      </w:r>
      <w:r>
        <w:rPr>
          <w:spacing w:val="-1"/>
          <w:sz w:val="24"/>
        </w:rPr>
        <w:t> </w:t>
      </w:r>
      <w:r>
        <w:rPr>
          <w:sz w:val="24"/>
        </w:rPr>
        <w:t>or</w:t>
      </w:r>
      <w:r>
        <w:rPr>
          <w:spacing w:val="-3"/>
          <w:sz w:val="24"/>
        </w:rPr>
        <w:t> </w:t>
      </w:r>
      <w:r>
        <w:rPr>
          <w:sz w:val="24"/>
        </w:rPr>
        <w:t>maintain</w:t>
      </w:r>
      <w:r>
        <w:rPr>
          <w:spacing w:val="-1"/>
          <w:sz w:val="24"/>
        </w:rPr>
        <w:t> </w:t>
      </w:r>
      <w:r>
        <w:rPr>
          <w:sz w:val="24"/>
        </w:rPr>
        <w:t>standards. But while we are opposed to uniformity of pattern, we do very much share the general concern over the necessity for a continual improvement of standards and their comparability between different parts of the country. In our opinion, this objective can be better secured at the school stage through the creation of an adequate and efficient machinery at the State and the national levels, for defining, revising and evaluating national standards at the end of the primary, high school and the higher secondary stages. We shall discuss these problems in detail in a later part of the Report.</w:t>
      </w:r>
      <w:r>
        <w:rPr>
          <w:b/>
          <w:sz w:val="24"/>
          <w:vertAlign w:val="superscript"/>
        </w:rPr>
        <w:t>26</w:t>
      </w:r>
    </w:p>
    <w:p>
      <w:pPr>
        <w:pStyle w:val="BodyText"/>
        <w:spacing w:before="4"/>
        <w:rPr>
          <w:b/>
        </w:rPr>
      </w:pPr>
    </w:p>
    <w:p>
      <w:pPr>
        <w:pStyle w:val="ListParagraph"/>
        <w:numPr>
          <w:ilvl w:val="1"/>
          <w:numId w:val="23"/>
        </w:numPr>
        <w:tabs>
          <w:tab w:pos="640" w:val="left" w:leader="none"/>
        </w:tabs>
        <w:spacing w:line="240" w:lineRule="auto" w:before="0" w:after="0"/>
        <w:ind w:left="159" w:right="495" w:firstLine="0"/>
        <w:jc w:val="both"/>
        <w:rPr>
          <w:b/>
          <w:sz w:val="24"/>
        </w:rPr>
      </w:pPr>
      <w:r>
        <w:rPr>
          <w:b/>
          <w:sz w:val="24"/>
        </w:rPr>
        <w:t>Proper</w:t>
      </w:r>
      <w:r>
        <w:rPr>
          <w:b/>
          <w:spacing w:val="-2"/>
          <w:sz w:val="24"/>
        </w:rPr>
        <w:t> </w:t>
      </w:r>
      <w:r>
        <w:rPr>
          <w:b/>
          <w:sz w:val="24"/>
        </w:rPr>
        <w:t>Articulation</w:t>
      </w:r>
      <w:r>
        <w:rPr>
          <w:b/>
          <w:spacing w:val="-2"/>
          <w:sz w:val="24"/>
        </w:rPr>
        <w:t> </w:t>
      </w:r>
      <w:r>
        <w:rPr>
          <w:b/>
          <w:sz w:val="24"/>
        </w:rPr>
        <w:t>between</w:t>
      </w:r>
      <w:r>
        <w:rPr>
          <w:b/>
          <w:spacing w:val="-6"/>
          <w:sz w:val="24"/>
        </w:rPr>
        <w:t> </w:t>
      </w:r>
      <w:r>
        <w:rPr>
          <w:b/>
          <w:sz w:val="24"/>
        </w:rPr>
        <w:t>the</w:t>
      </w:r>
      <w:r>
        <w:rPr>
          <w:b/>
          <w:spacing w:val="-3"/>
          <w:sz w:val="24"/>
        </w:rPr>
        <w:t> </w:t>
      </w:r>
      <w:r>
        <w:rPr>
          <w:b/>
          <w:sz w:val="24"/>
        </w:rPr>
        <w:t>Different</w:t>
      </w:r>
      <w:r>
        <w:rPr>
          <w:b/>
          <w:spacing w:val="-3"/>
          <w:sz w:val="24"/>
        </w:rPr>
        <w:t> </w:t>
      </w:r>
      <w:r>
        <w:rPr>
          <w:b/>
          <w:sz w:val="24"/>
        </w:rPr>
        <w:t>Stages</w:t>
      </w:r>
      <w:r>
        <w:rPr>
          <w:b/>
          <w:spacing w:val="-3"/>
          <w:sz w:val="24"/>
        </w:rPr>
        <w:t> </w:t>
      </w:r>
      <w:r>
        <w:rPr>
          <w:b/>
          <w:sz w:val="24"/>
        </w:rPr>
        <w:t>of</w:t>
      </w:r>
      <w:r>
        <w:rPr>
          <w:b/>
          <w:spacing w:val="-3"/>
          <w:sz w:val="24"/>
        </w:rPr>
        <w:t> </w:t>
      </w:r>
      <w:r>
        <w:rPr>
          <w:b/>
          <w:sz w:val="24"/>
        </w:rPr>
        <w:t>Education.</w:t>
      </w:r>
      <w:r>
        <w:rPr>
          <w:b/>
          <w:spacing w:val="-2"/>
          <w:sz w:val="24"/>
        </w:rPr>
        <w:t> </w:t>
      </w:r>
      <w:r>
        <w:rPr>
          <w:sz w:val="24"/>
        </w:rPr>
        <w:t>Still</w:t>
      </w:r>
      <w:r>
        <w:rPr>
          <w:spacing w:val="-2"/>
          <w:sz w:val="24"/>
        </w:rPr>
        <w:t> </w:t>
      </w:r>
      <w:r>
        <w:rPr>
          <w:sz w:val="24"/>
        </w:rPr>
        <w:t>another</w:t>
      </w:r>
      <w:r>
        <w:rPr>
          <w:spacing w:val="-3"/>
          <w:sz w:val="24"/>
        </w:rPr>
        <w:t> </w:t>
      </w:r>
      <w:r>
        <w:rPr>
          <w:sz w:val="24"/>
        </w:rPr>
        <w:t>way in which standards can be raised is by securing better coordination between the different stages of education and by making the educational institutions function in small groups instead of in isolation. At present, there is little practical coordination between educational institutions functioning at different levels of education. The people at the university stage criticize those at the secondary stage for a fall in standards; and those </w:t>
      </w:r>
      <w:r>
        <w:rPr>
          <w:sz w:val="24"/>
        </w:rPr>
        <w:t>at the secondary stage pass the blame on to the persons at the primary stage. This situation of mutual recrimination has to be changed into one of mutual help, and this can be done by making each higher stage of education take the responsibility for improving standards at the lower stages.</w:t>
      </w:r>
    </w:p>
    <w:p>
      <w:pPr>
        <w:pStyle w:val="BodyText"/>
        <w:spacing w:before="4"/>
      </w:pPr>
    </w:p>
    <w:p>
      <w:pPr>
        <w:pStyle w:val="ListParagraph"/>
        <w:numPr>
          <w:ilvl w:val="1"/>
          <w:numId w:val="23"/>
        </w:numPr>
        <w:tabs>
          <w:tab w:pos="660" w:val="left" w:leader="none"/>
        </w:tabs>
        <w:spacing w:line="240" w:lineRule="auto" w:before="0" w:after="0"/>
        <w:ind w:left="160" w:right="497" w:firstLine="0"/>
        <w:jc w:val="both"/>
        <w:rPr>
          <w:sz w:val="24"/>
        </w:rPr>
      </w:pPr>
      <w:r>
        <w:rPr>
          <w:sz w:val="24"/>
        </w:rPr>
        <w:t>The Role of Universities and Colleges. The universities and colleges, for example, should</w:t>
      </w:r>
      <w:r>
        <w:rPr>
          <w:spacing w:val="-1"/>
          <w:sz w:val="24"/>
        </w:rPr>
        <w:t> </w:t>
      </w:r>
      <w:r>
        <w:rPr>
          <w:sz w:val="24"/>
        </w:rPr>
        <w:t>assist</w:t>
      </w:r>
      <w:r>
        <w:rPr>
          <w:spacing w:val="-1"/>
          <w:sz w:val="24"/>
        </w:rPr>
        <w:t> </w:t>
      </w:r>
      <w:r>
        <w:rPr>
          <w:sz w:val="24"/>
        </w:rPr>
        <w:t>the</w:t>
      </w:r>
      <w:r>
        <w:rPr>
          <w:spacing w:val="-1"/>
          <w:sz w:val="24"/>
        </w:rPr>
        <w:t> </w:t>
      </w:r>
      <w:r>
        <w:rPr>
          <w:sz w:val="24"/>
        </w:rPr>
        <w:t>secondary</w:t>
      </w:r>
      <w:r>
        <w:rPr>
          <w:spacing w:val="-1"/>
          <w:sz w:val="24"/>
        </w:rPr>
        <w:t> </w:t>
      </w:r>
      <w:r>
        <w:rPr>
          <w:sz w:val="24"/>
        </w:rPr>
        <w:t>schools</w:t>
      </w:r>
      <w:r>
        <w:rPr>
          <w:spacing w:val="-2"/>
          <w:sz w:val="24"/>
        </w:rPr>
        <w:t> </w:t>
      </w:r>
      <w:r>
        <w:rPr>
          <w:sz w:val="24"/>
        </w:rPr>
        <w:t>in</w:t>
      </w:r>
      <w:r>
        <w:rPr>
          <w:spacing w:val="-2"/>
          <w:sz w:val="24"/>
        </w:rPr>
        <w:t> </w:t>
      </w:r>
      <w:r>
        <w:rPr>
          <w:sz w:val="24"/>
        </w:rPr>
        <w:t>improving</w:t>
      </w:r>
      <w:r>
        <w:rPr>
          <w:spacing w:val="-2"/>
          <w:sz w:val="24"/>
        </w:rPr>
        <w:t> </w:t>
      </w:r>
      <w:r>
        <w:rPr>
          <w:sz w:val="24"/>
        </w:rPr>
        <w:t>their</w:t>
      </w:r>
      <w:r>
        <w:rPr>
          <w:spacing w:val="-2"/>
          <w:sz w:val="24"/>
        </w:rPr>
        <w:t> </w:t>
      </w:r>
      <w:r>
        <w:rPr>
          <w:sz w:val="24"/>
        </w:rPr>
        <w:t>efficiency.</w:t>
      </w:r>
      <w:r>
        <w:rPr>
          <w:spacing w:val="-1"/>
          <w:sz w:val="24"/>
        </w:rPr>
        <w:t> </w:t>
      </w:r>
      <w:r>
        <w:rPr>
          <w:sz w:val="24"/>
        </w:rPr>
        <w:t>The</w:t>
      </w:r>
      <w:r>
        <w:rPr>
          <w:spacing w:val="-1"/>
          <w:sz w:val="24"/>
        </w:rPr>
        <w:t> </w:t>
      </w:r>
      <w:r>
        <w:rPr>
          <w:sz w:val="24"/>
        </w:rPr>
        <w:t>following</w:t>
      </w:r>
      <w:r>
        <w:rPr>
          <w:spacing w:val="-1"/>
          <w:sz w:val="24"/>
        </w:rPr>
        <w:t> </w:t>
      </w:r>
      <w:r>
        <w:rPr>
          <w:sz w:val="24"/>
        </w:rPr>
        <w:t>are</w:t>
      </w:r>
      <w:r>
        <w:rPr>
          <w:spacing w:val="-1"/>
          <w:sz w:val="24"/>
        </w:rPr>
        <w:t> </w:t>
      </w:r>
      <w:r>
        <w:rPr>
          <w:sz w:val="24"/>
        </w:rPr>
        <w:t>some of the programmes which can be undertaken:</w:t>
      </w:r>
    </w:p>
    <w:p>
      <w:pPr>
        <w:pStyle w:val="BodyText"/>
        <w:spacing w:before="5"/>
      </w:pPr>
    </w:p>
    <w:p>
      <w:pPr>
        <w:pStyle w:val="ListParagraph"/>
        <w:numPr>
          <w:ilvl w:val="2"/>
          <w:numId w:val="23"/>
        </w:numPr>
        <w:tabs>
          <w:tab w:pos="354" w:val="left" w:leader="none"/>
        </w:tabs>
        <w:spacing w:line="240" w:lineRule="auto" w:before="0" w:after="0"/>
        <w:ind w:left="160" w:right="497" w:firstLine="0"/>
        <w:jc w:val="both"/>
        <w:rPr>
          <w:sz w:val="24"/>
        </w:rPr>
      </w:pPr>
      <w:r>
        <w:rPr>
          <w:sz w:val="24"/>
        </w:rPr>
        <w:t>Each college can be functionally related to a number of secondary schools in the neighbourhood and enabled to provide extension services and guidance to them to improve their standards. A similar programme for the colleges themselves could be developed through the universities.</w:t>
      </w:r>
    </w:p>
    <w:p>
      <w:pPr>
        <w:pStyle w:val="BodyText"/>
        <w:spacing w:before="3"/>
      </w:pPr>
    </w:p>
    <w:p>
      <w:pPr>
        <w:pStyle w:val="ListParagraph"/>
        <w:numPr>
          <w:ilvl w:val="2"/>
          <w:numId w:val="23"/>
        </w:numPr>
        <w:tabs>
          <w:tab w:pos="324" w:val="left" w:leader="none"/>
        </w:tabs>
        <w:spacing w:line="240" w:lineRule="auto" w:before="1" w:after="0"/>
        <w:ind w:left="160" w:right="497" w:firstLine="0"/>
        <w:jc w:val="both"/>
        <w:rPr>
          <w:sz w:val="24"/>
        </w:rPr>
      </w:pPr>
      <w:r>
        <w:rPr>
          <w:sz w:val="24"/>
        </w:rPr>
        <w:t>The universities can conduct special diploma courses, either pre-service or in-service, for improving the competence of secondary teachers. These can preferably be correspondence courses, requiring only short-term personal attendance.</w:t>
      </w:r>
    </w:p>
    <w:p>
      <w:pPr>
        <w:pStyle w:val="BodyText"/>
        <w:spacing w:before="4"/>
      </w:pPr>
    </w:p>
    <w:p>
      <w:pPr>
        <w:pStyle w:val="BodyText"/>
        <w:tabs>
          <w:tab w:pos="2113" w:val="left" w:leader="none"/>
        </w:tabs>
        <w:ind w:left="160"/>
        <w:jc w:val="both"/>
      </w:pPr>
      <w:r>
        <w:rPr>
          <w:b/>
          <w:vertAlign w:val="superscript"/>
        </w:rPr>
        <w:t>25</w:t>
      </w:r>
      <w:r>
        <w:rPr>
          <w:vertAlign w:val="baseline"/>
        </w:rPr>
        <w:t>Chapter</w:t>
      </w:r>
      <w:r>
        <w:rPr>
          <w:spacing w:val="-2"/>
          <w:vertAlign w:val="baseline"/>
        </w:rPr>
        <w:t> </w:t>
      </w:r>
      <w:r>
        <w:rPr>
          <w:spacing w:val="-5"/>
          <w:vertAlign w:val="baseline"/>
        </w:rPr>
        <w:t>XI.</w:t>
      </w:r>
      <w:r>
        <w:rPr>
          <w:vertAlign w:val="baseline"/>
        </w:rPr>
        <w:tab/>
      </w:r>
      <w:r>
        <w:rPr>
          <w:b/>
          <w:vertAlign w:val="superscript"/>
        </w:rPr>
        <w:t>26</w:t>
      </w:r>
      <w:r>
        <w:rPr>
          <w:vertAlign w:val="baseline"/>
        </w:rPr>
        <w:t>Chapter</w:t>
      </w:r>
      <w:r>
        <w:rPr>
          <w:spacing w:val="-4"/>
          <w:vertAlign w:val="baseline"/>
        </w:rPr>
        <w:t> </w:t>
      </w:r>
      <w:r>
        <w:rPr>
          <w:spacing w:val="-5"/>
          <w:vertAlign w:val="baseline"/>
        </w:rPr>
        <w:t>X.</w:t>
      </w:r>
    </w:p>
    <w:p>
      <w:pPr>
        <w:spacing w:after="0"/>
        <w:jc w:val="both"/>
        <w:sectPr>
          <w:pgSz w:w="12240" w:h="15840"/>
          <w:pgMar w:header="0" w:footer="743" w:top="1360" w:bottom="940" w:left="1640" w:right="1300"/>
        </w:sectPr>
      </w:pPr>
    </w:p>
    <w:p>
      <w:pPr>
        <w:pStyle w:val="ListParagraph"/>
        <w:numPr>
          <w:ilvl w:val="2"/>
          <w:numId w:val="23"/>
        </w:numPr>
        <w:tabs>
          <w:tab w:pos="353" w:val="left" w:leader="none"/>
        </w:tabs>
        <w:spacing w:line="240" w:lineRule="auto" w:before="76" w:after="0"/>
        <w:ind w:left="160" w:right="497" w:firstLine="0"/>
        <w:jc w:val="both"/>
        <w:rPr>
          <w:sz w:val="24"/>
        </w:rPr>
      </w:pPr>
      <w:r>
        <w:rPr>
          <w:sz w:val="24"/>
        </w:rPr>
        <w:t>The universities can conduct experimental secondary or primary schools to evolve improved techniques of teaching and organization.</w:t>
      </w:r>
    </w:p>
    <w:p>
      <w:pPr>
        <w:pStyle w:val="BodyText"/>
        <w:spacing w:before="4"/>
      </w:pPr>
    </w:p>
    <w:p>
      <w:pPr>
        <w:pStyle w:val="ListParagraph"/>
        <w:numPr>
          <w:ilvl w:val="2"/>
          <w:numId w:val="23"/>
        </w:numPr>
        <w:tabs>
          <w:tab w:pos="342" w:val="left" w:leader="none"/>
        </w:tabs>
        <w:spacing w:line="240" w:lineRule="auto" w:before="0" w:after="0"/>
        <w:ind w:left="160" w:right="497" w:firstLine="0"/>
        <w:jc w:val="both"/>
        <w:rPr>
          <w:sz w:val="24"/>
        </w:rPr>
      </w:pPr>
      <w:r>
        <w:rPr>
          <w:sz w:val="24"/>
        </w:rPr>
        <w:t>The university and college teachers can take upon themselves the responsibility for improving school textbooks and providing better types of instructional materials.</w:t>
      </w:r>
    </w:p>
    <w:p>
      <w:pPr>
        <w:pStyle w:val="BodyText"/>
        <w:spacing w:before="5"/>
      </w:pPr>
    </w:p>
    <w:p>
      <w:pPr>
        <w:pStyle w:val="ListParagraph"/>
        <w:numPr>
          <w:ilvl w:val="2"/>
          <w:numId w:val="23"/>
        </w:numPr>
        <w:tabs>
          <w:tab w:pos="302" w:val="left" w:leader="none"/>
        </w:tabs>
        <w:spacing w:line="240" w:lineRule="auto" w:before="0" w:after="0"/>
        <w:ind w:left="160" w:right="497" w:firstLine="0"/>
        <w:jc w:val="both"/>
        <w:rPr>
          <w:sz w:val="24"/>
        </w:rPr>
      </w:pPr>
      <w:r>
        <w:rPr>
          <w:sz w:val="24"/>
        </w:rPr>
        <w:t>The universities and colleges could select talented students from</w:t>
      </w:r>
      <w:r>
        <w:rPr>
          <w:spacing w:val="-1"/>
          <w:sz w:val="24"/>
        </w:rPr>
        <w:t> </w:t>
      </w:r>
      <w:r>
        <w:rPr>
          <w:sz w:val="24"/>
        </w:rPr>
        <w:t>the schools in different subjects at an appropriate stage, say, in the age-group 13-15, and help them to develop their knowledge in special fields through individual guidance, provision of laboratory facilities, etc., over and above regular school work.</w:t>
      </w:r>
    </w:p>
    <w:p>
      <w:pPr>
        <w:pStyle w:val="BodyText"/>
        <w:spacing w:before="4"/>
      </w:pPr>
    </w:p>
    <w:p>
      <w:pPr>
        <w:pStyle w:val="BodyText"/>
        <w:ind w:left="160" w:right="497"/>
        <w:jc w:val="both"/>
      </w:pPr>
      <w:r>
        <w:rPr/>
        <w:t>These programmes have been cited merely as illustrations. Once the principle that the universities should assist in the improvement of standards at lower stages is accepted, it will be possible to devise many other programmes.</w:t>
      </w:r>
    </w:p>
    <w:p>
      <w:pPr>
        <w:pStyle w:val="BodyText"/>
        <w:spacing w:before="3"/>
      </w:pPr>
    </w:p>
    <w:p>
      <w:pPr>
        <w:pStyle w:val="ListParagraph"/>
        <w:numPr>
          <w:ilvl w:val="1"/>
          <w:numId w:val="23"/>
        </w:numPr>
        <w:tabs>
          <w:tab w:pos="728" w:val="left" w:leader="none"/>
        </w:tabs>
        <w:spacing w:line="240" w:lineRule="auto" w:before="0" w:after="0"/>
        <w:ind w:left="160" w:right="497" w:firstLine="0"/>
        <w:jc w:val="both"/>
        <w:rPr>
          <w:b/>
          <w:sz w:val="24"/>
        </w:rPr>
      </w:pPr>
      <w:r>
        <w:rPr>
          <w:b/>
          <w:sz w:val="24"/>
        </w:rPr>
        <w:t>The School Complex. </w:t>
      </w:r>
      <w:r>
        <w:rPr>
          <w:sz w:val="24"/>
        </w:rPr>
        <w:t>What was stated above for the relationship between universities, colleges and secondary schools, could be easily extended further </w:t>
      </w:r>
      <w:r>
        <w:rPr>
          <w:sz w:val="24"/>
        </w:rPr>
        <w:t>to secondary and primary schools. There are about 26,000 secondary schools at the beginning of the Fourth Plan and about 14,000 of these are in rural areas. In addition, the rural areas have about 65,000 higher primary schools and about 360,000 lower primary schools. In other words, in a rural area having a radius of five to ten miles, there are: one secondary school, about five higher primary schools and 28 lower primary schools. The total number of teachers may be about 80 to 100. This is a fairly small and manageable group which can function in a face-to-face relationship within easily accessible distance. It has also a good potential for planning and guidance, since there will be at least five or six trained graduates in the group. Moreover, it is possible to provide new aids like a projector, a good library, a good laboratory in each secondary school as a unit and make them functionally available to all the schools in the area. This group built round a secondary school should, in our opinion, be adopted as the minimum viable unit of educational reform and developed accordingly.</w:t>
      </w:r>
    </w:p>
    <w:p>
      <w:pPr>
        <w:pStyle w:val="BodyText"/>
        <w:spacing w:before="4"/>
      </w:pPr>
    </w:p>
    <w:p>
      <w:pPr>
        <w:pStyle w:val="ListParagraph"/>
        <w:numPr>
          <w:ilvl w:val="1"/>
          <w:numId w:val="23"/>
        </w:numPr>
        <w:tabs>
          <w:tab w:pos="647" w:val="left" w:leader="none"/>
        </w:tabs>
        <w:spacing w:line="240" w:lineRule="auto" w:before="0" w:after="0"/>
        <w:ind w:left="159" w:right="496" w:firstLine="0"/>
        <w:jc w:val="both"/>
        <w:rPr>
          <w:sz w:val="24"/>
        </w:rPr>
      </w:pPr>
      <w:r>
        <w:rPr>
          <w:sz w:val="24"/>
        </w:rPr>
        <w:t>The linking of secondary and primary schools under this programme can be done in two tiers. In the first tier, each higher primary school should be integrally related to the eight to ten lower primary schools that exist in its neighbourhood so that they form one complex' of educational facilities. The headmaster of the higher primary school should provide an extension service to the lower primary schools in his charge, and it will be his responsibility to see that they function properly. For this purpose, there would be </w:t>
      </w:r>
      <w:r>
        <w:rPr>
          <w:sz w:val="24"/>
        </w:rPr>
        <w:t>a committee under his chairmanship (of which the headmaster of every lower primary school in his area would be a member) which would be responsible for planning and developing all the schools as a single 'complex'. The second tier would be a committee under the chairmanship of the head- master of the secondary school (all headmasters of the higher and lower primary schools in the area being members) which will plan the work and give guidance to all the schools in the area, in the light of which each higher primary school complex (with its associated lower primary schools) would carry on its work. This group of schools and teachers can be given a good deal of freedom to develop their</w:t>
      </w:r>
      <w:r>
        <w:rPr>
          <w:spacing w:val="7"/>
          <w:sz w:val="24"/>
        </w:rPr>
        <w:t> </w:t>
      </w:r>
      <w:r>
        <w:rPr>
          <w:sz w:val="24"/>
        </w:rPr>
        <w:t>own</w:t>
      </w:r>
      <w:r>
        <w:rPr>
          <w:spacing w:val="8"/>
          <w:sz w:val="24"/>
        </w:rPr>
        <w:t> </w:t>
      </w:r>
      <w:r>
        <w:rPr>
          <w:sz w:val="24"/>
        </w:rPr>
        <w:t>programmes,</w:t>
      </w:r>
      <w:r>
        <w:rPr>
          <w:spacing w:val="8"/>
          <w:sz w:val="24"/>
        </w:rPr>
        <w:t> </w:t>
      </w:r>
      <w:r>
        <w:rPr>
          <w:sz w:val="24"/>
        </w:rPr>
        <w:t>subject</w:t>
      </w:r>
      <w:r>
        <w:rPr>
          <w:spacing w:val="8"/>
          <w:sz w:val="24"/>
        </w:rPr>
        <w:t> </w:t>
      </w:r>
      <w:r>
        <w:rPr>
          <w:sz w:val="24"/>
        </w:rPr>
        <w:t>to</w:t>
      </w:r>
      <w:r>
        <w:rPr>
          <w:spacing w:val="8"/>
          <w:sz w:val="24"/>
        </w:rPr>
        <w:t> </w:t>
      </w:r>
      <w:r>
        <w:rPr>
          <w:sz w:val="24"/>
        </w:rPr>
        <w:t>the</w:t>
      </w:r>
      <w:r>
        <w:rPr>
          <w:spacing w:val="8"/>
          <w:sz w:val="24"/>
        </w:rPr>
        <w:t> </w:t>
      </w:r>
      <w:r>
        <w:rPr>
          <w:sz w:val="24"/>
        </w:rPr>
        <w:t>general</w:t>
      </w:r>
      <w:r>
        <w:rPr>
          <w:spacing w:val="7"/>
          <w:sz w:val="24"/>
        </w:rPr>
        <w:t> </w:t>
      </w:r>
      <w:r>
        <w:rPr>
          <w:sz w:val="24"/>
        </w:rPr>
        <w:t>guidance</w:t>
      </w:r>
      <w:r>
        <w:rPr>
          <w:spacing w:val="8"/>
          <w:sz w:val="24"/>
        </w:rPr>
        <w:t> </w:t>
      </w:r>
      <w:r>
        <w:rPr>
          <w:sz w:val="24"/>
        </w:rPr>
        <w:t>of</w:t>
      </w:r>
      <w:r>
        <w:rPr>
          <w:spacing w:val="8"/>
          <w:sz w:val="24"/>
        </w:rPr>
        <w:t> </w:t>
      </w:r>
      <w:r>
        <w:rPr>
          <w:sz w:val="24"/>
        </w:rPr>
        <w:t>the</w:t>
      </w:r>
      <w:r>
        <w:rPr>
          <w:spacing w:val="8"/>
          <w:sz w:val="24"/>
        </w:rPr>
        <w:t> </w:t>
      </w:r>
      <w:r>
        <w:rPr>
          <w:sz w:val="24"/>
        </w:rPr>
        <w:t>inspecting</w:t>
      </w:r>
      <w:r>
        <w:rPr>
          <w:spacing w:val="8"/>
          <w:sz w:val="24"/>
        </w:rPr>
        <w:t> </w:t>
      </w:r>
      <w:r>
        <w:rPr>
          <w:sz w:val="24"/>
        </w:rPr>
        <w:t>staff.</w:t>
      </w:r>
      <w:r>
        <w:rPr>
          <w:spacing w:val="8"/>
          <w:sz w:val="24"/>
        </w:rPr>
        <w:t> </w:t>
      </w:r>
      <w:r>
        <w:rPr>
          <w:sz w:val="24"/>
        </w:rPr>
        <w:t>The</w:t>
      </w:r>
      <w:r>
        <w:rPr>
          <w:spacing w:val="8"/>
          <w:sz w:val="24"/>
        </w:rPr>
        <w:t> </w:t>
      </w:r>
      <w:r>
        <w:rPr>
          <w:spacing w:val="-2"/>
          <w:sz w:val="24"/>
        </w:rPr>
        <w:t>group</w:t>
      </w:r>
    </w:p>
    <w:p>
      <w:pPr>
        <w:spacing w:after="0" w:line="240" w:lineRule="auto"/>
        <w:jc w:val="both"/>
        <w:rPr>
          <w:sz w:val="24"/>
        </w:rPr>
        <w:sectPr>
          <w:pgSz w:w="12240" w:h="15840"/>
          <w:pgMar w:header="0" w:footer="743" w:top="1360" w:bottom="940" w:left="1640" w:right="1300"/>
        </w:sectPr>
      </w:pPr>
    </w:p>
    <w:p>
      <w:pPr>
        <w:pStyle w:val="BodyText"/>
        <w:spacing w:before="76"/>
        <w:ind w:left="160" w:right="510"/>
      </w:pPr>
      <w:r>
        <w:rPr/>
        <w:t>should also be requested to coordinate its work with the local communities and to derive as much help from this source as possible.</w:t>
      </w:r>
    </w:p>
    <w:p>
      <w:pPr>
        <w:pStyle w:val="BodyText"/>
        <w:spacing w:before="4"/>
      </w:pPr>
    </w:p>
    <w:p>
      <w:pPr>
        <w:pStyle w:val="ListParagraph"/>
        <w:numPr>
          <w:ilvl w:val="1"/>
          <w:numId w:val="23"/>
        </w:numPr>
        <w:tabs>
          <w:tab w:pos="638" w:val="left" w:leader="none"/>
        </w:tabs>
        <w:spacing w:line="240" w:lineRule="auto" w:before="0" w:after="0"/>
        <w:ind w:left="159" w:right="495" w:firstLine="0"/>
        <w:jc w:val="both"/>
        <w:rPr>
          <w:sz w:val="24"/>
        </w:rPr>
      </w:pPr>
      <w:r>
        <w:rPr>
          <w:sz w:val="24"/>
        </w:rPr>
        <w:t>Such</w:t>
      </w:r>
      <w:r>
        <w:rPr>
          <w:spacing w:val="-1"/>
          <w:sz w:val="24"/>
        </w:rPr>
        <w:t> </w:t>
      </w:r>
      <w:r>
        <w:rPr>
          <w:sz w:val="24"/>
        </w:rPr>
        <w:t>an</w:t>
      </w:r>
      <w:r>
        <w:rPr>
          <w:spacing w:val="-1"/>
          <w:sz w:val="24"/>
        </w:rPr>
        <w:t> </w:t>
      </w:r>
      <w:r>
        <w:rPr>
          <w:sz w:val="24"/>
        </w:rPr>
        <w:t>organization</w:t>
      </w:r>
      <w:r>
        <w:rPr>
          <w:spacing w:val="-1"/>
          <w:sz w:val="24"/>
        </w:rPr>
        <w:t> </w:t>
      </w:r>
      <w:r>
        <w:rPr>
          <w:sz w:val="24"/>
        </w:rPr>
        <w:t>will</w:t>
      </w:r>
      <w:r>
        <w:rPr>
          <w:spacing w:val="-1"/>
          <w:sz w:val="24"/>
        </w:rPr>
        <w:t> </w:t>
      </w:r>
      <w:r>
        <w:rPr>
          <w:sz w:val="24"/>
        </w:rPr>
        <w:t>have</w:t>
      </w:r>
      <w:r>
        <w:rPr>
          <w:spacing w:val="-1"/>
          <w:sz w:val="24"/>
        </w:rPr>
        <w:t> </w:t>
      </w:r>
      <w:r>
        <w:rPr>
          <w:sz w:val="24"/>
        </w:rPr>
        <w:t>several</w:t>
      </w:r>
      <w:r>
        <w:rPr>
          <w:spacing w:val="-1"/>
          <w:sz w:val="24"/>
        </w:rPr>
        <w:t> </w:t>
      </w:r>
      <w:r>
        <w:rPr>
          <w:sz w:val="24"/>
        </w:rPr>
        <w:t>advantages</w:t>
      </w:r>
      <w:r>
        <w:rPr>
          <w:spacing w:val="-1"/>
          <w:sz w:val="24"/>
        </w:rPr>
        <w:t> </w:t>
      </w:r>
      <w:r>
        <w:rPr>
          <w:sz w:val="24"/>
        </w:rPr>
        <w:t>in</w:t>
      </w:r>
      <w:r>
        <w:rPr>
          <w:spacing w:val="-1"/>
          <w:sz w:val="24"/>
        </w:rPr>
        <w:t> </w:t>
      </w:r>
      <w:r>
        <w:rPr>
          <w:sz w:val="24"/>
        </w:rPr>
        <w:t>helping</w:t>
      </w:r>
      <w:r>
        <w:rPr>
          <w:spacing w:val="-1"/>
          <w:sz w:val="24"/>
        </w:rPr>
        <w:t> </w:t>
      </w:r>
      <w:r>
        <w:rPr>
          <w:sz w:val="24"/>
        </w:rPr>
        <w:t>to</w:t>
      </w:r>
      <w:r>
        <w:rPr>
          <w:spacing w:val="-1"/>
          <w:sz w:val="24"/>
        </w:rPr>
        <w:t> </w:t>
      </w:r>
      <w:r>
        <w:rPr>
          <w:sz w:val="24"/>
        </w:rPr>
        <w:t>promote</w:t>
      </w:r>
      <w:r>
        <w:rPr>
          <w:spacing w:val="-1"/>
          <w:sz w:val="24"/>
        </w:rPr>
        <w:t> </w:t>
      </w:r>
      <w:r>
        <w:rPr>
          <w:sz w:val="24"/>
        </w:rPr>
        <w:t>educational advance. It will break the terrible isolation under which each school functions at present. It</w:t>
      </w:r>
      <w:r>
        <w:rPr>
          <w:spacing w:val="-2"/>
          <w:sz w:val="24"/>
        </w:rPr>
        <w:t> </w:t>
      </w:r>
      <w:r>
        <w:rPr>
          <w:sz w:val="24"/>
        </w:rPr>
        <w:t>will</w:t>
      </w:r>
      <w:r>
        <w:rPr>
          <w:spacing w:val="-2"/>
          <w:sz w:val="24"/>
        </w:rPr>
        <w:t> </w:t>
      </w:r>
      <w:r>
        <w:rPr>
          <w:sz w:val="24"/>
        </w:rPr>
        <w:t>enable</w:t>
      </w:r>
      <w:r>
        <w:rPr>
          <w:spacing w:val="-2"/>
          <w:sz w:val="24"/>
        </w:rPr>
        <w:t> </w:t>
      </w:r>
      <w:r>
        <w:rPr>
          <w:sz w:val="24"/>
        </w:rPr>
        <w:t>a</w:t>
      </w:r>
      <w:r>
        <w:rPr>
          <w:spacing w:val="-2"/>
          <w:sz w:val="24"/>
        </w:rPr>
        <w:t> </w:t>
      </w:r>
      <w:r>
        <w:rPr>
          <w:sz w:val="24"/>
        </w:rPr>
        <w:t>small</w:t>
      </w:r>
      <w:r>
        <w:rPr>
          <w:spacing w:val="-2"/>
          <w:sz w:val="24"/>
        </w:rPr>
        <w:t> </w:t>
      </w:r>
      <w:r>
        <w:rPr>
          <w:sz w:val="24"/>
        </w:rPr>
        <w:t>group</w:t>
      </w:r>
      <w:r>
        <w:rPr>
          <w:spacing w:val="-2"/>
          <w:sz w:val="24"/>
        </w:rPr>
        <w:t> </w:t>
      </w:r>
      <w:r>
        <w:rPr>
          <w:sz w:val="24"/>
        </w:rPr>
        <w:t>of</w:t>
      </w:r>
      <w:r>
        <w:rPr>
          <w:spacing w:val="-2"/>
          <w:sz w:val="24"/>
        </w:rPr>
        <w:t> </w:t>
      </w:r>
      <w:r>
        <w:rPr>
          <w:sz w:val="24"/>
        </w:rPr>
        <w:t>schools</w:t>
      </w:r>
      <w:r>
        <w:rPr>
          <w:spacing w:val="-2"/>
          <w:sz w:val="24"/>
        </w:rPr>
        <w:t> </w:t>
      </w:r>
      <w:r>
        <w:rPr>
          <w:sz w:val="24"/>
        </w:rPr>
        <w:t>working</w:t>
      </w:r>
      <w:r>
        <w:rPr>
          <w:spacing w:val="-2"/>
          <w:sz w:val="24"/>
        </w:rPr>
        <w:t> </w:t>
      </w:r>
      <w:r>
        <w:rPr>
          <w:sz w:val="24"/>
        </w:rPr>
        <w:t>in</w:t>
      </w:r>
      <w:r>
        <w:rPr>
          <w:spacing w:val="-2"/>
          <w:sz w:val="24"/>
        </w:rPr>
        <w:t> </w:t>
      </w:r>
      <w:r>
        <w:rPr>
          <w:sz w:val="24"/>
        </w:rPr>
        <w:t>a</w:t>
      </w:r>
      <w:r>
        <w:rPr>
          <w:spacing w:val="-2"/>
          <w:sz w:val="24"/>
        </w:rPr>
        <w:t> </w:t>
      </w:r>
      <w:r>
        <w:rPr>
          <w:sz w:val="24"/>
        </w:rPr>
        <w:t>neighbourhood</w:t>
      </w:r>
      <w:r>
        <w:rPr>
          <w:spacing w:val="-2"/>
          <w:sz w:val="24"/>
        </w:rPr>
        <w:t> </w:t>
      </w:r>
      <w:r>
        <w:rPr>
          <w:sz w:val="24"/>
        </w:rPr>
        <w:t>to</w:t>
      </w:r>
      <w:r>
        <w:rPr>
          <w:spacing w:val="-2"/>
          <w:sz w:val="24"/>
        </w:rPr>
        <w:t> </w:t>
      </w:r>
      <w:r>
        <w:rPr>
          <w:sz w:val="24"/>
        </w:rPr>
        <w:t>make</w:t>
      </w:r>
      <w:r>
        <w:rPr>
          <w:spacing w:val="-2"/>
          <w:sz w:val="24"/>
        </w:rPr>
        <w:t> </w:t>
      </w:r>
      <w:r>
        <w:rPr>
          <w:sz w:val="24"/>
        </w:rPr>
        <w:t>a</w:t>
      </w:r>
      <w:r>
        <w:rPr>
          <w:spacing w:val="-2"/>
          <w:sz w:val="24"/>
        </w:rPr>
        <w:t> </w:t>
      </w:r>
      <w:r>
        <w:rPr>
          <w:sz w:val="24"/>
        </w:rPr>
        <w:t>cooperative effort to improve standards. It will enable the Education Department to devolve authority with comparatively less fear of its being misused and to provide the necessary stock of talent at the functional level to make use of this freedom.</w:t>
      </w:r>
    </w:p>
    <w:p>
      <w:pPr>
        <w:pStyle w:val="BodyText"/>
        <w:spacing w:before="7"/>
      </w:pPr>
    </w:p>
    <w:p>
      <w:pPr>
        <w:pStyle w:val="Heading1"/>
        <w:ind w:left="3522" w:right="3860"/>
      </w:pPr>
      <w:bookmarkStart w:name="_TOC_250010" w:id="19"/>
      <w:bookmarkEnd w:id="19"/>
      <w:r>
        <w:rPr>
          <w:spacing w:val="-2"/>
        </w:rPr>
        <w:t>GENERAL</w:t>
      </w:r>
    </w:p>
    <w:p>
      <w:pPr>
        <w:pStyle w:val="BodyText"/>
        <w:spacing w:before="2"/>
        <w:rPr>
          <w:b/>
        </w:rPr>
      </w:pPr>
    </w:p>
    <w:p>
      <w:pPr>
        <w:pStyle w:val="ListParagraph"/>
        <w:numPr>
          <w:ilvl w:val="1"/>
          <w:numId w:val="23"/>
        </w:numPr>
        <w:tabs>
          <w:tab w:pos="701" w:val="left" w:leader="none"/>
        </w:tabs>
        <w:spacing w:line="240" w:lineRule="auto" w:before="0" w:after="0"/>
        <w:ind w:left="159" w:right="495" w:firstLine="0"/>
        <w:jc w:val="both"/>
        <w:rPr>
          <w:b/>
          <w:sz w:val="24"/>
        </w:rPr>
      </w:pPr>
      <w:r>
        <w:rPr>
          <w:b/>
          <w:sz w:val="24"/>
        </w:rPr>
        <w:t>Three Channels of Education</w:t>
      </w:r>
      <w:r>
        <w:rPr>
          <w:sz w:val="24"/>
        </w:rPr>
        <w:t>. One of the major weaknesses of the existing educational system is that it places an almost exclusive reliance on full-time instruction and does not develop adequately the two alternative channels of part-time education and private study or own-time education. It has to be remembered that reliance on fulltime education as the sole channel of instruction often divides the life of an individual into three water-tight and sharply divided stages: a pre-school stage of no formal education or work, a school stage of full-time education and no work, and a post-school stage of full- time work and no education. In a modernizing and rapidly changing society, education should</w:t>
      </w:r>
      <w:r>
        <w:rPr>
          <w:spacing w:val="-2"/>
          <w:sz w:val="24"/>
        </w:rPr>
        <w:t> </w:t>
      </w:r>
      <w:r>
        <w:rPr>
          <w:sz w:val="24"/>
        </w:rPr>
        <w:t>be</w:t>
      </w:r>
      <w:r>
        <w:rPr>
          <w:spacing w:val="-2"/>
          <w:sz w:val="24"/>
        </w:rPr>
        <w:t> </w:t>
      </w:r>
      <w:r>
        <w:rPr>
          <w:sz w:val="24"/>
        </w:rPr>
        <w:t>regarded,</w:t>
      </w:r>
      <w:r>
        <w:rPr>
          <w:spacing w:val="-2"/>
          <w:sz w:val="24"/>
        </w:rPr>
        <w:t> </w:t>
      </w:r>
      <w:r>
        <w:rPr>
          <w:sz w:val="24"/>
        </w:rPr>
        <w:t>not</w:t>
      </w:r>
      <w:r>
        <w:rPr>
          <w:spacing w:val="-2"/>
          <w:sz w:val="24"/>
        </w:rPr>
        <w:t> </w:t>
      </w:r>
      <w:r>
        <w:rPr>
          <w:sz w:val="24"/>
        </w:rPr>
        <w:t>as</w:t>
      </w:r>
      <w:r>
        <w:rPr>
          <w:spacing w:val="-2"/>
          <w:sz w:val="24"/>
        </w:rPr>
        <w:t> </w:t>
      </w:r>
      <w:r>
        <w:rPr>
          <w:sz w:val="24"/>
        </w:rPr>
        <w:t>a</w:t>
      </w:r>
      <w:r>
        <w:rPr>
          <w:spacing w:val="-2"/>
          <w:sz w:val="24"/>
        </w:rPr>
        <w:t> </w:t>
      </w:r>
      <w:r>
        <w:rPr>
          <w:sz w:val="24"/>
        </w:rPr>
        <w:t>terminal</w:t>
      </w:r>
      <w:r>
        <w:rPr>
          <w:spacing w:val="-2"/>
          <w:sz w:val="24"/>
        </w:rPr>
        <w:t> </w:t>
      </w:r>
      <w:r>
        <w:rPr>
          <w:sz w:val="24"/>
        </w:rPr>
        <w:t>but</w:t>
      </w:r>
      <w:r>
        <w:rPr>
          <w:spacing w:val="-2"/>
          <w:sz w:val="24"/>
        </w:rPr>
        <w:t> </w:t>
      </w:r>
      <w:r>
        <w:rPr>
          <w:sz w:val="24"/>
        </w:rPr>
        <w:t>as</w:t>
      </w:r>
      <w:r>
        <w:rPr>
          <w:spacing w:val="-2"/>
          <w:sz w:val="24"/>
        </w:rPr>
        <w:t> </w:t>
      </w:r>
      <w:r>
        <w:rPr>
          <w:sz w:val="24"/>
        </w:rPr>
        <w:t>a</w:t>
      </w:r>
      <w:r>
        <w:rPr>
          <w:spacing w:val="-2"/>
          <w:sz w:val="24"/>
        </w:rPr>
        <w:t> </w:t>
      </w:r>
      <w:r>
        <w:rPr>
          <w:sz w:val="24"/>
        </w:rPr>
        <w:t>life-long</w:t>
      </w:r>
      <w:r>
        <w:rPr>
          <w:spacing w:val="-2"/>
          <w:sz w:val="24"/>
        </w:rPr>
        <w:t> </w:t>
      </w:r>
      <w:r>
        <w:rPr>
          <w:sz w:val="24"/>
        </w:rPr>
        <w:t>process.</w:t>
      </w:r>
      <w:r>
        <w:rPr>
          <w:spacing w:val="-2"/>
          <w:sz w:val="24"/>
        </w:rPr>
        <w:t> </w:t>
      </w:r>
      <w:r>
        <w:rPr>
          <w:sz w:val="24"/>
        </w:rPr>
        <w:t>It</w:t>
      </w:r>
      <w:r>
        <w:rPr>
          <w:spacing w:val="-2"/>
          <w:sz w:val="24"/>
        </w:rPr>
        <w:t> </w:t>
      </w:r>
      <w:r>
        <w:rPr>
          <w:sz w:val="24"/>
        </w:rPr>
        <w:t>should</w:t>
      </w:r>
      <w:r>
        <w:rPr>
          <w:spacing w:val="-2"/>
          <w:sz w:val="24"/>
        </w:rPr>
        <w:t> </w:t>
      </w:r>
      <w:r>
        <w:rPr>
          <w:sz w:val="24"/>
        </w:rPr>
        <w:t>begin</w:t>
      </w:r>
      <w:r>
        <w:rPr>
          <w:spacing w:val="-2"/>
          <w:sz w:val="24"/>
        </w:rPr>
        <w:t> </w:t>
      </w:r>
      <w:r>
        <w:rPr>
          <w:sz w:val="24"/>
        </w:rPr>
        <w:t>informally in the home itself; and thereafter, it should be the ultimate objective of national policy to strive to bring every Individual under the influence of the formal system of education as early as possible, and to keep him under it, directly or indirectly, throughout his life. Similarly, there should be no water-tight separation between work and education at any stave of a man's life, but only a relative shift of emphasis. An 'individual under full-time education should have some work-experience as an integral part of his education itself; and every full-time worker should have the inclination, leisure and means of continuing his education still further. In the same way, the transition from one stage to another</w:t>
      </w:r>
      <w:r>
        <w:rPr>
          <w:spacing w:val="40"/>
          <w:sz w:val="24"/>
        </w:rPr>
        <w:t> </w:t>
      </w:r>
      <w:r>
        <w:rPr>
          <w:sz w:val="24"/>
        </w:rPr>
        <w:t>should not be abrupt. For example, the transfer of an individual from the infant's play- dominated world to formal school should include a transitional phase of gentle preparation</w:t>
      </w:r>
      <w:r>
        <w:rPr>
          <w:spacing w:val="-2"/>
          <w:sz w:val="24"/>
        </w:rPr>
        <w:t> </w:t>
      </w:r>
      <w:r>
        <w:rPr>
          <w:sz w:val="24"/>
        </w:rPr>
        <w:t>and</w:t>
      </w:r>
      <w:r>
        <w:rPr>
          <w:spacing w:val="-2"/>
          <w:sz w:val="24"/>
        </w:rPr>
        <w:t> </w:t>
      </w:r>
      <w:r>
        <w:rPr>
          <w:sz w:val="24"/>
        </w:rPr>
        <w:t>orientation</w:t>
      </w:r>
      <w:r>
        <w:rPr>
          <w:spacing w:val="-2"/>
          <w:sz w:val="24"/>
        </w:rPr>
        <w:t> </w:t>
      </w:r>
      <w:r>
        <w:rPr>
          <w:sz w:val="24"/>
        </w:rPr>
        <w:t>to</w:t>
      </w:r>
      <w:r>
        <w:rPr>
          <w:spacing w:val="-2"/>
          <w:sz w:val="24"/>
        </w:rPr>
        <w:t> </w:t>
      </w:r>
      <w:r>
        <w:rPr>
          <w:sz w:val="24"/>
        </w:rPr>
        <w:t>schooling.</w:t>
      </w:r>
      <w:r>
        <w:rPr>
          <w:spacing w:val="-2"/>
          <w:sz w:val="24"/>
        </w:rPr>
        <w:t> </w:t>
      </w:r>
      <w:r>
        <w:rPr>
          <w:sz w:val="24"/>
        </w:rPr>
        <w:t>A</w:t>
      </w:r>
      <w:r>
        <w:rPr>
          <w:spacing w:val="-2"/>
          <w:sz w:val="24"/>
        </w:rPr>
        <w:t> </w:t>
      </w:r>
      <w:r>
        <w:rPr>
          <w:sz w:val="24"/>
        </w:rPr>
        <w:t>young</w:t>
      </w:r>
      <w:r>
        <w:rPr>
          <w:spacing w:val="-2"/>
          <w:sz w:val="24"/>
        </w:rPr>
        <w:t> </w:t>
      </w:r>
      <w:r>
        <w:rPr>
          <w:sz w:val="24"/>
        </w:rPr>
        <w:t>person</w:t>
      </w:r>
      <w:r>
        <w:rPr>
          <w:spacing w:val="-2"/>
          <w:sz w:val="24"/>
        </w:rPr>
        <w:t> </w:t>
      </w:r>
      <w:r>
        <w:rPr>
          <w:sz w:val="24"/>
        </w:rPr>
        <w:t>should</w:t>
      </w:r>
      <w:r>
        <w:rPr>
          <w:spacing w:val="-2"/>
          <w:sz w:val="24"/>
        </w:rPr>
        <w:t> </w:t>
      </w:r>
      <w:r>
        <w:rPr>
          <w:sz w:val="24"/>
        </w:rPr>
        <w:t>not</w:t>
      </w:r>
      <w:r>
        <w:rPr>
          <w:spacing w:val="-2"/>
          <w:sz w:val="24"/>
        </w:rPr>
        <w:t> </w:t>
      </w:r>
      <w:r>
        <w:rPr>
          <w:sz w:val="24"/>
        </w:rPr>
        <w:t>be</w:t>
      </w:r>
      <w:r>
        <w:rPr>
          <w:spacing w:val="-2"/>
          <w:sz w:val="24"/>
        </w:rPr>
        <w:t> </w:t>
      </w:r>
      <w:r>
        <w:rPr>
          <w:sz w:val="24"/>
        </w:rPr>
        <w:t>compelled</w:t>
      </w:r>
      <w:r>
        <w:rPr>
          <w:spacing w:val="-2"/>
          <w:sz w:val="24"/>
        </w:rPr>
        <w:t> </w:t>
      </w:r>
      <w:r>
        <w:rPr>
          <w:sz w:val="24"/>
        </w:rPr>
        <w:t>to</w:t>
      </w:r>
      <w:r>
        <w:rPr>
          <w:spacing w:val="-2"/>
          <w:sz w:val="24"/>
        </w:rPr>
        <w:t> </w:t>
      </w:r>
      <w:r>
        <w:rPr>
          <w:sz w:val="24"/>
        </w:rPr>
        <w:t>pass abruptly from a stage of full-time education to another of full-time work; it would be desirable to interpose a period of part-time education and part-time work between the</w:t>
      </w:r>
      <w:r>
        <w:rPr>
          <w:spacing w:val="40"/>
          <w:sz w:val="24"/>
        </w:rPr>
        <w:t> </w:t>
      </w:r>
      <w:r>
        <w:rPr>
          <w:spacing w:val="-4"/>
          <w:sz w:val="24"/>
        </w:rPr>
        <w:t>two.</w:t>
      </w:r>
    </w:p>
    <w:p>
      <w:pPr>
        <w:pStyle w:val="BodyText"/>
        <w:spacing w:before="4"/>
      </w:pPr>
    </w:p>
    <w:p>
      <w:pPr>
        <w:pStyle w:val="ListParagraph"/>
        <w:numPr>
          <w:ilvl w:val="1"/>
          <w:numId w:val="23"/>
        </w:numPr>
        <w:tabs>
          <w:tab w:pos="644" w:val="left" w:leader="none"/>
        </w:tabs>
        <w:spacing w:line="240" w:lineRule="auto" w:before="0" w:after="0"/>
        <w:ind w:left="159" w:right="496" w:firstLine="0"/>
        <w:jc w:val="both"/>
        <w:rPr>
          <w:sz w:val="24"/>
        </w:rPr>
      </w:pPr>
      <w:r>
        <w:rPr>
          <w:sz w:val="24"/>
        </w:rPr>
        <w:t>If these objectives are to be attained, it is necessary to abandon the present policy of placing an almost exclusive reliance on full-time education, and the two alternative channels of part-time and own-time education should be developed on a larger scale at every stage and in every sector of education and should be given the same status as fulltime education. Secondly, adult and continuing education, which is almost totally neglected at present, should be emphasized to a very great extent. Taken together, these two reforms would</w:t>
      </w:r>
    </w:p>
    <w:p>
      <w:pPr>
        <w:pStyle w:val="BodyText"/>
        <w:spacing w:before="3"/>
      </w:pPr>
    </w:p>
    <w:p>
      <w:pPr>
        <w:pStyle w:val="ListParagraph"/>
        <w:numPr>
          <w:ilvl w:val="2"/>
          <w:numId w:val="23"/>
        </w:numPr>
        <w:tabs>
          <w:tab w:pos="323" w:val="left" w:leader="none"/>
        </w:tabs>
        <w:spacing w:line="240" w:lineRule="auto" w:before="1" w:after="0"/>
        <w:ind w:left="160" w:right="498" w:firstLine="0"/>
        <w:jc w:val="left"/>
        <w:rPr>
          <w:sz w:val="24"/>
        </w:rPr>
      </w:pPr>
      <w:r>
        <w:rPr>
          <w:sz w:val="24"/>
        </w:rPr>
        <w:t>enable</w:t>
      </w:r>
      <w:r>
        <w:rPr>
          <w:spacing w:val="22"/>
          <w:sz w:val="24"/>
        </w:rPr>
        <w:t> </w:t>
      </w:r>
      <w:r>
        <w:rPr>
          <w:sz w:val="24"/>
        </w:rPr>
        <w:t>those</w:t>
      </w:r>
      <w:r>
        <w:rPr>
          <w:spacing w:val="22"/>
          <w:sz w:val="24"/>
        </w:rPr>
        <w:t> </w:t>
      </w:r>
      <w:r>
        <w:rPr>
          <w:sz w:val="24"/>
        </w:rPr>
        <w:t>who</w:t>
      </w:r>
      <w:r>
        <w:rPr>
          <w:spacing w:val="22"/>
          <w:sz w:val="24"/>
        </w:rPr>
        <w:t> </w:t>
      </w:r>
      <w:r>
        <w:rPr>
          <w:sz w:val="24"/>
        </w:rPr>
        <w:t>have</w:t>
      </w:r>
      <w:r>
        <w:rPr>
          <w:spacing w:val="22"/>
          <w:sz w:val="24"/>
        </w:rPr>
        <w:t> </w:t>
      </w:r>
      <w:r>
        <w:rPr>
          <w:sz w:val="24"/>
        </w:rPr>
        <w:t>not</w:t>
      </w:r>
      <w:r>
        <w:rPr>
          <w:spacing w:val="22"/>
          <w:sz w:val="24"/>
        </w:rPr>
        <w:t> </w:t>
      </w:r>
      <w:r>
        <w:rPr>
          <w:sz w:val="24"/>
        </w:rPr>
        <w:t>completed</w:t>
      </w:r>
      <w:r>
        <w:rPr>
          <w:spacing w:val="22"/>
          <w:sz w:val="24"/>
        </w:rPr>
        <w:t> </w:t>
      </w:r>
      <w:r>
        <w:rPr>
          <w:sz w:val="24"/>
        </w:rPr>
        <w:t>a</w:t>
      </w:r>
      <w:r>
        <w:rPr>
          <w:spacing w:val="22"/>
          <w:sz w:val="24"/>
        </w:rPr>
        <w:t> </w:t>
      </w:r>
      <w:r>
        <w:rPr>
          <w:sz w:val="24"/>
        </w:rPr>
        <w:t>stage</w:t>
      </w:r>
      <w:r>
        <w:rPr>
          <w:spacing w:val="23"/>
          <w:sz w:val="24"/>
        </w:rPr>
        <w:t> </w:t>
      </w:r>
      <w:r>
        <w:rPr>
          <w:sz w:val="24"/>
        </w:rPr>
        <w:t>of</w:t>
      </w:r>
      <w:r>
        <w:rPr>
          <w:spacing w:val="23"/>
          <w:sz w:val="24"/>
        </w:rPr>
        <w:t> </w:t>
      </w:r>
      <w:r>
        <w:rPr>
          <w:sz w:val="24"/>
        </w:rPr>
        <w:t>education</w:t>
      </w:r>
      <w:r>
        <w:rPr>
          <w:spacing w:val="23"/>
          <w:sz w:val="24"/>
        </w:rPr>
        <w:t> </w:t>
      </w:r>
      <w:r>
        <w:rPr>
          <w:sz w:val="24"/>
        </w:rPr>
        <w:t>to</w:t>
      </w:r>
      <w:r>
        <w:rPr>
          <w:spacing w:val="23"/>
          <w:sz w:val="24"/>
        </w:rPr>
        <w:t> </w:t>
      </w:r>
      <w:r>
        <w:rPr>
          <w:sz w:val="24"/>
        </w:rPr>
        <w:t>complete</w:t>
      </w:r>
      <w:r>
        <w:rPr>
          <w:spacing w:val="22"/>
          <w:sz w:val="24"/>
        </w:rPr>
        <w:t> </w:t>
      </w:r>
      <w:r>
        <w:rPr>
          <w:sz w:val="24"/>
        </w:rPr>
        <w:t>it</w:t>
      </w:r>
      <w:r>
        <w:rPr>
          <w:spacing w:val="22"/>
          <w:sz w:val="24"/>
        </w:rPr>
        <w:t> </w:t>
      </w:r>
      <w:r>
        <w:rPr>
          <w:sz w:val="24"/>
        </w:rPr>
        <w:t>and,</w:t>
      </w:r>
      <w:r>
        <w:rPr>
          <w:spacing w:val="22"/>
          <w:sz w:val="24"/>
        </w:rPr>
        <w:t> </w:t>
      </w:r>
      <w:r>
        <w:rPr>
          <w:sz w:val="24"/>
        </w:rPr>
        <w:t>if</w:t>
      </w:r>
      <w:r>
        <w:rPr>
          <w:spacing w:val="22"/>
          <w:sz w:val="24"/>
        </w:rPr>
        <w:t> </w:t>
      </w:r>
      <w:r>
        <w:rPr>
          <w:sz w:val="24"/>
        </w:rPr>
        <w:t>they wish, to proceed to the next;</w:t>
      </w:r>
    </w:p>
    <w:p>
      <w:pPr>
        <w:spacing w:after="0" w:line="240" w:lineRule="auto"/>
        <w:jc w:val="left"/>
        <w:rPr>
          <w:sz w:val="24"/>
        </w:rPr>
        <w:sectPr>
          <w:pgSz w:w="12240" w:h="15840"/>
          <w:pgMar w:header="0" w:footer="743" w:top="1360" w:bottom="940" w:left="1640" w:right="1300"/>
        </w:sectPr>
      </w:pPr>
    </w:p>
    <w:p>
      <w:pPr>
        <w:pStyle w:val="ListParagraph"/>
        <w:numPr>
          <w:ilvl w:val="2"/>
          <w:numId w:val="23"/>
        </w:numPr>
        <w:tabs>
          <w:tab w:pos="303" w:val="left" w:leader="none"/>
        </w:tabs>
        <w:spacing w:line="240" w:lineRule="auto" w:before="76" w:after="0"/>
        <w:ind w:left="160" w:right="498" w:firstLine="0"/>
        <w:jc w:val="both"/>
        <w:rPr>
          <w:sz w:val="24"/>
        </w:rPr>
      </w:pPr>
      <w:r>
        <w:rPr>
          <w:sz w:val="24"/>
        </w:rPr>
        <w:t>help every educated person to have further education with or without formally enrolling himself in an educational institution.;</w:t>
      </w:r>
    </w:p>
    <w:p>
      <w:pPr>
        <w:pStyle w:val="BodyText"/>
        <w:spacing w:before="4"/>
      </w:pPr>
    </w:p>
    <w:p>
      <w:pPr>
        <w:pStyle w:val="ListParagraph"/>
        <w:numPr>
          <w:ilvl w:val="2"/>
          <w:numId w:val="23"/>
        </w:numPr>
        <w:tabs>
          <w:tab w:pos="302" w:val="left" w:leader="none"/>
        </w:tabs>
        <w:spacing w:line="240" w:lineRule="auto" w:before="0" w:after="0"/>
        <w:ind w:left="160" w:right="499" w:firstLine="0"/>
        <w:jc w:val="both"/>
        <w:rPr>
          <w:sz w:val="24"/>
        </w:rPr>
      </w:pPr>
      <w:r>
        <w:rPr>
          <w:sz w:val="24"/>
        </w:rPr>
        <w:t>enable a worker to acquire knowledge, ability and vocational skill in order to be a better worker and to improve his chances of earning more; and</w:t>
      </w:r>
    </w:p>
    <w:p>
      <w:pPr>
        <w:pStyle w:val="BodyText"/>
        <w:spacing w:before="5"/>
      </w:pPr>
    </w:p>
    <w:p>
      <w:pPr>
        <w:pStyle w:val="ListParagraph"/>
        <w:numPr>
          <w:ilvl w:val="2"/>
          <w:numId w:val="23"/>
        </w:numPr>
        <w:tabs>
          <w:tab w:pos="308" w:val="left" w:leader="none"/>
        </w:tabs>
        <w:spacing w:line="240" w:lineRule="auto" w:before="0" w:after="0"/>
        <w:ind w:left="160" w:right="497" w:firstLine="0"/>
        <w:jc w:val="both"/>
        <w:rPr>
          <w:sz w:val="24"/>
        </w:rPr>
      </w:pPr>
      <w:r>
        <w:rPr>
          <w:sz w:val="24"/>
        </w:rPr>
        <w:t>help to refresh the knowledge of the educated person and enable him to keep pace with the new knowledge in the field of his interest.</w:t>
      </w:r>
    </w:p>
    <w:p>
      <w:pPr>
        <w:pStyle w:val="BodyText"/>
        <w:spacing w:before="3"/>
      </w:pPr>
    </w:p>
    <w:p>
      <w:pPr>
        <w:pStyle w:val="BodyText"/>
        <w:spacing w:before="1"/>
        <w:ind w:left="159" w:right="496"/>
        <w:jc w:val="both"/>
      </w:pPr>
      <w:r>
        <w:rPr/>
        <w:t>Programmes of this type, which are being developed even in educationally advanced and affluent countries, cannot be ignored in an underdeveloped and poor country like India. They will smoothen the transition from school to life, reduce the cost of education to the State, and bring under the influence of the educational system a large number of persons who desire to educate themselves but cannot do so on economic grounds.</w:t>
      </w:r>
    </w:p>
    <w:p>
      <w:pPr>
        <w:pStyle w:val="BodyText"/>
        <w:spacing w:before="3"/>
      </w:pPr>
    </w:p>
    <w:p>
      <w:pPr>
        <w:pStyle w:val="ListParagraph"/>
        <w:numPr>
          <w:ilvl w:val="1"/>
          <w:numId w:val="23"/>
        </w:numPr>
        <w:tabs>
          <w:tab w:pos="651" w:val="left" w:leader="none"/>
        </w:tabs>
        <w:spacing w:line="240" w:lineRule="auto" w:before="0" w:after="0"/>
        <w:ind w:left="159" w:right="496" w:firstLine="0"/>
        <w:jc w:val="both"/>
        <w:rPr>
          <w:b/>
          <w:sz w:val="24"/>
        </w:rPr>
      </w:pPr>
      <w:r>
        <w:rPr>
          <w:b/>
          <w:sz w:val="24"/>
        </w:rPr>
        <w:t>Nomenclature</w:t>
      </w:r>
      <w:r>
        <w:rPr>
          <w:sz w:val="24"/>
        </w:rPr>
        <w:t>. At present, there is an almost bewildering variety of nomenclatures used in the States and Union Territories to denote the various stages and sub-stages of education. We realize the need for a uniform system of nomenclatures and recommend that it should be evolved by the Government of India, in consultation with the State Governments. Pending the finalization of such a system, we have used the nomenclatures shown on page 79 throughout the Report.</w:t>
      </w:r>
    </w:p>
    <w:p>
      <w:pPr>
        <w:pStyle w:val="BodyText"/>
        <w:spacing w:before="6"/>
      </w:pPr>
    </w:p>
    <w:p>
      <w:pPr>
        <w:pStyle w:val="BodyText"/>
        <w:spacing w:line="550" w:lineRule="atLeast"/>
        <w:ind w:left="3113" w:right="1190" w:hanging="2037"/>
      </w:pPr>
      <w:r>
        <w:rPr/>
        <mc:AlternateContent>
          <mc:Choice Requires="wps">
            <w:drawing>
              <wp:anchor distT="0" distB="0" distL="0" distR="0" allowOverlap="1" layoutInCell="1" locked="0" behindDoc="0" simplePos="0" relativeHeight="15731200">
                <wp:simplePos x="0" y="0"/>
                <wp:positionH relativeFrom="page">
                  <wp:posOffset>1143000</wp:posOffset>
                </wp:positionH>
                <wp:positionV relativeFrom="paragraph">
                  <wp:posOffset>124533</wp:posOffset>
                </wp:positionV>
                <wp:extent cx="5486400" cy="1905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5486400" cy="19050"/>
                          <a:chExt cx="5486400" cy="19050"/>
                        </a:xfrm>
                      </wpg:grpSpPr>
                      <wps:wsp>
                        <wps:cNvPr id="24" name="Graphic 24"/>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5" name="Graphic 25"/>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6" name="Graphic 26"/>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7" name="Graphic 27"/>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8" name="Graphic 28"/>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9" name="Graphic 29"/>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0" name="Graphic 30"/>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805781pt;width:432pt;height:1.5pt;mso-position-horizontal-relative:page;mso-position-vertical-relative:paragraph;z-index:15731200" id="docshapegroup19" coordorigin="1800,196" coordsize="8640,30">
                <v:rect style="position:absolute;left:1800;top:196;width:8640;height:30" id="docshape20" filled="true" fillcolor="#808080" stroked="false">
                  <v:fill type="solid"/>
                </v:rect>
                <v:shape style="position:absolute;left:1800;top:196;width:8636;height:5" id="docshape21" coordorigin="1800,196" coordsize="8636,5" path="m10435,196l1805,196,1800,196,1800,201,1805,201,10435,201,10435,196xe" filled="true" fillcolor="#aca89a" stroked="false">
                  <v:path arrowok="t"/>
                  <v:fill type="solid"/>
                </v:shape>
                <v:rect style="position:absolute;left:10435;top:196;width:5;height:5" id="docshape22" filled="true" fillcolor="#f1efe2" stroked="false">
                  <v:fill type="solid"/>
                </v:rect>
                <v:shape style="position:absolute;left:1800;top:196;width:8640;height:26" id="docshape23" coordorigin="1800,196" coordsize="8640,26" path="m1805,201l1800,201,1800,221,1805,221,1805,201xm10440,196l10435,196,10435,201,10440,201,10440,196xe" filled="true" fillcolor="#aca89a" stroked="false">
                  <v:path arrowok="t"/>
                  <v:fill type="solid"/>
                </v:shape>
                <v:rect style="position:absolute;left:10435;top:200;width:5;height:21" id="docshape24" filled="true" fillcolor="#f1efe2" stroked="false">
                  <v:fill type="solid"/>
                </v:rect>
                <v:rect style="position:absolute;left:1800;top:221;width:5;height:5" id="docshape25" filled="true" fillcolor="#aca89a" stroked="false">
                  <v:fill type="solid"/>
                </v:rect>
                <v:shape style="position:absolute;left:1800;top:221;width:8640;height:5" id="docshape26" coordorigin="1800,221" coordsize="8640,5" path="m10440,221l10435,221,1800,221,1800,226,10435,226,10440,226,10440,221xe" filled="true" fillcolor="#f1efe2" stroked="false">
                  <v:path arrowok="t"/>
                  <v:fill type="solid"/>
                </v:shape>
                <w10:wrap type="none"/>
              </v:group>
            </w:pict>
          </mc:Fallback>
        </mc:AlternateContent>
      </w:r>
      <w:r>
        <w:rPr/>
        <w:t>EXISTING</w:t>
      </w:r>
      <w:r>
        <w:rPr>
          <w:spacing w:val="-8"/>
        </w:rPr>
        <w:t> </w:t>
      </w:r>
      <w:r>
        <w:rPr/>
        <w:t>AND</w:t>
      </w:r>
      <w:r>
        <w:rPr>
          <w:spacing w:val="-8"/>
        </w:rPr>
        <w:t> </w:t>
      </w:r>
      <w:r>
        <w:rPr/>
        <w:t>PROPOSED</w:t>
      </w:r>
      <w:r>
        <w:rPr>
          <w:spacing w:val="-8"/>
        </w:rPr>
        <w:t> </w:t>
      </w:r>
      <w:r>
        <w:rPr/>
        <w:t>NOMENCLATURES</w:t>
      </w:r>
      <w:r>
        <w:rPr>
          <w:spacing w:val="-8"/>
        </w:rPr>
        <w:t> </w:t>
      </w:r>
      <w:r>
        <w:rPr/>
        <w:t>FOR</w:t>
      </w:r>
      <w:r>
        <w:rPr>
          <w:spacing w:val="-8"/>
        </w:rPr>
        <w:t> </w:t>
      </w:r>
      <w:r>
        <w:rPr/>
        <w:t>VARIOUS STAGES OF EDUCATION</w:t>
      </w:r>
    </w:p>
    <w:p>
      <w:pPr>
        <w:pStyle w:val="BodyText"/>
        <w:spacing w:before="3"/>
        <w:rPr>
          <w:sz w:val="15"/>
        </w:rPr>
      </w:pPr>
      <w:r>
        <w:rPr/>
        <mc:AlternateContent>
          <mc:Choice Requires="wps">
            <w:drawing>
              <wp:anchor distT="0" distB="0" distL="0" distR="0" allowOverlap="1" layoutInCell="1" locked="0" behindDoc="1" simplePos="0" relativeHeight="487589376">
                <wp:simplePos x="0" y="0"/>
                <wp:positionH relativeFrom="page">
                  <wp:posOffset>1143000</wp:posOffset>
                </wp:positionH>
                <wp:positionV relativeFrom="paragraph">
                  <wp:posOffset>127073</wp:posOffset>
                </wp:positionV>
                <wp:extent cx="5486400" cy="1905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5486400" cy="19050"/>
                          <a:chExt cx="5486400" cy="19050"/>
                        </a:xfrm>
                      </wpg:grpSpPr>
                      <wps:wsp>
                        <wps:cNvPr id="32" name="Graphic 3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3" name="Graphic 33"/>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4" name="Graphic 34"/>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5" name="Graphic 35"/>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6" name="Graphic 36"/>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7" name="Graphic 37"/>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38" name="Graphic 38"/>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05781pt;width:432pt;height:1.5pt;mso-position-horizontal-relative:page;mso-position-vertical-relative:paragraph;z-index:-15727104;mso-wrap-distance-left:0;mso-wrap-distance-right:0" id="docshapegroup27" coordorigin="1800,200" coordsize="8640,30">
                <v:rect style="position:absolute;left:1800;top:200;width:8640;height:30" id="docshape28" filled="true" fillcolor="#808080" stroked="false">
                  <v:fill type="solid"/>
                </v:rect>
                <v:shape style="position:absolute;left:1800;top:200;width:8636;height:5" id="docshape29" coordorigin="1800,200" coordsize="8636,5" path="m10435,200l1805,200,1800,200,1800,205,1805,205,10435,205,10435,200xe" filled="true" fillcolor="#aca89a" stroked="false">
                  <v:path arrowok="t"/>
                  <v:fill type="solid"/>
                </v:shape>
                <v:rect style="position:absolute;left:10435;top:200;width:5;height:5" id="docshape30" filled="true" fillcolor="#f1efe2" stroked="false">
                  <v:fill type="solid"/>
                </v:rect>
                <v:shape style="position:absolute;left:1800;top:200;width:8640;height:26" id="docshape31" coordorigin="1800,200" coordsize="8640,26" path="m1805,205l1800,205,1800,225,1805,225,1805,205xm10440,200l10435,200,10435,205,10440,205,10440,200xe" filled="true" fillcolor="#aca89a" stroked="false">
                  <v:path arrowok="t"/>
                  <v:fill type="solid"/>
                </v:shape>
                <v:rect style="position:absolute;left:10435;top:204;width:5;height:21" id="docshape32" filled="true" fillcolor="#f1efe2" stroked="false">
                  <v:fill type="solid"/>
                </v:rect>
                <v:rect style="position:absolute;left:1800;top:225;width:5;height:5" id="docshape33" filled="true" fillcolor="#aca89a" stroked="false">
                  <v:fill type="solid"/>
                </v:rect>
                <v:shape style="position:absolute;left:1800;top:225;width:8640;height:5" id="docshape34" coordorigin="1800,225" coordsize="8640,5" path="m10440,225l10435,225,1800,225,1800,230,10435,230,10440,230,10440,225xe" filled="true" fillcolor="#f1efe2" stroked="false">
                  <v:path arrowok="t"/>
                  <v:fill type="solid"/>
                </v:shape>
                <w10:wrap type="topAndBottom"/>
              </v:group>
            </w:pict>
          </mc:Fallback>
        </mc:AlternateContent>
      </w:r>
    </w:p>
    <w:p>
      <w:pPr>
        <w:pStyle w:val="BodyText"/>
        <w:tabs>
          <w:tab w:pos="5655" w:val="left" w:leader="none"/>
        </w:tabs>
        <w:spacing w:before="48"/>
        <w:ind w:left="159"/>
      </w:pPr>
      <w:r>
        <w:rPr/>
        <w:t>Nomenclatures</w:t>
      </w:r>
      <w:r>
        <w:rPr>
          <w:spacing w:val="-2"/>
        </w:rPr>
        <w:t> Proposed</w:t>
      </w:r>
      <w:r>
        <w:rPr/>
        <w:tab/>
        <w:t>Existing </w:t>
      </w:r>
      <w:r>
        <w:rPr>
          <w:spacing w:val="-2"/>
        </w:rPr>
        <w:t>Nomenclatures</w:t>
      </w:r>
    </w:p>
    <w:p>
      <w:pPr>
        <w:pStyle w:val="BodyText"/>
        <w:spacing w:before="1"/>
        <w:rPr>
          <w:sz w:val="15"/>
        </w:rPr>
      </w:pPr>
      <w:r>
        <w:rPr/>
        <mc:AlternateContent>
          <mc:Choice Requires="wps">
            <w:drawing>
              <wp:anchor distT="0" distB="0" distL="0" distR="0" allowOverlap="1" layoutInCell="1" locked="0" behindDoc="1" simplePos="0" relativeHeight="487589888">
                <wp:simplePos x="0" y="0"/>
                <wp:positionH relativeFrom="page">
                  <wp:posOffset>1143000</wp:posOffset>
                </wp:positionH>
                <wp:positionV relativeFrom="paragraph">
                  <wp:posOffset>125744</wp:posOffset>
                </wp:positionV>
                <wp:extent cx="5486400" cy="1905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5486400" cy="19050"/>
                          <a:chExt cx="5486400" cy="19050"/>
                        </a:xfrm>
                      </wpg:grpSpPr>
                      <wps:wsp>
                        <wps:cNvPr id="40" name="Graphic 4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1" name="Graphic 4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2" name="Graphic 4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3" name="Graphic 43"/>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44" name="Graphic 4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5" name="Graphic 4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6" name="Graphic 4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1152pt;width:432pt;height:1.5pt;mso-position-horizontal-relative:page;mso-position-vertical-relative:paragraph;z-index:-15726592;mso-wrap-distance-left:0;mso-wrap-distance-right:0" id="docshapegroup35" coordorigin="1800,198" coordsize="8640,30">
                <v:rect style="position:absolute;left:1800;top:198;width:8640;height:30" id="docshape36" filled="true" fillcolor="#808080" stroked="false">
                  <v:fill type="solid"/>
                </v:rect>
                <v:shape style="position:absolute;left:1800;top:198;width:8636;height:5" id="docshape37" coordorigin="1800,198" coordsize="8636,5" path="m10435,198l1805,198,1800,198,1800,203,1805,203,10435,203,10435,198xe" filled="true" fillcolor="#aca89a" stroked="false">
                  <v:path arrowok="t"/>
                  <v:fill type="solid"/>
                </v:shape>
                <v:rect style="position:absolute;left:10435;top:198;width:5;height:5" id="docshape38" filled="true" fillcolor="#f1efe2" stroked="false">
                  <v:fill type="solid"/>
                </v:rect>
                <v:shape style="position:absolute;left:1800;top:198;width:8640;height:26" id="docshape39" coordorigin="1800,198" coordsize="8640,26" path="m1805,203l1800,203,1800,223,1805,223,1805,203xm10440,198l10435,198,10435,203,10440,203,10440,198xe" filled="true" fillcolor="#aca89a" stroked="false">
                  <v:path arrowok="t"/>
                  <v:fill type="solid"/>
                </v:shape>
                <v:rect style="position:absolute;left:10435;top:202;width:5;height:21" id="docshape40" filled="true" fillcolor="#f1efe2" stroked="false">
                  <v:fill type="solid"/>
                </v:rect>
                <v:rect style="position:absolute;left:1800;top:223;width:5;height:5" id="docshape41" filled="true" fillcolor="#aca89a" stroked="false">
                  <v:fill type="solid"/>
                </v:rect>
                <v:shape style="position:absolute;left:1800;top:223;width:8640;height:5" id="docshape42"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spacing w:before="48"/>
        <w:ind w:left="291" w:right="629"/>
        <w:jc w:val="center"/>
      </w:pPr>
      <w:r>
        <w:rPr/>
        <w:t>SCHOOL</w:t>
      </w:r>
      <w:r>
        <w:rPr>
          <w:spacing w:val="-6"/>
        </w:rPr>
        <w:t> </w:t>
      </w:r>
      <w:r>
        <w:rPr>
          <w:spacing w:val="-2"/>
        </w:rPr>
        <w:t>EDUCATION</w:t>
      </w:r>
    </w:p>
    <w:p>
      <w:pPr>
        <w:pStyle w:val="BodyText"/>
      </w:pPr>
    </w:p>
    <w:p>
      <w:pPr>
        <w:pStyle w:val="ListParagraph"/>
        <w:numPr>
          <w:ilvl w:val="0"/>
          <w:numId w:val="34"/>
        </w:numPr>
        <w:tabs>
          <w:tab w:pos="399" w:val="left" w:leader="none"/>
          <w:tab w:pos="5655" w:val="left" w:leader="none"/>
        </w:tabs>
        <w:spacing w:line="240" w:lineRule="auto" w:before="0" w:after="0"/>
        <w:ind w:left="399" w:right="0" w:hanging="240"/>
        <w:jc w:val="left"/>
        <w:rPr>
          <w:sz w:val="24"/>
        </w:rPr>
      </w:pPr>
      <w:r>
        <w:rPr>
          <w:sz w:val="24"/>
        </w:rPr>
        <w:t>Pre-</w:t>
      </w:r>
      <w:r>
        <w:rPr>
          <w:spacing w:val="-2"/>
          <w:sz w:val="24"/>
        </w:rPr>
        <w:t>primary</w:t>
      </w:r>
      <w:r>
        <w:rPr>
          <w:sz w:val="24"/>
        </w:rPr>
        <w:tab/>
        <w:t>1</w:t>
      </w:r>
      <w:r>
        <w:rPr>
          <w:spacing w:val="58"/>
          <w:sz w:val="24"/>
        </w:rPr>
        <w:t> </w:t>
      </w:r>
      <w:r>
        <w:rPr>
          <w:sz w:val="24"/>
        </w:rPr>
        <w:t>Pre-</w:t>
      </w:r>
      <w:r>
        <w:rPr>
          <w:spacing w:val="-2"/>
          <w:sz w:val="24"/>
        </w:rPr>
        <w:t>primary</w:t>
      </w:r>
    </w:p>
    <w:p>
      <w:pPr>
        <w:pStyle w:val="ListParagraph"/>
        <w:numPr>
          <w:ilvl w:val="0"/>
          <w:numId w:val="35"/>
        </w:numPr>
        <w:tabs>
          <w:tab w:pos="5894" w:val="left" w:leader="none"/>
        </w:tabs>
        <w:spacing w:line="240" w:lineRule="auto" w:before="0" w:after="0"/>
        <w:ind w:left="5894" w:right="0" w:hanging="239"/>
        <w:jc w:val="left"/>
        <w:rPr>
          <w:sz w:val="24"/>
        </w:rPr>
      </w:pPr>
      <w:r>
        <w:rPr>
          <w:spacing w:val="-2"/>
          <w:sz w:val="24"/>
        </w:rPr>
        <w:t>Pre-basic</w:t>
      </w:r>
    </w:p>
    <w:p>
      <w:pPr>
        <w:pStyle w:val="ListParagraph"/>
        <w:numPr>
          <w:ilvl w:val="0"/>
          <w:numId w:val="35"/>
        </w:numPr>
        <w:tabs>
          <w:tab w:pos="5895" w:val="left" w:leader="none"/>
        </w:tabs>
        <w:spacing w:line="240" w:lineRule="auto" w:before="0" w:after="0"/>
        <w:ind w:left="5895" w:right="0" w:hanging="240"/>
        <w:jc w:val="left"/>
        <w:rPr>
          <w:sz w:val="24"/>
        </w:rPr>
      </w:pPr>
      <w:r>
        <w:rPr>
          <w:spacing w:val="-2"/>
          <w:sz w:val="24"/>
        </w:rPr>
        <w:t>Kindergarten</w:t>
      </w:r>
    </w:p>
    <w:p>
      <w:pPr>
        <w:pStyle w:val="ListParagraph"/>
        <w:numPr>
          <w:ilvl w:val="0"/>
          <w:numId w:val="35"/>
        </w:numPr>
        <w:tabs>
          <w:tab w:pos="5895" w:val="left" w:leader="none"/>
        </w:tabs>
        <w:spacing w:line="240" w:lineRule="auto" w:before="0" w:after="0"/>
        <w:ind w:left="5895" w:right="0" w:hanging="240"/>
        <w:jc w:val="left"/>
        <w:rPr>
          <w:sz w:val="24"/>
        </w:rPr>
      </w:pPr>
      <w:r>
        <w:rPr>
          <w:sz w:val="24"/>
        </w:rPr>
        <w:t>Montessori, </w:t>
      </w:r>
      <w:r>
        <w:rPr>
          <w:spacing w:val="-4"/>
          <w:sz w:val="24"/>
        </w:rPr>
        <w:t>etc.</w:t>
      </w:r>
    </w:p>
    <w:p>
      <w:pPr>
        <w:pStyle w:val="BodyText"/>
      </w:pPr>
    </w:p>
    <w:p>
      <w:pPr>
        <w:pStyle w:val="BodyText"/>
      </w:pPr>
    </w:p>
    <w:p>
      <w:pPr>
        <w:pStyle w:val="ListParagraph"/>
        <w:numPr>
          <w:ilvl w:val="0"/>
          <w:numId w:val="34"/>
        </w:numPr>
        <w:tabs>
          <w:tab w:pos="519" w:val="left" w:leader="none"/>
        </w:tabs>
        <w:spacing w:line="240" w:lineRule="auto" w:before="0" w:after="0"/>
        <w:ind w:left="519" w:right="0" w:hanging="360"/>
        <w:jc w:val="left"/>
        <w:rPr>
          <w:sz w:val="24"/>
        </w:rPr>
      </w:pPr>
      <w:r>
        <w:rPr>
          <w:sz w:val="24"/>
        </w:rPr>
        <w:t>Primary</w:t>
      </w:r>
      <w:r>
        <w:rPr>
          <w:spacing w:val="-2"/>
          <w:sz w:val="24"/>
        </w:rPr>
        <w:t> </w:t>
      </w:r>
      <w:r>
        <w:rPr>
          <w:sz w:val="24"/>
        </w:rPr>
        <w:t>(Classes</w:t>
      </w:r>
      <w:r>
        <w:rPr>
          <w:spacing w:val="-1"/>
          <w:sz w:val="24"/>
        </w:rPr>
        <w:t> </w:t>
      </w:r>
      <w:r>
        <w:rPr>
          <w:sz w:val="24"/>
        </w:rPr>
        <w:t>I-VII</w:t>
      </w:r>
      <w:r>
        <w:rPr>
          <w:spacing w:val="-2"/>
          <w:sz w:val="24"/>
        </w:rPr>
        <w:t> </w:t>
      </w:r>
      <w:r>
        <w:rPr>
          <w:sz w:val="24"/>
        </w:rPr>
        <w:t>or</w:t>
      </w:r>
      <w:r>
        <w:rPr>
          <w:spacing w:val="-2"/>
          <w:sz w:val="24"/>
        </w:rPr>
        <w:t> </w:t>
      </w:r>
      <w:r>
        <w:rPr>
          <w:sz w:val="24"/>
        </w:rPr>
        <w:t>I-</w:t>
      </w:r>
      <w:r>
        <w:rPr>
          <w:spacing w:val="-2"/>
          <w:sz w:val="24"/>
        </w:rPr>
        <w:t>VIII)</w:t>
      </w:r>
    </w:p>
    <w:p>
      <w:pPr>
        <w:pStyle w:val="BodyText"/>
      </w:pPr>
    </w:p>
    <w:p>
      <w:pPr>
        <w:pStyle w:val="ListParagraph"/>
        <w:numPr>
          <w:ilvl w:val="1"/>
          <w:numId w:val="34"/>
        </w:numPr>
        <w:tabs>
          <w:tab w:pos="545" w:val="left" w:leader="none"/>
          <w:tab w:pos="5655" w:val="left" w:leader="none"/>
        </w:tabs>
        <w:spacing w:line="240" w:lineRule="auto" w:before="0" w:after="0"/>
        <w:ind w:left="5655" w:right="1184" w:hanging="5436"/>
        <w:jc w:val="left"/>
        <w:rPr>
          <w:sz w:val="24"/>
        </w:rPr>
      </w:pPr>
      <w:r>
        <w:rPr>
          <w:sz w:val="24"/>
        </w:rPr>
        <w:t>Lower Primary</w:t>
        <w:tab/>
        <w:t>1</w:t>
      </w:r>
      <w:r>
        <w:rPr>
          <w:spacing w:val="40"/>
          <w:sz w:val="24"/>
        </w:rPr>
        <w:t> </w:t>
      </w:r>
      <w:r>
        <w:rPr>
          <w:sz w:val="24"/>
        </w:rPr>
        <w:t>Primary</w:t>
      </w:r>
      <w:r>
        <w:rPr>
          <w:spacing w:val="-8"/>
          <w:sz w:val="24"/>
        </w:rPr>
        <w:t> </w:t>
      </w:r>
      <w:r>
        <w:rPr>
          <w:sz w:val="24"/>
        </w:rPr>
        <w:t>in</w:t>
      </w:r>
      <w:r>
        <w:rPr>
          <w:spacing w:val="-8"/>
          <w:sz w:val="24"/>
        </w:rPr>
        <w:t> </w:t>
      </w:r>
      <w:r>
        <w:rPr>
          <w:sz w:val="24"/>
        </w:rPr>
        <w:t>some</w:t>
      </w:r>
      <w:r>
        <w:rPr>
          <w:spacing w:val="-8"/>
          <w:sz w:val="24"/>
        </w:rPr>
        <w:t> </w:t>
      </w:r>
      <w:r>
        <w:rPr>
          <w:sz w:val="24"/>
        </w:rPr>
        <w:t>States (e.g. Punjab)</w:t>
      </w:r>
    </w:p>
    <w:p>
      <w:pPr>
        <w:pStyle w:val="BodyText"/>
        <w:tabs>
          <w:tab w:pos="5655" w:val="left" w:leader="none"/>
        </w:tabs>
        <w:ind w:left="5654" w:right="1190" w:hanging="5495"/>
      </w:pPr>
      <w:r>
        <w:rPr/>
        <w:t>Classes I-IV or VI-VIII</w:t>
        <w:tab/>
        <w:t>2</w:t>
      </w:r>
      <w:r>
        <w:rPr>
          <w:spacing w:val="-10"/>
        </w:rPr>
        <w:t> </w:t>
      </w:r>
      <w:r>
        <w:rPr/>
        <w:t>Lower</w:t>
      </w:r>
      <w:r>
        <w:rPr>
          <w:spacing w:val="-10"/>
        </w:rPr>
        <w:t> </w:t>
      </w:r>
      <w:r>
        <w:rPr/>
        <w:t>Primary</w:t>
      </w:r>
      <w:r>
        <w:rPr>
          <w:spacing w:val="-10"/>
        </w:rPr>
        <w:t> </w:t>
      </w:r>
      <w:r>
        <w:rPr/>
        <w:t>in</w:t>
      </w:r>
      <w:r>
        <w:rPr>
          <w:spacing w:val="-10"/>
        </w:rPr>
        <w:t> </w:t>
      </w:r>
      <w:r>
        <w:rPr/>
        <w:t>some States (e.g. Gujarat)</w:t>
      </w:r>
    </w:p>
    <w:p>
      <w:pPr>
        <w:pStyle w:val="ListParagraph"/>
        <w:numPr>
          <w:ilvl w:val="0"/>
          <w:numId w:val="36"/>
        </w:numPr>
        <w:tabs>
          <w:tab w:pos="5835" w:val="left" w:leader="none"/>
        </w:tabs>
        <w:spacing w:line="240" w:lineRule="auto" w:before="0" w:after="0"/>
        <w:ind w:left="5835" w:right="0" w:hanging="180"/>
        <w:jc w:val="left"/>
        <w:rPr>
          <w:sz w:val="24"/>
        </w:rPr>
      </w:pPr>
      <w:r>
        <w:rPr>
          <w:sz w:val="24"/>
        </w:rPr>
        <w:t>junior </w:t>
      </w:r>
      <w:r>
        <w:rPr>
          <w:spacing w:val="-2"/>
          <w:sz w:val="24"/>
        </w:rPr>
        <w:t>Basic</w:t>
      </w:r>
    </w:p>
    <w:p>
      <w:pPr>
        <w:pStyle w:val="ListParagraph"/>
        <w:numPr>
          <w:ilvl w:val="0"/>
          <w:numId w:val="36"/>
        </w:numPr>
        <w:tabs>
          <w:tab w:pos="5835" w:val="left" w:leader="none"/>
        </w:tabs>
        <w:spacing w:line="240" w:lineRule="auto" w:before="0" w:after="0"/>
        <w:ind w:left="5654" w:right="859" w:firstLine="1"/>
        <w:jc w:val="left"/>
        <w:rPr>
          <w:sz w:val="24"/>
        </w:rPr>
      </w:pPr>
      <w:r>
        <w:rPr>
          <w:sz w:val="24"/>
        </w:rPr>
        <w:t>Lower</w:t>
      </w:r>
      <w:r>
        <w:rPr>
          <w:spacing w:val="-14"/>
          <w:sz w:val="24"/>
        </w:rPr>
        <w:t> </w:t>
      </w:r>
      <w:r>
        <w:rPr>
          <w:sz w:val="24"/>
        </w:rPr>
        <w:t>Elementary</w:t>
      </w:r>
      <w:r>
        <w:rPr>
          <w:spacing w:val="-14"/>
          <w:sz w:val="24"/>
        </w:rPr>
        <w:t> </w:t>
      </w:r>
      <w:r>
        <w:rPr>
          <w:sz w:val="24"/>
        </w:rPr>
        <w:t>in</w:t>
      </w:r>
      <w:r>
        <w:rPr>
          <w:spacing w:val="-14"/>
          <w:sz w:val="24"/>
        </w:rPr>
        <w:t> </w:t>
      </w:r>
      <w:r>
        <w:rPr>
          <w:sz w:val="24"/>
        </w:rPr>
        <w:t>some States (e.g. Madras)</w:t>
      </w:r>
    </w:p>
    <w:p>
      <w:pPr>
        <w:spacing w:after="0" w:line="240" w:lineRule="auto"/>
        <w:jc w:val="left"/>
        <w:rPr>
          <w:sz w:val="24"/>
        </w:rPr>
        <w:sectPr>
          <w:pgSz w:w="12240" w:h="15840"/>
          <w:pgMar w:header="0" w:footer="743" w:top="1360" w:bottom="940" w:left="1640" w:right="1300"/>
        </w:sectPr>
      </w:pPr>
    </w:p>
    <w:p>
      <w:pPr>
        <w:pStyle w:val="ListParagraph"/>
        <w:numPr>
          <w:ilvl w:val="1"/>
          <w:numId w:val="34"/>
        </w:numPr>
        <w:tabs>
          <w:tab w:pos="558" w:val="left" w:leader="none"/>
        </w:tabs>
        <w:spacing w:line="240" w:lineRule="auto" w:before="72" w:after="0"/>
        <w:ind w:left="558" w:right="0" w:hanging="398"/>
        <w:jc w:val="left"/>
        <w:rPr>
          <w:sz w:val="24"/>
        </w:rPr>
      </w:pPr>
      <w:r>
        <w:rPr>
          <w:sz w:val="24"/>
        </w:rPr>
        <w:t>Higher</w:t>
      </w:r>
      <w:r>
        <w:rPr>
          <w:spacing w:val="-1"/>
          <w:sz w:val="24"/>
        </w:rPr>
        <w:t> </w:t>
      </w:r>
      <w:r>
        <w:rPr>
          <w:spacing w:val="-2"/>
          <w:sz w:val="24"/>
        </w:rPr>
        <w:t>Primary</w:t>
      </w:r>
    </w:p>
    <w:p>
      <w:pPr>
        <w:pStyle w:val="BodyText"/>
        <w:tabs>
          <w:tab w:pos="5654" w:val="left" w:leader="none"/>
        </w:tabs>
        <w:ind w:left="160"/>
      </w:pPr>
      <w:r>
        <w:rPr/>
        <w:t>Classes</w:t>
      </w:r>
      <w:r>
        <w:rPr>
          <w:spacing w:val="-1"/>
        </w:rPr>
        <w:t> </w:t>
      </w:r>
      <w:r>
        <w:rPr/>
        <w:t>V-VII</w:t>
      </w:r>
      <w:r>
        <w:rPr>
          <w:spacing w:val="59"/>
        </w:rPr>
        <w:t> </w:t>
      </w:r>
      <w:r>
        <w:rPr/>
        <w:t>or VI-</w:t>
      </w:r>
      <w:r>
        <w:rPr>
          <w:spacing w:val="-4"/>
        </w:rPr>
        <w:t>VIII</w:t>
      </w:r>
      <w:r>
        <w:rPr/>
        <w:tab/>
        <w:t>1</w:t>
      </w:r>
      <w:r>
        <w:rPr>
          <w:spacing w:val="-4"/>
        </w:rPr>
        <w:t> </w:t>
      </w:r>
      <w:r>
        <w:rPr/>
        <w:t>Middle</w:t>
      </w:r>
      <w:r>
        <w:rPr>
          <w:spacing w:val="-1"/>
        </w:rPr>
        <w:t> </w:t>
      </w:r>
      <w:r>
        <w:rPr/>
        <w:t>in</w:t>
      </w:r>
      <w:r>
        <w:rPr>
          <w:spacing w:val="-2"/>
        </w:rPr>
        <w:t> </w:t>
      </w:r>
      <w:r>
        <w:rPr/>
        <w:t>some </w:t>
      </w:r>
      <w:r>
        <w:rPr>
          <w:spacing w:val="-2"/>
        </w:rPr>
        <w:t>States(e.g.</w:t>
      </w:r>
    </w:p>
    <w:p>
      <w:pPr>
        <w:pStyle w:val="BodyText"/>
        <w:ind w:left="5656"/>
      </w:pPr>
      <w:r>
        <w:rPr>
          <w:spacing w:val="-2"/>
        </w:rPr>
        <w:t>Punjab)</w:t>
      </w:r>
    </w:p>
    <w:p>
      <w:pPr>
        <w:pStyle w:val="ListParagraph"/>
        <w:numPr>
          <w:ilvl w:val="0"/>
          <w:numId w:val="37"/>
        </w:numPr>
        <w:tabs>
          <w:tab w:pos="5836" w:val="left" w:leader="none"/>
        </w:tabs>
        <w:spacing w:line="240" w:lineRule="auto" w:before="1" w:after="0"/>
        <w:ind w:left="5656" w:right="1135" w:firstLine="0"/>
        <w:jc w:val="left"/>
        <w:rPr>
          <w:sz w:val="24"/>
        </w:rPr>
      </w:pPr>
      <w:r>
        <w:rPr>
          <w:sz w:val="24"/>
        </w:rPr>
        <w:t>junior</w:t>
      </w:r>
      <w:r>
        <w:rPr>
          <w:spacing w:val="-13"/>
          <w:sz w:val="24"/>
        </w:rPr>
        <w:t> </w:t>
      </w:r>
      <w:r>
        <w:rPr>
          <w:sz w:val="24"/>
        </w:rPr>
        <w:t>High</w:t>
      </w:r>
      <w:r>
        <w:rPr>
          <w:spacing w:val="-13"/>
          <w:sz w:val="24"/>
        </w:rPr>
        <w:t> </w:t>
      </w:r>
      <w:r>
        <w:rPr>
          <w:sz w:val="24"/>
        </w:rPr>
        <w:t>School</w:t>
      </w:r>
      <w:r>
        <w:rPr>
          <w:spacing w:val="-13"/>
          <w:sz w:val="24"/>
        </w:rPr>
        <w:t> </w:t>
      </w:r>
      <w:r>
        <w:rPr>
          <w:sz w:val="24"/>
        </w:rPr>
        <w:t>(e.g. Uttar Pradesh)</w:t>
      </w:r>
    </w:p>
    <w:p>
      <w:pPr>
        <w:pStyle w:val="ListParagraph"/>
        <w:numPr>
          <w:ilvl w:val="0"/>
          <w:numId w:val="37"/>
        </w:numPr>
        <w:tabs>
          <w:tab w:pos="5835" w:val="left" w:leader="none"/>
        </w:tabs>
        <w:spacing w:line="240" w:lineRule="auto" w:before="0" w:after="0"/>
        <w:ind w:left="5654" w:right="1217" w:firstLine="1"/>
        <w:jc w:val="left"/>
        <w:rPr>
          <w:sz w:val="24"/>
        </w:rPr>
      </w:pPr>
      <w:r>
        <w:rPr>
          <w:sz w:val="24"/>
        </w:rPr>
        <w:t>Upper</w:t>
      </w:r>
      <w:r>
        <w:rPr>
          <w:spacing w:val="-13"/>
          <w:sz w:val="24"/>
        </w:rPr>
        <w:t> </w:t>
      </w:r>
      <w:r>
        <w:rPr>
          <w:sz w:val="24"/>
        </w:rPr>
        <w:t>Primary</w:t>
      </w:r>
      <w:r>
        <w:rPr>
          <w:spacing w:val="-13"/>
          <w:sz w:val="24"/>
        </w:rPr>
        <w:t> </w:t>
      </w:r>
      <w:r>
        <w:rPr>
          <w:sz w:val="24"/>
        </w:rPr>
        <w:t>in</w:t>
      </w:r>
      <w:r>
        <w:rPr>
          <w:spacing w:val="-13"/>
          <w:sz w:val="24"/>
        </w:rPr>
        <w:t> </w:t>
      </w:r>
      <w:r>
        <w:rPr>
          <w:sz w:val="24"/>
        </w:rPr>
        <w:t>some States (e.g. Gujarat)</w:t>
      </w:r>
    </w:p>
    <w:p>
      <w:pPr>
        <w:pStyle w:val="ListParagraph"/>
        <w:numPr>
          <w:ilvl w:val="0"/>
          <w:numId w:val="37"/>
        </w:numPr>
        <w:tabs>
          <w:tab w:pos="5836" w:val="left" w:leader="none"/>
        </w:tabs>
        <w:spacing w:line="240" w:lineRule="auto" w:before="0" w:after="0"/>
        <w:ind w:left="5836" w:right="0" w:hanging="180"/>
        <w:jc w:val="left"/>
        <w:rPr>
          <w:sz w:val="24"/>
        </w:rPr>
      </w:pPr>
      <w:r>
        <w:rPr>
          <w:sz w:val="24"/>
        </w:rPr>
        <w:t>Senior </w:t>
      </w:r>
      <w:r>
        <w:rPr>
          <w:spacing w:val="-2"/>
          <w:sz w:val="24"/>
        </w:rPr>
        <w:t>Basic</w:t>
      </w:r>
    </w:p>
    <w:p>
      <w:pPr>
        <w:pStyle w:val="ListParagraph"/>
        <w:numPr>
          <w:ilvl w:val="0"/>
          <w:numId w:val="37"/>
        </w:numPr>
        <w:tabs>
          <w:tab w:pos="5835" w:val="left" w:leader="none"/>
        </w:tabs>
        <w:spacing w:line="240" w:lineRule="auto" w:before="0" w:after="0"/>
        <w:ind w:left="5654" w:right="818" w:firstLine="1"/>
        <w:jc w:val="left"/>
        <w:rPr>
          <w:sz w:val="24"/>
        </w:rPr>
      </w:pPr>
      <w:r>
        <w:rPr>
          <w:sz w:val="24"/>
        </w:rPr>
        <w:t>Higher</w:t>
      </w:r>
      <w:r>
        <w:rPr>
          <w:spacing w:val="-14"/>
          <w:sz w:val="24"/>
        </w:rPr>
        <w:t> </w:t>
      </w:r>
      <w:r>
        <w:rPr>
          <w:sz w:val="24"/>
        </w:rPr>
        <w:t>Elementary</w:t>
      </w:r>
      <w:r>
        <w:rPr>
          <w:spacing w:val="-14"/>
          <w:sz w:val="24"/>
        </w:rPr>
        <w:t> </w:t>
      </w:r>
      <w:r>
        <w:rPr>
          <w:sz w:val="24"/>
        </w:rPr>
        <w:t>in</w:t>
      </w:r>
      <w:r>
        <w:rPr>
          <w:spacing w:val="-14"/>
          <w:sz w:val="24"/>
        </w:rPr>
        <w:t> </w:t>
      </w:r>
      <w:r>
        <w:rPr>
          <w:sz w:val="24"/>
        </w:rPr>
        <w:t>some States (e.g. Madras)</w:t>
      </w:r>
    </w:p>
    <w:p>
      <w:pPr>
        <w:pStyle w:val="ListParagraph"/>
        <w:numPr>
          <w:ilvl w:val="0"/>
          <w:numId w:val="34"/>
        </w:numPr>
        <w:tabs>
          <w:tab w:pos="398" w:val="left" w:leader="none"/>
        </w:tabs>
        <w:spacing w:line="240" w:lineRule="auto" w:before="0" w:after="0"/>
        <w:ind w:left="398" w:right="0" w:hanging="238"/>
        <w:jc w:val="left"/>
        <w:rPr>
          <w:sz w:val="24"/>
        </w:rPr>
      </w:pPr>
      <w:r>
        <w:rPr>
          <w:spacing w:val="-2"/>
          <w:sz w:val="24"/>
        </w:rPr>
        <w:t>Secondary</w:t>
      </w:r>
    </w:p>
    <w:p>
      <w:pPr>
        <w:pStyle w:val="BodyText"/>
      </w:pPr>
    </w:p>
    <w:p>
      <w:pPr>
        <w:pStyle w:val="BodyText"/>
        <w:tabs>
          <w:tab w:pos="5656" w:val="left" w:leader="none"/>
        </w:tabs>
        <w:ind w:left="5656" w:right="506" w:hanging="5496"/>
      </w:pPr>
      <w:r>
        <w:rPr/>
        <w:t>Classes</w:t>
      </w:r>
      <w:r>
        <w:rPr>
          <w:spacing w:val="40"/>
        </w:rPr>
        <w:t> </w:t>
      </w:r>
      <w:r>
        <w:rPr/>
        <w:t>VIII-XII or IX-XII</w:t>
        <w:tab/>
        <w:t>High</w:t>
      </w:r>
      <w:r>
        <w:rPr>
          <w:spacing w:val="-9"/>
        </w:rPr>
        <w:t> </w:t>
      </w:r>
      <w:r>
        <w:rPr/>
        <w:t>School;</w:t>
      </w:r>
      <w:r>
        <w:rPr>
          <w:spacing w:val="40"/>
        </w:rPr>
        <w:t> </w:t>
      </w:r>
      <w:r>
        <w:rPr/>
        <w:t>Higher</w:t>
      </w:r>
      <w:r>
        <w:rPr>
          <w:spacing w:val="-9"/>
        </w:rPr>
        <w:t> </w:t>
      </w:r>
      <w:r>
        <w:rPr/>
        <w:t>Secondary </w:t>
      </w:r>
      <w:r>
        <w:rPr>
          <w:spacing w:val="-2"/>
        </w:rPr>
        <w:t>School</w:t>
      </w:r>
    </w:p>
    <w:p>
      <w:pPr>
        <w:pStyle w:val="BodyText"/>
      </w:pPr>
    </w:p>
    <w:p>
      <w:pPr>
        <w:pStyle w:val="ListParagraph"/>
        <w:numPr>
          <w:ilvl w:val="1"/>
          <w:numId w:val="34"/>
        </w:numPr>
        <w:tabs>
          <w:tab w:pos="544" w:val="left" w:leader="none"/>
          <w:tab w:pos="5655" w:val="left" w:leader="none"/>
        </w:tabs>
        <w:spacing w:line="240" w:lineRule="auto" w:before="0" w:after="0"/>
        <w:ind w:left="160" w:right="2435" w:firstLine="59"/>
        <w:jc w:val="left"/>
        <w:rPr>
          <w:sz w:val="24"/>
        </w:rPr>
      </w:pPr>
      <w:r>
        <w:rPr>
          <w:sz w:val="24"/>
        </w:rPr>
        <w:t>Lower Secondary Education</w:t>
        <w:tab/>
        <w:t>High</w:t>
      </w:r>
      <w:r>
        <w:rPr>
          <w:spacing w:val="-15"/>
          <w:sz w:val="24"/>
        </w:rPr>
        <w:t> </w:t>
      </w:r>
      <w:r>
        <w:rPr>
          <w:sz w:val="24"/>
        </w:rPr>
        <w:t>School Classes VIII-X or IX-X</w:t>
      </w:r>
    </w:p>
    <w:p>
      <w:pPr>
        <w:pStyle w:val="BodyText"/>
      </w:pPr>
    </w:p>
    <w:p>
      <w:pPr>
        <w:pStyle w:val="ListParagraph"/>
        <w:numPr>
          <w:ilvl w:val="1"/>
          <w:numId w:val="34"/>
        </w:numPr>
        <w:tabs>
          <w:tab w:pos="558" w:val="left" w:leader="none"/>
          <w:tab w:pos="5655" w:val="left" w:leader="none"/>
        </w:tabs>
        <w:spacing w:line="240" w:lineRule="auto" w:before="0" w:after="0"/>
        <w:ind w:left="558" w:right="0" w:hanging="398"/>
        <w:jc w:val="left"/>
        <w:rPr>
          <w:sz w:val="24"/>
        </w:rPr>
      </w:pPr>
      <w:r>
        <w:rPr>
          <w:sz w:val="24"/>
        </w:rPr>
        <w:t>Higher</w:t>
      </w:r>
      <w:r>
        <w:rPr>
          <w:spacing w:val="-1"/>
          <w:sz w:val="24"/>
        </w:rPr>
        <w:t> </w:t>
      </w:r>
      <w:r>
        <w:rPr>
          <w:sz w:val="24"/>
        </w:rPr>
        <w:t>Secondary</w:t>
      </w:r>
      <w:r>
        <w:rPr>
          <w:spacing w:val="-1"/>
          <w:sz w:val="24"/>
        </w:rPr>
        <w:t> </w:t>
      </w:r>
      <w:r>
        <w:rPr>
          <w:spacing w:val="-2"/>
          <w:sz w:val="24"/>
        </w:rPr>
        <w:t>Education</w:t>
      </w:r>
      <w:r>
        <w:rPr>
          <w:sz w:val="24"/>
        </w:rPr>
        <w:tab/>
        <w:t>This</w:t>
      </w:r>
      <w:r>
        <w:rPr>
          <w:spacing w:val="-3"/>
          <w:sz w:val="24"/>
        </w:rPr>
        <w:t> </w:t>
      </w:r>
      <w:r>
        <w:rPr>
          <w:sz w:val="24"/>
        </w:rPr>
        <w:t>will</w:t>
      </w:r>
      <w:r>
        <w:rPr>
          <w:spacing w:val="-1"/>
          <w:sz w:val="24"/>
        </w:rPr>
        <w:t> </w:t>
      </w:r>
      <w:r>
        <w:rPr>
          <w:sz w:val="24"/>
        </w:rPr>
        <w:t>include</w:t>
      </w:r>
      <w:r>
        <w:rPr>
          <w:spacing w:val="-1"/>
          <w:sz w:val="24"/>
        </w:rPr>
        <w:t> </w:t>
      </w:r>
      <w:r>
        <w:rPr>
          <w:sz w:val="24"/>
        </w:rPr>
        <w:t>Class</w:t>
      </w:r>
      <w:r>
        <w:rPr>
          <w:spacing w:val="59"/>
          <w:sz w:val="24"/>
        </w:rPr>
        <w:t> </w:t>
      </w:r>
      <w:r>
        <w:rPr>
          <w:spacing w:val="-5"/>
          <w:sz w:val="24"/>
        </w:rPr>
        <w:t>XI</w:t>
      </w:r>
    </w:p>
    <w:p>
      <w:pPr>
        <w:pStyle w:val="BodyText"/>
        <w:tabs>
          <w:tab w:pos="5655" w:val="left" w:leader="none"/>
        </w:tabs>
        <w:ind w:left="160"/>
      </w:pPr>
      <w:r>
        <w:rPr/>
        <w:t>Classes XI-</w:t>
      </w:r>
      <w:r>
        <w:rPr>
          <w:spacing w:val="-5"/>
        </w:rPr>
        <w:t>XII</w:t>
      </w:r>
      <w:r>
        <w:rPr/>
        <w:tab/>
        <w:t>or</w:t>
      </w:r>
      <w:r>
        <w:rPr>
          <w:spacing w:val="27"/>
        </w:rPr>
        <w:t>  </w:t>
      </w:r>
      <w:r>
        <w:rPr/>
        <w:t>PUC</w:t>
      </w:r>
      <w:r>
        <w:rPr>
          <w:spacing w:val="61"/>
        </w:rPr>
        <w:t> </w:t>
      </w:r>
      <w:r>
        <w:rPr/>
        <w:t>in</w:t>
      </w:r>
      <w:r>
        <w:rPr>
          <w:spacing w:val="59"/>
        </w:rPr>
        <w:t> </w:t>
      </w:r>
      <w:r>
        <w:rPr/>
        <w:t>some</w:t>
      </w:r>
      <w:r>
        <w:rPr>
          <w:spacing w:val="30"/>
        </w:rPr>
        <w:t>  </w:t>
      </w:r>
      <w:r>
        <w:rPr>
          <w:spacing w:val="-2"/>
        </w:rPr>
        <w:t>States</w:t>
      </w:r>
    </w:p>
    <w:p>
      <w:pPr>
        <w:pStyle w:val="BodyText"/>
        <w:ind w:left="5656" w:right="824"/>
      </w:pPr>
      <w:r>
        <w:rPr/>
        <w:t>(e.g. Rajasthan). It will include</w:t>
      </w:r>
      <w:r>
        <w:rPr>
          <w:spacing w:val="-13"/>
        </w:rPr>
        <w:t> </w:t>
      </w:r>
      <w:r>
        <w:rPr/>
        <w:t>junior</w:t>
      </w:r>
      <w:r>
        <w:rPr>
          <w:spacing w:val="-13"/>
        </w:rPr>
        <w:t> </w:t>
      </w:r>
      <w:r>
        <w:rPr/>
        <w:t>Colleges</w:t>
      </w:r>
      <w:r>
        <w:rPr>
          <w:spacing w:val="-13"/>
        </w:rPr>
        <w:t> </w:t>
      </w:r>
      <w:r>
        <w:rPr/>
        <w:t>in </w:t>
      </w:r>
      <w:r>
        <w:rPr>
          <w:spacing w:val="-2"/>
        </w:rPr>
        <w:t>Kerala.</w:t>
      </w:r>
    </w:p>
    <w:p>
      <w:pPr>
        <w:pStyle w:val="BodyText"/>
        <w:ind w:left="5655" w:right="510"/>
      </w:pPr>
      <w:r>
        <w:rPr/>
        <w:t>It</w:t>
      </w:r>
      <w:r>
        <w:rPr>
          <w:spacing w:val="-13"/>
        </w:rPr>
        <w:t> </w:t>
      </w:r>
      <w:r>
        <w:rPr/>
        <w:t>will</w:t>
      </w:r>
      <w:r>
        <w:rPr>
          <w:spacing w:val="-13"/>
        </w:rPr>
        <w:t> </w:t>
      </w:r>
      <w:r>
        <w:rPr/>
        <w:t>include</w:t>
      </w:r>
      <w:r>
        <w:rPr>
          <w:spacing w:val="-13"/>
        </w:rPr>
        <w:t> </w:t>
      </w:r>
      <w:r>
        <w:rPr/>
        <w:t>intermediate Classes in Uttar Pradesh.</w:t>
      </w:r>
    </w:p>
    <w:p>
      <w:pPr>
        <w:pStyle w:val="BodyText"/>
        <w:ind w:left="5656" w:right="1190"/>
      </w:pPr>
      <w:r>
        <w:rPr/>
        <w:t>It</w:t>
      </w:r>
      <w:r>
        <w:rPr>
          <w:spacing w:val="-10"/>
        </w:rPr>
        <w:t> </w:t>
      </w:r>
      <w:r>
        <w:rPr/>
        <w:t>will</w:t>
      </w:r>
      <w:r>
        <w:rPr>
          <w:spacing w:val="-10"/>
        </w:rPr>
        <w:t> </w:t>
      </w:r>
      <w:r>
        <w:rPr/>
        <w:t>also</w:t>
      </w:r>
      <w:r>
        <w:rPr>
          <w:spacing w:val="-10"/>
        </w:rPr>
        <w:t> </w:t>
      </w:r>
      <w:r>
        <w:rPr/>
        <w:t>include</w:t>
      </w:r>
      <w:r>
        <w:rPr>
          <w:spacing w:val="-10"/>
        </w:rPr>
        <w:t> </w:t>
      </w:r>
      <w:r>
        <w:rPr/>
        <w:t>term like pre-engineering.</w:t>
      </w:r>
    </w:p>
    <w:p>
      <w:pPr>
        <w:pStyle w:val="BodyText"/>
      </w:pPr>
    </w:p>
    <w:p>
      <w:pPr>
        <w:pStyle w:val="BodyText"/>
        <w:spacing w:before="275"/>
      </w:pPr>
    </w:p>
    <w:p>
      <w:pPr>
        <w:pStyle w:val="BodyText"/>
        <w:ind w:left="291" w:right="629"/>
        <w:jc w:val="center"/>
      </w:pPr>
      <w:r>
        <w:rPr/>
        <w:t>HIGHER</w:t>
      </w:r>
      <w:r>
        <w:rPr>
          <w:spacing w:val="-5"/>
        </w:rPr>
        <w:t> </w:t>
      </w:r>
      <w:r>
        <w:rPr>
          <w:spacing w:val="-2"/>
        </w:rPr>
        <w:t>EDUCATION</w:t>
      </w:r>
    </w:p>
    <w:p>
      <w:pPr>
        <w:pStyle w:val="BodyText"/>
      </w:pPr>
    </w:p>
    <w:p>
      <w:pPr>
        <w:pStyle w:val="ListParagraph"/>
        <w:numPr>
          <w:ilvl w:val="0"/>
          <w:numId w:val="34"/>
        </w:numPr>
        <w:tabs>
          <w:tab w:pos="399" w:val="left" w:leader="none"/>
          <w:tab w:pos="5656" w:val="left" w:leader="none"/>
        </w:tabs>
        <w:spacing w:line="240" w:lineRule="auto" w:before="0" w:after="0"/>
        <w:ind w:left="5656" w:right="781" w:hanging="5496"/>
        <w:jc w:val="left"/>
        <w:rPr>
          <w:sz w:val="24"/>
        </w:rPr>
      </w:pPr>
      <w:r>
        <w:rPr>
          <w:sz w:val="24"/>
        </w:rPr>
        <w:t>Professional Degrees</w:t>
        <w:tab/>
        <w:t>All degrees which lead to</w:t>
      </w:r>
      <w:r>
        <w:rPr>
          <w:spacing w:val="40"/>
          <w:sz w:val="24"/>
        </w:rPr>
        <w:t> </w:t>
      </w:r>
      <w:r>
        <w:rPr>
          <w:sz w:val="24"/>
        </w:rPr>
        <w:t>a professional</w:t>
      </w:r>
      <w:r>
        <w:rPr>
          <w:spacing w:val="80"/>
          <w:sz w:val="24"/>
        </w:rPr>
        <w:t> </w:t>
      </w:r>
      <w:r>
        <w:rPr>
          <w:sz w:val="24"/>
        </w:rPr>
        <w:t>qualification M.B.,B.S.;B.T.;LL.B.;</w:t>
      </w:r>
      <w:r>
        <w:rPr>
          <w:spacing w:val="-15"/>
          <w:sz w:val="24"/>
        </w:rPr>
        <w:t> </w:t>
      </w:r>
      <w:r>
        <w:rPr>
          <w:sz w:val="24"/>
        </w:rPr>
        <w:t>B.Ag.,</w:t>
      </w:r>
    </w:p>
    <w:p>
      <w:pPr>
        <w:pStyle w:val="BodyText"/>
        <w:ind w:left="5656"/>
      </w:pPr>
      <w:r>
        <w:rPr>
          <w:spacing w:val="-2"/>
        </w:rPr>
        <w:t>etc.)</w:t>
      </w:r>
    </w:p>
    <w:p>
      <w:pPr>
        <w:pStyle w:val="BodyText"/>
      </w:pPr>
    </w:p>
    <w:p>
      <w:pPr>
        <w:pStyle w:val="ListParagraph"/>
        <w:numPr>
          <w:ilvl w:val="0"/>
          <w:numId w:val="34"/>
        </w:numPr>
        <w:tabs>
          <w:tab w:pos="519" w:val="left" w:leader="none"/>
          <w:tab w:pos="5656" w:val="left" w:leader="none"/>
        </w:tabs>
        <w:spacing w:line="240" w:lineRule="auto" w:before="0" w:after="0"/>
        <w:ind w:left="5656" w:right="1157" w:hanging="5496"/>
        <w:jc w:val="left"/>
        <w:rPr>
          <w:sz w:val="24"/>
        </w:rPr>
      </w:pPr>
      <w:r>
        <w:rPr>
          <w:sz w:val="24"/>
        </w:rPr>
        <w:t>General</w:t>
      </w:r>
      <w:r>
        <w:rPr>
          <w:spacing w:val="80"/>
          <w:sz w:val="24"/>
        </w:rPr>
        <w:t> </w:t>
      </w:r>
      <w:r>
        <w:rPr>
          <w:sz w:val="24"/>
        </w:rPr>
        <w:t>Degrees</w:t>
        <w:tab/>
        <w:t>All</w:t>
      </w:r>
      <w:r>
        <w:rPr>
          <w:spacing w:val="80"/>
          <w:sz w:val="24"/>
        </w:rPr>
        <w:t> </w:t>
      </w:r>
      <w:r>
        <w:rPr>
          <w:sz w:val="24"/>
        </w:rPr>
        <w:t>degrees</w:t>
      </w:r>
      <w:r>
        <w:rPr>
          <w:spacing w:val="80"/>
          <w:sz w:val="24"/>
        </w:rPr>
        <w:t> </w:t>
      </w:r>
      <w:r>
        <w:rPr>
          <w:sz w:val="24"/>
        </w:rPr>
        <w:t>other</w:t>
      </w:r>
      <w:r>
        <w:rPr>
          <w:spacing w:val="80"/>
          <w:sz w:val="24"/>
        </w:rPr>
        <w:t> </w:t>
      </w:r>
      <w:r>
        <w:rPr>
          <w:sz w:val="24"/>
        </w:rPr>
        <w:t>than professional ones</w:t>
      </w:r>
    </w:p>
    <w:p>
      <w:pPr>
        <w:pStyle w:val="BodyText"/>
      </w:pPr>
    </w:p>
    <w:p>
      <w:pPr>
        <w:pStyle w:val="ListParagraph"/>
        <w:numPr>
          <w:ilvl w:val="0"/>
          <w:numId w:val="34"/>
        </w:numPr>
        <w:tabs>
          <w:tab w:pos="399" w:val="left" w:leader="none"/>
          <w:tab w:pos="5656" w:val="left" w:leader="none"/>
        </w:tabs>
        <w:spacing w:line="240" w:lineRule="auto" w:before="0" w:after="0"/>
        <w:ind w:left="5656" w:right="1189" w:hanging="5496"/>
        <w:jc w:val="left"/>
        <w:rPr>
          <w:sz w:val="24"/>
        </w:rPr>
      </w:pPr>
      <w:r>
        <w:rPr>
          <w:spacing w:val="-2"/>
          <w:sz w:val="24"/>
        </w:rPr>
        <w:t>Undergraduate</w:t>
      </w:r>
      <w:r>
        <w:rPr>
          <w:sz w:val="24"/>
        </w:rPr>
        <w:tab/>
        <w:t>All</w:t>
      </w:r>
      <w:r>
        <w:rPr>
          <w:spacing w:val="-10"/>
          <w:sz w:val="24"/>
        </w:rPr>
        <w:t> </w:t>
      </w:r>
      <w:r>
        <w:rPr>
          <w:sz w:val="24"/>
        </w:rPr>
        <w:t>courses</w:t>
      </w:r>
      <w:r>
        <w:rPr>
          <w:spacing w:val="-10"/>
          <w:sz w:val="24"/>
        </w:rPr>
        <w:t> </w:t>
      </w:r>
      <w:r>
        <w:rPr>
          <w:sz w:val="24"/>
        </w:rPr>
        <w:t>leading</w:t>
      </w:r>
      <w:r>
        <w:rPr>
          <w:spacing w:val="-10"/>
          <w:sz w:val="24"/>
        </w:rPr>
        <w:t> </w:t>
      </w:r>
      <w:r>
        <w:rPr>
          <w:sz w:val="24"/>
        </w:rPr>
        <w:t>to</w:t>
      </w:r>
      <w:r>
        <w:rPr>
          <w:spacing w:val="-10"/>
          <w:sz w:val="24"/>
        </w:rPr>
        <w:t> </w:t>
      </w:r>
      <w:r>
        <w:rPr>
          <w:sz w:val="24"/>
        </w:rPr>
        <w:t>the first degree</w:t>
      </w:r>
    </w:p>
    <w:p>
      <w:pPr>
        <w:pStyle w:val="BodyText"/>
      </w:pPr>
    </w:p>
    <w:p>
      <w:pPr>
        <w:pStyle w:val="ListParagraph"/>
        <w:numPr>
          <w:ilvl w:val="0"/>
          <w:numId w:val="34"/>
        </w:numPr>
        <w:tabs>
          <w:tab w:pos="400" w:val="left" w:leader="none"/>
          <w:tab w:pos="5656" w:val="left" w:leader="none"/>
        </w:tabs>
        <w:spacing w:line="240" w:lineRule="auto" w:before="0" w:after="0"/>
        <w:ind w:left="5656" w:right="988" w:hanging="5496"/>
        <w:jc w:val="left"/>
        <w:rPr>
          <w:sz w:val="24"/>
        </w:rPr>
      </w:pPr>
      <w:r>
        <w:rPr>
          <w:spacing w:val="-2"/>
          <w:sz w:val="24"/>
        </w:rPr>
        <w:t>Postgraduate</w:t>
      </w:r>
      <w:r>
        <w:rPr>
          <w:sz w:val="24"/>
        </w:rPr>
        <w:tab/>
        <w:t>All</w:t>
      </w:r>
      <w:r>
        <w:rPr>
          <w:spacing w:val="-10"/>
          <w:sz w:val="24"/>
        </w:rPr>
        <w:t> </w:t>
      </w:r>
      <w:r>
        <w:rPr>
          <w:sz w:val="24"/>
        </w:rPr>
        <w:t>courses</w:t>
      </w:r>
      <w:r>
        <w:rPr>
          <w:spacing w:val="-10"/>
          <w:sz w:val="24"/>
        </w:rPr>
        <w:t> </w:t>
      </w:r>
      <w:r>
        <w:rPr>
          <w:sz w:val="24"/>
        </w:rPr>
        <w:t>beyond</w:t>
      </w:r>
      <w:r>
        <w:rPr>
          <w:spacing w:val="-10"/>
          <w:sz w:val="24"/>
        </w:rPr>
        <w:t> </w:t>
      </w:r>
      <w:r>
        <w:rPr>
          <w:sz w:val="24"/>
        </w:rPr>
        <w:t>the</w:t>
      </w:r>
      <w:r>
        <w:rPr>
          <w:spacing w:val="-10"/>
          <w:sz w:val="24"/>
        </w:rPr>
        <w:t> </w:t>
      </w:r>
      <w:r>
        <w:rPr>
          <w:sz w:val="24"/>
        </w:rPr>
        <w:t>first degree</w:t>
      </w:r>
      <w:r>
        <w:rPr>
          <w:spacing w:val="40"/>
          <w:sz w:val="24"/>
        </w:rPr>
        <w:t> </w:t>
      </w:r>
      <w:r>
        <w:rPr>
          <w:sz w:val="24"/>
        </w:rPr>
        <w:t>(excluding</w:t>
      </w:r>
      <w:r>
        <w:rPr>
          <w:spacing w:val="80"/>
          <w:sz w:val="24"/>
        </w:rPr>
        <w:t> </w:t>
      </w:r>
      <w:r>
        <w:rPr>
          <w:sz w:val="24"/>
        </w:rPr>
        <w:t>certain</w:t>
      </w:r>
    </w:p>
    <w:p>
      <w:pPr>
        <w:spacing w:after="0" w:line="240" w:lineRule="auto"/>
        <w:jc w:val="left"/>
        <w:rPr>
          <w:sz w:val="24"/>
        </w:rPr>
        <w:sectPr>
          <w:pgSz w:w="12240" w:h="15840"/>
          <w:pgMar w:header="0" w:footer="743" w:top="1640" w:bottom="940" w:left="1640" w:right="1300"/>
        </w:sectPr>
      </w:pPr>
    </w:p>
    <w:p>
      <w:pPr>
        <w:pStyle w:val="BodyText"/>
        <w:spacing w:before="3"/>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3"/>
        <w:gridCol w:w="2003"/>
        <w:gridCol w:w="3452"/>
      </w:tblGrid>
      <w:tr>
        <w:trPr>
          <w:trHeight w:val="684" w:hRule="atLeast"/>
        </w:trPr>
        <w:tc>
          <w:tcPr>
            <w:tcW w:w="3233" w:type="dxa"/>
            <w:vMerge w:val="restart"/>
          </w:tcPr>
          <w:p>
            <w:pPr>
              <w:pStyle w:val="TableParagraph"/>
              <w:rPr>
                <w:sz w:val="22"/>
              </w:rPr>
            </w:pPr>
          </w:p>
        </w:tc>
        <w:tc>
          <w:tcPr>
            <w:tcW w:w="2003" w:type="dxa"/>
          </w:tcPr>
          <w:p>
            <w:pPr>
              <w:pStyle w:val="TableParagraph"/>
              <w:rPr>
                <w:sz w:val="22"/>
              </w:rPr>
            </w:pPr>
          </w:p>
        </w:tc>
        <w:tc>
          <w:tcPr>
            <w:tcW w:w="3452" w:type="dxa"/>
          </w:tcPr>
          <w:p>
            <w:pPr>
              <w:pStyle w:val="TableParagraph"/>
              <w:ind w:left="310" w:right="476"/>
              <w:rPr>
                <w:sz w:val="24"/>
              </w:rPr>
            </w:pPr>
            <w:r>
              <w:rPr>
                <w:sz w:val="24"/>
              </w:rPr>
              <w:t>first</w:t>
            </w:r>
            <w:r>
              <w:rPr>
                <w:spacing w:val="40"/>
                <w:sz w:val="24"/>
              </w:rPr>
              <w:t> </w:t>
            </w:r>
            <w:r>
              <w:rPr>
                <w:sz w:val="24"/>
              </w:rPr>
              <w:t>degrees</w:t>
            </w:r>
            <w:r>
              <w:rPr>
                <w:spacing w:val="40"/>
                <w:sz w:val="24"/>
              </w:rPr>
              <w:t> </w:t>
            </w:r>
            <w:r>
              <w:rPr>
                <w:sz w:val="24"/>
              </w:rPr>
              <w:t>given</w:t>
            </w:r>
            <w:r>
              <w:rPr>
                <w:spacing w:val="40"/>
                <w:sz w:val="24"/>
              </w:rPr>
              <w:t> </w:t>
            </w:r>
            <w:r>
              <w:rPr>
                <w:sz w:val="24"/>
              </w:rPr>
              <w:t>after the first degree, </w:t>
            </w:r>
            <w:r>
              <w:rPr>
                <w:spacing w:val="-2"/>
                <w:sz w:val="24"/>
              </w:rPr>
              <w:t>e.g.B.Ed.)</w:t>
            </w:r>
          </w:p>
        </w:tc>
      </w:tr>
      <w:tr>
        <w:trPr>
          <w:trHeight w:val="551" w:hRule="atLeast"/>
        </w:trPr>
        <w:tc>
          <w:tcPr>
            <w:tcW w:w="3233" w:type="dxa"/>
            <w:vMerge/>
            <w:tcBorders>
              <w:top w:val="nil"/>
            </w:tcBorders>
          </w:tcPr>
          <w:p>
            <w:pPr>
              <w:rPr>
                <w:sz w:val="2"/>
                <w:szCs w:val="2"/>
              </w:rPr>
            </w:pPr>
          </w:p>
        </w:tc>
        <w:tc>
          <w:tcPr>
            <w:tcW w:w="2003" w:type="dxa"/>
          </w:tcPr>
          <w:p>
            <w:pPr>
              <w:pStyle w:val="TableParagraph"/>
              <w:spacing w:before="133"/>
              <w:ind w:left="576"/>
              <w:rPr>
                <w:sz w:val="24"/>
              </w:rPr>
            </w:pPr>
            <w:r>
              <w:rPr>
                <w:spacing w:val="-2"/>
                <w:sz w:val="24"/>
              </w:rPr>
              <w:t>GENERAL</w:t>
            </w:r>
          </w:p>
        </w:tc>
        <w:tc>
          <w:tcPr>
            <w:tcW w:w="3452" w:type="dxa"/>
          </w:tcPr>
          <w:p>
            <w:pPr>
              <w:pStyle w:val="TableParagraph"/>
              <w:rPr>
                <w:sz w:val="22"/>
              </w:rPr>
            </w:pPr>
          </w:p>
        </w:tc>
      </w:tr>
      <w:tr>
        <w:trPr>
          <w:trHeight w:val="2340" w:hRule="atLeast"/>
        </w:trPr>
        <w:tc>
          <w:tcPr>
            <w:tcW w:w="3233" w:type="dxa"/>
          </w:tcPr>
          <w:p>
            <w:pPr>
              <w:pStyle w:val="TableParagraph"/>
              <w:spacing w:line="480" w:lineRule="auto" w:before="133"/>
              <w:ind w:left="50" w:right="117"/>
              <w:rPr>
                <w:sz w:val="24"/>
              </w:rPr>
            </w:pPr>
            <w:r>
              <w:rPr>
                <w:sz w:val="24"/>
              </w:rPr>
              <w:t>First</w:t>
            </w:r>
            <w:r>
              <w:rPr>
                <w:spacing w:val="40"/>
                <w:sz w:val="24"/>
              </w:rPr>
              <w:t> </w:t>
            </w:r>
            <w:r>
              <w:rPr>
                <w:sz w:val="24"/>
              </w:rPr>
              <w:t>Level of Education Second</w:t>
            </w:r>
            <w:r>
              <w:rPr>
                <w:spacing w:val="-12"/>
                <w:sz w:val="24"/>
              </w:rPr>
              <w:t> </w:t>
            </w:r>
            <w:r>
              <w:rPr>
                <w:sz w:val="24"/>
              </w:rPr>
              <w:t>Level</w:t>
            </w:r>
            <w:r>
              <w:rPr>
                <w:spacing w:val="-12"/>
                <w:sz w:val="24"/>
              </w:rPr>
              <w:t> </w:t>
            </w:r>
            <w:r>
              <w:rPr>
                <w:sz w:val="24"/>
              </w:rPr>
              <w:t>of</w:t>
            </w:r>
            <w:r>
              <w:rPr>
                <w:spacing w:val="-12"/>
                <w:sz w:val="24"/>
              </w:rPr>
              <w:t> </w:t>
            </w:r>
            <w:r>
              <w:rPr>
                <w:sz w:val="24"/>
              </w:rPr>
              <w:t>Education</w:t>
            </w:r>
          </w:p>
          <w:p>
            <w:pPr>
              <w:pStyle w:val="TableParagraph"/>
              <w:rPr>
                <w:sz w:val="24"/>
              </w:rPr>
            </w:pPr>
          </w:p>
          <w:p>
            <w:pPr>
              <w:pStyle w:val="TableParagraph"/>
              <w:ind w:left="50"/>
              <w:rPr>
                <w:sz w:val="24"/>
              </w:rPr>
            </w:pPr>
            <w:r>
              <w:rPr>
                <w:sz w:val="24"/>
              </w:rPr>
              <w:t>Third Level of </w:t>
            </w:r>
            <w:r>
              <w:rPr>
                <w:spacing w:val="-2"/>
                <w:sz w:val="24"/>
              </w:rPr>
              <w:t>Education</w:t>
            </w:r>
          </w:p>
        </w:tc>
        <w:tc>
          <w:tcPr>
            <w:tcW w:w="2003" w:type="dxa"/>
          </w:tcPr>
          <w:p>
            <w:pPr>
              <w:pStyle w:val="TableParagraph"/>
              <w:rPr>
                <w:sz w:val="22"/>
              </w:rPr>
            </w:pPr>
          </w:p>
        </w:tc>
        <w:tc>
          <w:tcPr>
            <w:tcW w:w="3452" w:type="dxa"/>
          </w:tcPr>
          <w:p>
            <w:pPr>
              <w:pStyle w:val="TableParagraph"/>
              <w:spacing w:before="133"/>
              <w:ind w:left="310" w:right="280" w:hanging="1"/>
              <w:rPr>
                <w:sz w:val="24"/>
              </w:rPr>
            </w:pPr>
            <w:r>
              <w:rPr>
                <w:sz w:val="24"/>
              </w:rPr>
              <w:t>This</w:t>
            </w:r>
            <w:r>
              <w:rPr>
                <w:spacing w:val="-8"/>
                <w:sz w:val="24"/>
              </w:rPr>
              <w:t> </w:t>
            </w:r>
            <w:r>
              <w:rPr>
                <w:sz w:val="24"/>
              </w:rPr>
              <w:t>will</w:t>
            </w:r>
            <w:r>
              <w:rPr>
                <w:spacing w:val="40"/>
                <w:sz w:val="24"/>
              </w:rPr>
              <w:t> </w:t>
            </w:r>
            <w:r>
              <w:rPr>
                <w:sz w:val="24"/>
              </w:rPr>
              <w:t>include</w:t>
            </w:r>
            <w:r>
              <w:rPr>
                <w:spacing w:val="40"/>
                <w:sz w:val="24"/>
              </w:rPr>
              <w:t> </w:t>
            </w:r>
            <w:r>
              <w:rPr>
                <w:sz w:val="24"/>
              </w:rPr>
              <w:t>pre-school and primary education.</w:t>
            </w:r>
          </w:p>
          <w:p>
            <w:pPr>
              <w:pStyle w:val="TableParagraph"/>
              <w:tabs>
                <w:tab w:pos="1016" w:val="left" w:leader="none"/>
                <w:tab w:pos="1989" w:val="left" w:leader="none"/>
              </w:tabs>
              <w:ind w:left="310" w:right="280"/>
              <w:rPr>
                <w:sz w:val="24"/>
              </w:rPr>
            </w:pPr>
            <w:r>
              <w:rPr>
                <w:sz w:val="24"/>
              </w:rPr>
              <w:t>This</w:t>
            </w:r>
            <w:r>
              <w:rPr>
                <w:spacing w:val="-8"/>
                <w:sz w:val="24"/>
              </w:rPr>
              <w:t> </w:t>
            </w:r>
            <w:r>
              <w:rPr>
                <w:sz w:val="24"/>
              </w:rPr>
              <w:t>will</w:t>
            </w:r>
            <w:r>
              <w:rPr>
                <w:spacing w:val="-8"/>
                <w:sz w:val="24"/>
              </w:rPr>
              <w:t> </w:t>
            </w:r>
            <w:r>
              <w:rPr>
                <w:sz w:val="24"/>
              </w:rPr>
              <w:t>include</w:t>
            </w:r>
            <w:r>
              <w:rPr>
                <w:spacing w:val="-8"/>
                <w:sz w:val="24"/>
              </w:rPr>
              <w:t> </w:t>
            </w:r>
            <w:r>
              <w:rPr>
                <w:sz w:val="24"/>
              </w:rPr>
              <w:t>high</w:t>
            </w:r>
            <w:r>
              <w:rPr>
                <w:spacing w:val="40"/>
                <w:sz w:val="24"/>
              </w:rPr>
              <w:t> </w:t>
            </w:r>
            <w:r>
              <w:rPr>
                <w:sz w:val="24"/>
              </w:rPr>
              <w:t>school </w:t>
            </w:r>
            <w:r>
              <w:rPr>
                <w:spacing w:val="-4"/>
                <w:sz w:val="24"/>
              </w:rPr>
              <w:t>and</w:t>
            </w:r>
            <w:r>
              <w:rPr>
                <w:sz w:val="24"/>
              </w:rPr>
              <w:tab/>
            </w:r>
            <w:r>
              <w:rPr>
                <w:spacing w:val="-2"/>
                <w:sz w:val="24"/>
              </w:rPr>
              <w:t>higher</w:t>
            </w:r>
            <w:r>
              <w:rPr>
                <w:sz w:val="24"/>
              </w:rPr>
              <w:tab/>
            </w:r>
            <w:r>
              <w:rPr>
                <w:spacing w:val="-2"/>
                <w:sz w:val="24"/>
              </w:rPr>
              <w:t>secondary education.</w:t>
            </w:r>
          </w:p>
          <w:p>
            <w:pPr>
              <w:pStyle w:val="TableParagraph"/>
              <w:spacing w:line="270" w:lineRule="atLeast"/>
              <w:ind w:left="310" w:right="47" w:hanging="1"/>
              <w:jc w:val="both"/>
              <w:rPr>
                <w:sz w:val="24"/>
              </w:rPr>
            </w:pPr>
            <w:r>
              <w:rPr>
                <w:sz w:val="24"/>
              </w:rPr>
              <w:t>This</w:t>
            </w:r>
            <w:r>
              <w:rPr>
                <w:spacing w:val="-2"/>
                <w:sz w:val="24"/>
              </w:rPr>
              <w:t> </w:t>
            </w:r>
            <w:r>
              <w:rPr>
                <w:sz w:val="24"/>
              </w:rPr>
              <w:t>will</w:t>
            </w:r>
            <w:r>
              <w:rPr>
                <w:spacing w:val="-2"/>
                <w:sz w:val="24"/>
              </w:rPr>
              <w:t> </w:t>
            </w:r>
            <w:r>
              <w:rPr>
                <w:sz w:val="24"/>
              </w:rPr>
              <w:t>include</w:t>
            </w:r>
            <w:r>
              <w:rPr>
                <w:spacing w:val="-2"/>
                <w:sz w:val="24"/>
              </w:rPr>
              <w:t> </w:t>
            </w:r>
            <w:r>
              <w:rPr>
                <w:sz w:val="24"/>
              </w:rPr>
              <w:t>undergraduate and</w:t>
            </w:r>
            <w:r>
              <w:rPr>
                <w:spacing w:val="-10"/>
                <w:sz w:val="24"/>
              </w:rPr>
              <w:t> </w:t>
            </w:r>
            <w:r>
              <w:rPr>
                <w:sz w:val="24"/>
              </w:rPr>
              <w:t>postgraduate</w:t>
            </w:r>
            <w:r>
              <w:rPr>
                <w:spacing w:val="-10"/>
                <w:sz w:val="24"/>
              </w:rPr>
              <w:t> </w:t>
            </w:r>
            <w:r>
              <w:rPr>
                <w:sz w:val="24"/>
              </w:rPr>
              <w:t>education</w:t>
            </w:r>
            <w:r>
              <w:rPr>
                <w:spacing w:val="40"/>
                <w:sz w:val="24"/>
              </w:rPr>
              <w:t> </w:t>
            </w:r>
            <w:r>
              <w:rPr>
                <w:sz w:val="24"/>
              </w:rPr>
              <w:t>and </w:t>
            </w:r>
            <w:r>
              <w:rPr>
                <w:spacing w:val="-2"/>
                <w:sz w:val="24"/>
              </w:rPr>
              <w:t>research.</w:t>
            </w:r>
          </w:p>
        </w:tc>
      </w:tr>
    </w:tbl>
    <w:p>
      <w:pPr>
        <w:pStyle w:val="BodyText"/>
        <w:spacing w:before="4"/>
        <w:rPr>
          <w:sz w:val="15"/>
        </w:rPr>
      </w:pPr>
      <w:r>
        <w:rPr/>
        <mc:AlternateContent>
          <mc:Choice Requires="wps">
            <w:drawing>
              <wp:anchor distT="0" distB="0" distL="0" distR="0" allowOverlap="1" layoutInCell="1" locked="0" behindDoc="1" simplePos="0" relativeHeight="487590912">
                <wp:simplePos x="0" y="0"/>
                <wp:positionH relativeFrom="page">
                  <wp:posOffset>1143000</wp:posOffset>
                </wp:positionH>
                <wp:positionV relativeFrom="paragraph">
                  <wp:posOffset>127308</wp:posOffset>
                </wp:positionV>
                <wp:extent cx="5486400" cy="1905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5486400" cy="19050"/>
                          <a:chExt cx="5486400" cy="19050"/>
                        </a:xfrm>
                      </wpg:grpSpPr>
                      <wps:wsp>
                        <wps:cNvPr id="48" name="Graphic 4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9" name="Graphic 49"/>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50" name="Graphic 50"/>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51" name="Graphic 51"/>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52" name="Graphic 52"/>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3" name="Graphic 53"/>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54" name="Graphic 54"/>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24267pt;width:432pt;height:1.5pt;mso-position-horizontal-relative:page;mso-position-vertical-relative:paragraph;z-index:-15725568;mso-wrap-distance-left:0;mso-wrap-distance-right:0" id="docshapegroup43" coordorigin="1800,200" coordsize="8640,30">
                <v:rect style="position:absolute;left:1800;top:200;width:8640;height:30" id="docshape44" filled="true" fillcolor="#808080" stroked="false">
                  <v:fill type="solid"/>
                </v:rect>
                <v:shape style="position:absolute;left:1800;top:200;width:8636;height:5" id="docshape45" coordorigin="1800,201" coordsize="8636,5" path="m10435,201l1805,201,1800,201,1800,205,1805,205,10435,205,10435,201xe" filled="true" fillcolor="#aca89a" stroked="false">
                  <v:path arrowok="t"/>
                  <v:fill type="solid"/>
                </v:shape>
                <v:rect style="position:absolute;left:10435;top:200;width:5;height:5" id="docshape46" filled="true" fillcolor="#f1efe2" stroked="false">
                  <v:fill type="solid"/>
                </v:rect>
                <v:shape style="position:absolute;left:1800;top:200;width:8640;height:26" id="docshape47" coordorigin="1800,201" coordsize="8640,26" path="m1805,205l1800,205,1800,226,1805,226,1805,205xm10440,201l10435,201,10435,205,10440,205,10440,201xe" filled="true" fillcolor="#aca89a" stroked="false">
                  <v:path arrowok="t"/>
                  <v:fill type="solid"/>
                </v:shape>
                <v:rect style="position:absolute;left:10435;top:205;width:5;height:21" id="docshape48" filled="true" fillcolor="#f1efe2" stroked="false">
                  <v:fill type="solid"/>
                </v:rect>
                <v:rect style="position:absolute;left:1800;top:225;width:5;height:5" id="docshape49" filled="true" fillcolor="#aca89a" stroked="false">
                  <v:fill type="solid"/>
                </v:rect>
                <v:shape style="position:absolute;left:1800;top:225;width:8640;height:5" id="docshape50" coordorigin="1800,226" coordsize="8640,5" path="m10440,226l10435,226,1800,226,1800,230,10435,230,10440,230,10440,226xe" filled="true" fillcolor="#f1efe2" stroked="false">
                  <v:path arrowok="t"/>
                  <v:fill type="solid"/>
                </v:shape>
                <w10:wrap type="topAndBottom"/>
              </v:group>
            </w:pict>
          </mc:Fallback>
        </mc:AlternateContent>
      </w:r>
    </w:p>
    <w:p>
      <w:pPr>
        <w:spacing w:after="0"/>
        <w:rPr>
          <w:sz w:val="15"/>
        </w:rPr>
        <w:sectPr>
          <w:pgSz w:w="12240" w:h="15840"/>
          <w:pgMar w:header="0" w:footer="743" w:top="1420" w:bottom="940" w:left="1640" w:right="1300"/>
        </w:sectPr>
      </w:pPr>
    </w:p>
    <w:p>
      <w:pPr>
        <w:pStyle w:val="Heading1"/>
        <w:spacing w:before="79"/>
        <w:ind w:left="3522" w:right="3860"/>
      </w:pPr>
      <w:bookmarkStart w:name="_TOC_250009" w:id="20"/>
      <w:bookmarkEnd w:id="20"/>
      <w:r>
        <w:rPr>
          <w:spacing w:val="-2"/>
        </w:rPr>
        <w:t>SUMMARY</w:t>
      </w:r>
    </w:p>
    <w:p>
      <w:pPr>
        <w:pStyle w:val="BodyText"/>
        <w:spacing w:before="2"/>
        <w:rPr>
          <w:b/>
        </w:rPr>
      </w:pPr>
    </w:p>
    <w:p>
      <w:pPr>
        <w:pStyle w:val="ListParagraph"/>
        <w:numPr>
          <w:ilvl w:val="0"/>
          <w:numId w:val="38"/>
        </w:numPr>
        <w:tabs>
          <w:tab w:pos="341" w:val="left" w:leader="none"/>
        </w:tabs>
        <w:spacing w:line="240" w:lineRule="auto" w:before="0" w:after="0"/>
        <w:ind w:left="160" w:right="494" w:firstLine="0"/>
        <w:jc w:val="both"/>
        <w:rPr>
          <w:sz w:val="24"/>
        </w:rPr>
      </w:pPr>
      <w:r>
        <w:rPr>
          <w:b/>
          <w:sz w:val="24"/>
        </w:rPr>
        <w:t>Structure</w:t>
      </w:r>
      <w:r>
        <w:rPr>
          <w:b/>
          <w:spacing w:val="-1"/>
          <w:sz w:val="24"/>
        </w:rPr>
        <w:t> </w:t>
      </w:r>
      <w:r>
        <w:rPr>
          <w:b/>
          <w:sz w:val="24"/>
        </w:rPr>
        <w:t>and</w:t>
      </w:r>
      <w:r>
        <w:rPr>
          <w:b/>
          <w:spacing w:val="-1"/>
          <w:sz w:val="24"/>
        </w:rPr>
        <w:t> </w:t>
      </w:r>
      <w:r>
        <w:rPr>
          <w:b/>
          <w:sz w:val="24"/>
        </w:rPr>
        <w:t>Duration. </w:t>
      </w:r>
      <w:r>
        <w:rPr>
          <w:sz w:val="24"/>
        </w:rPr>
        <w:t>(1)</w:t>
      </w:r>
      <w:r>
        <w:rPr>
          <w:spacing w:val="-2"/>
          <w:sz w:val="24"/>
        </w:rPr>
        <w:t> </w:t>
      </w:r>
      <w:r>
        <w:rPr>
          <w:sz w:val="24"/>
        </w:rPr>
        <w:t>The</w:t>
      </w:r>
      <w:r>
        <w:rPr>
          <w:spacing w:val="-2"/>
          <w:sz w:val="24"/>
        </w:rPr>
        <w:t> </w:t>
      </w:r>
      <w:r>
        <w:rPr>
          <w:sz w:val="24"/>
        </w:rPr>
        <w:t>standards</w:t>
      </w:r>
      <w:r>
        <w:rPr>
          <w:spacing w:val="-2"/>
          <w:sz w:val="24"/>
        </w:rPr>
        <w:t> </w:t>
      </w:r>
      <w:r>
        <w:rPr>
          <w:sz w:val="24"/>
        </w:rPr>
        <w:t>in</w:t>
      </w:r>
      <w:r>
        <w:rPr>
          <w:spacing w:val="-2"/>
          <w:sz w:val="24"/>
        </w:rPr>
        <w:t> </w:t>
      </w:r>
      <w:r>
        <w:rPr>
          <w:sz w:val="24"/>
        </w:rPr>
        <w:t>any</w:t>
      </w:r>
      <w:r>
        <w:rPr>
          <w:spacing w:val="-2"/>
          <w:sz w:val="24"/>
        </w:rPr>
        <w:t> </w:t>
      </w:r>
      <w:r>
        <w:rPr>
          <w:sz w:val="24"/>
        </w:rPr>
        <w:t>given</w:t>
      </w:r>
      <w:r>
        <w:rPr>
          <w:spacing w:val="-2"/>
          <w:sz w:val="24"/>
        </w:rPr>
        <w:t> </w:t>
      </w:r>
      <w:r>
        <w:rPr>
          <w:sz w:val="24"/>
        </w:rPr>
        <w:t>system</w:t>
      </w:r>
      <w:r>
        <w:rPr>
          <w:spacing w:val="-3"/>
          <w:sz w:val="24"/>
        </w:rPr>
        <w:t> </w:t>
      </w:r>
      <w:r>
        <w:rPr>
          <w:sz w:val="24"/>
        </w:rPr>
        <w:t>of</w:t>
      </w:r>
      <w:r>
        <w:rPr>
          <w:spacing w:val="-1"/>
          <w:sz w:val="24"/>
        </w:rPr>
        <w:t> </w:t>
      </w:r>
      <w:r>
        <w:rPr>
          <w:sz w:val="24"/>
        </w:rPr>
        <w:t>education</w:t>
      </w:r>
      <w:r>
        <w:rPr>
          <w:spacing w:val="-3"/>
          <w:sz w:val="24"/>
        </w:rPr>
        <w:t> </w:t>
      </w:r>
      <w:r>
        <w:rPr>
          <w:sz w:val="24"/>
        </w:rPr>
        <w:t>at</w:t>
      </w:r>
      <w:r>
        <w:rPr>
          <w:spacing w:val="-1"/>
          <w:sz w:val="24"/>
        </w:rPr>
        <w:t> </w:t>
      </w:r>
      <w:r>
        <w:rPr>
          <w:sz w:val="24"/>
        </w:rPr>
        <w:t>a</w:t>
      </w:r>
      <w:r>
        <w:rPr>
          <w:spacing w:val="-1"/>
          <w:sz w:val="24"/>
        </w:rPr>
        <w:t> </w:t>
      </w:r>
      <w:r>
        <w:rPr>
          <w:sz w:val="24"/>
        </w:rPr>
        <w:t>given time depend upon four essential elements: (a) the structure or the division of the educational pyramid into different levels or stages and their interrelationships; (b) the duration or total period covered by the different stages; (c) the quality of teachers, curricula, methods of teaching and evaluation, equipment and buildings; and (d) the utilization of available facilities. All these elements are interrelated, but they are not of equal significance.</w:t>
      </w:r>
    </w:p>
    <w:p>
      <w:pPr>
        <w:pStyle w:val="BodyText"/>
        <w:spacing w:before="4"/>
      </w:pPr>
    </w:p>
    <w:p>
      <w:pPr>
        <w:pStyle w:val="ListParagraph"/>
        <w:numPr>
          <w:ilvl w:val="0"/>
          <w:numId w:val="39"/>
        </w:numPr>
        <w:tabs>
          <w:tab w:pos="302" w:val="left" w:leader="none"/>
        </w:tabs>
        <w:spacing w:line="240" w:lineRule="auto" w:before="0" w:after="0"/>
        <w:ind w:left="160" w:right="498" w:firstLine="0"/>
        <w:jc w:val="both"/>
        <w:rPr>
          <w:sz w:val="24"/>
        </w:rPr>
      </w:pPr>
      <w:r>
        <w:rPr>
          <w:sz w:val="24"/>
        </w:rPr>
        <w:t>The structure which</w:t>
      </w:r>
      <w:r>
        <w:rPr>
          <w:spacing w:val="-1"/>
          <w:sz w:val="24"/>
        </w:rPr>
        <w:t> </w:t>
      </w:r>
      <w:r>
        <w:rPr>
          <w:sz w:val="24"/>
        </w:rPr>
        <w:t>may be regarded as the skeleton of the educational system, is of the least importance.</w:t>
      </w:r>
    </w:p>
    <w:p>
      <w:pPr>
        <w:pStyle w:val="BodyText"/>
        <w:spacing w:before="4"/>
      </w:pPr>
    </w:p>
    <w:p>
      <w:pPr>
        <w:pStyle w:val="ListParagraph"/>
        <w:numPr>
          <w:ilvl w:val="0"/>
          <w:numId w:val="39"/>
        </w:numPr>
        <w:tabs>
          <w:tab w:pos="317" w:val="left" w:leader="none"/>
        </w:tabs>
        <w:spacing w:line="240" w:lineRule="auto" w:before="0" w:after="0"/>
        <w:ind w:left="160" w:right="497" w:firstLine="0"/>
        <w:jc w:val="both"/>
        <w:rPr>
          <w:sz w:val="24"/>
        </w:rPr>
      </w:pPr>
      <w:r>
        <w:rPr>
          <w:sz w:val="24"/>
        </w:rPr>
        <w:t>The duration or total period of education plays a more significant role; but it becomes crucial only when the available facilities are utilized to the full and no further improvement can be expected without the addition of time.</w:t>
      </w:r>
    </w:p>
    <w:p>
      <w:pPr>
        <w:pStyle w:val="BodyText"/>
        <w:spacing w:before="3"/>
      </w:pPr>
    </w:p>
    <w:p>
      <w:pPr>
        <w:pStyle w:val="ListParagraph"/>
        <w:numPr>
          <w:ilvl w:val="0"/>
          <w:numId w:val="39"/>
        </w:numPr>
        <w:tabs>
          <w:tab w:pos="334" w:val="left" w:leader="none"/>
        </w:tabs>
        <w:spacing w:line="240" w:lineRule="auto" w:before="0" w:after="0"/>
        <w:ind w:left="160" w:right="496" w:firstLine="0"/>
        <w:jc w:val="both"/>
        <w:rPr>
          <w:sz w:val="24"/>
        </w:rPr>
      </w:pPr>
      <w:r>
        <w:rPr>
          <w:sz w:val="24"/>
        </w:rPr>
        <w:t>The quality of different inputs is even more important, and with an improvement in these, it is possible to raise the standards considerably without affecting the structure or increasing duration.</w:t>
      </w:r>
    </w:p>
    <w:p>
      <w:pPr>
        <w:pStyle w:val="BodyText"/>
        <w:spacing w:before="4"/>
      </w:pPr>
    </w:p>
    <w:p>
      <w:pPr>
        <w:pStyle w:val="ListParagraph"/>
        <w:numPr>
          <w:ilvl w:val="0"/>
          <w:numId w:val="39"/>
        </w:numPr>
        <w:tabs>
          <w:tab w:pos="361" w:val="left" w:leader="none"/>
        </w:tabs>
        <w:spacing w:line="240" w:lineRule="auto" w:before="0" w:after="0"/>
        <w:ind w:left="160" w:right="498" w:firstLine="0"/>
        <w:jc w:val="both"/>
        <w:rPr>
          <w:sz w:val="24"/>
        </w:rPr>
      </w:pPr>
      <w:r>
        <w:rPr>
          <w:sz w:val="24"/>
        </w:rPr>
        <w:t>But probably the most important is utilizing available facilities and obtaining the maximum return at the existing level of inputs.</w:t>
      </w:r>
    </w:p>
    <w:p>
      <w:pPr>
        <w:pStyle w:val="BodyText"/>
        <w:spacing w:before="5"/>
      </w:pPr>
    </w:p>
    <w:p>
      <w:pPr>
        <w:pStyle w:val="ListParagraph"/>
        <w:numPr>
          <w:ilvl w:val="0"/>
          <w:numId w:val="33"/>
        </w:numPr>
        <w:tabs>
          <w:tab w:pos="515" w:val="left" w:leader="none"/>
        </w:tabs>
        <w:spacing w:line="240" w:lineRule="auto" w:before="0" w:after="0"/>
        <w:ind w:left="160" w:right="496" w:firstLine="0"/>
        <w:jc w:val="both"/>
        <w:rPr>
          <w:sz w:val="24"/>
        </w:rPr>
      </w:pPr>
      <w:r>
        <w:rPr>
          <w:sz w:val="24"/>
        </w:rPr>
        <w:t>The immediate efforts on which attention should be concentrated at the school stage are two: increasing the intensity of utilization and improving the quality of inputs, other than time. With these, it is possible to add about a year of content to the school course. In addition, it is also necessary to increase the duration of the higher secondary stage to two years under a phased programme which will begin in the Fifth Plan and be completed by </w:t>
      </w:r>
      <w:r>
        <w:rPr>
          <w:spacing w:val="-2"/>
          <w:sz w:val="24"/>
        </w:rPr>
        <w:t>1985.</w:t>
      </w:r>
    </w:p>
    <w:p>
      <w:pPr>
        <w:pStyle w:val="BodyText"/>
        <w:spacing w:before="5"/>
      </w:pPr>
    </w:p>
    <w:p>
      <w:pPr>
        <w:pStyle w:val="ListParagraph"/>
        <w:numPr>
          <w:ilvl w:val="0"/>
          <w:numId w:val="33"/>
        </w:numPr>
        <w:tabs>
          <w:tab w:pos="498" w:val="left" w:leader="none"/>
        </w:tabs>
        <w:spacing w:line="240" w:lineRule="auto" w:before="0" w:after="0"/>
        <w:ind w:left="498" w:right="0" w:hanging="338"/>
        <w:jc w:val="both"/>
        <w:rPr>
          <w:sz w:val="24"/>
        </w:rPr>
      </w:pPr>
      <w:r>
        <w:rPr>
          <w:sz w:val="24"/>
        </w:rPr>
        <w:t>The</w:t>
      </w:r>
      <w:r>
        <w:rPr>
          <w:spacing w:val="-2"/>
          <w:sz w:val="24"/>
        </w:rPr>
        <w:t> </w:t>
      </w:r>
      <w:r>
        <w:rPr>
          <w:sz w:val="24"/>
        </w:rPr>
        <w:t>new</w:t>
      </w:r>
      <w:r>
        <w:rPr>
          <w:spacing w:val="-3"/>
          <w:sz w:val="24"/>
        </w:rPr>
        <w:t> </w:t>
      </w:r>
      <w:r>
        <w:rPr>
          <w:sz w:val="24"/>
        </w:rPr>
        <w:t>educational</w:t>
      </w:r>
      <w:r>
        <w:rPr>
          <w:spacing w:val="-1"/>
          <w:sz w:val="24"/>
        </w:rPr>
        <w:t> </w:t>
      </w:r>
      <w:r>
        <w:rPr>
          <w:sz w:val="24"/>
        </w:rPr>
        <w:t>structure</w:t>
      </w:r>
      <w:r>
        <w:rPr>
          <w:spacing w:val="-1"/>
          <w:sz w:val="24"/>
        </w:rPr>
        <w:t> </w:t>
      </w:r>
      <w:r>
        <w:rPr>
          <w:sz w:val="24"/>
        </w:rPr>
        <w:t>should</w:t>
      </w:r>
      <w:r>
        <w:rPr>
          <w:spacing w:val="-1"/>
          <w:sz w:val="24"/>
        </w:rPr>
        <w:t> </w:t>
      </w:r>
      <w:r>
        <w:rPr>
          <w:sz w:val="24"/>
        </w:rPr>
        <w:t>consist</w:t>
      </w:r>
      <w:r>
        <w:rPr>
          <w:spacing w:val="-1"/>
          <w:sz w:val="24"/>
        </w:rPr>
        <w:t> </w:t>
      </w:r>
      <w:r>
        <w:rPr>
          <w:spacing w:val="-5"/>
          <w:sz w:val="24"/>
        </w:rPr>
        <w:t>of</w:t>
      </w:r>
    </w:p>
    <w:p>
      <w:pPr>
        <w:pStyle w:val="BodyText"/>
        <w:spacing w:before="3"/>
      </w:pPr>
    </w:p>
    <w:p>
      <w:pPr>
        <w:pStyle w:val="ListParagraph"/>
        <w:numPr>
          <w:ilvl w:val="1"/>
          <w:numId w:val="33"/>
        </w:numPr>
        <w:tabs>
          <w:tab w:pos="298" w:val="left" w:leader="none"/>
        </w:tabs>
        <w:spacing w:line="240" w:lineRule="auto" w:before="1" w:after="0"/>
        <w:ind w:left="298" w:right="0" w:hanging="138"/>
        <w:jc w:val="both"/>
        <w:rPr>
          <w:sz w:val="24"/>
        </w:rPr>
      </w:pPr>
      <w:r>
        <w:rPr>
          <w:sz w:val="24"/>
        </w:rPr>
        <w:t>one</w:t>
      </w:r>
      <w:r>
        <w:rPr>
          <w:spacing w:val="-1"/>
          <w:sz w:val="24"/>
        </w:rPr>
        <w:t> </w:t>
      </w:r>
      <w:r>
        <w:rPr>
          <w:sz w:val="24"/>
        </w:rPr>
        <w:t>to</w:t>
      </w:r>
      <w:r>
        <w:rPr>
          <w:spacing w:val="-1"/>
          <w:sz w:val="24"/>
        </w:rPr>
        <w:t> </w:t>
      </w:r>
      <w:r>
        <w:rPr>
          <w:sz w:val="24"/>
        </w:rPr>
        <w:t>three</w:t>
      </w:r>
      <w:r>
        <w:rPr>
          <w:spacing w:val="-1"/>
          <w:sz w:val="24"/>
        </w:rPr>
        <w:t> </w:t>
      </w:r>
      <w:r>
        <w:rPr>
          <w:sz w:val="24"/>
        </w:rPr>
        <w:t>years</w:t>
      </w:r>
      <w:r>
        <w:rPr>
          <w:spacing w:val="-1"/>
          <w:sz w:val="24"/>
        </w:rPr>
        <w:t> </w:t>
      </w:r>
      <w:r>
        <w:rPr>
          <w:sz w:val="24"/>
        </w:rPr>
        <w:t>of pre-school</w:t>
      </w:r>
      <w:r>
        <w:rPr>
          <w:spacing w:val="-1"/>
          <w:sz w:val="24"/>
        </w:rPr>
        <w:t> </w:t>
      </w:r>
      <w:r>
        <w:rPr>
          <w:spacing w:val="-2"/>
          <w:sz w:val="24"/>
        </w:rPr>
        <w:t>education;</w:t>
      </w:r>
    </w:p>
    <w:p>
      <w:pPr>
        <w:pStyle w:val="BodyText"/>
        <w:spacing w:before="2"/>
      </w:pPr>
    </w:p>
    <w:p>
      <w:pPr>
        <w:pStyle w:val="ListParagraph"/>
        <w:numPr>
          <w:ilvl w:val="1"/>
          <w:numId w:val="33"/>
        </w:numPr>
        <w:tabs>
          <w:tab w:pos="305" w:val="left" w:leader="none"/>
        </w:tabs>
        <w:spacing w:line="240" w:lineRule="auto" w:before="0" w:after="0"/>
        <w:ind w:left="160" w:right="497" w:firstLine="0"/>
        <w:jc w:val="both"/>
        <w:rPr>
          <w:sz w:val="24"/>
        </w:rPr>
      </w:pPr>
      <w:r>
        <w:rPr>
          <w:sz w:val="24"/>
        </w:rPr>
        <w:t>a ten-year period of general education which may be subdivided into a primary stage of 7 to 8 years (a lower primary stage of 4 or 5 years and a higher primary stage of 3 or 2 years) and lower secondary stage of 3 or 2 years of general education or one to three</w:t>
      </w:r>
      <w:r>
        <w:rPr>
          <w:spacing w:val="40"/>
          <w:sz w:val="24"/>
        </w:rPr>
        <w:t> </w:t>
      </w:r>
      <w:r>
        <w:rPr>
          <w:sz w:val="24"/>
        </w:rPr>
        <w:t>years of vocational education (the enrolment in vocational courses being raised to 20 per cent of the total);</w:t>
      </w:r>
    </w:p>
    <w:p>
      <w:pPr>
        <w:pStyle w:val="BodyText"/>
        <w:spacing w:before="5"/>
      </w:pPr>
    </w:p>
    <w:p>
      <w:pPr>
        <w:pStyle w:val="ListParagraph"/>
        <w:numPr>
          <w:ilvl w:val="1"/>
          <w:numId w:val="33"/>
        </w:numPr>
        <w:tabs>
          <w:tab w:pos="335" w:val="left" w:leader="none"/>
        </w:tabs>
        <w:spacing w:line="240" w:lineRule="auto" w:before="0" w:after="0"/>
        <w:ind w:left="160" w:right="496" w:firstLine="0"/>
        <w:jc w:val="both"/>
        <w:rPr>
          <w:sz w:val="24"/>
        </w:rPr>
      </w:pPr>
      <w:r>
        <w:rPr>
          <w:sz w:val="24"/>
        </w:rPr>
        <w:t>a higher secondary stage of two years of general education or one to three years of vocational</w:t>
      </w:r>
      <w:r>
        <w:rPr>
          <w:spacing w:val="-1"/>
          <w:sz w:val="24"/>
        </w:rPr>
        <w:t> </w:t>
      </w:r>
      <w:r>
        <w:rPr>
          <w:sz w:val="24"/>
        </w:rPr>
        <w:t>education</w:t>
      </w:r>
      <w:r>
        <w:rPr>
          <w:spacing w:val="-2"/>
          <w:sz w:val="24"/>
        </w:rPr>
        <w:t> </w:t>
      </w:r>
      <w:r>
        <w:rPr>
          <w:sz w:val="24"/>
        </w:rPr>
        <w:t>(the</w:t>
      </w:r>
      <w:r>
        <w:rPr>
          <w:spacing w:val="-1"/>
          <w:sz w:val="24"/>
        </w:rPr>
        <w:t> </w:t>
      </w:r>
      <w:r>
        <w:rPr>
          <w:sz w:val="24"/>
        </w:rPr>
        <w:t>enrolment</w:t>
      </w:r>
      <w:r>
        <w:rPr>
          <w:spacing w:val="-2"/>
          <w:sz w:val="24"/>
        </w:rPr>
        <w:t> </w:t>
      </w:r>
      <w:r>
        <w:rPr>
          <w:sz w:val="24"/>
        </w:rPr>
        <w:t>in</w:t>
      </w:r>
      <w:r>
        <w:rPr>
          <w:spacing w:val="-1"/>
          <w:sz w:val="24"/>
        </w:rPr>
        <w:t> </w:t>
      </w:r>
      <w:r>
        <w:rPr>
          <w:sz w:val="24"/>
        </w:rPr>
        <w:t>vocational</w:t>
      </w:r>
      <w:r>
        <w:rPr>
          <w:spacing w:val="-2"/>
          <w:sz w:val="24"/>
        </w:rPr>
        <w:t> </w:t>
      </w:r>
      <w:r>
        <w:rPr>
          <w:sz w:val="24"/>
        </w:rPr>
        <w:t>education</w:t>
      </w:r>
      <w:r>
        <w:rPr>
          <w:spacing w:val="-1"/>
          <w:sz w:val="24"/>
        </w:rPr>
        <w:t> </w:t>
      </w:r>
      <w:r>
        <w:rPr>
          <w:sz w:val="24"/>
        </w:rPr>
        <w:t>being</w:t>
      </w:r>
      <w:r>
        <w:rPr>
          <w:spacing w:val="-2"/>
          <w:sz w:val="24"/>
        </w:rPr>
        <w:t> </w:t>
      </w:r>
      <w:r>
        <w:rPr>
          <w:sz w:val="24"/>
        </w:rPr>
        <w:t>raised</w:t>
      </w:r>
      <w:r>
        <w:rPr>
          <w:spacing w:val="-1"/>
          <w:sz w:val="24"/>
        </w:rPr>
        <w:t> </w:t>
      </w:r>
      <w:r>
        <w:rPr>
          <w:sz w:val="24"/>
        </w:rPr>
        <w:t>to</w:t>
      </w:r>
      <w:r>
        <w:rPr>
          <w:spacing w:val="-2"/>
          <w:sz w:val="24"/>
        </w:rPr>
        <w:t> </w:t>
      </w:r>
      <w:r>
        <w:rPr>
          <w:sz w:val="24"/>
        </w:rPr>
        <w:t>50</w:t>
      </w:r>
      <w:r>
        <w:rPr>
          <w:spacing w:val="-1"/>
          <w:sz w:val="24"/>
        </w:rPr>
        <w:t> </w:t>
      </w:r>
      <w:r>
        <w:rPr>
          <w:sz w:val="24"/>
        </w:rPr>
        <w:t>per</w:t>
      </w:r>
      <w:r>
        <w:rPr>
          <w:spacing w:val="-2"/>
          <w:sz w:val="24"/>
        </w:rPr>
        <w:t> </w:t>
      </w:r>
      <w:r>
        <w:rPr>
          <w:sz w:val="24"/>
        </w:rPr>
        <w:t>cent</w:t>
      </w:r>
      <w:r>
        <w:rPr>
          <w:spacing w:val="-1"/>
          <w:sz w:val="24"/>
        </w:rPr>
        <w:t> </w:t>
      </w:r>
      <w:r>
        <w:rPr>
          <w:sz w:val="24"/>
        </w:rPr>
        <w:t>of the total);</w:t>
      </w:r>
    </w:p>
    <w:p>
      <w:pPr>
        <w:spacing w:after="0" w:line="240" w:lineRule="auto"/>
        <w:jc w:val="both"/>
        <w:rPr>
          <w:sz w:val="24"/>
        </w:rPr>
        <w:sectPr>
          <w:pgSz w:w="12240" w:h="15840"/>
          <w:pgMar w:header="0" w:footer="743" w:top="1360" w:bottom="940" w:left="1640" w:right="1300"/>
        </w:sectPr>
      </w:pPr>
    </w:p>
    <w:p>
      <w:pPr>
        <w:pStyle w:val="ListParagraph"/>
        <w:numPr>
          <w:ilvl w:val="1"/>
          <w:numId w:val="33"/>
        </w:numPr>
        <w:tabs>
          <w:tab w:pos="309" w:val="left" w:leader="none"/>
        </w:tabs>
        <w:spacing w:line="240" w:lineRule="auto" w:before="76" w:after="0"/>
        <w:ind w:left="160" w:right="497" w:firstLine="0"/>
        <w:jc w:val="both"/>
        <w:rPr>
          <w:sz w:val="24"/>
        </w:rPr>
      </w:pPr>
      <w:r>
        <w:rPr>
          <w:sz w:val="24"/>
        </w:rPr>
        <w:t>a higher education stage having a course of three years or more for the first degree and followed by courses of varying duration for the second or research degrees.</w:t>
      </w:r>
    </w:p>
    <w:p>
      <w:pPr>
        <w:pStyle w:val="BodyText"/>
        <w:spacing w:before="5"/>
      </w:pPr>
    </w:p>
    <w:p>
      <w:pPr>
        <w:pStyle w:val="ListParagraph"/>
        <w:numPr>
          <w:ilvl w:val="0"/>
          <w:numId w:val="33"/>
        </w:numPr>
        <w:tabs>
          <w:tab w:pos="499" w:val="left" w:leader="none"/>
        </w:tabs>
        <w:spacing w:line="240" w:lineRule="auto" w:before="0" w:after="0"/>
        <w:ind w:left="499" w:right="0" w:hanging="339"/>
        <w:jc w:val="both"/>
        <w:rPr>
          <w:sz w:val="24"/>
        </w:rPr>
      </w:pPr>
      <w:r>
        <w:rPr>
          <w:sz w:val="24"/>
        </w:rPr>
        <w:t>The</w:t>
      </w:r>
      <w:r>
        <w:rPr>
          <w:spacing w:val="-1"/>
          <w:sz w:val="24"/>
        </w:rPr>
        <w:t> </w:t>
      </w:r>
      <w:r>
        <w:rPr>
          <w:sz w:val="24"/>
        </w:rPr>
        <w:t>age of admission to</w:t>
      </w:r>
      <w:r>
        <w:rPr>
          <w:spacing w:val="-1"/>
          <w:sz w:val="24"/>
        </w:rPr>
        <w:t> </w:t>
      </w:r>
      <w:r>
        <w:rPr>
          <w:sz w:val="24"/>
        </w:rPr>
        <w:t>class I should ordinarily</w:t>
      </w:r>
      <w:r>
        <w:rPr>
          <w:spacing w:val="-1"/>
          <w:sz w:val="24"/>
        </w:rPr>
        <w:t> </w:t>
      </w:r>
      <w:r>
        <w:rPr>
          <w:sz w:val="24"/>
        </w:rPr>
        <w:t>be not less than </w:t>
      </w:r>
      <w:r>
        <w:rPr>
          <w:spacing w:val="-5"/>
          <w:sz w:val="24"/>
        </w:rPr>
        <w:t>6+.</w:t>
      </w:r>
    </w:p>
    <w:p>
      <w:pPr>
        <w:pStyle w:val="BodyText"/>
        <w:spacing w:before="4"/>
      </w:pPr>
    </w:p>
    <w:p>
      <w:pPr>
        <w:pStyle w:val="ListParagraph"/>
        <w:numPr>
          <w:ilvl w:val="0"/>
          <w:numId w:val="33"/>
        </w:numPr>
        <w:tabs>
          <w:tab w:pos="513" w:val="left" w:leader="none"/>
        </w:tabs>
        <w:spacing w:line="240" w:lineRule="auto" w:before="0" w:after="0"/>
        <w:ind w:left="160" w:right="497" w:firstLine="0"/>
        <w:jc w:val="both"/>
        <w:rPr>
          <w:sz w:val="24"/>
        </w:rPr>
      </w:pPr>
      <w:r>
        <w:rPr>
          <w:sz w:val="24"/>
        </w:rPr>
        <w:t>The first public external examination should come at the end of the first ten years of </w:t>
      </w:r>
      <w:r>
        <w:rPr>
          <w:spacing w:val="-2"/>
          <w:sz w:val="24"/>
        </w:rPr>
        <w:t>schooling.</w:t>
      </w:r>
    </w:p>
    <w:p>
      <w:pPr>
        <w:pStyle w:val="BodyText"/>
        <w:spacing w:before="3"/>
      </w:pPr>
    </w:p>
    <w:p>
      <w:pPr>
        <w:pStyle w:val="ListParagraph"/>
        <w:numPr>
          <w:ilvl w:val="0"/>
          <w:numId w:val="33"/>
        </w:numPr>
        <w:tabs>
          <w:tab w:pos="537" w:val="left" w:leader="none"/>
        </w:tabs>
        <w:spacing w:line="240" w:lineRule="auto" w:before="1" w:after="0"/>
        <w:ind w:left="160" w:right="496" w:firstLine="0"/>
        <w:jc w:val="both"/>
        <w:rPr>
          <w:sz w:val="24"/>
        </w:rPr>
      </w:pPr>
      <w:r>
        <w:rPr>
          <w:sz w:val="24"/>
        </w:rPr>
        <w:t>The system of streaming in schools of general education from class IX should be abandoned and no attempt at specialization made until beyond class X.</w:t>
      </w:r>
    </w:p>
    <w:p>
      <w:pPr>
        <w:pStyle w:val="BodyText"/>
        <w:spacing w:before="3"/>
      </w:pPr>
    </w:p>
    <w:p>
      <w:pPr>
        <w:pStyle w:val="ListParagraph"/>
        <w:numPr>
          <w:ilvl w:val="0"/>
          <w:numId w:val="33"/>
        </w:numPr>
        <w:tabs>
          <w:tab w:pos="523" w:val="left" w:leader="none"/>
        </w:tabs>
        <w:spacing w:line="240" w:lineRule="auto" w:before="0" w:after="0"/>
        <w:ind w:left="160" w:right="498" w:firstLine="0"/>
        <w:jc w:val="both"/>
        <w:rPr>
          <w:sz w:val="24"/>
        </w:rPr>
      </w:pPr>
      <w:r>
        <w:rPr>
          <w:sz w:val="24"/>
        </w:rPr>
        <w:t>Secondary schools should be of two types-high schools providing a ten-year course and higher secondary schools providing a course of 11 or 12 years.</w:t>
      </w:r>
    </w:p>
    <w:p>
      <w:pPr>
        <w:pStyle w:val="BodyText"/>
        <w:spacing w:before="4"/>
      </w:pPr>
    </w:p>
    <w:p>
      <w:pPr>
        <w:pStyle w:val="ListParagraph"/>
        <w:numPr>
          <w:ilvl w:val="0"/>
          <w:numId w:val="33"/>
        </w:numPr>
        <w:tabs>
          <w:tab w:pos="513" w:val="left" w:leader="none"/>
        </w:tabs>
        <w:spacing w:line="240" w:lineRule="auto" w:before="0" w:after="0"/>
        <w:ind w:left="160" w:right="496" w:firstLine="0"/>
        <w:jc w:val="both"/>
        <w:rPr>
          <w:sz w:val="24"/>
        </w:rPr>
      </w:pPr>
      <w:r>
        <w:rPr>
          <w:sz w:val="24"/>
        </w:rPr>
        <w:t>Attempts to upgrade every secondary school to the higher secondary stage should be abandoned. Only the bigger and more efficient schools-about one-fourth of the total number-should be upgraded. The status of the existing higher secondary schools should be</w:t>
      </w:r>
      <w:r>
        <w:rPr>
          <w:spacing w:val="-2"/>
          <w:sz w:val="24"/>
        </w:rPr>
        <w:t> </w:t>
      </w:r>
      <w:r>
        <w:rPr>
          <w:sz w:val="24"/>
        </w:rPr>
        <w:t>reviewed</w:t>
      </w:r>
      <w:r>
        <w:rPr>
          <w:spacing w:val="-2"/>
          <w:sz w:val="24"/>
        </w:rPr>
        <w:t> </w:t>
      </w:r>
      <w:r>
        <w:rPr>
          <w:sz w:val="24"/>
        </w:rPr>
        <w:t>from</w:t>
      </w:r>
      <w:r>
        <w:rPr>
          <w:spacing w:val="-5"/>
          <w:sz w:val="24"/>
        </w:rPr>
        <w:t> </w:t>
      </w:r>
      <w:r>
        <w:rPr>
          <w:sz w:val="24"/>
        </w:rPr>
        <w:t>this</w:t>
      </w:r>
      <w:r>
        <w:rPr>
          <w:spacing w:val="-2"/>
          <w:sz w:val="24"/>
        </w:rPr>
        <w:t> </w:t>
      </w:r>
      <w:r>
        <w:rPr>
          <w:sz w:val="24"/>
        </w:rPr>
        <w:t>point</w:t>
      </w:r>
      <w:r>
        <w:rPr>
          <w:spacing w:val="-2"/>
          <w:sz w:val="24"/>
        </w:rPr>
        <w:t> </w:t>
      </w:r>
      <w:r>
        <w:rPr>
          <w:sz w:val="24"/>
        </w:rPr>
        <w:t>of</w:t>
      </w:r>
      <w:r>
        <w:rPr>
          <w:spacing w:val="-2"/>
          <w:sz w:val="24"/>
        </w:rPr>
        <w:t> </w:t>
      </w:r>
      <w:r>
        <w:rPr>
          <w:sz w:val="24"/>
        </w:rPr>
        <w:t>view</w:t>
      </w:r>
      <w:r>
        <w:rPr>
          <w:spacing w:val="-2"/>
          <w:sz w:val="24"/>
        </w:rPr>
        <w:t> </w:t>
      </w:r>
      <w:r>
        <w:rPr>
          <w:sz w:val="24"/>
        </w:rPr>
        <w:t>and,</w:t>
      </w:r>
      <w:r>
        <w:rPr>
          <w:spacing w:val="-2"/>
          <w:sz w:val="24"/>
        </w:rPr>
        <w:t> </w:t>
      </w:r>
      <w:r>
        <w:rPr>
          <w:sz w:val="24"/>
        </w:rPr>
        <w:t>if</w:t>
      </w:r>
      <w:r>
        <w:rPr>
          <w:spacing w:val="-3"/>
          <w:sz w:val="24"/>
        </w:rPr>
        <w:t> </w:t>
      </w:r>
      <w:r>
        <w:rPr>
          <w:sz w:val="24"/>
        </w:rPr>
        <w:t>necessary,</w:t>
      </w:r>
      <w:r>
        <w:rPr>
          <w:spacing w:val="-3"/>
          <w:sz w:val="24"/>
        </w:rPr>
        <w:t> </w:t>
      </w:r>
      <w:r>
        <w:rPr>
          <w:sz w:val="24"/>
        </w:rPr>
        <w:t>those</w:t>
      </w:r>
      <w:r>
        <w:rPr>
          <w:spacing w:val="-3"/>
          <w:sz w:val="24"/>
        </w:rPr>
        <w:t> </w:t>
      </w:r>
      <w:r>
        <w:rPr>
          <w:sz w:val="24"/>
        </w:rPr>
        <w:t>that</w:t>
      </w:r>
      <w:r>
        <w:rPr>
          <w:spacing w:val="-3"/>
          <w:sz w:val="24"/>
        </w:rPr>
        <w:t> </w:t>
      </w:r>
      <w:r>
        <w:rPr>
          <w:sz w:val="24"/>
        </w:rPr>
        <w:t>do</w:t>
      </w:r>
      <w:r>
        <w:rPr>
          <w:spacing w:val="-3"/>
          <w:sz w:val="24"/>
        </w:rPr>
        <w:t> </w:t>
      </w:r>
      <w:r>
        <w:rPr>
          <w:sz w:val="24"/>
        </w:rPr>
        <w:t>not</w:t>
      </w:r>
      <w:r>
        <w:rPr>
          <w:spacing w:val="-3"/>
          <w:sz w:val="24"/>
        </w:rPr>
        <w:t> </w:t>
      </w:r>
      <w:r>
        <w:rPr>
          <w:sz w:val="24"/>
        </w:rPr>
        <w:t>deserve</w:t>
      </w:r>
      <w:r>
        <w:rPr>
          <w:spacing w:val="-3"/>
          <w:sz w:val="24"/>
        </w:rPr>
        <w:t> </w:t>
      </w:r>
      <w:r>
        <w:rPr>
          <w:sz w:val="24"/>
        </w:rPr>
        <w:t>the</w:t>
      </w:r>
      <w:r>
        <w:rPr>
          <w:spacing w:val="-3"/>
          <w:sz w:val="24"/>
        </w:rPr>
        <w:t> </w:t>
      </w:r>
      <w:r>
        <w:rPr>
          <w:sz w:val="24"/>
        </w:rPr>
        <w:t>higher secondary status should be downgraded.</w:t>
      </w:r>
    </w:p>
    <w:p>
      <w:pPr>
        <w:pStyle w:val="BodyText"/>
        <w:spacing w:before="5"/>
      </w:pPr>
    </w:p>
    <w:p>
      <w:pPr>
        <w:pStyle w:val="ListParagraph"/>
        <w:numPr>
          <w:ilvl w:val="0"/>
          <w:numId w:val="33"/>
        </w:numPr>
        <w:tabs>
          <w:tab w:pos="519" w:val="left" w:leader="none"/>
        </w:tabs>
        <w:spacing w:line="240" w:lineRule="auto" w:before="0" w:after="0"/>
        <w:ind w:left="160" w:right="497" w:firstLine="0"/>
        <w:jc w:val="both"/>
        <w:rPr>
          <w:sz w:val="24"/>
        </w:rPr>
      </w:pPr>
      <w:r>
        <w:rPr>
          <w:sz w:val="24"/>
        </w:rPr>
        <w:t>A new higher secondary course, beginning in class XI, should be instituted. Classes XI and XII (and, during the transitional period, class XI only) should provide specialized studies in different, subjects. Where, however, existing higher secondary schools with integrated course in classes IX, X and XI are running satisfactorily, the arrangement may continue until class XII is added. 2.01-21</w:t>
      </w:r>
    </w:p>
    <w:p>
      <w:pPr>
        <w:pStyle w:val="BodyText"/>
        <w:spacing w:before="3"/>
      </w:pPr>
    </w:p>
    <w:p>
      <w:pPr>
        <w:pStyle w:val="ListParagraph"/>
        <w:numPr>
          <w:ilvl w:val="0"/>
          <w:numId w:val="38"/>
        </w:numPr>
        <w:tabs>
          <w:tab w:pos="398" w:val="left" w:leader="none"/>
        </w:tabs>
        <w:spacing w:line="240" w:lineRule="auto" w:before="1" w:after="0"/>
        <w:ind w:left="160" w:right="497" w:firstLine="0"/>
        <w:jc w:val="both"/>
        <w:rPr>
          <w:sz w:val="24"/>
        </w:rPr>
      </w:pPr>
      <w:r>
        <w:rPr>
          <w:b/>
          <w:sz w:val="24"/>
        </w:rPr>
        <w:t>Transfer of the Pre-University Course. </w:t>
      </w:r>
      <w:r>
        <w:rPr>
          <w:sz w:val="24"/>
        </w:rPr>
        <w:t>(1) The pre-university course should be transferred from the universities and affiliated colleges to secondary schools by 1975-76, and the duration of the course should be lengthened to two years by 1985-86.</w:t>
      </w:r>
    </w:p>
    <w:p>
      <w:pPr>
        <w:pStyle w:val="BodyText"/>
        <w:spacing w:before="3"/>
      </w:pPr>
    </w:p>
    <w:p>
      <w:pPr>
        <w:pStyle w:val="ListParagraph"/>
        <w:numPr>
          <w:ilvl w:val="0"/>
          <w:numId w:val="40"/>
        </w:numPr>
        <w:tabs>
          <w:tab w:pos="544" w:val="left" w:leader="none"/>
        </w:tabs>
        <w:spacing w:line="240" w:lineRule="auto" w:before="0" w:after="0"/>
        <w:ind w:left="160" w:right="500" w:firstLine="0"/>
        <w:jc w:val="both"/>
        <w:rPr>
          <w:sz w:val="24"/>
        </w:rPr>
      </w:pPr>
      <w:r>
        <w:rPr>
          <w:sz w:val="24"/>
        </w:rPr>
        <w:t>The UGC should be responsible for effecting the transfer of all pre-university or intermediate work from university and affiliated colleges to schools.</w:t>
      </w:r>
    </w:p>
    <w:p>
      <w:pPr>
        <w:pStyle w:val="BodyText"/>
        <w:spacing w:before="5"/>
      </w:pPr>
    </w:p>
    <w:p>
      <w:pPr>
        <w:pStyle w:val="ListParagraph"/>
        <w:numPr>
          <w:ilvl w:val="0"/>
          <w:numId w:val="40"/>
        </w:numPr>
        <w:tabs>
          <w:tab w:pos="502" w:val="left" w:leader="none"/>
        </w:tabs>
        <w:spacing w:line="240" w:lineRule="auto" w:before="0" w:after="0"/>
        <w:ind w:left="160" w:right="497" w:firstLine="0"/>
        <w:jc w:val="both"/>
        <w:rPr>
          <w:sz w:val="24"/>
        </w:rPr>
      </w:pPr>
      <w:r>
        <w:rPr>
          <w:sz w:val="24"/>
        </w:rPr>
        <w:t>Simultaneously higher secondary class or classes should be started</w:t>
      </w:r>
      <w:r>
        <w:rPr>
          <w:spacing w:val="-1"/>
          <w:sz w:val="24"/>
        </w:rPr>
        <w:t> </w:t>
      </w:r>
      <w:r>
        <w:rPr>
          <w:sz w:val="24"/>
        </w:rPr>
        <w:t>in selected schools by State Education Departments, as self- contained units, and assisted with </w:t>
      </w:r>
      <w:r>
        <w:rPr>
          <w:sz w:val="24"/>
        </w:rPr>
        <w:t>adequate recurring grants.</w:t>
      </w:r>
    </w:p>
    <w:p>
      <w:pPr>
        <w:pStyle w:val="BodyText"/>
        <w:spacing w:before="4"/>
      </w:pPr>
    </w:p>
    <w:p>
      <w:pPr>
        <w:pStyle w:val="ListParagraph"/>
        <w:numPr>
          <w:ilvl w:val="0"/>
          <w:numId w:val="40"/>
        </w:numPr>
        <w:tabs>
          <w:tab w:pos="528" w:val="left" w:leader="none"/>
        </w:tabs>
        <w:spacing w:line="240" w:lineRule="auto" w:before="0" w:after="0"/>
        <w:ind w:left="160" w:right="497" w:firstLine="0"/>
        <w:jc w:val="both"/>
        <w:rPr>
          <w:sz w:val="24"/>
        </w:rPr>
      </w:pPr>
      <w:r>
        <w:rPr>
          <w:sz w:val="24"/>
        </w:rPr>
        <w:t>Boards of Secondary Education should be reconstituted to accept the responsibility</w:t>
      </w:r>
      <w:r>
        <w:rPr>
          <w:spacing w:val="40"/>
          <w:sz w:val="24"/>
        </w:rPr>
        <w:t> </w:t>
      </w:r>
      <w:r>
        <w:rPr>
          <w:sz w:val="24"/>
        </w:rPr>
        <w:t>for the higher secondary stage also. 2.22-24</w:t>
      </w:r>
    </w:p>
    <w:p>
      <w:pPr>
        <w:pStyle w:val="BodyText"/>
        <w:spacing w:before="3"/>
      </w:pPr>
    </w:p>
    <w:p>
      <w:pPr>
        <w:pStyle w:val="ListParagraph"/>
        <w:numPr>
          <w:ilvl w:val="0"/>
          <w:numId w:val="38"/>
        </w:numPr>
        <w:tabs>
          <w:tab w:pos="367" w:val="left" w:leader="none"/>
        </w:tabs>
        <w:spacing w:line="240" w:lineRule="auto" w:before="1" w:after="0"/>
        <w:ind w:left="160" w:right="498" w:firstLine="0"/>
        <w:jc w:val="both"/>
        <w:rPr>
          <w:sz w:val="24"/>
        </w:rPr>
      </w:pPr>
      <w:r>
        <w:rPr>
          <w:b/>
          <w:sz w:val="24"/>
        </w:rPr>
        <w:t>Lengthening the Duration of the Higher Secondary Stage. </w:t>
      </w:r>
      <w:r>
        <w:rPr>
          <w:sz w:val="24"/>
        </w:rPr>
        <w:t>(1) In the Fourth Plan, efforts should be concentrated on securing a better utilization of existing facilities, on making the necessary preparation for implementing the programme and on lengthening the duration of the course in a few selected institutions as pilot projects.</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(2) The programme of lengthening the duration of the higher secondary stage should begin in the Fifth Plan and be completed by the end of the Seventh Plan. 2.25-29</w:t>
      </w:r>
    </w:p>
    <w:p>
      <w:pPr>
        <w:pStyle w:val="BodyText"/>
        <w:spacing w:before="4"/>
      </w:pPr>
    </w:p>
    <w:p>
      <w:pPr>
        <w:pStyle w:val="ListParagraph"/>
        <w:numPr>
          <w:ilvl w:val="0"/>
          <w:numId w:val="38"/>
        </w:numPr>
        <w:tabs>
          <w:tab w:pos="365" w:val="left" w:leader="none"/>
        </w:tabs>
        <w:spacing w:line="240" w:lineRule="auto" w:before="0" w:after="0"/>
        <w:ind w:left="159" w:right="497" w:firstLine="0"/>
        <w:jc w:val="left"/>
        <w:rPr>
          <w:sz w:val="24"/>
        </w:rPr>
      </w:pPr>
      <w:r>
        <w:rPr>
          <w:b/>
          <w:sz w:val="24"/>
        </w:rPr>
        <w:t>Reorganization of the University Stage</w:t>
      </w:r>
      <w:r>
        <w:rPr>
          <w:sz w:val="24"/>
        </w:rPr>
        <w:t>. (1) The duration of the first degree should</w:t>
      </w:r>
      <w:r>
        <w:rPr>
          <w:spacing w:val="80"/>
          <w:w w:val="150"/>
          <w:sz w:val="24"/>
        </w:rPr>
        <w:t> </w:t>
      </w:r>
      <w:r>
        <w:rPr>
          <w:sz w:val="24"/>
        </w:rPr>
        <w:t>not be less than three years. The duration of the second degree may be 2 to 3 years.</w:t>
      </w:r>
    </w:p>
    <w:p>
      <w:pPr>
        <w:pStyle w:val="BodyText"/>
        <w:spacing w:before="5"/>
      </w:pPr>
    </w:p>
    <w:p>
      <w:pPr>
        <w:pStyle w:val="ListParagraph"/>
        <w:numPr>
          <w:ilvl w:val="0"/>
          <w:numId w:val="41"/>
        </w:numPr>
        <w:tabs>
          <w:tab w:pos="543" w:val="left" w:leader="none"/>
        </w:tabs>
        <w:spacing w:line="240" w:lineRule="auto" w:before="0" w:after="0"/>
        <w:ind w:left="159" w:right="498" w:firstLine="0"/>
        <w:jc w:val="both"/>
        <w:rPr>
          <w:sz w:val="24"/>
        </w:rPr>
      </w:pPr>
      <w:r>
        <w:rPr>
          <w:sz w:val="24"/>
        </w:rPr>
        <w:t>Some universities should start graduate schools with a three-year Master's degree course in certain subjects.</w:t>
      </w:r>
    </w:p>
    <w:p>
      <w:pPr>
        <w:pStyle w:val="BodyText"/>
        <w:spacing w:before="3"/>
      </w:pPr>
    </w:p>
    <w:p>
      <w:pPr>
        <w:pStyle w:val="ListParagraph"/>
        <w:numPr>
          <w:ilvl w:val="0"/>
          <w:numId w:val="41"/>
        </w:numPr>
        <w:tabs>
          <w:tab w:pos="506" w:val="left" w:leader="none"/>
        </w:tabs>
        <w:spacing w:line="240" w:lineRule="auto" w:before="1" w:after="0"/>
        <w:ind w:left="159" w:right="497" w:firstLine="0"/>
        <w:jc w:val="both"/>
        <w:rPr>
          <w:sz w:val="24"/>
        </w:rPr>
      </w:pPr>
      <w:r>
        <w:rPr>
          <w:sz w:val="24"/>
        </w:rPr>
        <w:t>Three-year special courses for the first degree which begin at the end of the first year of the present three-year degree courses should be started in selected subjects and in selected 'institutions.</w:t>
      </w:r>
    </w:p>
    <w:p>
      <w:pPr>
        <w:pStyle w:val="BodyText"/>
        <w:spacing w:before="3"/>
      </w:pPr>
    </w:p>
    <w:p>
      <w:pPr>
        <w:pStyle w:val="ListParagraph"/>
        <w:numPr>
          <w:ilvl w:val="0"/>
          <w:numId w:val="41"/>
        </w:numPr>
        <w:tabs>
          <w:tab w:pos="528" w:val="left" w:leader="none"/>
        </w:tabs>
        <w:spacing w:line="240" w:lineRule="auto" w:before="0" w:after="0"/>
        <w:ind w:left="159" w:right="498" w:firstLine="0"/>
        <w:jc w:val="both"/>
        <w:rPr>
          <w:sz w:val="24"/>
        </w:rPr>
      </w:pPr>
      <w:r>
        <w:rPr>
          <w:sz w:val="24"/>
        </w:rPr>
        <w:t>Suitable bridges should be built between the existing courses and the new </w:t>
      </w:r>
      <w:r>
        <w:rPr>
          <w:sz w:val="24"/>
        </w:rPr>
        <w:t>(longer) </w:t>
      </w:r>
      <w:r>
        <w:rPr>
          <w:spacing w:val="-2"/>
          <w:sz w:val="24"/>
        </w:rPr>
        <w:t>courses.</w:t>
      </w:r>
    </w:p>
    <w:p>
      <w:pPr>
        <w:pStyle w:val="BodyText"/>
        <w:spacing w:before="4"/>
      </w:pPr>
    </w:p>
    <w:p>
      <w:pPr>
        <w:pStyle w:val="ListParagraph"/>
        <w:numPr>
          <w:ilvl w:val="0"/>
          <w:numId w:val="41"/>
        </w:numPr>
        <w:tabs>
          <w:tab w:pos="502" w:val="left" w:leader="none"/>
        </w:tabs>
        <w:spacing w:line="240" w:lineRule="auto" w:before="0" w:after="0"/>
        <w:ind w:left="159" w:right="497" w:firstLine="0"/>
        <w:jc w:val="both"/>
        <w:rPr>
          <w:sz w:val="24"/>
        </w:rPr>
      </w:pPr>
      <w:r>
        <w:rPr>
          <w:sz w:val="24"/>
        </w:rPr>
        <w:t>Incentives in the form of scholarships, etc., should be provided for those who take the longer courses.</w:t>
      </w:r>
    </w:p>
    <w:p>
      <w:pPr>
        <w:pStyle w:val="BodyText"/>
        <w:spacing w:before="5"/>
      </w:pPr>
    </w:p>
    <w:p>
      <w:pPr>
        <w:pStyle w:val="ListParagraph"/>
        <w:numPr>
          <w:ilvl w:val="0"/>
          <w:numId w:val="41"/>
        </w:numPr>
        <w:tabs>
          <w:tab w:pos="537" w:val="left" w:leader="none"/>
        </w:tabs>
        <w:spacing w:line="240" w:lineRule="auto" w:before="0" w:after="0"/>
        <w:ind w:left="159" w:right="497" w:firstLine="0"/>
        <w:jc w:val="both"/>
        <w:rPr>
          <w:sz w:val="24"/>
        </w:rPr>
      </w:pPr>
      <w:r>
        <w:rPr>
          <w:sz w:val="24"/>
        </w:rPr>
        <w:t>in Uttar Pradesh, the lengthening of the first degree course should begin with the establishment of three-year graduate schools in selected subjects and in selected universities. The first degree courses in other colleges should be raised to 3 years in a period of 15-20years. 2.30-32</w:t>
      </w:r>
    </w:p>
    <w:p>
      <w:pPr>
        <w:pStyle w:val="BodyText"/>
        <w:spacing w:before="3"/>
      </w:pPr>
    </w:p>
    <w:p>
      <w:pPr>
        <w:pStyle w:val="ListParagraph"/>
        <w:numPr>
          <w:ilvl w:val="0"/>
          <w:numId w:val="38"/>
        </w:numPr>
        <w:tabs>
          <w:tab w:pos="425" w:val="left" w:leader="none"/>
        </w:tabs>
        <w:spacing w:line="240" w:lineRule="auto" w:before="1" w:after="0"/>
        <w:ind w:left="159" w:right="499" w:firstLine="0"/>
        <w:jc w:val="both"/>
        <w:rPr>
          <w:sz w:val="24"/>
        </w:rPr>
      </w:pPr>
      <w:r>
        <w:rPr>
          <w:b/>
          <w:sz w:val="24"/>
        </w:rPr>
        <w:t>Utilization of Facilities. </w:t>
      </w:r>
      <w:r>
        <w:rPr>
          <w:sz w:val="24"/>
        </w:rPr>
        <w:t>(1) Emphasis should be laid, in plans of educational reconstruction, on programmes of intensive utilization of existing facilities.</w:t>
      </w:r>
    </w:p>
    <w:p>
      <w:pPr>
        <w:pStyle w:val="BodyText"/>
        <w:spacing w:before="3"/>
      </w:pPr>
    </w:p>
    <w:p>
      <w:pPr>
        <w:pStyle w:val="ListParagraph"/>
        <w:numPr>
          <w:ilvl w:val="0"/>
          <w:numId w:val="42"/>
        </w:numPr>
        <w:tabs>
          <w:tab w:pos="517" w:val="left" w:leader="none"/>
        </w:tabs>
        <w:spacing w:line="240" w:lineRule="auto" w:before="0" w:after="0"/>
        <w:ind w:left="159" w:right="498" w:firstLine="0"/>
        <w:jc w:val="both"/>
        <w:rPr>
          <w:sz w:val="24"/>
        </w:rPr>
      </w:pPr>
      <w:r>
        <w:rPr>
          <w:sz w:val="24"/>
        </w:rPr>
        <w:t>The number of instructional days in the year should be increased to about 39 </w:t>
      </w:r>
      <w:r>
        <w:rPr>
          <w:sz w:val="24"/>
        </w:rPr>
        <w:t>weeks for schools and 36 weeks for colleges and pre-primary schools.</w:t>
      </w:r>
    </w:p>
    <w:p>
      <w:pPr>
        <w:pStyle w:val="BodyText"/>
        <w:spacing w:before="5"/>
      </w:pPr>
    </w:p>
    <w:p>
      <w:pPr>
        <w:pStyle w:val="ListParagraph"/>
        <w:numPr>
          <w:ilvl w:val="0"/>
          <w:numId w:val="42"/>
        </w:numPr>
        <w:tabs>
          <w:tab w:pos="503" w:val="left" w:leader="none"/>
        </w:tabs>
        <w:spacing w:line="240" w:lineRule="auto" w:before="0" w:after="0"/>
        <w:ind w:left="159" w:right="496" w:firstLine="0"/>
        <w:jc w:val="both"/>
        <w:rPr>
          <w:sz w:val="24"/>
        </w:rPr>
      </w:pPr>
      <w:r>
        <w:rPr>
          <w:sz w:val="24"/>
        </w:rPr>
        <w:t>A standard calendar should be worked out by the Ministry of Education and the UGC in consultation with the State Governments and universities respectively. The number of other holidays should be cut down to ten in the year. Loss of instructional days due to examinations and other reasons should not exceed 21 days in the case of schools and 27 days in the case of colleges.</w:t>
      </w:r>
    </w:p>
    <w:p>
      <w:pPr>
        <w:pStyle w:val="BodyText"/>
        <w:spacing w:before="4"/>
      </w:pPr>
    </w:p>
    <w:p>
      <w:pPr>
        <w:pStyle w:val="ListParagraph"/>
        <w:numPr>
          <w:ilvl w:val="0"/>
          <w:numId w:val="42"/>
        </w:numPr>
        <w:tabs>
          <w:tab w:pos="550" w:val="left" w:leader="none"/>
        </w:tabs>
        <w:spacing w:line="240" w:lineRule="auto" w:before="0" w:after="0"/>
        <w:ind w:left="160" w:right="497" w:firstLine="0"/>
        <w:jc w:val="both"/>
        <w:rPr>
          <w:sz w:val="24"/>
        </w:rPr>
      </w:pPr>
      <w:r>
        <w:rPr>
          <w:sz w:val="24"/>
        </w:rPr>
        <w:t>Vacations should be utilized fully through participation in studies, social service camps, production experience, literacy drives, etc.</w:t>
      </w:r>
    </w:p>
    <w:p>
      <w:pPr>
        <w:pStyle w:val="BodyText"/>
        <w:spacing w:before="3"/>
      </w:pPr>
    </w:p>
    <w:p>
      <w:pPr>
        <w:pStyle w:val="ListParagraph"/>
        <w:numPr>
          <w:ilvl w:val="0"/>
          <w:numId w:val="42"/>
        </w:numPr>
        <w:tabs>
          <w:tab w:pos="543" w:val="left" w:leader="none"/>
        </w:tabs>
        <w:spacing w:line="240" w:lineRule="auto" w:before="1" w:after="0"/>
        <w:ind w:left="160" w:right="498" w:firstLine="0"/>
        <w:jc w:val="both"/>
        <w:rPr>
          <w:sz w:val="24"/>
        </w:rPr>
      </w:pPr>
      <w:r>
        <w:rPr>
          <w:sz w:val="24"/>
        </w:rPr>
        <w:t>The duration of the working day should be increased at the school stage. At the university stage, adequate facilities for self-study should be provided.</w:t>
      </w:r>
    </w:p>
    <w:p>
      <w:pPr>
        <w:pStyle w:val="BodyText"/>
        <w:spacing w:before="3"/>
      </w:pPr>
    </w:p>
    <w:p>
      <w:pPr>
        <w:pStyle w:val="ListParagraph"/>
        <w:numPr>
          <w:ilvl w:val="0"/>
          <w:numId w:val="42"/>
        </w:numPr>
        <w:tabs>
          <w:tab w:pos="556" w:val="left" w:leader="none"/>
        </w:tabs>
        <w:spacing w:line="240" w:lineRule="auto" w:before="0" w:after="0"/>
        <w:ind w:left="160" w:right="497" w:firstLine="0"/>
        <w:jc w:val="both"/>
        <w:rPr>
          <w:sz w:val="24"/>
        </w:rPr>
      </w:pPr>
      <w:r>
        <w:rPr>
          <w:sz w:val="24"/>
        </w:rPr>
        <w:t>Steps should be taken to ensure full utilization of institutional facilities such as libraries, laboratories, workshops, craft-sheds, etc., all the year round. 2.33-42</w:t>
      </w:r>
    </w:p>
    <w:p>
      <w:pPr>
        <w:spacing w:after="0" w:line="240" w:lineRule="auto"/>
        <w:jc w:val="both"/>
        <w:rPr>
          <w:sz w:val="24"/>
        </w:rPr>
        <w:sectPr>
          <w:pgSz w:w="12240" w:h="15840"/>
          <w:pgMar w:header="0" w:footer="743" w:top="1360" w:bottom="940" w:left="1640" w:right="1300"/>
        </w:sectPr>
      </w:pPr>
    </w:p>
    <w:p>
      <w:pPr>
        <w:pStyle w:val="ListParagraph"/>
        <w:numPr>
          <w:ilvl w:val="0"/>
          <w:numId w:val="38"/>
        </w:numPr>
        <w:tabs>
          <w:tab w:pos="371" w:val="left" w:leader="none"/>
        </w:tabs>
        <w:spacing w:line="240" w:lineRule="auto" w:before="76" w:after="0"/>
        <w:ind w:left="159" w:right="496" w:firstLine="0"/>
        <w:jc w:val="both"/>
        <w:rPr>
          <w:sz w:val="24"/>
        </w:rPr>
      </w:pPr>
      <w:r>
        <w:rPr>
          <w:b/>
          <w:sz w:val="24"/>
        </w:rPr>
        <w:t>Dynamic and Evolving Standards. </w:t>
      </w:r>
      <w:r>
        <w:rPr>
          <w:sz w:val="24"/>
        </w:rPr>
        <w:t>(1) An intensive effort should be made to raise standards continually for all stages of education. The first ten years of school education should be qualitatively improved so that the wastage at this stage is reduced to the minimum. Within a period Of ten years, the standards reached at the end of class X should be that now attained at the end of the higher secondary course. Similar efforts should be made to raise the standard of the university degrees by adding one year of </w:t>
      </w:r>
      <w:r>
        <w:rPr>
          <w:spacing w:val="-2"/>
          <w:sz w:val="24"/>
        </w:rPr>
        <w:t>content.</w:t>
      </w:r>
    </w:p>
    <w:p>
      <w:pPr>
        <w:pStyle w:val="BodyText"/>
        <w:spacing w:before="4"/>
      </w:pPr>
    </w:p>
    <w:p>
      <w:pPr>
        <w:pStyle w:val="ListParagraph"/>
        <w:numPr>
          <w:ilvl w:val="0"/>
          <w:numId w:val="43"/>
        </w:numPr>
        <w:tabs>
          <w:tab w:pos="501" w:val="left" w:leader="none"/>
        </w:tabs>
        <w:spacing w:line="240" w:lineRule="auto" w:before="0" w:after="0"/>
        <w:ind w:left="159" w:right="497" w:firstLine="0"/>
        <w:jc w:val="both"/>
        <w:rPr>
          <w:sz w:val="24"/>
        </w:rPr>
      </w:pPr>
      <w:r>
        <w:rPr>
          <w:sz w:val="24"/>
        </w:rPr>
        <w:t>A</w:t>
      </w:r>
      <w:r>
        <w:rPr>
          <w:spacing w:val="-1"/>
          <w:sz w:val="24"/>
        </w:rPr>
        <w:t> </w:t>
      </w:r>
      <w:r>
        <w:rPr>
          <w:sz w:val="24"/>
        </w:rPr>
        <w:t>continual</w:t>
      </w:r>
      <w:r>
        <w:rPr>
          <w:spacing w:val="-1"/>
          <w:sz w:val="24"/>
        </w:rPr>
        <w:t> </w:t>
      </w:r>
      <w:r>
        <w:rPr>
          <w:sz w:val="24"/>
        </w:rPr>
        <w:t>improvement</w:t>
      </w:r>
      <w:r>
        <w:rPr>
          <w:spacing w:val="-1"/>
          <w:sz w:val="24"/>
        </w:rPr>
        <w:t> </w:t>
      </w:r>
      <w:r>
        <w:rPr>
          <w:sz w:val="24"/>
        </w:rPr>
        <w:t>of</w:t>
      </w:r>
      <w:r>
        <w:rPr>
          <w:spacing w:val="-1"/>
          <w:sz w:val="24"/>
        </w:rPr>
        <w:t> </w:t>
      </w:r>
      <w:r>
        <w:rPr>
          <w:sz w:val="24"/>
        </w:rPr>
        <w:t>standards</w:t>
      </w:r>
      <w:r>
        <w:rPr>
          <w:spacing w:val="-1"/>
          <w:sz w:val="24"/>
        </w:rPr>
        <w:t> </w:t>
      </w:r>
      <w:r>
        <w:rPr>
          <w:sz w:val="24"/>
        </w:rPr>
        <w:t>and their</w:t>
      </w:r>
      <w:r>
        <w:rPr>
          <w:spacing w:val="-1"/>
          <w:sz w:val="24"/>
        </w:rPr>
        <w:t> </w:t>
      </w:r>
      <w:r>
        <w:rPr>
          <w:sz w:val="24"/>
        </w:rPr>
        <w:t>comparability</w:t>
      </w:r>
      <w:r>
        <w:rPr>
          <w:spacing w:val="-1"/>
          <w:sz w:val="24"/>
        </w:rPr>
        <w:t> </w:t>
      </w:r>
      <w:r>
        <w:rPr>
          <w:sz w:val="24"/>
        </w:rPr>
        <w:t>between</w:t>
      </w:r>
      <w:r>
        <w:rPr>
          <w:spacing w:val="-2"/>
          <w:sz w:val="24"/>
        </w:rPr>
        <w:t> </w:t>
      </w:r>
      <w:r>
        <w:rPr>
          <w:sz w:val="24"/>
        </w:rPr>
        <w:t>different</w:t>
      </w:r>
      <w:r>
        <w:rPr>
          <w:spacing w:val="-2"/>
          <w:sz w:val="24"/>
        </w:rPr>
        <w:t> </w:t>
      </w:r>
      <w:r>
        <w:rPr>
          <w:sz w:val="24"/>
        </w:rPr>
        <w:t>parts of the country should be secured at the school stage through the creation of an adequate and efficient machinery at the State and National levels which will define, revise and evaluate national standards at the end of the primary and the lower and higher secondary </w:t>
      </w:r>
      <w:r>
        <w:rPr>
          <w:spacing w:val="-2"/>
          <w:sz w:val="24"/>
        </w:rPr>
        <w:t>stages.</w:t>
      </w:r>
    </w:p>
    <w:p>
      <w:pPr>
        <w:pStyle w:val="BodyText"/>
        <w:spacing w:before="4"/>
      </w:pPr>
    </w:p>
    <w:p>
      <w:pPr>
        <w:pStyle w:val="ListParagraph"/>
        <w:numPr>
          <w:ilvl w:val="0"/>
          <w:numId w:val="43"/>
        </w:numPr>
        <w:tabs>
          <w:tab w:pos="550" w:val="left" w:leader="none"/>
        </w:tabs>
        <w:spacing w:line="240" w:lineRule="auto" w:before="0" w:after="0"/>
        <w:ind w:left="159" w:right="497" w:firstLine="0"/>
        <w:jc w:val="both"/>
        <w:rPr>
          <w:sz w:val="24"/>
        </w:rPr>
      </w:pPr>
      <w:r>
        <w:rPr>
          <w:sz w:val="24"/>
        </w:rPr>
        <w:t>In order to raise standards, it is necessary to secure better coordination between different stages of education and to break the isolation in which educational institutions generally function. From this point of view-</w:t>
      </w:r>
    </w:p>
    <w:p>
      <w:pPr>
        <w:pStyle w:val="BodyText"/>
        <w:spacing w:before="5"/>
      </w:pPr>
    </w:p>
    <w:p>
      <w:pPr>
        <w:pStyle w:val="ListParagraph"/>
        <w:numPr>
          <w:ilvl w:val="1"/>
          <w:numId w:val="43"/>
        </w:numPr>
        <w:tabs>
          <w:tab w:pos="486" w:val="left" w:leader="none"/>
        </w:tabs>
        <w:spacing w:line="240" w:lineRule="auto" w:before="0" w:after="0"/>
        <w:ind w:left="159" w:right="497" w:firstLine="0"/>
        <w:jc w:val="both"/>
        <w:rPr>
          <w:sz w:val="24"/>
        </w:rPr>
      </w:pPr>
      <w:r>
        <w:rPr>
          <w:sz w:val="24"/>
        </w:rPr>
        <w:t>universities</w:t>
      </w:r>
      <w:r>
        <w:rPr>
          <w:spacing w:val="-1"/>
          <w:sz w:val="24"/>
        </w:rPr>
        <w:t> </w:t>
      </w:r>
      <w:r>
        <w:rPr>
          <w:sz w:val="24"/>
        </w:rPr>
        <w:t>and</w:t>
      </w:r>
      <w:r>
        <w:rPr>
          <w:spacing w:val="-1"/>
          <w:sz w:val="24"/>
        </w:rPr>
        <w:t> </w:t>
      </w:r>
      <w:r>
        <w:rPr>
          <w:sz w:val="24"/>
        </w:rPr>
        <w:t>colleges</w:t>
      </w:r>
      <w:r>
        <w:rPr>
          <w:spacing w:val="-1"/>
          <w:sz w:val="24"/>
        </w:rPr>
        <w:t> </w:t>
      </w:r>
      <w:r>
        <w:rPr>
          <w:sz w:val="24"/>
        </w:rPr>
        <w:t>should</w:t>
      </w:r>
      <w:r>
        <w:rPr>
          <w:spacing w:val="-1"/>
          <w:sz w:val="24"/>
        </w:rPr>
        <w:t> </w:t>
      </w:r>
      <w:r>
        <w:rPr>
          <w:sz w:val="24"/>
        </w:rPr>
        <w:t>assist</w:t>
      </w:r>
      <w:r>
        <w:rPr>
          <w:spacing w:val="-1"/>
          <w:sz w:val="24"/>
        </w:rPr>
        <w:t> </w:t>
      </w:r>
      <w:r>
        <w:rPr>
          <w:sz w:val="24"/>
        </w:rPr>
        <w:t>secondary</w:t>
      </w:r>
      <w:r>
        <w:rPr>
          <w:spacing w:val="-1"/>
          <w:sz w:val="24"/>
        </w:rPr>
        <w:t> </w:t>
      </w:r>
      <w:r>
        <w:rPr>
          <w:sz w:val="24"/>
        </w:rPr>
        <w:t>schools</w:t>
      </w:r>
      <w:r>
        <w:rPr>
          <w:spacing w:val="-1"/>
          <w:sz w:val="24"/>
        </w:rPr>
        <w:t> </w:t>
      </w:r>
      <w:r>
        <w:rPr>
          <w:sz w:val="24"/>
        </w:rPr>
        <w:t>in</w:t>
      </w:r>
      <w:r>
        <w:rPr>
          <w:spacing w:val="-1"/>
          <w:sz w:val="24"/>
        </w:rPr>
        <w:t> </w:t>
      </w:r>
      <w:r>
        <w:rPr>
          <w:sz w:val="24"/>
        </w:rPr>
        <w:t>improving</w:t>
      </w:r>
      <w:r>
        <w:rPr>
          <w:spacing w:val="-1"/>
          <w:sz w:val="24"/>
        </w:rPr>
        <w:t> </w:t>
      </w:r>
      <w:r>
        <w:rPr>
          <w:sz w:val="24"/>
        </w:rPr>
        <w:t>their</w:t>
      </w:r>
      <w:r>
        <w:rPr>
          <w:spacing w:val="-1"/>
          <w:sz w:val="24"/>
        </w:rPr>
        <w:t> </w:t>
      </w:r>
      <w:r>
        <w:rPr>
          <w:sz w:val="24"/>
        </w:rPr>
        <w:t>efficiency through a variety of measures; and</w:t>
      </w:r>
    </w:p>
    <w:p>
      <w:pPr>
        <w:pStyle w:val="BodyText"/>
        <w:spacing w:before="3"/>
      </w:pPr>
    </w:p>
    <w:p>
      <w:pPr>
        <w:pStyle w:val="ListParagraph"/>
        <w:numPr>
          <w:ilvl w:val="1"/>
          <w:numId w:val="43"/>
        </w:numPr>
        <w:tabs>
          <w:tab w:pos="537" w:val="left" w:leader="none"/>
        </w:tabs>
        <w:spacing w:line="240" w:lineRule="auto" w:before="1" w:after="0"/>
        <w:ind w:left="159" w:right="495" w:firstLine="0"/>
        <w:jc w:val="both"/>
        <w:rPr>
          <w:sz w:val="24"/>
        </w:rPr>
      </w:pPr>
      <w:r>
        <w:rPr>
          <w:sz w:val="24"/>
        </w:rPr>
        <w:t>school complexes should be formed. Each complex should consist of a secondary school and all the lower and higher primary schools within its neighbourhood. AR the schools in such a complex should form a cooperative group working for improvement. </w:t>
      </w:r>
      <w:r>
        <w:rPr>
          <w:spacing w:val="-2"/>
          <w:sz w:val="24"/>
        </w:rPr>
        <w:t>2.43-52</w:t>
      </w:r>
    </w:p>
    <w:p>
      <w:pPr>
        <w:pStyle w:val="BodyText"/>
        <w:spacing w:before="3"/>
      </w:pPr>
    </w:p>
    <w:p>
      <w:pPr>
        <w:pStyle w:val="ListParagraph"/>
        <w:numPr>
          <w:ilvl w:val="0"/>
          <w:numId w:val="38"/>
        </w:numPr>
        <w:tabs>
          <w:tab w:pos="381" w:val="left" w:leader="none"/>
        </w:tabs>
        <w:spacing w:line="240" w:lineRule="auto" w:before="0" w:after="0"/>
        <w:ind w:left="159" w:right="500" w:firstLine="0"/>
        <w:jc w:val="both"/>
        <w:rPr>
          <w:sz w:val="24"/>
        </w:rPr>
      </w:pPr>
      <w:r>
        <w:rPr>
          <w:b/>
          <w:sz w:val="24"/>
        </w:rPr>
        <w:t>Part-time Education. </w:t>
      </w:r>
      <w:r>
        <w:rPr>
          <w:sz w:val="24"/>
        </w:rPr>
        <w:t>Part-time and own-time education should be developed on a larger scale at every stage and in every sector of education and should be given the same status as full-time education. 2.53-54</w:t>
      </w:r>
    </w:p>
    <w:p>
      <w:pPr>
        <w:pStyle w:val="BodyText"/>
        <w:spacing w:before="5"/>
      </w:pPr>
    </w:p>
    <w:p>
      <w:pPr>
        <w:pStyle w:val="ListParagraph"/>
        <w:numPr>
          <w:ilvl w:val="0"/>
          <w:numId w:val="38"/>
        </w:numPr>
        <w:tabs>
          <w:tab w:pos="373" w:val="left" w:leader="none"/>
        </w:tabs>
        <w:spacing w:line="240" w:lineRule="auto" w:before="0" w:after="0"/>
        <w:ind w:left="159" w:right="497" w:firstLine="0"/>
        <w:jc w:val="both"/>
        <w:rPr>
          <w:sz w:val="24"/>
        </w:rPr>
      </w:pPr>
      <w:r>
        <w:rPr>
          <w:b/>
          <w:sz w:val="24"/>
        </w:rPr>
        <w:t>Nomenclature</w:t>
      </w:r>
      <w:r>
        <w:rPr>
          <w:sz w:val="24"/>
        </w:rPr>
        <w:t>. A uniform system of nomenclature for the different stages and sub- stages of education should be evolved by the Government of India in consultation with State Governments. 2.55</w:t>
      </w:r>
    </w:p>
    <w:p>
      <w:pPr>
        <w:spacing w:after="0" w:line="240" w:lineRule="auto"/>
        <w:jc w:val="both"/>
        <w:rPr>
          <w:sz w:val="24"/>
        </w:rPr>
        <w:sectPr>
          <w:pgSz w:w="12240" w:h="15840"/>
          <w:pgMar w:header="0" w:footer="743" w:top="1360" w:bottom="940" w:left="1640" w:right="1300"/>
        </w:sectPr>
      </w:pPr>
    </w:p>
    <w:p>
      <w:pPr>
        <w:pStyle w:val="Heading1"/>
        <w:spacing w:line="480" w:lineRule="auto" w:before="79"/>
        <w:ind w:left="3150" w:right="3488"/>
      </w:pPr>
      <w:bookmarkStart w:name="_TOC_250008" w:id="21"/>
      <w:r>
        <w:rPr/>
        <w:t>CHAPTER III TEACHER</w:t>
      </w:r>
      <w:r>
        <w:rPr>
          <w:spacing w:val="-15"/>
        </w:rPr>
        <w:t> </w:t>
      </w:r>
      <w:bookmarkEnd w:id="21"/>
      <w:r>
        <w:rPr/>
        <w:t>STATUS</w:t>
      </w:r>
    </w:p>
    <w:p>
      <w:pPr>
        <w:pStyle w:val="BodyText"/>
        <w:spacing w:before="2"/>
        <w:rPr>
          <w:b/>
        </w:rPr>
      </w:pPr>
    </w:p>
    <w:p>
      <w:pPr>
        <w:pStyle w:val="ListParagraph"/>
        <w:numPr>
          <w:ilvl w:val="1"/>
          <w:numId w:val="44"/>
        </w:numPr>
        <w:tabs>
          <w:tab w:pos="718" w:val="left" w:leader="none"/>
        </w:tabs>
        <w:spacing w:line="240" w:lineRule="auto" w:before="0" w:after="0"/>
        <w:ind w:left="159" w:right="496" w:firstLine="0"/>
        <w:jc w:val="both"/>
        <w:rPr>
          <w:sz w:val="24"/>
        </w:rPr>
      </w:pPr>
      <w:r>
        <w:rPr>
          <w:sz w:val="24"/>
        </w:rPr>
        <w:t>Of all the different factors which influence the quality of education and </w:t>
      </w:r>
      <w:r>
        <w:rPr>
          <w:sz w:val="24"/>
        </w:rPr>
        <w:t>its contribution to national development, the quality, competence and character of teachers are undoubtedly the most significant. Nothing is more important than securing a</w:t>
      </w:r>
      <w:r>
        <w:rPr>
          <w:spacing w:val="40"/>
          <w:sz w:val="24"/>
        </w:rPr>
        <w:t> </w:t>
      </w:r>
      <w:r>
        <w:rPr>
          <w:sz w:val="24"/>
        </w:rPr>
        <w:t>sufficient supply of high quality recruits to the teaching profession, providing them with the best possible professions preparation and creating satisfactory conditions of work in which they can be fully effective. In view of the rapid expansion of educational facilities expected during the next three Plans, and specially in view of the urgent need to raise standards to the highest level and to keep them continually improving, these problems have now acquired unprecedented importance and urgency.</w:t>
      </w:r>
    </w:p>
    <w:p>
      <w:pPr>
        <w:pStyle w:val="BodyText"/>
        <w:spacing w:before="3"/>
      </w:pPr>
    </w:p>
    <w:p>
      <w:pPr>
        <w:pStyle w:val="ListParagraph"/>
        <w:numPr>
          <w:ilvl w:val="1"/>
          <w:numId w:val="44"/>
        </w:numPr>
        <w:tabs>
          <w:tab w:pos="648" w:val="left" w:leader="none"/>
        </w:tabs>
        <w:spacing w:line="240" w:lineRule="auto" w:before="0" w:after="0"/>
        <w:ind w:left="159" w:right="495" w:firstLine="0"/>
        <w:jc w:val="both"/>
        <w:rPr>
          <w:sz w:val="24"/>
        </w:rPr>
      </w:pPr>
      <w:r>
        <w:rPr>
          <w:sz w:val="24"/>
        </w:rPr>
        <w:t>A programme of high priority in the proposed educational reconstruction, therefore, is to feed back a significant proportion of the talented men and women from schools and colleges into the educational system. For this purpose, it is necessary to make an</w:t>
      </w:r>
      <w:r>
        <w:rPr>
          <w:spacing w:val="40"/>
          <w:sz w:val="24"/>
        </w:rPr>
        <w:t> </w:t>
      </w:r>
      <w:r>
        <w:rPr>
          <w:sz w:val="24"/>
        </w:rPr>
        <w:t>intensive and continuous effort to raise the economic, social and professional status of teachers in order to attract young men and women of ability to the profession, and to retain them in it as dedicated, enthusiastic and contented workers. This can be done, to a very limited extent only, through appealing to motives such as love of children or of teaching, interest in academic work or research, idealism and desire for social service, which attract a small proportion of able young: persons to the teaching profession. There can, however, be no doubt that the provision of adequate remuneration, opportunities for professional advancement and favourable conditions of service and work, are the major programmes which will help to initiate and maintain this 'feedback' process. We propose to discuss some important aspects of these programmes in the course of this chapter and the next.</w:t>
      </w:r>
    </w:p>
    <w:p>
      <w:pPr>
        <w:pStyle w:val="BodyText"/>
        <w:spacing w:before="6"/>
      </w:pPr>
    </w:p>
    <w:p>
      <w:pPr>
        <w:pStyle w:val="Heading1"/>
        <w:ind w:left="292"/>
      </w:pPr>
      <w:bookmarkStart w:name="_TOC_250007" w:id="22"/>
      <w:bookmarkEnd w:id="22"/>
      <w:r>
        <w:rPr>
          <w:spacing w:val="-2"/>
        </w:rPr>
        <w:t>REMUNERATION</w:t>
      </w:r>
    </w:p>
    <w:p>
      <w:pPr>
        <w:pStyle w:val="BodyText"/>
        <w:spacing w:before="3"/>
        <w:rPr>
          <w:b/>
        </w:rPr>
      </w:pPr>
    </w:p>
    <w:p>
      <w:pPr>
        <w:pStyle w:val="ListParagraph"/>
        <w:numPr>
          <w:ilvl w:val="1"/>
          <w:numId w:val="44"/>
        </w:numPr>
        <w:tabs>
          <w:tab w:pos="713" w:val="left" w:leader="none"/>
        </w:tabs>
        <w:spacing w:line="240" w:lineRule="auto" w:before="0" w:after="0"/>
        <w:ind w:left="159" w:right="496" w:firstLine="0"/>
        <w:jc w:val="both"/>
        <w:rPr>
          <w:b/>
          <w:sz w:val="24"/>
        </w:rPr>
      </w:pPr>
      <w:r>
        <w:rPr>
          <w:b/>
          <w:sz w:val="24"/>
        </w:rPr>
        <w:t>The Post-Independence Period</w:t>
      </w:r>
      <w:r>
        <w:rPr>
          <w:sz w:val="24"/>
        </w:rPr>
        <w:t>. In the post-Independence period, continuous efforts have been made to improve the remuneration of teachers at all levels and schemes for this purpose have figured prominently in all the Plans. But the net results achieved have not been adequate, particularly in respect of primary school teachers. This will be seen from Table 3.1.</w:t>
      </w:r>
    </w:p>
    <w:p>
      <w:pPr>
        <w:spacing w:after="0" w:line="240" w:lineRule="auto"/>
        <w:jc w:val="both"/>
        <w:rPr>
          <w:sz w:val="24"/>
        </w:rPr>
        <w:sectPr>
          <w:pgSz w:w="12240" w:h="15840"/>
          <w:pgMar w:header="0" w:footer="743" w:top="1360" w:bottom="940" w:left="1640" w:right="1300"/>
        </w:sectPr>
      </w:pPr>
    </w:p>
    <w:p>
      <w:pPr>
        <w:pStyle w:val="BodyText"/>
        <w:spacing w:before="76"/>
        <w:ind w:left="220"/>
      </w:pPr>
      <w:r>
        <w:rPr/>
        <w:t>TABLE</w:t>
      </w:r>
      <w:r>
        <w:rPr>
          <w:spacing w:val="-7"/>
        </w:rPr>
        <w:t> </w:t>
      </w:r>
      <w:r>
        <w:rPr/>
        <w:t>3.1.</w:t>
      </w:r>
      <w:r>
        <w:rPr>
          <w:spacing w:val="-5"/>
        </w:rPr>
        <w:t> </w:t>
      </w:r>
      <w:r>
        <w:rPr/>
        <w:t>AVERAGE</w:t>
      </w:r>
      <w:r>
        <w:rPr>
          <w:spacing w:val="-5"/>
        </w:rPr>
        <w:t> </w:t>
      </w:r>
      <w:r>
        <w:rPr/>
        <w:t>ANNUAL</w:t>
      </w:r>
      <w:r>
        <w:rPr>
          <w:spacing w:val="-3"/>
        </w:rPr>
        <w:t> </w:t>
      </w:r>
      <w:r>
        <w:rPr/>
        <w:t>SALARIES</w:t>
      </w:r>
      <w:r>
        <w:rPr>
          <w:spacing w:val="-5"/>
        </w:rPr>
        <w:t> </w:t>
      </w:r>
      <w:r>
        <w:rPr/>
        <w:t>OF</w:t>
      </w:r>
      <w:r>
        <w:rPr>
          <w:spacing w:val="-5"/>
        </w:rPr>
        <w:t> </w:t>
      </w:r>
      <w:r>
        <w:rPr/>
        <w:t>TEACHERS</w:t>
      </w:r>
      <w:r>
        <w:rPr>
          <w:spacing w:val="-5"/>
        </w:rPr>
        <w:t> </w:t>
      </w:r>
      <w:r>
        <w:rPr/>
        <w:t>IN</w:t>
      </w:r>
      <w:r>
        <w:rPr>
          <w:spacing w:val="-4"/>
        </w:rPr>
        <w:t> </w:t>
      </w:r>
      <w:r>
        <w:rPr>
          <w:spacing w:val="-2"/>
        </w:rPr>
        <w:t>INDIA</w:t>
      </w:r>
    </w:p>
    <w:p>
      <w:pPr>
        <w:pStyle w:val="BodyText"/>
      </w:pPr>
    </w:p>
    <w:p>
      <w:pPr>
        <w:pStyle w:val="BodyText"/>
        <w:ind w:left="290" w:right="630"/>
        <w:jc w:val="center"/>
      </w:pPr>
      <w:r>
        <w:rPr/>
        <w:t>(1950-51</w:t>
      </w:r>
      <w:r>
        <w:rPr>
          <w:spacing w:val="-1"/>
        </w:rPr>
        <w:t> </w:t>
      </w:r>
      <w:r>
        <w:rPr/>
        <w:t>to</w:t>
      </w:r>
      <w:r>
        <w:rPr>
          <w:spacing w:val="-1"/>
        </w:rPr>
        <w:t> </w:t>
      </w:r>
      <w:r>
        <w:rPr/>
        <w:t>1965-</w:t>
      </w:r>
      <w:r>
        <w:rPr>
          <w:spacing w:val="-5"/>
        </w:rPr>
        <w:t>66)</w:t>
      </w:r>
    </w:p>
    <w:p>
      <w:pPr>
        <w:pStyle w:val="BodyText"/>
        <w:spacing w:before="1"/>
        <w:rPr>
          <w:sz w:val="15"/>
        </w:rPr>
      </w:pPr>
      <w:r>
        <w:rPr/>
        <mc:AlternateContent>
          <mc:Choice Requires="wps">
            <w:drawing>
              <wp:anchor distT="0" distB="0" distL="0" distR="0" allowOverlap="1" layoutInCell="1" locked="0" behindDoc="1" simplePos="0" relativeHeight="487591424">
                <wp:simplePos x="0" y="0"/>
                <wp:positionH relativeFrom="page">
                  <wp:posOffset>1143000</wp:posOffset>
                </wp:positionH>
                <wp:positionV relativeFrom="paragraph">
                  <wp:posOffset>126028</wp:posOffset>
                </wp:positionV>
                <wp:extent cx="5486400" cy="1905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486400" cy="19050"/>
                          <a:chExt cx="5486400" cy="19050"/>
                        </a:xfrm>
                      </wpg:grpSpPr>
                      <wps:wsp>
                        <wps:cNvPr id="56" name="Graphic 5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7" name="Graphic 57"/>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58" name="Graphic 58"/>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59" name="Graphic 59"/>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60" name="Graphic 60"/>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61" name="Graphic 61"/>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62" name="Graphic 62"/>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3515pt;width:432pt;height:1.5pt;mso-position-horizontal-relative:page;mso-position-vertical-relative:paragraph;z-index:-15725056;mso-wrap-distance-left:0;mso-wrap-distance-right:0" id="docshapegroup51" coordorigin="1800,198" coordsize="8640,30">
                <v:rect style="position:absolute;left:1800;top:198;width:8640;height:30" id="docshape52" filled="true" fillcolor="#808080" stroked="false">
                  <v:fill type="solid"/>
                </v:rect>
                <v:shape style="position:absolute;left:1800;top:198;width:8636;height:5" id="docshape53" coordorigin="1800,198" coordsize="8636,5" path="m10435,198l1805,198,1800,198,1800,203,1805,203,10435,203,10435,198xe" filled="true" fillcolor="#aca89a" stroked="false">
                  <v:path arrowok="t"/>
                  <v:fill type="solid"/>
                </v:shape>
                <v:rect style="position:absolute;left:10435;top:198;width:5;height:5" id="docshape54" filled="true" fillcolor="#f1efe2" stroked="false">
                  <v:fill type="solid"/>
                </v:rect>
                <v:shape style="position:absolute;left:1800;top:198;width:8640;height:26" id="docshape55" coordorigin="1800,198" coordsize="8640,26" path="m1805,203l1800,203,1800,224,1805,224,1805,203xm10440,198l10435,198,10435,203,10440,203,10440,198xe" filled="true" fillcolor="#aca89a" stroked="false">
                  <v:path arrowok="t"/>
                  <v:fill type="solid"/>
                </v:shape>
                <v:rect style="position:absolute;left:10435;top:203;width:5;height:21" id="docshape56" filled="true" fillcolor="#f1efe2" stroked="false">
                  <v:fill type="solid"/>
                </v:rect>
                <v:rect style="position:absolute;left:1800;top:223;width:5;height:5" id="docshape57" filled="true" fillcolor="#aca89a" stroked="false">
                  <v:fill type="solid"/>
                </v:rect>
                <v:shape style="position:absolute;left:1800;top:223;width:8640;height:5" id="docshape58"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tabs>
          <w:tab w:pos="2908" w:val="left" w:leader="none"/>
          <w:tab w:pos="7487" w:val="left" w:leader="none"/>
        </w:tabs>
        <w:spacing w:before="48"/>
        <w:ind w:left="159"/>
      </w:pPr>
      <w:r>
        <w:rPr/>
        <w:t>Type</w:t>
      </w:r>
      <w:r>
        <w:rPr>
          <w:spacing w:val="-1"/>
        </w:rPr>
        <w:t> </w:t>
      </w:r>
      <w:r>
        <w:rPr/>
        <w:t>of</w:t>
      </w:r>
      <w:r>
        <w:rPr>
          <w:spacing w:val="-1"/>
        </w:rPr>
        <w:t> </w:t>
      </w:r>
      <w:r>
        <w:rPr>
          <w:spacing w:val="-2"/>
        </w:rPr>
        <w:t>institutions</w:t>
      </w:r>
      <w:r>
        <w:rPr/>
        <w:tab/>
        <w:t>Average</w:t>
      </w:r>
      <w:r>
        <w:rPr>
          <w:spacing w:val="-4"/>
        </w:rPr>
        <w:t> </w:t>
      </w:r>
      <w:r>
        <w:rPr/>
        <w:t>annual</w:t>
      </w:r>
      <w:r>
        <w:rPr>
          <w:spacing w:val="-1"/>
        </w:rPr>
        <w:t> </w:t>
      </w:r>
      <w:r>
        <w:rPr/>
        <w:t>salary</w:t>
      </w:r>
      <w:r>
        <w:rPr>
          <w:spacing w:val="-2"/>
        </w:rPr>
        <w:t> </w:t>
      </w:r>
      <w:r>
        <w:rPr/>
        <w:t>of</w:t>
      </w:r>
      <w:r>
        <w:rPr>
          <w:spacing w:val="-3"/>
        </w:rPr>
        <w:t> </w:t>
      </w:r>
      <w:r>
        <w:rPr>
          <w:spacing w:val="-2"/>
        </w:rPr>
        <w:t>teachers</w:t>
      </w:r>
      <w:r>
        <w:rPr/>
        <w:tab/>
      </w:r>
      <w:r>
        <w:rPr>
          <w:spacing w:val="-2"/>
        </w:rPr>
        <w:t>Average</w:t>
      </w:r>
    </w:p>
    <w:p>
      <w:pPr>
        <w:pStyle w:val="BodyText"/>
        <w:tabs>
          <w:tab w:pos="7487" w:val="left" w:leader="none"/>
        </w:tabs>
        <w:ind w:left="2678"/>
      </w:pPr>
      <w:r>
        <w:rPr/>
        <w:t>(at current </w:t>
      </w:r>
      <w:r>
        <w:rPr>
          <w:spacing w:val="-2"/>
        </w:rPr>
        <w:t>prices)in</w:t>
      </w:r>
      <w:r>
        <w:rPr/>
        <w:tab/>
      </w:r>
      <w:r>
        <w:rPr>
          <w:spacing w:val="-2"/>
        </w:rPr>
        <w:t>annual</w:t>
      </w:r>
    </w:p>
    <w:p>
      <w:pPr>
        <w:pStyle w:val="BodyText"/>
        <w:ind w:right="988"/>
        <w:jc w:val="right"/>
      </w:pPr>
      <w:r>
        <w:rPr/>
        <mc:AlternateContent>
          <mc:Choice Requires="wps">
            <w:drawing>
              <wp:anchor distT="0" distB="0" distL="0" distR="0" allowOverlap="1" layoutInCell="1" locked="0" behindDoc="0" simplePos="0" relativeHeight="15732736">
                <wp:simplePos x="0" y="0"/>
                <wp:positionH relativeFrom="page">
                  <wp:posOffset>2324098</wp:posOffset>
                </wp:positionH>
                <wp:positionV relativeFrom="paragraph">
                  <wp:posOffset>108371</wp:posOffset>
                </wp:positionV>
                <wp:extent cx="2183765"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2183765" cy="1270"/>
                        </a:xfrm>
                        <a:custGeom>
                          <a:avLst/>
                          <a:gdLst/>
                          <a:ahLst/>
                          <a:cxnLst/>
                          <a:rect l="l" t="t" r="r" b="b"/>
                          <a:pathLst>
                            <a:path w="2183765" h="0">
                              <a:moveTo>
                                <a:pt x="0" y="0"/>
                              </a:moveTo>
                              <a:lnTo>
                                <a:pt x="2183444"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82.999893pt,8.533152pt" to="354.924646pt,8.533152pt" stroked="true" strokeweight=".885563pt" strokecolor="#000000">
                <v:stroke dashstyle="dash"/>
                <w10:wrap type="none"/>
              </v:line>
            </w:pict>
          </mc:Fallback>
        </mc:AlternateContent>
      </w:r>
      <w:r>
        <w:rPr/>
        <w:t>salary</w:t>
      </w:r>
      <w:r>
        <w:rPr>
          <w:spacing w:val="-1"/>
        </w:rPr>
        <w:t> </w:t>
      </w:r>
      <w:r>
        <w:rPr>
          <w:spacing w:val="-5"/>
        </w:rPr>
        <w:t>in</w:t>
      </w:r>
    </w:p>
    <w:p>
      <w:pPr>
        <w:pStyle w:val="BodyText"/>
        <w:tabs>
          <w:tab w:pos="4808" w:val="left" w:leader="none"/>
        </w:tabs>
        <w:spacing w:after="11"/>
        <w:ind w:right="1009"/>
        <w:jc w:val="right"/>
      </w:pPr>
      <w:r>
        <w:rPr/>
        <w:t>1950-51</w:t>
      </w:r>
      <w:r>
        <w:rPr>
          <w:spacing w:val="60"/>
        </w:rPr>
        <w:t> </w:t>
      </w:r>
      <w:r>
        <w:rPr/>
        <w:t>1955-56</w:t>
      </w:r>
      <w:r>
        <w:rPr>
          <w:spacing w:val="60"/>
        </w:rPr>
        <w:t> </w:t>
      </w:r>
      <w:r>
        <w:rPr/>
        <w:t>1960-61</w:t>
      </w:r>
      <w:r>
        <w:rPr>
          <w:spacing w:val="60"/>
        </w:rPr>
        <w:t> </w:t>
      </w:r>
      <w:r>
        <w:rPr/>
        <w:t>1965-</w:t>
      </w:r>
      <w:r>
        <w:rPr>
          <w:spacing w:val="-5"/>
        </w:rPr>
        <w:t>66</w:t>
      </w:r>
      <w:r>
        <w:rPr/>
        <w:tab/>
        <w:t>1965-</w:t>
      </w:r>
      <w:r>
        <w:rPr>
          <w:spacing w:val="-5"/>
        </w:rPr>
        <w:t>66</w:t>
      </w:r>
    </w:p>
    <w:tbl>
      <w:tblPr>
        <w:tblW w:w="0" w:type="auto"/>
        <w:jc w:val="left"/>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5"/>
        <w:gridCol w:w="843"/>
        <w:gridCol w:w="934"/>
        <w:gridCol w:w="918"/>
        <w:gridCol w:w="1375"/>
        <w:gridCol w:w="1960"/>
      </w:tblGrid>
      <w:tr>
        <w:trPr>
          <w:trHeight w:val="739" w:hRule="atLeast"/>
        </w:trPr>
        <w:tc>
          <w:tcPr>
            <w:tcW w:w="6685" w:type="dxa"/>
            <w:gridSpan w:val="5"/>
            <w:tcBorders>
              <w:bottom w:val="single" w:sz="12" w:space="0" w:color="808080"/>
            </w:tcBorders>
          </w:tcPr>
          <w:p>
            <w:pPr>
              <w:pStyle w:val="TableParagraph"/>
              <w:rPr>
                <w:sz w:val="24"/>
              </w:rPr>
            </w:pPr>
          </w:p>
        </w:tc>
        <w:tc>
          <w:tcPr>
            <w:tcW w:w="1960" w:type="dxa"/>
            <w:tcBorders>
              <w:bottom w:val="single" w:sz="12" w:space="0" w:color="808080"/>
            </w:tcBorders>
          </w:tcPr>
          <w:p>
            <w:pPr>
              <w:pStyle w:val="TableParagraph"/>
              <w:spacing w:line="266" w:lineRule="exact"/>
              <w:ind w:left="642"/>
              <w:rPr>
                <w:sz w:val="24"/>
              </w:rPr>
            </w:pPr>
            <w:r>
              <w:rPr>
                <w:sz w:val="24"/>
              </w:rPr>
              <w:t>at 1950-</w:t>
            </w:r>
            <w:r>
              <w:rPr>
                <w:spacing w:val="-5"/>
                <w:sz w:val="24"/>
              </w:rPr>
              <w:t>51</w:t>
            </w:r>
          </w:p>
          <w:p>
            <w:pPr>
              <w:pStyle w:val="TableParagraph"/>
              <w:ind w:left="642"/>
              <w:rPr>
                <w:sz w:val="24"/>
              </w:rPr>
            </w:pPr>
            <w:r>
              <w:rPr>
                <w:spacing w:val="-2"/>
                <w:sz w:val="24"/>
              </w:rPr>
              <w:t>prices</w:t>
            </w:r>
          </w:p>
        </w:tc>
      </w:tr>
      <w:tr>
        <w:trPr>
          <w:trHeight w:val="467" w:hRule="atLeast"/>
        </w:trPr>
        <w:tc>
          <w:tcPr>
            <w:tcW w:w="2615" w:type="dxa"/>
            <w:tcBorders>
              <w:top w:val="single" w:sz="12" w:space="0" w:color="808080"/>
            </w:tcBorders>
          </w:tcPr>
          <w:p>
            <w:pPr>
              <w:pStyle w:val="TableParagraph"/>
              <w:spacing w:before="48"/>
              <w:ind w:left="-2"/>
              <w:rPr>
                <w:sz w:val="24"/>
              </w:rPr>
            </w:pPr>
            <w:r>
              <w:rPr>
                <w:sz w:val="24"/>
              </w:rPr>
              <w:t>A.</w:t>
            </w:r>
            <w:r>
              <w:rPr>
                <w:spacing w:val="30"/>
                <w:sz w:val="24"/>
              </w:rPr>
              <w:t>  </w:t>
            </w:r>
            <w:r>
              <w:rPr>
                <w:sz w:val="24"/>
              </w:rPr>
              <w:t>Higher </w:t>
            </w:r>
            <w:r>
              <w:rPr>
                <w:spacing w:val="-2"/>
                <w:sz w:val="24"/>
              </w:rPr>
              <w:t>Education</w:t>
            </w:r>
          </w:p>
        </w:tc>
        <w:tc>
          <w:tcPr>
            <w:tcW w:w="843" w:type="dxa"/>
            <w:tcBorders>
              <w:top w:val="single" w:sz="12" w:space="0" w:color="808080"/>
            </w:tcBorders>
          </w:tcPr>
          <w:p>
            <w:pPr>
              <w:pStyle w:val="TableParagraph"/>
              <w:rPr>
                <w:sz w:val="24"/>
              </w:rPr>
            </w:pPr>
          </w:p>
        </w:tc>
        <w:tc>
          <w:tcPr>
            <w:tcW w:w="934" w:type="dxa"/>
            <w:tcBorders>
              <w:top w:val="single" w:sz="12" w:space="0" w:color="808080"/>
            </w:tcBorders>
          </w:tcPr>
          <w:p>
            <w:pPr>
              <w:pStyle w:val="TableParagraph"/>
              <w:rPr>
                <w:sz w:val="24"/>
              </w:rPr>
            </w:pPr>
          </w:p>
        </w:tc>
        <w:tc>
          <w:tcPr>
            <w:tcW w:w="918" w:type="dxa"/>
            <w:tcBorders>
              <w:top w:val="single" w:sz="12" w:space="0" w:color="808080"/>
            </w:tcBorders>
          </w:tcPr>
          <w:p>
            <w:pPr>
              <w:pStyle w:val="TableParagraph"/>
              <w:rPr>
                <w:sz w:val="24"/>
              </w:rPr>
            </w:pPr>
          </w:p>
        </w:tc>
        <w:tc>
          <w:tcPr>
            <w:tcW w:w="1375" w:type="dxa"/>
            <w:tcBorders>
              <w:top w:val="single" w:sz="12" w:space="0" w:color="808080"/>
            </w:tcBorders>
          </w:tcPr>
          <w:p>
            <w:pPr>
              <w:pStyle w:val="TableParagraph"/>
              <w:rPr>
                <w:sz w:val="24"/>
              </w:rPr>
            </w:pPr>
          </w:p>
        </w:tc>
        <w:tc>
          <w:tcPr>
            <w:tcW w:w="1960" w:type="dxa"/>
            <w:tcBorders>
              <w:top w:val="single" w:sz="12" w:space="0" w:color="808080"/>
            </w:tcBorders>
          </w:tcPr>
          <w:p>
            <w:pPr>
              <w:pStyle w:val="TableParagraph"/>
              <w:rPr>
                <w:sz w:val="24"/>
              </w:rPr>
            </w:pPr>
          </w:p>
        </w:tc>
      </w:tr>
      <w:tr>
        <w:trPr>
          <w:trHeight w:val="413" w:hRule="atLeast"/>
        </w:trPr>
        <w:tc>
          <w:tcPr>
            <w:tcW w:w="2615" w:type="dxa"/>
          </w:tcPr>
          <w:p>
            <w:pPr>
              <w:pStyle w:val="TableParagraph"/>
              <w:spacing w:line="261" w:lineRule="exact" w:before="133"/>
              <w:ind w:left="-2"/>
              <w:rPr>
                <w:sz w:val="24"/>
              </w:rPr>
            </w:pPr>
            <w:r>
              <w:rPr>
                <w:sz w:val="24"/>
              </w:rPr>
              <w:t>1. University </w:t>
            </w:r>
            <w:r>
              <w:rPr>
                <w:spacing w:val="-2"/>
                <w:sz w:val="24"/>
              </w:rPr>
              <w:t>departments</w:t>
            </w:r>
          </w:p>
        </w:tc>
        <w:tc>
          <w:tcPr>
            <w:tcW w:w="843" w:type="dxa"/>
          </w:tcPr>
          <w:p>
            <w:pPr>
              <w:pStyle w:val="TableParagraph"/>
              <w:spacing w:line="261" w:lineRule="exact" w:before="133"/>
              <w:ind w:left="131"/>
              <w:rPr>
                <w:sz w:val="24"/>
              </w:rPr>
            </w:pPr>
            <w:r>
              <w:rPr>
                <w:spacing w:val="-2"/>
                <w:sz w:val="24"/>
              </w:rPr>
              <w:t>3,759</w:t>
            </w:r>
          </w:p>
        </w:tc>
        <w:tc>
          <w:tcPr>
            <w:tcW w:w="934" w:type="dxa"/>
          </w:tcPr>
          <w:p>
            <w:pPr>
              <w:pStyle w:val="TableParagraph"/>
              <w:spacing w:line="261" w:lineRule="exact" w:before="133"/>
              <w:ind w:left="188"/>
              <w:rPr>
                <w:sz w:val="24"/>
              </w:rPr>
            </w:pPr>
            <w:r>
              <w:rPr>
                <w:spacing w:val="-2"/>
                <w:sz w:val="24"/>
              </w:rPr>
              <w:t>5,456</w:t>
            </w:r>
          </w:p>
        </w:tc>
        <w:tc>
          <w:tcPr>
            <w:tcW w:w="918" w:type="dxa"/>
          </w:tcPr>
          <w:p>
            <w:pPr>
              <w:pStyle w:val="TableParagraph"/>
              <w:spacing w:line="261" w:lineRule="exact" w:before="133"/>
              <w:ind w:left="186"/>
              <w:rPr>
                <w:sz w:val="24"/>
              </w:rPr>
            </w:pPr>
            <w:r>
              <w:rPr>
                <w:spacing w:val="-2"/>
                <w:sz w:val="24"/>
              </w:rPr>
              <w:t>5,475</w:t>
            </w:r>
          </w:p>
        </w:tc>
        <w:tc>
          <w:tcPr>
            <w:tcW w:w="1375" w:type="dxa"/>
          </w:tcPr>
          <w:p>
            <w:pPr>
              <w:pStyle w:val="TableParagraph"/>
              <w:spacing w:line="261" w:lineRule="exact" w:before="133"/>
              <w:ind w:left="184"/>
              <w:rPr>
                <w:sz w:val="24"/>
              </w:rPr>
            </w:pPr>
            <w:r>
              <w:rPr>
                <w:spacing w:val="-2"/>
                <w:sz w:val="24"/>
              </w:rPr>
              <w:t>6,500</w:t>
            </w:r>
          </w:p>
        </w:tc>
        <w:tc>
          <w:tcPr>
            <w:tcW w:w="1960" w:type="dxa"/>
          </w:tcPr>
          <w:p>
            <w:pPr>
              <w:pStyle w:val="TableParagraph"/>
              <w:spacing w:line="261" w:lineRule="exact" w:before="133"/>
              <w:ind w:left="641"/>
              <w:rPr>
                <w:sz w:val="24"/>
              </w:rPr>
            </w:pPr>
            <w:r>
              <w:rPr>
                <w:spacing w:val="-2"/>
                <w:sz w:val="24"/>
              </w:rPr>
              <w:t>3,939</w:t>
            </w:r>
          </w:p>
        </w:tc>
      </w:tr>
      <w:tr>
        <w:trPr>
          <w:trHeight w:val="552" w:hRule="atLeast"/>
        </w:trPr>
        <w:tc>
          <w:tcPr>
            <w:tcW w:w="2615" w:type="dxa"/>
          </w:tcPr>
          <w:p>
            <w:pPr>
              <w:pStyle w:val="TableParagraph"/>
              <w:spacing w:line="261" w:lineRule="exact" w:before="271"/>
              <w:ind w:left="-2"/>
              <w:rPr>
                <w:sz w:val="24"/>
              </w:rPr>
            </w:pPr>
            <w:r>
              <w:rPr>
                <w:sz w:val="24"/>
              </w:rPr>
              <w:t>2.</w:t>
            </w:r>
            <w:r>
              <w:rPr>
                <w:spacing w:val="-1"/>
                <w:sz w:val="24"/>
              </w:rPr>
              <w:t> </w:t>
            </w:r>
            <w:r>
              <w:rPr>
                <w:sz w:val="24"/>
              </w:rPr>
              <w:t>Colleges</w:t>
            </w:r>
            <w:r>
              <w:rPr>
                <w:spacing w:val="-1"/>
                <w:sz w:val="24"/>
              </w:rPr>
              <w:t> </w:t>
            </w:r>
            <w:r>
              <w:rPr>
                <w:sz w:val="24"/>
              </w:rPr>
              <w:t>of</w:t>
            </w:r>
            <w:r>
              <w:rPr>
                <w:spacing w:val="-1"/>
                <w:sz w:val="24"/>
              </w:rPr>
              <w:t> </w:t>
            </w:r>
            <w:r>
              <w:rPr>
                <w:spacing w:val="-4"/>
                <w:sz w:val="24"/>
              </w:rPr>
              <w:t>arts</w:t>
            </w: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203"/>
              <w:rPr>
                <w:sz w:val="24"/>
              </w:rPr>
            </w:pPr>
            <w:r>
              <w:rPr>
                <w:spacing w:val="-2"/>
                <w:sz w:val="24"/>
              </w:rPr>
              <w:t>(145)</w:t>
            </w:r>
          </w:p>
        </w:tc>
        <w:tc>
          <w:tcPr>
            <w:tcW w:w="918" w:type="dxa"/>
          </w:tcPr>
          <w:p>
            <w:pPr>
              <w:pStyle w:val="TableParagraph"/>
              <w:spacing w:line="271" w:lineRule="exact"/>
              <w:ind w:left="187"/>
              <w:rPr>
                <w:sz w:val="24"/>
              </w:rPr>
            </w:pPr>
            <w:r>
              <w:rPr>
                <w:spacing w:val="-2"/>
                <w:sz w:val="24"/>
              </w:rPr>
              <w:t>(146)</w:t>
            </w:r>
          </w:p>
        </w:tc>
        <w:tc>
          <w:tcPr>
            <w:tcW w:w="1375" w:type="dxa"/>
          </w:tcPr>
          <w:p>
            <w:pPr>
              <w:pStyle w:val="TableParagraph"/>
              <w:spacing w:line="271" w:lineRule="exact"/>
              <w:ind w:left="184"/>
              <w:rPr>
                <w:sz w:val="24"/>
              </w:rPr>
            </w:pPr>
            <w:r>
              <w:rPr>
                <w:spacing w:val="-2"/>
                <w:sz w:val="24"/>
              </w:rPr>
              <w:t>(173)</w:t>
            </w:r>
          </w:p>
        </w:tc>
        <w:tc>
          <w:tcPr>
            <w:tcW w:w="1960" w:type="dxa"/>
          </w:tcPr>
          <w:p>
            <w:pPr>
              <w:pStyle w:val="TableParagraph"/>
              <w:spacing w:line="271" w:lineRule="exact"/>
              <w:ind w:left="640"/>
              <w:rPr>
                <w:sz w:val="24"/>
              </w:rPr>
            </w:pPr>
            <w:r>
              <w:rPr>
                <w:spacing w:val="-2"/>
                <w:sz w:val="24"/>
              </w:rPr>
              <w:t>(105)</w:t>
            </w:r>
          </w:p>
        </w:tc>
      </w:tr>
      <w:tr>
        <w:trPr>
          <w:trHeight w:val="275" w:hRule="atLeast"/>
        </w:trPr>
        <w:tc>
          <w:tcPr>
            <w:tcW w:w="2615" w:type="dxa"/>
          </w:tcPr>
          <w:p>
            <w:pPr>
              <w:pStyle w:val="TableParagraph"/>
              <w:spacing w:line="256" w:lineRule="exact"/>
              <w:ind w:left="-2"/>
              <w:rPr>
                <w:sz w:val="24"/>
              </w:rPr>
            </w:pPr>
            <w:r>
              <w:rPr>
                <w:sz w:val="24"/>
              </w:rPr>
              <w:t>and</w:t>
            </w:r>
            <w:r>
              <w:rPr>
                <w:spacing w:val="-1"/>
                <w:sz w:val="24"/>
              </w:rPr>
              <w:t> </w:t>
            </w:r>
            <w:r>
              <w:rPr>
                <w:spacing w:val="-2"/>
                <w:sz w:val="24"/>
              </w:rPr>
              <w:t>science</w:t>
            </w:r>
          </w:p>
        </w:tc>
        <w:tc>
          <w:tcPr>
            <w:tcW w:w="843" w:type="dxa"/>
          </w:tcPr>
          <w:p>
            <w:pPr>
              <w:pStyle w:val="TableParagraph"/>
              <w:spacing w:line="256" w:lineRule="exact"/>
              <w:ind w:left="131"/>
              <w:rPr>
                <w:sz w:val="24"/>
              </w:rPr>
            </w:pPr>
            <w:r>
              <w:rPr>
                <w:spacing w:val="-2"/>
                <w:sz w:val="24"/>
              </w:rPr>
              <w:t>2,696</w:t>
            </w:r>
          </w:p>
        </w:tc>
        <w:tc>
          <w:tcPr>
            <w:tcW w:w="934" w:type="dxa"/>
          </w:tcPr>
          <w:p>
            <w:pPr>
              <w:pStyle w:val="TableParagraph"/>
              <w:spacing w:line="256" w:lineRule="exact"/>
              <w:ind w:left="204"/>
              <w:rPr>
                <w:sz w:val="24"/>
              </w:rPr>
            </w:pPr>
            <w:r>
              <w:rPr>
                <w:spacing w:val="-2"/>
                <w:sz w:val="24"/>
              </w:rPr>
              <w:t>3,070</w:t>
            </w:r>
          </w:p>
        </w:tc>
        <w:tc>
          <w:tcPr>
            <w:tcW w:w="918" w:type="dxa"/>
          </w:tcPr>
          <w:p>
            <w:pPr>
              <w:pStyle w:val="TableParagraph"/>
              <w:spacing w:line="256" w:lineRule="exact"/>
              <w:ind w:left="187"/>
              <w:rPr>
                <w:sz w:val="24"/>
              </w:rPr>
            </w:pPr>
            <w:r>
              <w:rPr>
                <w:spacing w:val="-2"/>
                <w:sz w:val="24"/>
              </w:rPr>
              <w:t>3,659</w:t>
            </w:r>
          </w:p>
        </w:tc>
        <w:tc>
          <w:tcPr>
            <w:tcW w:w="1375" w:type="dxa"/>
          </w:tcPr>
          <w:p>
            <w:pPr>
              <w:pStyle w:val="TableParagraph"/>
              <w:spacing w:line="256" w:lineRule="exact"/>
              <w:ind w:left="185"/>
              <w:rPr>
                <w:sz w:val="24"/>
              </w:rPr>
            </w:pPr>
            <w:r>
              <w:rPr>
                <w:spacing w:val="-2"/>
                <w:sz w:val="24"/>
              </w:rPr>
              <w:t>4,000</w:t>
            </w:r>
          </w:p>
        </w:tc>
        <w:tc>
          <w:tcPr>
            <w:tcW w:w="1960" w:type="dxa"/>
          </w:tcPr>
          <w:p>
            <w:pPr>
              <w:pStyle w:val="TableParagraph"/>
              <w:spacing w:line="256" w:lineRule="exact"/>
              <w:ind w:left="642"/>
              <w:rPr>
                <w:sz w:val="24"/>
              </w:rPr>
            </w:pPr>
            <w:r>
              <w:rPr>
                <w:spacing w:val="-2"/>
                <w:sz w:val="24"/>
              </w:rPr>
              <w:t>2,424</w:t>
            </w:r>
          </w:p>
        </w:tc>
      </w:tr>
      <w:tr>
        <w:trPr>
          <w:trHeight w:val="552" w:hRule="atLeast"/>
        </w:trPr>
        <w:tc>
          <w:tcPr>
            <w:tcW w:w="2615" w:type="dxa"/>
          </w:tcPr>
          <w:p>
            <w:pPr>
              <w:pStyle w:val="TableParagraph"/>
              <w:spacing w:line="261" w:lineRule="exact" w:before="271"/>
              <w:ind w:left="-2"/>
              <w:rPr>
                <w:sz w:val="24"/>
              </w:rPr>
            </w:pPr>
            <w:r>
              <w:rPr>
                <w:sz w:val="24"/>
              </w:rPr>
              <w:t>3. </w:t>
            </w:r>
            <w:r>
              <w:rPr>
                <w:spacing w:val="-2"/>
                <w:sz w:val="24"/>
              </w:rPr>
              <w:t>Professional</w:t>
            </w: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203"/>
              <w:rPr>
                <w:sz w:val="24"/>
              </w:rPr>
            </w:pPr>
            <w:r>
              <w:rPr>
                <w:spacing w:val="-2"/>
                <w:sz w:val="24"/>
              </w:rPr>
              <w:t>(114)</w:t>
            </w:r>
          </w:p>
        </w:tc>
        <w:tc>
          <w:tcPr>
            <w:tcW w:w="918" w:type="dxa"/>
          </w:tcPr>
          <w:p>
            <w:pPr>
              <w:pStyle w:val="TableParagraph"/>
              <w:spacing w:line="271" w:lineRule="exact"/>
              <w:ind w:left="187"/>
              <w:rPr>
                <w:sz w:val="24"/>
              </w:rPr>
            </w:pPr>
            <w:r>
              <w:rPr>
                <w:spacing w:val="-2"/>
                <w:sz w:val="24"/>
              </w:rPr>
              <w:t>(136)</w:t>
            </w:r>
          </w:p>
        </w:tc>
        <w:tc>
          <w:tcPr>
            <w:tcW w:w="1375" w:type="dxa"/>
          </w:tcPr>
          <w:p>
            <w:pPr>
              <w:pStyle w:val="TableParagraph"/>
              <w:spacing w:line="271" w:lineRule="exact"/>
              <w:ind w:left="184"/>
              <w:rPr>
                <w:sz w:val="24"/>
              </w:rPr>
            </w:pPr>
            <w:r>
              <w:rPr>
                <w:spacing w:val="-2"/>
                <w:sz w:val="24"/>
              </w:rPr>
              <w:t>(148)</w:t>
            </w:r>
          </w:p>
        </w:tc>
        <w:tc>
          <w:tcPr>
            <w:tcW w:w="1960" w:type="dxa"/>
          </w:tcPr>
          <w:p>
            <w:pPr>
              <w:pStyle w:val="TableParagraph"/>
              <w:spacing w:line="271" w:lineRule="exact"/>
              <w:ind w:left="640"/>
              <w:rPr>
                <w:sz w:val="24"/>
              </w:rPr>
            </w:pPr>
            <w:r>
              <w:rPr>
                <w:spacing w:val="-4"/>
                <w:sz w:val="24"/>
              </w:rPr>
              <w:t>(90)</w:t>
            </w:r>
          </w:p>
        </w:tc>
      </w:tr>
      <w:tr>
        <w:trPr>
          <w:trHeight w:val="276" w:hRule="atLeast"/>
        </w:trPr>
        <w:tc>
          <w:tcPr>
            <w:tcW w:w="2615" w:type="dxa"/>
          </w:tcPr>
          <w:p>
            <w:pPr>
              <w:pStyle w:val="TableParagraph"/>
              <w:spacing w:line="256" w:lineRule="exact"/>
              <w:ind w:left="-2"/>
              <w:rPr>
                <w:sz w:val="24"/>
              </w:rPr>
            </w:pPr>
            <w:r>
              <w:rPr>
                <w:spacing w:val="-2"/>
                <w:sz w:val="24"/>
              </w:rPr>
              <w:t>colleges</w:t>
            </w:r>
          </w:p>
        </w:tc>
        <w:tc>
          <w:tcPr>
            <w:tcW w:w="843" w:type="dxa"/>
          </w:tcPr>
          <w:p>
            <w:pPr>
              <w:pStyle w:val="TableParagraph"/>
              <w:spacing w:line="256" w:lineRule="exact"/>
              <w:ind w:left="131"/>
              <w:rPr>
                <w:sz w:val="24"/>
              </w:rPr>
            </w:pPr>
            <w:r>
              <w:rPr>
                <w:spacing w:val="-2"/>
                <w:sz w:val="24"/>
              </w:rPr>
              <w:t>3,948</w:t>
            </w:r>
          </w:p>
        </w:tc>
        <w:tc>
          <w:tcPr>
            <w:tcW w:w="934" w:type="dxa"/>
          </w:tcPr>
          <w:p>
            <w:pPr>
              <w:pStyle w:val="TableParagraph"/>
              <w:spacing w:line="256" w:lineRule="exact"/>
              <w:ind w:left="204"/>
              <w:rPr>
                <w:sz w:val="24"/>
              </w:rPr>
            </w:pPr>
            <w:r>
              <w:rPr>
                <w:spacing w:val="-2"/>
                <w:sz w:val="24"/>
              </w:rPr>
              <w:t>3,861</w:t>
            </w:r>
          </w:p>
        </w:tc>
        <w:tc>
          <w:tcPr>
            <w:tcW w:w="918" w:type="dxa"/>
          </w:tcPr>
          <w:p>
            <w:pPr>
              <w:pStyle w:val="TableParagraph"/>
              <w:spacing w:line="256" w:lineRule="exact"/>
              <w:ind w:left="186"/>
              <w:rPr>
                <w:sz w:val="24"/>
              </w:rPr>
            </w:pPr>
            <w:r>
              <w:rPr>
                <w:spacing w:val="-2"/>
                <w:sz w:val="24"/>
              </w:rPr>
              <w:t>4,237</w:t>
            </w:r>
          </w:p>
        </w:tc>
        <w:tc>
          <w:tcPr>
            <w:tcW w:w="1375" w:type="dxa"/>
          </w:tcPr>
          <w:p>
            <w:pPr>
              <w:pStyle w:val="TableParagraph"/>
              <w:spacing w:line="256" w:lineRule="exact"/>
              <w:ind w:left="184"/>
              <w:rPr>
                <w:sz w:val="24"/>
              </w:rPr>
            </w:pPr>
            <w:r>
              <w:rPr>
                <w:spacing w:val="-2"/>
                <w:sz w:val="24"/>
              </w:rPr>
              <w:t>6,410</w:t>
            </w:r>
          </w:p>
        </w:tc>
        <w:tc>
          <w:tcPr>
            <w:tcW w:w="1960" w:type="dxa"/>
          </w:tcPr>
          <w:p>
            <w:pPr>
              <w:pStyle w:val="TableParagraph"/>
              <w:spacing w:line="256" w:lineRule="exact"/>
              <w:ind w:left="641"/>
              <w:rPr>
                <w:sz w:val="24"/>
              </w:rPr>
            </w:pPr>
            <w:r>
              <w:rPr>
                <w:spacing w:val="-2"/>
                <w:sz w:val="24"/>
              </w:rPr>
              <w:t>3,885</w:t>
            </w:r>
          </w:p>
        </w:tc>
      </w:tr>
      <w:tr>
        <w:trPr>
          <w:trHeight w:val="413" w:hRule="atLeast"/>
        </w:trPr>
        <w:tc>
          <w:tcPr>
            <w:tcW w:w="2615" w:type="dxa"/>
          </w:tcPr>
          <w:p>
            <w:pPr>
              <w:pStyle w:val="TableParagraph"/>
              <w:rPr>
                <w:sz w:val="24"/>
              </w:rPr>
            </w:pP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203"/>
              <w:rPr>
                <w:sz w:val="24"/>
              </w:rPr>
            </w:pPr>
            <w:r>
              <w:rPr>
                <w:spacing w:val="-4"/>
                <w:sz w:val="24"/>
              </w:rPr>
              <w:t>(98)</w:t>
            </w:r>
          </w:p>
        </w:tc>
        <w:tc>
          <w:tcPr>
            <w:tcW w:w="918" w:type="dxa"/>
          </w:tcPr>
          <w:p>
            <w:pPr>
              <w:pStyle w:val="TableParagraph"/>
              <w:spacing w:line="271" w:lineRule="exact"/>
              <w:ind w:left="185"/>
              <w:rPr>
                <w:sz w:val="24"/>
              </w:rPr>
            </w:pPr>
            <w:r>
              <w:rPr>
                <w:spacing w:val="-2"/>
                <w:sz w:val="24"/>
              </w:rPr>
              <w:t>(107)</w:t>
            </w:r>
          </w:p>
        </w:tc>
        <w:tc>
          <w:tcPr>
            <w:tcW w:w="1375" w:type="dxa"/>
          </w:tcPr>
          <w:p>
            <w:pPr>
              <w:pStyle w:val="TableParagraph"/>
              <w:spacing w:line="271" w:lineRule="exact"/>
              <w:ind w:left="184"/>
              <w:rPr>
                <w:sz w:val="24"/>
              </w:rPr>
            </w:pPr>
            <w:r>
              <w:rPr>
                <w:spacing w:val="-2"/>
                <w:sz w:val="24"/>
              </w:rPr>
              <w:t>(162)</w:t>
            </w:r>
          </w:p>
        </w:tc>
        <w:tc>
          <w:tcPr>
            <w:tcW w:w="1960" w:type="dxa"/>
          </w:tcPr>
          <w:p>
            <w:pPr>
              <w:pStyle w:val="TableParagraph"/>
              <w:spacing w:line="271" w:lineRule="exact"/>
              <w:ind w:left="640"/>
              <w:rPr>
                <w:sz w:val="24"/>
              </w:rPr>
            </w:pPr>
            <w:r>
              <w:rPr>
                <w:spacing w:val="-4"/>
                <w:sz w:val="24"/>
              </w:rPr>
              <w:t>(98)</w:t>
            </w:r>
          </w:p>
        </w:tc>
      </w:tr>
      <w:tr>
        <w:trPr>
          <w:trHeight w:val="690" w:hRule="atLeast"/>
        </w:trPr>
        <w:tc>
          <w:tcPr>
            <w:tcW w:w="2615" w:type="dxa"/>
          </w:tcPr>
          <w:p>
            <w:pPr>
              <w:pStyle w:val="TableParagraph"/>
              <w:spacing w:before="133"/>
              <w:ind w:left="-2"/>
              <w:rPr>
                <w:sz w:val="24"/>
              </w:rPr>
            </w:pPr>
            <w:r>
              <w:rPr>
                <w:sz w:val="24"/>
              </w:rPr>
              <w:t>B. </w:t>
            </w:r>
            <w:r>
              <w:rPr>
                <w:spacing w:val="-2"/>
                <w:sz w:val="24"/>
              </w:rPr>
              <w:t>Schools</w:t>
            </w:r>
          </w:p>
          <w:p>
            <w:pPr>
              <w:pStyle w:val="TableParagraph"/>
              <w:spacing w:line="261" w:lineRule="exact"/>
              <w:ind w:left="-2"/>
              <w:rPr>
                <w:sz w:val="24"/>
              </w:rPr>
            </w:pPr>
            <w:r>
              <w:rPr>
                <w:sz w:val="24"/>
              </w:rPr>
              <w:t>4. Secondary </w:t>
            </w:r>
            <w:r>
              <w:rPr>
                <w:spacing w:val="-2"/>
                <w:sz w:val="24"/>
              </w:rPr>
              <w:t>schools1</w:t>
            </w:r>
          </w:p>
        </w:tc>
        <w:tc>
          <w:tcPr>
            <w:tcW w:w="843" w:type="dxa"/>
          </w:tcPr>
          <w:p>
            <w:pPr>
              <w:pStyle w:val="TableParagraph"/>
              <w:spacing w:before="132"/>
              <w:rPr>
                <w:sz w:val="24"/>
              </w:rPr>
            </w:pPr>
          </w:p>
          <w:p>
            <w:pPr>
              <w:pStyle w:val="TableParagraph"/>
              <w:spacing w:line="261" w:lineRule="exact" w:before="1"/>
              <w:ind w:left="131"/>
              <w:rPr>
                <w:sz w:val="24"/>
              </w:rPr>
            </w:pPr>
            <w:r>
              <w:rPr>
                <w:spacing w:val="-5"/>
                <w:sz w:val="24"/>
              </w:rPr>
              <w:t>258</w:t>
            </w:r>
          </w:p>
        </w:tc>
        <w:tc>
          <w:tcPr>
            <w:tcW w:w="934" w:type="dxa"/>
          </w:tcPr>
          <w:p>
            <w:pPr>
              <w:pStyle w:val="TableParagraph"/>
              <w:spacing w:before="132"/>
              <w:rPr>
                <w:sz w:val="24"/>
              </w:rPr>
            </w:pPr>
          </w:p>
          <w:p>
            <w:pPr>
              <w:pStyle w:val="TableParagraph"/>
              <w:spacing w:line="261" w:lineRule="exact" w:before="1"/>
              <w:ind w:left="204"/>
              <w:rPr>
                <w:sz w:val="24"/>
              </w:rPr>
            </w:pPr>
            <w:r>
              <w:rPr>
                <w:spacing w:val="-2"/>
                <w:sz w:val="24"/>
              </w:rPr>
              <w:t>1,427</w:t>
            </w:r>
          </w:p>
        </w:tc>
        <w:tc>
          <w:tcPr>
            <w:tcW w:w="918" w:type="dxa"/>
          </w:tcPr>
          <w:p>
            <w:pPr>
              <w:pStyle w:val="TableParagraph"/>
              <w:spacing w:before="132"/>
              <w:rPr>
                <w:sz w:val="24"/>
              </w:rPr>
            </w:pPr>
          </w:p>
          <w:p>
            <w:pPr>
              <w:pStyle w:val="TableParagraph"/>
              <w:spacing w:line="261" w:lineRule="exact" w:before="1"/>
              <w:ind w:left="187"/>
              <w:rPr>
                <w:sz w:val="24"/>
              </w:rPr>
            </w:pPr>
            <w:r>
              <w:rPr>
                <w:spacing w:val="-2"/>
                <w:sz w:val="24"/>
              </w:rPr>
              <w:t>1,681</w:t>
            </w:r>
          </w:p>
        </w:tc>
        <w:tc>
          <w:tcPr>
            <w:tcW w:w="1375" w:type="dxa"/>
          </w:tcPr>
          <w:p>
            <w:pPr>
              <w:pStyle w:val="TableParagraph"/>
              <w:spacing w:before="132"/>
              <w:rPr>
                <w:sz w:val="24"/>
              </w:rPr>
            </w:pPr>
          </w:p>
          <w:p>
            <w:pPr>
              <w:pStyle w:val="TableParagraph"/>
              <w:spacing w:line="261" w:lineRule="exact" w:before="1"/>
              <w:ind w:left="184"/>
              <w:rPr>
                <w:sz w:val="24"/>
              </w:rPr>
            </w:pPr>
            <w:r>
              <w:rPr>
                <w:spacing w:val="-2"/>
                <w:sz w:val="24"/>
              </w:rPr>
              <w:t>1,959</w:t>
            </w:r>
          </w:p>
        </w:tc>
        <w:tc>
          <w:tcPr>
            <w:tcW w:w="1960" w:type="dxa"/>
          </w:tcPr>
          <w:p>
            <w:pPr>
              <w:pStyle w:val="TableParagraph"/>
              <w:spacing w:before="132"/>
              <w:rPr>
                <w:sz w:val="24"/>
              </w:rPr>
            </w:pPr>
          </w:p>
          <w:p>
            <w:pPr>
              <w:pStyle w:val="TableParagraph"/>
              <w:spacing w:line="261" w:lineRule="exact" w:before="1"/>
              <w:ind w:left="642"/>
              <w:rPr>
                <w:sz w:val="24"/>
              </w:rPr>
            </w:pPr>
            <w:r>
              <w:rPr>
                <w:spacing w:val="-2"/>
                <w:sz w:val="24"/>
              </w:rPr>
              <w:t>1,187</w:t>
            </w:r>
          </w:p>
        </w:tc>
      </w:tr>
      <w:tr>
        <w:trPr>
          <w:trHeight w:val="551" w:hRule="atLeast"/>
        </w:trPr>
        <w:tc>
          <w:tcPr>
            <w:tcW w:w="2615" w:type="dxa"/>
          </w:tcPr>
          <w:p>
            <w:pPr>
              <w:pStyle w:val="TableParagraph"/>
              <w:spacing w:line="260" w:lineRule="exact" w:before="271"/>
              <w:ind w:left="-2"/>
              <w:rPr>
                <w:sz w:val="24"/>
              </w:rPr>
            </w:pPr>
            <w:r>
              <w:rPr>
                <w:sz w:val="24"/>
              </w:rPr>
              <w:t>5. Higher </w:t>
            </w:r>
            <w:r>
              <w:rPr>
                <w:spacing w:val="-2"/>
                <w:sz w:val="24"/>
              </w:rPr>
              <w:t>primary</w:t>
            </w: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168"/>
              <w:rPr>
                <w:sz w:val="24"/>
              </w:rPr>
            </w:pPr>
            <w:r>
              <w:rPr>
                <w:spacing w:val="-2"/>
                <w:sz w:val="24"/>
              </w:rPr>
              <w:t>(113)</w:t>
            </w:r>
          </w:p>
        </w:tc>
        <w:tc>
          <w:tcPr>
            <w:tcW w:w="918" w:type="dxa"/>
          </w:tcPr>
          <w:p>
            <w:pPr>
              <w:pStyle w:val="TableParagraph"/>
              <w:spacing w:line="271" w:lineRule="exact"/>
              <w:ind w:left="187"/>
              <w:rPr>
                <w:sz w:val="24"/>
              </w:rPr>
            </w:pPr>
            <w:r>
              <w:rPr>
                <w:spacing w:val="-2"/>
                <w:sz w:val="24"/>
              </w:rPr>
              <w:t>(134)</w:t>
            </w:r>
          </w:p>
        </w:tc>
        <w:tc>
          <w:tcPr>
            <w:tcW w:w="1375" w:type="dxa"/>
          </w:tcPr>
          <w:p>
            <w:pPr>
              <w:pStyle w:val="TableParagraph"/>
              <w:spacing w:line="271" w:lineRule="exact"/>
              <w:ind w:left="184"/>
              <w:rPr>
                <w:sz w:val="24"/>
              </w:rPr>
            </w:pPr>
            <w:r>
              <w:rPr>
                <w:spacing w:val="-2"/>
                <w:sz w:val="24"/>
              </w:rPr>
              <w:t>(156)</w:t>
            </w:r>
          </w:p>
        </w:tc>
        <w:tc>
          <w:tcPr>
            <w:tcW w:w="1960" w:type="dxa"/>
          </w:tcPr>
          <w:p>
            <w:pPr>
              <w:pStyle w:val="TableParagraph"/>
              <w:spacing w:line="271" w:lineRule="exact"/>
              <w:ind w:left="640"/>
              <w:rPr>
                <w:sz w:val="24"/>
              </w:rPr>
            </w:pPr>
            <w:r>
              <w:rPr>
                <w:spacing w:val="-4"/>
                <w:sz w:val="24"/>
              </w:rPr>
              <w:t>(94)</w:t>
            </w:r>
          </w:p>
        </w:tc>
      </w:tr>
      <w:tr>
        <w:trPr>
          <w:trHeight w:val="270" w:hRule="atLeast"/>
        </w:trPr>
        <w:tc>
          <w:tcPr>
            <w:tcW w:w="2615" w:type="dxa"/>
          </w:tcPr>
          <w:p>
            <w:pPr>
              <w:pStyle w:val="TableParagraph"/>
              <w:spacing w:line="250" w:lineRule="exact"/>
              <w:ind w:left="-2"/>
              <w:rPr>
                <w:sz w:val="24"/>
              </w:rPr>
            </w:pPr>
            <w:r>
              <w:rPr>
                <w:spacing w:val="-2"/>
                <w:sz w:val="24"/>
              </w:rPr>
              <w:t>schools</w:t>
            </w:r>
          </w:p>
        </w:tc>
        <w:tc>
          <w:tcPr>
            <w:tcW w:w="843" w:type="dxa"/>
          </w:tcPr>
          <w:p>
            <w:pPr>
              <w:pStyle w:val="TableParagraph"/>
              <w:spacing w:line="250" w:lineRule="exact"/>
              <w:ind w:left="131"/>
              <w:rPr>
                <w:sz w:val="24"/>
              </w:rPr>
            </w:pPr>
            <w:r>
              <w:rPr>
                <w:spacing w:val="-5"/>
                <w:sz w:val="24"/>
              </w:rPr>
              <w:t>682</w:t>
            </w:r>
          </w:p>
        </w:tc>
        <w:tc>
          <w:tcPr>
            <w:tcW w:w="934" w:type="dxa"/>
          </w:tcPr>
          <w:p>
            <w:pPr>
              <w:pStyle w:val="TableParagraph"/>
              <w:spacing w:line="250" w:lineRule="exact"/>
              <w:ind w:left="204"/>
              <w:rPr>
                <w:sz w:val="24"/>
              </w:rPr>
            </w:pPr>
            <w:r>
              <w:rPr>
                <w:spacing w:val="-5"/>
                <w:sz w:val="24"/>
              </w:rPr>
              <w:t>809</w:t>
            </w:r>
          </w:p>
        </w:tc>
        <w:tc>
          <w:tcPr>
            <w:tcW w:w="918" w:type="dxa"/>
          </w:tcPr>
          <w:p>
            <w:pPr>
              <w:pStyle w:val="TableParagraph"/>
              <w:spacing w:line="250" w:lineRule="exact"/>
              <w:ind w:left="186"/>
              <w:rPr>
                <w:sz w:val="24"/>
              </w:rPr>
            </w:pPr>
            <w:r>
              <w:rPr>
                <w:spacing w:val="-2"/>
                <w:sz w:val="24"/>
              </w:rPr>
              <w:t>1,058</w:t>
            </w:r>
          </w:p>
        </w:tc>
        <w:tc>
          <w:tcPr>
            <w:tcW w:w="1375" w:type="dxa"/>
          </w:tcPr>
          <w:p>
            <w:pPr>
              <w:pStyle w:val="TableParagraph"/>
              <w:spacing w:line="250" w:lineRule="exact"/>
              <w:ind w:left="184"/>
              <w:rPr>
                <w:sz w:val="24"/>
              </w:rPr>
            </w:pPr>
            <w:r>
              <w:rPr>
                <w:spacing w:val="-2"/>
                <w:sz w:val="24"/>
              </w:rPr>
              <w:t>1,228</w:t>
            </w:r>
          </w:p>
        </w:tc>
        <w:tc>
          <w:tcPr>
            <w:tcW w:w="1960" w:type="dxa"/>
          </w:tcPr>
          <w:p>
            <w:pPr>
              <w:pStyle w:val="TableParagraph"/>
              <w:spacing w:line="250" w:lineRule="exact"/>
              <w:ind w:left="641"/>
              <w:rPr>
                <w:sz w:val="24"/>
              </w:rPr>
            </w:pPr>
            <w:r>
              <w:rPr>
                <w:spacing w:val="-5"/>
                <w:sz w:val="24"/>
              </w:rPr>
              <w:t>741</w:t>
            </w:r>
          </w:p>
        </w:tc>
      </w:tr>
      <w:tr>
        <w:trPr>
          <w:trHeight w:val="276" w:hRule="atLeast"/>
        </w:trPr>
        <w:tc>
          <w:tcPr>
            <w:tcW w:w="5310" w:type="dxa"/>
            <w:gridSpan w:val="4"/>
          </w:tcPr>
          <w:p>
            <w:pPr>
              <w:pStyle w:val="TableParagraph"/>
              <w:tabs>
                <w:tab w:pos="3721" w:val="left" w:leader="none"/>
                <w:tab w:pos="4579" w:val="left" w:leader="none"/>
              </w:tabs>
              <w:spacing w:line="246" w:lineRule="exact"/>
              <w:ind w:left="2746"/>
              <w:rPr>
                <w:sz w:val="24"/>
              </w:rPr>
            </w:pPr>
            <w:r>
              <w:rPr>
                <w:spacing w:val="-2"/>
                <w:sz w:val="24"/>
              </w:rPr>
              <w:t>(100)</w:t>
            </w:r>
            <w:r>
              <w:rPr>
                <w:sz w:val="24"/>
              </w:rPr>
              <w:tab/>
            </w:r>
            <w:r>
              <w:rPr>
                <w:spacing w:val="-2"/>
                <w:sz w:val="24"/>
              </w:rPr>
              <w:t>(119)</w:t>
            </w:r>
            <w:r>
              <w:rPr>
                <w:sz w:val="24"/>
              </w:rPr>
              <w:tab/>
            </w:r>
            <w:r>
              <w:rPr>
                <w:spacing w:val="-2"/>
                <w:sz w:val="24"/>
              </w:rPr>
              <w:t>(155)</w:t>
            </w:r>
          </w:p>
        </w:tc>
        <w:tc>
          <w:tcPr>
            <w:tcW w:w="1375" w:type="dxa"/>
          </w:tcPr>
          <w:p>
            <w:pPr>
              <w:pStyle w:val="TableParagraph"/>
              <w:spacing w:line="246" w:lineRule="exact"/>
              <w:ind w:left="184"/>
              <w:rPr>
                <w:sz w:val="24"/>
              </w:rPr>
            </w:pPr>
            <w:r>
              <w:rPr>
                <w:spacing w:val="-2"/>
                <w:sz w:val="24"/>
              </w:rPr>
              <w:t>(180)</w:t>
            </w:r>
          </w:p>
        </w:tc>
        <w:tc>
          <w:tcPr>
            <w:tcW w:w="1960" w:type="dxa"/>
          </w:tcPr>
          <w:p>
            <w:pPr>
              <w:pStyle w:val="TableParagraph"/>
              <w:spacing w:line="246" w:lineRule="exact"/>
              <w:ind w:left="640"/>
              <w:rPr>
                <w:sz w:val="24"/>
              </w:rPr>
            </w:pPr>
            <w:r>
              <w:rPr>
                <w:spacing w:val="-2"/>
                <w:sz w:val="24"/>
              </w:rPr>
              <w:t>(109)</w:t>
            </w:r>
          </w:p>
        </w:tc>
      </w:tr>
      <w:tr>
        <w:trPr>
          <w:trHeight w:val="557" w:hRule="atLeast"/>
        </w:trPr>
        <w:tc>
          <w:tcPr>
            <w:tcW w:w="2615" w:type="dxa"/>
          </w:tcPr>
          <w:p>
            <w:pPr>
              <w:pStyle w:val="TableParagraph"/>
              <w:spacing w:line="266" w:lineRule="exact"/>
              <w:ind w:left="-2"/>
              <w:rPr>
                <w:sz w:val="24"/>
              </w:rPr>
            </w:pPr>
            <w:r>
              <w:rPr>
                <w:sz w:val="24"/>
              </w:rPr>
              <w:t>6. Lower </w:t>
            </w:r>
            <w:r>
              <w:rPr>
                <w:spacing w:val="-2"/>
                <w:sz w:val="24"/>
              </w:rPr>
              <w:t>primary</w:t>
            </w:r>
          </w:p>
          <w:p>
            <w:pPr>
              <w:pStyle w:val="TableParagraph"/>
              <w:spacing w:line="261" w:lineRule="exact"/>
              <w:ind w:left="-2"/>
              <w:rPr>
                <w:sz w:val="24"/>
              </w:rPr>
            </w:pPr>
            <w:r>
              <w:rPr>
                <w:spacing w:val="-2"/>
                <w:sz w:val="24"/>
              </w:rPr>
              <w:t>schools</w:t>
            </w:r>
          </w:p>
        </w:tc>
        <w:tc>
          <w:tcPr>
            <w:tcW w:w="843" w:type="dxa"/>
          </w:tcPr>
          <w:p>
            <w:pPr>
              <w:pStyle w:val="TableParagraph"/>
              <w:spacing w:line="261" w:lineRule="exact" w:before="266"/>
              <w:ind w:left="131"/>
              <w:rPr>
                <w:sz w:val="24"/>
              </w:rPr>
            </w:pPr>
            <w:r>
              <w:rPr>
                <w:spacing w:val="-5"/>
                <w:sz w:val="24"/>
              </w:rPr>
              <w:t>545</w:t>
            </w:r>
          </w:p>
        </w:tc>
        <w:tc>
          <w:tcPr>
            <w:tcW w:w="934" w:type="dxa"/>
          </w:tcPr>
          <w:p>
            <w:pPr>
              <w:pStyle w:val="TableParagraph"/>
              <w:spacing w:line="261" w:lineRule="exact" w:before="266"/>
              <w:ind w:left="204"/>
              <w:rPr>
                <w:sz w:val="24"/>
              </w:rPr>
            </w:pPr>
            <w:r>
              <w:rPr>
                <w:spacing w:val="-5"/>
                <w:sz w:val="24"/>
              </w:rPr>
              <w:t>652</w:t>
            </w:r>
          </w:p>
        </w:tc>
        <w:tc>
          <w:tcPr>
            <w:tcW w:w="918" w:type="dxa"/>
          </w:tcPr>
          <w:p>
            <w:pPr>
              <w:pStyle w:val="TableParagraph"/>
              <w:spacing w:line="261" w:lineRule="exact" w:before="266"/>
              <w:ind w:left="186"/>
              <w:rPr>
                <w:sz w:val="24"/>
              </w:rPr>
            </w:pPr>
            <w:r>
              <w:rPr>
                <w:spacing w:val="-5"/>
                <w:sz w:val="24"/>
              </w:rPr>
              <w:t>873</w:t>
            </w:r>
          </w:p>
        </w:tc>
        <w:tc>
          <w:tcPr>
            <w:tcW w:w="1375" w:type="dxa"/>
          </w:tcPr>
          <w:p>
            <w:pPr>
              <w:pStyle w:val="TableParagraph"/>
              <w:spacing w:line="261" w:lineRule="exact" w:before="266"/>
              <w:ind w:left="184"/>
              <w:rPr>
                <w:sz w:val="24"/>
              </w:rPr>
            </w:pPr>
            <w:r>
              <w:rPr>
                <w:spacing w:val="-2"/>
                <w:sz w:val="24"/>
              </w:rPr>
              <w:t>1,046</w:t>
            </w:r>
          </w:p>
        </w:tc>
        <w:tc>
          <w:tcPr>
            <w:tcW w:w="1960" w:type="dxa"/>
          </w:tcPr>
          <w:p>
            <w:pPr>
              <w:pStyle w:val="TableParagraph"/>
              <w:spacing w:line="261" w:lineRule="exact" w:before="266"/>
              <w:ind w:left="641"/>
              <w:rPr>
                <w:sz w:val="24"/>
              </w:rPr>
            </w:pPr>
            <w:r>
              <w:rPr>
                <w:spacing w:val="-5"/>
                <w:sz w:val="24"/>
              </w:rPr>
              <w:t>634</w:t>
            </w:r>
          </w:p>
        </w:tc>
      </w:tr>
      <w:tr>
        <w:trPr>
          <w:trHeight w:val="552" w:hRule="atLeast"/>
        </w:trPr>
        <w:tc>
          <w:tcPr>
            <w:tcW w:w="2615" w:type="dxa"/>
          </w:tcPr>
          <w:p>
            <w:pPr>
              <w:pStyle w:val="TableParagraph"/>
              <w:spacing w:line="261" w:lineRule="exact" w:before="271"/>
              <w:ind w:left="-2"/>
              <w:rPr>
                <w:sz w:val="24"/>
              </w:rPr>
            </w:pPr>
            <w:r>
              <w:rPr>
                <w:sz w:val="24"/>
              </w:rPr>
              <w:t>7. Pre-</w:t>
            </w:r>
            <w:r>
              <w:rPr>
                <w:spacing w:val="-2"/>
                <w:sz w:val="24"/>
              </w:rPr>
              <w:t>primary</w:t>
            </w: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203"/>
              <w:rPr>
                <w:sz w:val="24"/>
              </w:rPr>
            </w:pPr>
            <w:r>
              <w:rPr>
                <w:spacing w:val="-2"/>
                <w:sz w:val="24"/>
              </w:rPr>
              <w:t>(120)</w:t>
            </w:r>
          </w:p>
        </w:tc>
        <w:tc>
          <w:tcPr>
            <w:tcW w:w="918" w:type="dxa"/>
          </w:tcPr>
          <w:p>
            <w:pPr>
              <w:pStyle w:val="TableParagraph"/>
              <w:spacing w:line="271" w:lineRule="exact"/>
              <w:ind w:left="187"/>
              <w:rPr>
                <w:sz w:val="24"/>
              </w:rPr>
            </w:pPr>
            <w:r>
              <w:rPr>
                <w:spacing w:val="-2"/>
                <w:sz w:val="24"/>
              </w:rPr>
              <w:t>(160)</w:t>
            </w:r>
          </w:p>
        </w:tc>
        <w:tc>
          <w:tcPr>
            <w:tcW w:w="1375" w:type="dxa"/>
          </w:tcPr>
          <w:p>
            <w:pPr>
              <w:pStyle w:val="TableParagraph"/>
              <w:spacing w:line="271" w:lineRule="exact"/>
              <w:ind w:left="184"/>
              <w:rPr>
                <w:sz w:val="24"/>
              </w:rPr>
            </w:pPr>
            <w:r>
              <w:rPr>
                <w:spacing w:val="-2"/>
                <w:sz w:val="24"/>
              </w:rPr>
              <w:t>(192)</w:t>
            </w:r>
          </w:p>
        </w:tc>
        <w:tc>
          <w:tcPr>
            <w:tcW w:w="1960" w:type="dxa"/>
          </w:tcPr>
          <w:p>
            <w:pPr>
              <w:pStyle w:val="TableParagraph"/>
              <w:spacing w:line="271" w:lineRule="exact"/>
              <w:ind w:left="640"/>
              <w:rPr>
                <w:sz w:val="24"/>
              </w:rPr>
            </w:pPr>
            <w:r>
              <w:rPr>
                <w:spacing w:val="-2"/>
                <w:sz w:val="24"/>
              </w:rPr>
              <w:t>(116)</w:t>
            </w:r>
          </w:p>
        </w:tc>
      </w:tr>
      <w:tr>
        <w:trPr>
          <w:trHeight w:val="276" w:hRule="atLeast"/>
        </w:trPr>
        <w:tc>
          <w:tcPr>
            <w:tcW w:w="2615" w:type="dxa"/>
          </w:tcPr>
          <w:p>
            <w:pPr>
              <w:pStyle w:val="TableParagraph"/>
              <w:spacing w:line="256" w:lineRule="exact"/>
              <w:ind w:left="-2"/>
              <w:rPr>
                <w:sz w:val="24"/>
              </w:rPr>
            </w:pPr>
            <w:r>
              <w:rPr>
                <w:spacing w:val="-2"/>
                <w:sz w:val="24"/>
              </w:rPr>
              <w:t>schools</w:t>
            </w:r>
          </w:p>
        </w:tc>
        <w:tc>
          <w:tcPr>
            <w:tcW w:w="843" w:type="dxa"/>
          </w:tcPr>
          <w:p>
            <w:pPr>
              <w:pStyle w:val="TableParagraph"/>
              <w:spacing w:line="256" w:lineRule="exact"/>
              <w:ind w:left="131"/>
              <w:rPr>
                <w:sz w:val="24"/>
              </w:rPr>
            </w:pPr>
            <w:r>
              <w:rPr>
                <w:spacing w:val="-5"/>
                <w:sz w:val="24"/>
              </w:rPr>
              <w:t>914</w:t>
            </w:r>
          </w:p>
        </w:tc>
        <w:tc>
          <w:tcPr>
            <w:tcW w:w="934" w:type="dxa"/>
          </w:tcPr>
          <w:p>
            <w:pPr>
              <w:pStyle w:val="TableParagraph"/>
              <w:spacing w:line="256" w:lineRule="exact"/>
              <w:ind w:left="204"/>
              <w:rPr>
                <w:sz w:val="24"/>
              </w:rPr>
            </w:pPr>
            <w:r>
              <w:rPr>
                <w:spacing w:val="-5"/>
                <w:sz w:val="24"/>
              </w:rPr>
              <w:t>770</w:t>
            </w:r>
          </w:p>
        </w:tc>
        <w:tc>
          <w:tcPr>
            <w:tcW w:w="918" w:type="dxa"/>
          </w:tcPr>
          <w:p>
            <w:pPr>
              <w:pStyle w:val="TableParagraph"/>
              <w:spacing w:line="256" w:lineRule="exact"/>
              <w:ind w:left="186"/>
              <w:rPr>
                <w:sz w:val="24"/>
              </w:rPr>
            </w:pPr>
            <w:r>
              <w:rPr>
                <w:spacing w:val="-5"/>
                <w:sz w:val="24"/>
              </w:rPr>
              <w:t>925</w:t>
            </w:r>
          </w:p>
        </w:tc>
        <w:tc>
          <w:tcPr>
            <w:tcW w:w="1375" w:type="dxa"/>
          </w:tcPr>
          <w:p>
            <w:pPr>
              <w:pStyle w:val="TableParagraph"/>
              <w:spacing w:line="256" w:lineRule="exact"/>
              <w:ind w:left="184"/>
              <w:rPr>
                <w:sz w:val="24"/>
              </w:rPr>
            </w:pPr>
            <w:r>
              <w:rPr>
                <w:spacing w:val="-2"/>
                <w:sz w:val="24"/>
              </w:rPr>
              <w:t>1,083</w:t>
            </w:r>
          </w:p>
        </w:tc>
        <w:tc>
          <w:tcPr>
            <w:tcW w:w="1960" w:type="dxa"/>
          </w:tcPr>
          <w:p>
            <w:pPr>
              <w:pStyle w:val="TableParagraph"/>
              <w:spacing w:line="256" w:lineRule="exact"/>
              <w:ind w:left="641"/>
              <w:rPr>
                <w:sz w:val="24"/>
              </w:rPr>
            </w:pPr>
            <w:r>
              <w:rPr>
                <w:spacing w:val="-5"/>
                <w:sz w:val="24"/>
              </w:rPr>
              <w:t>656</w:t>
            </w:r>
          </w:p>
        </w:tc>
      </w:tr>
      <w:tr>
        <w:trPr>
          <w:trHeight w:val="551" w:hRule="atLeast"/>
        </w:trPr>
        <w:tc>
          <w:tcPr>
            <w:tcW w:w="2615" w:type="dxa"/>
          </w:tcPr>
          <w:p>
            <w:pPr>
              <w:pStyle w:val="TableParagraph"/>
              <w:spacing w:line="261" w:lineRule="exact" w:before="271"/>
              <w:ind w:left="-2"/>
              <w:rPr>
                <w:sz w:val="24"/>
              </w:rPr>
            </w:pPr>
            <w:r>
              <w:rPr>
                <w:sz w:val="24"/>
              </w:rPr>
              <w:t>8. </w:t>
            </w:r>
            <w:r>
              <w:rPr>
                <w:spacing w:val="-2"/>
                <w:sz w:val="24"/>
              </w:rPr>
              <w:t>Vocational</w:t>
            </w:r>
          </w:p>
        </w:tc>
        <w:tc>
          <w:tcPr>
            <w:tcW w:w="843" w:type="dxa"/>
          </w:tcPr>
          <w:p>
            <w:pPr>
              <w:pStyle w:val="TableParagraph"/>
              <w:spacing w:line="271" w:lineRule="exact"/>
              <w:ind w:left="131"/>
              <w:rPr>
                <w:sz w:val="24"/>
              </w:rPr>
            </w:pPr>
            <w:r>
              <w:rPr>
                <w:spacing w:val="-2"/>
                <w:sz w:val="24"/>
              </w:rPr>
              <w:t>(100)</w:t>
            </w:r>
          </w:p>
        </w:tc>
        <w:tc>
          <w:tcPr>
            <w:tcW w:w="934" w:type="dxa"/>
          </w:tcPr>
          <w:p>
            <w:pPr>
              <w:pStyle w:val="TableParagraph"/>
              <w:spacing w:line="271" w:lineRule="exact"/>
              <w:ind w:left="203"/>
              <w:rPr>
                <w:sz w:val="24"/>
              </w:rPr>
            </w:pPr>
            <w:r>
              <w:rPr>
                <w:spacing w:val="-4"/>
                <w:sz w:val="24"/>
              </w:rPr>
              <w:t>(84)</w:t>
            </w:r>
          </w:p>
        </w:tc>
        <w:tc>
          <w:tcPr>
            <w:tcW w:w="918" w:type="dxa"/>
          </w:tcPr>
          <w:p>
            <w:pPr>
              <w:pStyle w:val="TableParagraph"/>
              <w:spacing w:line="271" w:lineRule="exact"/>
              <w:ind w:left="186"/>
              <w:rPr>
                <w:sz w:val="24"/>
              </w:rPr>
            </w:pPr>
            <w:r>
              <w:rPr>
                <w:spacing w:val="-2"/>
                <w:sz w:val="24"/>
              </w:rPr>
              <w:t>(101)</w:t>
            </w:r>
          </w:p>
        </w:tc>
        <w:tc>
          <w:tcPr>
            <w:tcW w:w="1375" w:type="dxa"/>
          </w:tcPr>
          <w:p>
            <w:pPr>
              <w:pStyle w:val="TableParagraph"/>
              <w:spacing w:line="271" w:lineRule="exact"/>
              <w:ind w:left="184"/>
              <w:rPr>
                <w:sz w:val="24"/>
              </w:rPr>
            </w:pPr>
            <w:r>
              <w:rPr>
                <w:spacing w:val="-2"/>
                <w:sz w:val="24"/>
              </w:rPr>
              <w:t>(118)</w:t>
            </w:r>
          </w:p>
        </w:tc>
        <w:tc>
          <w:tcPr>
            <w:tcW w:w="1960" w:type="dxa"/>
          </w:tcPr>
          <w:p>
            <w:pPr>
              <w:pStyle w:val="TableParagraph"/>
              <w:spacing w:line="271" w:lineRule="exact"/>
              <w:ind w:left="640"/>
              <w:rPr>
                <w:sz w:val="24"/>
              </w:rPr>
            </w:pPr>
            <w:r>
              <w:rPr>
                <w:spacing w:val="-4"/>
                <w:sz w:val="24"/>
              </w:rPr>
              <w:t>(72)</w:t>
            </w:r>
          </w:p>
        </w:tc>
      </w:tr>
      <w:tr>
        <w:trPr>
          <w:trHeight w:val="276" w:hRule="atLeast"/>
        </w:trPr>
        <w:tc>
          <w:tcPr>
            <w:tcW w:w="2615" w:type="dxa"/>
          </w:tcPr>
          <w:p>
            <w:pPr>
              <w:pStyle w:val="TableParagraph"/>
              <w:spacing w:line="256" w:lineRule="exact"/>
              <w:ind w:left="-2"/>
              <w:rPr>
                <w:sz w:val="24"/>
              </w:rPr>
            </w:pPr>
            <w:r>
              <w:rPr>
                <w:spacing w:val="-2"/>
                <w:sz w:val="24"/>
              </w:rPr>
              <w:t>schools</w:t>
            </w:r>
          </w:p>
        </w:tc>
        <w:tc>
          <w:tcPr>
            <w:tcW w:w="843" w:type="dxa"/>
          </w:tcPr>
          <w:p>
            <w:pPr>
              <w:pStyle w:val="TableParagraph"/>
              <w:spacing w:line="256" w:lineRule="exact"/>
              <w:ind w:left="131"/>
              <w:rPr>
                <w:sz w:val="24"/>
              </w:rPr>
            </w:pPr>
            <w:r>
              <w:rPr>
                <w:spacing w:val="-2"/>
                <w:sz w:val="24"/>
              </w:rPr>
              <w:t>1,705</w:t>
            </w:r>
          </w:p>
        </w:tc>
        <w:tc>
          <w:tcPr>
            <w:tcW w:w="934" w:type="dxa"/>
          </w:tcPr>
          <w:p>
            <w:pPr>
              <w:pStyle w:val="TableParagraph"/>
              <w:spacing w:line="256" w:lineRule="exact"/>
              <w:ind w:left="203"/>
              <w:rPr>
                <w:sz w:val="24"/>
              </w:rPr>
            </w:pPr>
            <w:r>
              <w:rPr>
                <w:spacing w:val="-2"/>
                <w:sz w:val="24"/>
              </w:rPr>
              <w:t>1,569</w:t>
            </w:r>
          </w:p>
        </w:tc>
        <w:tc>
          <w:tcPr>
            <w:tcW w:w="918" w:type="dxa"/>
          </w:tcPr>
          <w:p>
            <w:pPr>
              <w:pStyle w:val="TableParagraph"/>
              <w:spacing w:line="256" w:lineRule="exact"/>
              <w:ind w:left="186"/>
              <w:rPr>
                <w:sz w:val="24"/>
              </w:rPr>
            </w:pPr>
            <w:r>
              <w:rPr>
                <w:spacing w:val="-2"/>
                <w:sz w:val="24"/>
              </w:rPr>
              <w:t>2,041</w:t>
            </w:r>
          </w:p>
        </w:tc>
        <w:tc>
          <w:tcPr>
            <w:tcW w:w="1375" w:type="dxa"/>
          </w:tcPr>
          <w:p>
            <w:pPr>
              <w:pStyle w:val="TableParagraph"/>
              <w:spacing w:line="256" w:lineRule="exact"/>
              <w:ind w:left="184"/>
              <w:rPr>
                <w:sz w:val="24"/>
              </w:rPr>
            </w:pPr>
            <w:r>
              <w:rPr>
                <w:spacing w:val="-2"/>
                <w:sz w:val="24"/>
              </w:rPr>
              <w:t>2,887</w:t>
            </w:r>
          </w:p>
        </w:tc>
        <w:tc>
          <w:tcPr>
            <w:tcW w:w="1960" w:type="dxa"/>
          </w:tcPr>
          <w:p>
            <w:pPr>
              <w:pStyle w:val="TableParagraph"/>
              <w:spacing w:line="256" w:lineRule="exact"/>
              <w:ind w:left="641"/>
              <w:rPr>
                <w:sz w:val="24"/>
              </w:rPr>
            </w:pPr>
            <w:r>
              <w:rPr>
                <w:spacing w:val="-2"/>
                <w:sz w:val="24"/>
              </w:rPr>
              <w:t>1,750</w:t>
            </w:r>
          </w:p>
        </w:tc>
      </w:tr>
      <w:tr>
        <w:trPr>
          <w:trHeight w:val="468" w:hRule="atLeast"/>
        </w:trPr>
        <w:tc>
          <w:tcPr>
            <w:tcW w:w="2615" w:type="dxa"/>
            <w:tcBorders>
              <w:bottom w:val="single" w:sz="12" w:space="0" w:color="808080"/>
            </w:tcBorders>
          </w:tcPr>
          <w:p>
            <w:pPr>
              <w:pStyle w:val="TableParagraph"/>
              <w:rPr>
                <w:sz w:val="24"/>
              </w:rPr>
            </w:pPr>
          </w:p>
        </w:tc>
        <w:tc>
          <w:tcPr>
            <w:tcW w:w="843" w:type="dxa"/>
            <w:tcBorders>
              <w:bottom w:val="single" w:sz="12" w:space="0" w:color="808080"/>
            </w:tcBorders>
          </w:tcPr>
          <w:p>
            <w:pPr>
              <w:pStyle w:val="TableParagraph"/>
              <w:spacing w:line="271" w:lineRule="exact"/>
              <w:ind w:left="131"/>
              <w:rPr>
                <w:sz w:val="24"/>
              </w:rPr>
            </w:pPr>
            <w:r>
              <w:rPr>
                <w:spacing w:val="-2"/>
                <w:sz w:val="24"/>
              </w:rPr>
              <w:t>(100)</w:t>
            </w:r>
          </w:p>
        </w:tc>
        <w:tc>
          <w:tcPr>
            <w:tcW w:w="934" w:type="dxa"/>
            <w:tcBorders>
              <w:bottom w:val="single" w:sz="12" w:space="0" w:color="808080"/>
            </w:tcBorders>
          </w:tcPr>
          <w:p>
            <w:pPr>
              <w:pStyle w:val="TableParagraph"/>
              <w:spacing w:line="271" w:lineRule="exact"/>
              <w:ind w:left="228"/>
              <w:rPr>
                <w:sz w:val="24"/>
              </w:rPr>
            </w:pPr>
            <w:r>
              <w:rPr>
                <w:spacing w:val="-4"/>
                <w:sz w:val="24"/>
              </w:rPr>
              <w:t>(92)</w:t>
            </w:r>
          </w:p>
        </w:tc>
        <w:tc>
          <w:tcPr>
            <w:tcW w:w="918" w:type="dxa"/>
            <w:tcBorders>
              <w:bottom w:val="single" w:sz="12" w:space="0" w:color="808080"/>
            </w:tcBorders>
          </w:tcPr>
          <w:p>
            <w:pPr>
              <w:pStyle w:val="TableParagraph"/>
              <w:spacing w:line="271" w:lineRule="exact"/>
              <w:ind w:left="187"/>
              <w:rPr>
                <w:sz w:val="24"/>
              </w:rPr>
            </w:pPr>
            <w:r>
              <w:rPr>
                <w:spacing w:val="-2"/>
                <w:sz w:val="24"/>
              </w:rPr>
              <w:t>(120)</w:t>
            </w:r>
          </w:p>
        </w:tc>
        <w:tc>
          <w:tcPr>
            <w:tcW w:w="1375" w:type="dxa"/>
            <w:tcBorders>
              <w:bottom w:val="single" w:sz="12" w:space="0" w:color="808080"/>
            </w:tcBorders>
          </w:tcPr>
          <w:p>
            <w:pPr>
              <w:pStyle w:val="TableParagraph"/>
              <w:spacing w:line="271" w:lineRule="exact"/>
              <w:ind w:left="184"/>
              <w:rPr>
                <w:sz w:val="24"/>
              </w:rPr>
            </w:pPr>
            <w:r>
              <w:rPr>
                <w:spacing w:val="-2"/>
                <w:sz w:val="24"/>
              </w:rPr>
              <w:t>(169)</w:t>
            </w:r>
          </w:p>
        </w:tc>
        <w:tc>
          <w:tcPr>
            <w:tcW w:w="1960" w:type="dxa"/>
            <w:tcBorders>
              <w:bottom w:val="single" w:sz="12" w:space="0" w:color="808080"/>
            </w:tcBorders>
          </w:tcPr>
          <w:p>
            <w:pPr>
              <w:pStyle w:val="TableParagraph"/>
              <w:spacing w:line="271" w:lineRule="exact"/>
              <w:ind w:left="640"/>
              <w:rPr>
                <w:sz w:val="24"/>
              </w:rPr>
            </w:pPr>
            <w:r>
              <w:rPr>
                <w:spacing w:val="-2"/>
                <w:sz w:val="24"/>
              </w:rPr>
              <w:t>(103)</w:t>
            </w:r>
          </w:p>
        </w:tc>
      </w:tr>
      <w:tr>
        <w:trPr>
          <w:trHeight w:val="329" w:hRule="atLeast"/>
        </w:trPr>
        <w:tc>
          <w:tcPr>
            <w:tcW w:w="2615" w:type="dxa"/>
            <w:tcBorders>
              <w:top w:val="single" w:sz="12" w:space="0" w:color="808080"/>
            </w:tcBorders>
          </w:tcPr>
          <w:p>
            <w:pPr>
              <w:pStyle w:val="TableParagraph"/>
              <w:spacing w:line="261" w:lineRule="exact" w:before="48"/>
              <w:ind w:left="-2"/>
              <w:rPr>
                <w:sz w:val="24"/>
              </w:rPr>
            </w:pPr>
            <w:r>
              <w:rPr/>
              <mc:AlternateContent>
                <mc:Choice Requires="wps">
                  <w:drawing>
                    <wp:anchor distT="0" distB="0" distL="0" distR="0" allowOverlap="1" layoutInCell="1" locked="0" behindDoc="0" simplePos="0" relativeHeight="15733248">
                      <wp:simplePos x="0" y="0"/>
                      <wp:positionH relativeFrom="column">
                        <wp:posOffset>-762</wp:posOffset>
                      </wp:positionH>
                      <wp:positionV relativeFrom="paragraph">
                        <wp:posOffset>-19264</wp:posOffset>
                      </wp:positionV>
                      <wp:extent cx="3175" cy="1905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3175" cy="19050"/>
                                <a:chExt cx="3175" cy="19050"/>
                              </a:xfrm>
                            </wpg:grpSpPr>
                            <wps:wsp>
                              <wps:cNvPr id="65" name="Graphic 65"/>
                              <wps:cNvSpPr/>
                              <wps:spPr>
                                <a:xfrm>
                                  <a:off x="0" y="0"/>
                                  <a:ext cx="3175" cy="19050"/>
                                </a:xfrm>
                                <a:custGeom>
                                  <a:avLst/>
                                  <a:gdLst/>
                                  <a:ahLst/>
                                  <a:cxnLst/>
                                  <a:rect l="l" t="t" r="r" b="b"/>
                                  <a:pathLst>
                                    <a:path w="3175" h="19050">
                                      <a:moveTo>
                                        <a:pt x="3048" y="0"/>
                                      </a:moveTo>
                                      <a:lnTo>
                                        <a:pt x="0" y="0"/>
                                      </a:lnTo>
                                      <a:lnTo>
                                        <a:pt x="0" y="3048"/>
                                      </a:lnTo>
                                      <a:lnTo>
                                        <a:pt x="0" y="16002"/>
                                      </a:lnTo>
                                      <a:lnTo>
                                        <a:pt x="0" y="19050"/>
                                      </a:lnTo>
                                      <a:lnTo>
                                        <a:pt x="3048" y="19050"/>
                                      </a:lnTo>
                                      <a:lnTo>
                                        <a:pt x="3048" y="16002"/>
                                      </a:lnTo>
                                      <a:lnTo>
                                        <a:pt x="3048" y="3048"/>
                                      </a:lnTo>
                                      <a:lnTo>
                                        <a:pt x="3048" y="0"/>
                                      </a:lnTo>
                                      <a:close/>
                                    </a:path>
                                  </a:pathLst>
                                </a:custGeom>
                                <a:solidFill>
                                  <a:srgbClr val="ACA89A"/>
                                </a:solidFill>
                              </wps:spPr>
                              <wps:bodyPr wrap="square" lIns="0" tIns="0" rIns="0" bIns="0" rtlCol="0">
                                <a:prstTxWarp prst="textNoShape">
                                  <a:avLst/>
                                </a:prstTxWarp>
                                <a:noAutofit/>
                              </wps:bodyPr>
                            </wps:wsp>
                          </wpg:wgp>
                        </a:graphicData>
                      </a:graphic>
                    </wp:anchor>
                  </w:drawing>
                </mc:Choice>
                <mc:Fallback>
                  <w:pict>
                    <v:group style="position:absolute;margin-left:-.060002pt;margin-top:-1.51689pt;width:.25pt;height:1.5pt;mso-position-horizontal-relative:column;mso-position-vertical-relative:paragraph;z-index:15733248" id="docshapegroup59" coordorigin="-1,-30" coordsize="5,30">
                      <v:shape style="position:absolute;left:-2;top:-31;width:5;height:30" id="docshape60" coordorigin="-1,-30" coordsize="5,30" path="m4,-30l-1,-30,-1,-26,-1,-5,-1,0,4,0,4,-5,4,-26,4,-30xe" filled="true" fillcolor="#aca89a" stroked="false">
                        <v:path arrowok="t"/>
                        <v:fill type="solid"/>
                      </v:shape>
                      <w10:wrap type="none"/>
                    </v:group>
                  </w:pict>
                </mc:Fallback>
              </mc:AlternateContent>
            </w:r>
            <w:r>
              <w:rPr>
                <w:sz w:val="24"/>
              </w:rPr>
              <w:t>ALL </w:t>
            </w:r>
            <w:r>
              <w:rPr>
                <w:spacing w:val="-2"/>
                <w:sz w:val="24"/>
              </w:rPr>
              <w:t>TEACHERS</w:t>
            </w:r>
          </w:p>
        </w:tc>
        <w:tc>
          <w:tcPr>
            <w:tcW w:w="843" w:type="dxa"/>
            <w:tcBorders>
              <w:top w:val="single" w:sz="12" w:space="0" w:color="808080"/>
            </w:tcBorders>
          </w:tcPr>
          <w:p>
            <w:pPr>
              <w:pStyle w:val="TableParagraph"/>
              <w:spacing w:line="261" w:lineRule="exact" w:before="48"/>
              <w:ind w:left="132"/>
              <w:rPr>
                <w:sz w:val="24"/>
              </w:rPr>
            </w:pPr>
            <w:r>
              <w:rPr>
                <w:spacing w:val="-5"/>
                <w:sz w:val="24"/>
              </w:rPr>
              <w:t>769</w:t>
            </w:r>
          </w:p>
        </w:tc>
        <w:tc>
          <w:tcPr>
            <w:tcW w:w="934" w:type="dxa"/>
            <w:tcBorders>
              <w:top w:val="single" w:sz="12" w:space="0" w:color="808080"/>
            </w:tcBorders>
          </w:tcPr>
          <w:p>
            <w:pPr>
              <w:pStyle w:val="TableParagraph"/>
              <w:spacing w:line="261" w:lineRule="exact" w:before="48"/>
              <w:ind w:left="205"/>
              <w:rPr>
                <w:sz w:val="24"/>
              </w:rPr>
            </w:pPr>
            <w:r>
              <w:rPr>
                <w:spacing w:val="-5"/>
                <w:sz w:val="24"/>
              </w:rPr>
              <w:t>919</w:t>
            </w:r>
          </w:p>
        </w:tc>
        <w:tc>
          <w:tcPr>
            <w:tcW w:w="918" w:type="dxa"/>
            <w:tcBorders>
              <w:top w:val="single" w:sz="12" w:space="0" w:color="808080"/>
            </w:tcBorders>
          </w:tcPr>
          <w:p>
            <w:pPr>
              <w:pStyle w:val="TableParagraph"/>
              <w:spacing w:line="261" w:lineRule="exact" w:before="48"/>
              <w:ind w:left="188"/>
              <w:rPr>
                <w:sz w:val="24"/>
              </w:rPr>
            </w:pPr>
            <w:r>
              <w:rPr>
                <w:spacing w:val="-2"/>
                <w:sz w:val="24"/>
              </w:rPr>
              <w:t>1,218</w:t>
            </w:r>
          </w:p>
        </w:tc>
        <w:tc>
          <w:tcPr>
            <w:tcW w:w="1375" w:type="dxa"/>
            <w:tcBorders>
              <w:top w:val="single" w:sz="12" w:space="0" w:color="808080"/>
            </w:tcBorders>
          </w:tcPr>
          <w:p>
            <w:pPr>
              <w:pStyle w:val="TableParagraph"/>
              <w:spacing w:line="261" w:lineRule="exact" w:before="48"/>
              <w:ind w:left="185"/>
              <w:rPr>
                <w:sz w:val="24"/>
              </w:rPr>
            </w:pPr>
            <w:r>
              <w:rPr>
                <w:spacing w:val="-2"/>
                <w:sz w:val="24"/>
              </w:rPr>
              <w:t>1,476</w:t>
            </w:r>
          </w:p>
        </w:tc>
        <w:tc>
          <w:tcPr>
            <w:tcW w:w="1960" w:type="dxa"/>
            <w:tcBorders>
              <w:top w:val="single" w:sz="12" w:space="0" w:color="808080"/>
            </w:tcBorders>
          </w:tcPr>
          <w:p>
            <w:pPr>
              <w:pStyle w:val="TableParagraph"/>
              <w:spacing w:line="261" w:lineRule="exact" w:before="48"/>
              <w:ind w:left="643"/>
              <w:rPr>
                <w:sz w:val="24"/>
              </w:rPr>
            </w:pPr>
            <w:r>
              <w:rPr>
                <w:spacing w:val="-5"/>
                <w:sz w:val="24"/>
              </w:rPr>
              <w:t>895</w:t>
            </w:r>
          </w:p>
        </w:tc>
      </w:tr>
      <w:tr>
        <w:trPr>
          <w:trHeight w:val="468" w:hRule="atLeast"/>
        </w:trPr>
        <w:tc>
          <w:tcPr>
            <w:tcW w:w="2615" w:type="dxa"/>
            <w:tcBorders>
              <w:bottom w:val="single" w:sz="12" w:space="0" w:color="808080"/>
            </w:tcBorders>
          </w:tcPr>
          <w:p>
            <w:pPr>
              <w:pStyle w:val="TableParagraph"/>
              <w:rPr>
                <w:sz w:val="24"/>
              </w:rPr>
            </w:pPr>
          </w:p>
        </w:tc>
        <w:tc>
          <w:tcPr>
            <w:tcW w:w="843" w:type="dxa"/>
            <w:tcBorders>
              <w:bottom w:val="single" w:sz="12" w:space="0" w:color="808080"/>
            </w:tcBorders>
          </w:tcPr>
          <w:p>
            <w:pPr>
              <w:pStyle w:val="TableParagraph"/>
              <w:spacing w:line="271" w:lineRule="exact"/>
              <w:ind w:left="131"/>
              <w:rPr>
                <w:sz w:val="24"/>
              </w:rPr>
            </w:pPr>
            <w:r>
              <w:rPr>
                <w:spacing w:val="-2"/>
                <w:sz w:val="24"/>
              </w:rPr>
              <w:t>(100)</w:t>
            </w:r>
          </w:p>
        </w:tc>
        <w:tc>
          <w:tcPr>
            <w:tcW w:w="934" w:type="dxa"/>
            <w:tcBorders>
              <w:bottom w:val="single" w:sz="12" w:space="0" w:color="808080"/>
            </w:tcBorders>
          </w:tcPr>
          <w:p>
            <w:pPr>
              <w:pStyle w:val="TableParagraph"/>
              <w:spacing w:line="271" w:lineRule="exact"/>
              <w:ind w:left="168"/>
              <w:rPr>
                <w:sz w:val="24"/>
              </w:rPr>
            </w:pPr>
            <w:r>
              <w:rPr>
                <w:spacing w:val="-2"/>
                <w:sz w:val="24"/>
              </w:rPr>
              <w:t>(120)</w:t>
            </w:r>
          </w:p>
        </w:tc>
        <w:tc>
          <w:tcPr>
            <w:tcW w:w="918" w:type="dxa"/>
            <w:tcBorders>
              <w:bottom w:val="single" w:sz="12" w:space="0" w:color="808080"/>
            </w:tcBorders>
          </w:tcPr>
          <w:p>
            <w:pPr>
              <w:pStyle w:val="TableParagraph"/>
              <w:spacing w:line="271" w:lineRule="exact"/>
              <w:ind w:left="187"/>
              <w:rPr>
                <w:sz w:val="24"/>
              </w:rPr>
            </w:pPr>
            <w:r>
              <w:rPr>
                <w:spacing w:val="-2"/>
                <w:sz w:val="24"/>
              </w:rPr>
              <w:t>(158)</w:t>
            </w:r>
          </w:p>
        </w:tc>
        <w:tc>
          <w:tcPr>
            <w:tcW w:w="1375" w:type="dxa"/>
            <w:tcBorders>
              <w:bottom w:val="single" w:sz="12" w:space="0" w:color="808080"/>
            </w:tcBorders>
          </w:tcPr>
          <w:p>
            <w:pPr>
              <w:pStyle w:val="TableParagraph"/>
              <w:spacing w:line="271" w:lineRule="exact"/>
              <w:ind w:left="184"/>
              <w:rPr>
                <w:sz w:val="24"/>
              </w:rPr>
            </w:pPr>
            <w:r>
              <w:rPr>
                <w:spacing w:val="-2"/>
                <w:sz w:val="24"/>
              </w:rPr>
              <w:t>(192)</w:t>
            </w:r>
          </w:p>
        </w:tc>
        <w:tc>
          <w:tcPr>
            <w:tcW w:w="1960" w:type="dxa"/>
            <w:tcBorders>
              <w:bottom w:val="single" w:sz="12" w:space="0" w:color="808080"/>
            </w:tcBorders>
          </w:tcPr>
          <w:p>
            <w:pPr>
              <w:pStyle w:val="TableParagraph"/>
              <w:spacing w:line="271" w:lineRule="exact"/>
              <w:ind w:left="640"/>
              <w:rPr>
                <w:sz w:val="24"/>
              </w:rPr>
            </w:pPr>
            <w:r>
              <w:rPr>
                <w:spacing w:val="-2"/>
                <w:sz w:val="24"/>
              </w:rPr>
              <w:t>(116)</w:t>
            </w:r>
          </w:p>
        </w:tc>
      </w:tr>
      <w:tr>
        <w:trPr>
          <w:trHeight w:val="876" w:hRule="atLeast"/>
        </w:trPr>
        <w:tc>
          <w:tcPr>
            <w:tcW w:w="2615" w:type="dxa"/>
            <w:tcBorders>
              <w:top w:val="single" w:sz="12" w:space="0" w:color="808080"/>
            </w:tcBorders>
          </w:tcPr>
          <w:p>
            <w:pPr>
              <w:pStyle w:val="TableParagraph"/>
              <w:spacing w:line="270" w:lineRule="atLeast" w:before="28"/>
              <w:ind w:left="-2" w:right="543"/>
              <w:rPr>
                <w:sz w:val="24"/>
              </w:rPr>
            </w:pPr>
            <w:r>
              <w:rPr>
                <w:sz w:val="24"/>
              </w:rPr>
              <w:t>9. Cost of living index</w:t>
            </w:r>
            <w:r>
              <w:rPr>
                <w:spacing w:val="-15"/>
                <w:sz w:val="24"/>
              </w:rPr>
              <w:t> </w:t>
            </w:r>
            <w:r>
              <w:rPr>
                <w:sz w:val="24"/>
              </w:rPr>
              <w:t>for</w:t>
            </w:r>
            <w:r>
              <w:rPr>
                <w:spacing w:val="-15"/>
                <w:sz w:val="24"/>
              </w:rPr>
              <w:t> </w:t>
            </w:r>
            <w:r>
              <w:rPr>
                <w:sz w:val="24"/>
              </w:rPr>
              <w:t>working </w:t>
            </w:r>
            <w:r>
              <w:rPr>
                <w:spacing w:val="-2"/>
                <w:sz w:val="24"/>
              </w:rPr>
              <w:t>classes</w:t>
            </w:r>
          </w:p>
        </w:tc>
        <w:tc>
          <w:tcPr>
            <w:tcW w:w="843" w:type="dxa"/>
            <w:tcBorders>
              <w:top w:val="single" w:sz="12" w:space="0" w:color="808080"/>
            </w:tcBorders>
          </w:tcPr>
          <w:p>
            <w:pPr>
              <w:pStyle w:val="TableParagraph"/>
              <w:rPr>
                <w:sz w:val="24"/>
              </w:rPr>
            </w:pPr>
          </w:p>
          <w:p>
            <w:pPr>
              <w:pStyle w:val="TableParagraph"/>
              <w:spacing w:before="48"/>
              <w:rPr>
                <w:sz w:val="24"/>
              </w:rPr>
            </w:pPr>
          </w:p>
          <w:p>
            <w:pPr>
              <w:pStyle w:val="TableParagraph"/>
              <w:spacing w:line="256" w:lineRule="exact"/>
              <w:ind w:left="131"/>
              <w:rPr>
                <w:sz w:val="24"/>
              </w:rPr>
            </w:pPr>
            <w:r>
              <w:rPr>
                <w:spacing w:val="-5"/>
                <w:sz w:val="24"/>
              </w:rPr>
              <w:t>100</w:t>
            </w:r>
          </w:p>
        </w:tc>
        <w:tc>
          <w:tcPr>
            <w:tcW w:w="934" w:type="dxa"/>
            <w:tcBorders>
              <w:top w:val="single" w:sz="12" w:space="0" w:color="808080"/>
            </w:tcBorders>
          </w:tcPr>
          <w:p>
            <w:pPr>
              <w:pStyle w:val="TableParagraph"/>
              <w:rPr>
                <w:sz w:val="24"/>
              </w:rPr>
            </w:pPr>
          </w:p>
          <w:p>
            <w:pPr>
              <w:pStyle w:val="TableParagraph"/>
              <w:spacing w:before="48"/>
              <w:rPr>
                <w:sz w:val="24"/>
              </w:rPr>
            </w:pPr>
          </w:p>
          <w:p>
            <w:pPr>
              <w:pStyle w:val="TableParagraph"/>
              <w:spacing w:line="256" w:lineRule="exact"/>
              <w:ind w:left="204"/>
              <w:rPr>
                <w:sz w:val="24"/>
              </w:rPr>
            </w:pPr>
            <w:r>
              <w:rPr>
                <w:spacing w:val="-5"/>
                <w:sz w:val="24"/>
              </w:rPr>
              <w:t>95</w:t>
            </w:r>
          </w:p>
        </w:tc>
        <w:tc>
          <w:tcPr>
            <w:tcW w:w="918" w:type="dxa"/>
            <w:tcBorders>
              <w:top w:val="single" w:sz="12" w:space="0" w:color="808080"/>
            </w:tcBorders>
          </w:tcPr>
          <w:p>
            <w:pPr>
              <w:pStyle w:val="TableParagraph"/>
              <w:rPr>
                <w:sz w:val="24"/>
              </w:rPr>
            </w:pPr>
          </w:p>
          <w:p>
            <w:pPr>
              <w:pStyle w:val="TableParagraph"/>
              <w:spacing w:before="48"/>
              <w:rPr>
                <w:sz w:val="24"/>
              </w:rPr>
            </w:pPr>
          </w:p>
          <w:p>
            <w:pPr>
              <w:pStyle w:val="TableParagraph"/>
              <w:spacing w:line="256" w:lineRule="exact"/>
              <w:ind w:left="186"/>
              <w:rPr>
                <w:sz w:val="24"/>
              </w:rPr>
            </w:pPr>
            <w:r>
              <w:rPr>
                <w:spacing w:val="-5"/>
                <w:sz w:val="24"/>
              </w:rPr>
              <w:t>123</w:t>
            </w:r>
          </w:p>
        </w:tc>
        <w:tc>
          <w:tcPr>
            <w:tcW w:w="1375" w:type="dxa"/>
            <w:tcBorders>
              <w:top w:val="single" w:sz="12" w:space="0" w:color="808080"/>
            </w:tcBorders>
          </w:tcPr>
          <w:p>
            <w:pPr>
              <w:pStyle w:val="TableParagraph"/>
              <w:rPr>
                <w:sz w:val="24"/>
              </w:rPr>
            </w:pPr>
          </w:p>
          <w:p>
            <w:pPr>
              <w:pStyle w:val="TableParagraph"/>
              <w:spacing w:before="48"/>
              <w:rPr>
                <w:sz w:val="24"/>
              </w:rPr>
            </w:pPr>
          </w:p>
          <w:p>
            <w:pPr>
              <w:pStyle w:val="TableParagraph"/>
              <w:spacing w:line="256" w:lineRule="exact"/>
              <w:ind w:left="184"/>
              <w:rPr>
                <w:sz w:val="24"/>
              </w:rPr>
            </w:pPr>
            <w:r>
              <w:rPr>
                <w:spacing w:val="-5"/>
                <w:sz w:val="24"/>
              </w:rPr>
              <w:t>165</w:t>
            </w:r>
          </w:p>
        </w:tc>
        <w:tc>
          <w:tcPr>
            <w:tcW w:w="1960" w:type="dxa"/>
            <w:tcBorders>
              <w:top w:val="single" w:sz="12" w:space="0" w:color="808080"/>
            </w:tcBorders>
          </w:tcPr>
          <w:p>
            <w:pPr>
              <w:pStyle w:val="TableParagraph"/>
              <w:rPr>
                <w:sz w:val="24"/>
              </w:rPr>
            </w:pPr>
          </w:p>
        </w:tc>
      </w:tr>
    </w:tbl>
    <w:p>
      <w:pPr>
        <w:spacing w:after="0"/>
        <w:rPr>
          <w:sz w:val="24"/>
        </w:rPr>
        <w:sectPr>
          <w:pgSz w:w="12240" w:h="15840"/>
          <w:pgMar w:header="0" w:footer="743" w:top="1360" w:bottom="940" w:left="1640" w:right="1300"/>
        </w:sectPr>
      </w:pPr>
    </w:p>
    <w:p>
      <w:pPr>
        <w:pStyle w:val="BodyText"/>
        <w:spacing w:before="76"/>
        <w:ind w:left="160" w:right="6860"/>
      </w:pPr>
      <w:r>
        <w:rPr/>
        <w:t>10.</w:t>
      </w:r>
      <w:r>
        <w:rPr>
          <w:spacing w:val="40"/>
        </w:rPr>
        <w:t> </w:t>
      </w:r>
      <w:r>
        <w:rPr/>
        <w:t>National income per</w:t>
      </w:r>
      <w:r>
        <w:rPr>
          <w:spacing w:val="-13"/>
        </w:rPr>
        <w:t> </w:t>
      </w:r>
      <w:r>
        <w:rPr/>
        <w:t>head</w:t>
      </w:r>
      <w:r>
        <w:rPr>
          <w:spacing w:val="-13"/>
        </w:rPr>
        <w:t> </w:t>
      </w:r>
      <w:r>
        <w:rPr/>
        <w:t>of</w:t>
      </w:r>
      <w:r>
        <w:rPr>
          <w:spacing w:val="-13"/>
        </w:rPr>
        <w:t> </w:t>
      </w:r>
      <w:r>
        <w:rPr/>
        <w:t>population</w:t>
      </w:r>
    </w:p>
    <w:p>
      <w:pPr>
        <w:pStyle w:val="BodyText"/>
        <w:tabs>
          <w:tab w:pos="2907" w:val="left" w:leader="none"/>
          <w:tab w:pos="3823" w:val="left" w:leader="none"/>
          <w:tab w:pos="4740" w:val="left" w:leader="none"/>
          <w:tab w:pos="5654" w:val="left" w:leader="none"/>
        </w:tabs>
        <w:ind w:left="219"/>
      </w:pPr>
      <w:r>
        <w:rPr/>
        <w:t>(at</w:t>
      </w:r>
      <w:r>
        <w:rPr>
          <w:spacing w:val="-1"/>
        </w:rPr>
        <w:t> </w:t>
      </w:r>
      <w:r>
        <w:rPr/>
        <w:t>current</w:t>
      </w:r>
      <w:r>
        <w:rPr>
          <w:spacing w:val="-1"/>
        </w:rPr>
        <w:t> </w:t>
      </w:r>
      <w:r>
        <w:rPr>
          <w:spacing w:val="-2"/>
        </w:rPr>
        <w:t>prices)</w:t>
      </w:r>
      <w:r>
        <w:rPr/>
        <w:tab/>
      </w:r>
      <w:r>
        <w:rPr>
          <w:spacing w:val="-5"/>
        </w:rPr>
        <w:t>267</w:t>
      </w:r>
      <w:r>
        <w:rPr/>
        <w:tab/>
      </w:r>
      <w:r>
        <w:rPr>
          <w:spacing w:val="-5"/>
        </w:rPr>
        <w:t>255</w:t>
      </w:r>
      <w:r>
        <w:rPr/>
        <w:tab/>
      </w:r>
      <w:r>
        <w:rPr>
          <w:spacing w:val="-5"/>
        </w:rPr>
        <w:t>326</w:t>
      </w:r>
      <w:r>
        <w:rPr/>
        <w:tab/>
      </w:r>
      <w:r>
        <w:rPr>
          <w:spacing w:val="-5"/>
        </w:rPr>
        <w:t>424</w:t>
      </w:r>
    </w:p>
    <w:p>
      <w:pPr>
        <w:pStyle w:val="BodyText"/>
        <w:tabs>
          <w:tab w:pos="3823" w:val="left" w:leader="none"/>
          <w:tab w:pos="4739" w:val="left" w:leader="none"/>
          <w:tab w:pos="5654" w:val="left" w:leader="none"/>
        </w:tabs>
        <w:spacing w:before="1"/>
        <w:ind w:left="2908"/>
      </w:pPr>
      <w:r>
        <w:rPr>
          <w:spacing w:val="-2"/>
        </w:rPr>
        <w:t>(100)</w:t>
      </w:r>
      <w:r>
        <w:rPr/>
        <w:tab/>
      </w:r>
      <w:r>
        <w:rPr>
          <w:spacing w:val="-4"/>
        </w:rPr>
        <w:t>(96)</w:t>
      </w:r>
      <w:r>
        <w:rPr/>
        <w:tab/>
      </w:r>
      <w:r>
        <w:rPr>
          <w:spacing w:val="-2"/>
        </w:rPr>
        <w:t>(122)</w:t>
      </w:r>
      <w:r>
        <w:rPr/>
        <w:tab/>
      </w:r>
      <w:r>
        <w:rPr>
          <w:spacing w:val="-2"/>
        </w:rPr>
        <w:t>(159)</w:t>
      </w:r>
    </w:p>
    <w:p>
      <w:pPr>
        <w:pStyle w:val="BodyText"/>
        <w:spacing w:before="276"/>
        <w:ind w:left="160" w:right="510"/>
      </w:pPr>
      <w:r>
        <w:rPr/>
        <w:t>Source:</w:t>
      </w:r>
      <w:r>
        <w:rPr>
          <w:spacing w:val="80"/>
        </w:rPr>
        <w:t> </w:t>
      </w:r>
      <w:r>
        <w:rPr/>
        <w:t>Ministry</w:t>
      </w:r>
      <w:r>
        <w:rPr>
          <w:spacing w:val="40"/>
        </w:rPr>
        <w:t> </w:t>
      </w:r>
      <w:r>
        <w:rPr/>
        <w:t>of</w:t>
      </w:r>
      <w:r>
        <w:rPr>
          <w:spacing w:val="-2"/>
        </w:rPr>
        <w:t> </w:t>
      </w:r>
      <w:r>
        <w:rPr/>
        <w:t>Education,</w:t>
      </w:r>
      <w:r>
        <w:rPr>
          <w:spacing w:val="-2"/>
        </w:rPr>
        <w:t> </w:t>
      </w:r>
      <w:r>
        <w:rPr/>
        <w:t>Form</w:t>
      </w:r>
      <w:r>
        <w:rPr>
          <w:spacing w:val="-2"/>
        </w:rPr>
        <w:t> </w:t>
      </w:r>
      <w:r>
        <w:rPr/>
        <w:t>A.</w:t>
      </w:r>
      <w:r>
        <w:rPr>
          <w:spacing w:val="-2"/>
        </w:rPr>
        <w:t> </w:t>
      </w:r>
      <w:r>
        <w:rPr/>
        <w:t>The</w:t>
      </w:r>
      <w:r>
        <w:rPr>
          <w:spacing w:val="-2"/>
        </w:rPr>
        <w:t> </w:t>
      </w:r>
      <w:r>
        <w:rPr/>
        <w:t>figures</w:t>
      </w:r>
      <w:r>
        <w:rPr>
          <w:spacing w:val="-2"/>
        </w:rPr>
        <w:t> </w:t>
      </w:r>
      <w:r>
        <w:rPr/>
        <w:t>for</w:t>
      </w:r>
      <w:r>
        <w:rPr>
          <w:spacing w:val="-2"/>
        </w:rPr>
        <w:t> </w:t>
      </w:r>
      <w:r>
        <w:rPr/>
        <w:t>1965-66</w:t>
      </w:r>
      <w:r>
        <w:rPr>
          <w:spacing w:val="40"/>
        </w:rPr>
        <w:t> </w:t>
      </w:r>
      <w:r>
        <w:rPr/>
        <w:t>are</w:t>
      </w:r>
      <w:r>
        <w:rPr>
          <w:spacing w:val="40"/>
        </w:rPr>
        <w:t> </w:t>
      </w:r>
      <w:r>
        <w:rPr/>
        <w:t>estimates</w:t>
      </w:r>
      <w:r>
        <w:rPr>
          <w:spacing w:val="-2"/>
        </w:rPr>
        <w:t> </w:t>
      </w:r>
      <w:r>
        <w:rPr/>
        <w:t>made</w:t>
      </w:r>
      <w:r>
        <w:rPr>
          <w:spacing w:val="-2"/>
        </w:rPr>
        <w:t> </w:t>
      </w:r>
      <w:r>
        <w:rPr/>
        <w:t>in the Commission Secretariat.</w:t>
      </w:r>
    </w:p>
    <w:p>
      <w:pPr>
        <w:pStyle w:val="BodyText"/>
        <w:tabs>
          <w:tab w:pos="1031" w:val="left" w:leader="none"/>
        </w:tabs>
        <w:ind w:left="159" w:right="510"/>
      </w:pPr>
      <w:r>
        <w:rPr>
          <w:spacing w:val="-4"/>
        </w:rPr>
        <w:t>N.B.</w:t>
      </w:r>
      <w:r>
        <w:rPr/>
        <w:tab/>
        <w:t>The figures within brackets give the index of growth on</w:t>
      </w:r>
      <w:r>
        <w:rPr>
          <w:spacing w:val="40"/>
        </w:rPr>
        <w:t> </w:t>
      </w:r>
      <w:r>
        <w:rPr/>
        <w:t>the basis of 1950-51 = </w:t>
      </w:r>
      <w:r>
        <w:rPr>
          <w:spacing w:val="-4"/>
        </w:rPr>
        <w:t>100.</w:t>
      </w:r>
    </w:p>
    <w:p>
      <w:pPr>
        <w:pStyle w:val="BodyText"/>
        <w:spacing w:before="219"/>
        <w:rPr>
          <w:sz w:val="20"/>
        </w:rPr>
      </w:pPr>
      <w:r>
        <w:rPr/>
        <mc:AlternateContent>
          <mc:Choice Requires="wps">
            <w:drawing>
              <wp:anchor distT="0" distB="0" distL="0" distR="0" allowOverlap="1" layoutInCell="1" locked="0" behindDoc="1" simplePos="0" relativeHeight="487592960">
                <wp:simplePos x="0" y="0"/>
                <wp:positionH relativeFrom="page">
                  <wp:posOffset>1143000</wp:posOffset>
                </wp:positionH>
                <wp:positionV relativeFrom="paragraph">
                  <wp:posOffset>300728</wp:posOffset>
                </wp:positionV>
                <wp:extent cx="5486400" cy="19050"/>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5486400" cy="19050"/>
                          <a:chExt cx="5486400" cy="19050"/>
                        </a:xfrm>
                      </wpg:grpSpPr>
                      <wps:wsp>
                        <wps:cNvPr id="67" name="Graphic 67"/>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68" name="Graphic 68"/>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69" name="Graphic 69"/>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70" name="Graphic 70"/>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71" name="Graphic 71"/>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72" name="Graphic 72"/>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73" name="Graphic 73"/>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679375pt;width:432pt;height:1.5pt;mso-position-horizontal-relative:page;mso-position-vertical-relative:paragraph;z-index:-15723520;mso-wrap-distance-left:0;mso-wrap-distance-right:0" id="docshapegroup61" coordorigin="1800,474" coordsize="8640,30">
                <v:rect style="position:absolute;left:1800;top:473;width:8640;height:30" id="docshape62" filled="true" fillcolor="#808080" stroked="false">
                  <v:fill type="solid"/>
                </v:rect>
                <v:shape style="position:absolute;left:1800;top:473;width:8636;height:5" id="docshape63" coordorigin="1800,474" coordsize="8636,5" path="m10435,474l1805,474,1800,474,1800,478,1805,478,10435,478,10435,474xe" filled="true" fillcolor="#aca89a" stroked="false">
                  <v:path arrowok="t"/>
                  <v:fill type="solid"/>
                </v:shape>
                <v:rect style="position:absolute;left:10435;top:473;width:5;height:5" id="docshape64" filled="true" fillcolor="#f1efe2" stroked="false">
                  <v:fill type="solid"/>
                </v:rect>
                <v:shape style="position:absolute;left:1800;top:473;width:8640;height:26" id="docshape65" coordorigin="1800,474" coordsize="8640,26" path="m1805,478l1800,478,1800,499,1805,499,1805,478xm10440,474l10435,474,10435,478,10440,478,10440,474xe" filled="true" fillcolor="#aca89a" stroked="false">
                  <v:path arrowok="t"/>
                  <v:fill type="solid"/>
                </v:shape>
                <v:rect style="position:absolute;left:10435;top:478;width:5;height:21" id="docshape66" filled="true" fillcolor="#f1efe2" stroked="false">
                  <v:fill type="solid"/>
                </v:rect>
                <v:rect style="position:absolute;left:1800;top:498;width:5;height:5" id="docshape67" filled="true" fillcolor="#aca89a" stroked="false">
                  <v:fill type="solid"/>
                </v:rect>
                <v:shape style="position:absolute;left:1800;top:498;width:8640;height:5" id="docshape68" coordorigin="1800,499" coordsize="8640,5" path="m10440,499l10435,499,1800,499,1800,504,10435,504,10440,504,10440,499xe" filled="true" fillcolor="#f1efe2" stroked="false">
                  <v:path arrowok="t"/>
                  <v:fill type="solid"/>
                </v:shape>
                <w10:wrap type="topAndBottom"/>
              </v:group>
            </w:pict>
          </mc:Fallback>
        </mc:AlternateContent>
      </w:r>
    </w:p>
    <w:p>
      <w:pPr>
        <w:pStyle w:val="BodyText"/>
      </w:pPr>
    </w:p>
    <w:p>
      <w:pPr>
        <w:pStyle w:val="BodyText"/>
        <w:spacing w:before="53"/>
      </w:pPr>
    </w:p>
    <w:p>
      <w:pPr>
        <w:pStyle w:val="ListParagraph"/>
        <w:numPr>
          <w:ilvl w:val="1"/>
          <w:numId w:val="44"/>
        </w:numPr>
        <w:tabs>
          <w:tab w:pos="669" w:val="left" w:leader="none"/>
        </w:tabs>
        <w:spacing w:line="240" w:lineRule="auto" w:before="0" w:after="0"/>
        <w:ind w:left="159" w:right="496" w:firstLine="0"/>
        <w:jc w:val="both"/>
        <w:rPr>
          <w:sz w:val="24"/>
        </w:rPr>
      </w:pPr>
      <w:r>
        <w:rPr>
          <w:sz w:val="24"/>
        </w:rPr>
        <w:t>It will be seen that the increase in the remuneration of the different categories of teachers is far from uniform. The largest proportional increase has taken place in the salaries of teachers in primary schools. But owing to the very low levels of remuneration which obtained in 1950-51, these are still far from satisfactory. The improvement in the salaries of teachers in the universities, vocation- al schools and colleges is also</w:t>
      </w:r>
      <w:r>
        <w:rPr>
          <w:spacing w:val="40"/>
          <w:sz w:val="24"/>
        </w:rPr>
        <w:t> </w:t>
      </w:r>
      <w:r>
        <w:rPr>
          <w:sz w:val="24"/>
        </w:rPr>
        <w:t>noticeable. But in the colleges of arts and science and in secondary schools, there has been an actual decrease in remuneration in real terms. The picture is worst at the pre- primary stage because the salaries in pre-primary schools are governed, not so much by departmental regulations, as by market conditions. This is because most of the pre-school institutions are unaided and located in urban areas where an over-abundant supply of women teachers is available.</w:t>
      </w:r>
    </w:p>
    <w:p>
      <w:pPr>
        <w:pStyle w:val="BodyText"/>
        <w:spacing w:before="2"/>
      </w:pPr>
    </w:p>
    <w:p>
      <w:pPr>
        <w:pStyle w:val="ListParagraph"/>
        <w:numPr>
          <w:ilvl w:val="1"/>
          <w:numId w:val="44"/>
        </w:numPr>
        <w:tabs>
          <w:tab w:pos="648" w:val="left" w:leader="none"/>
        </w:tabs>
        <w:spacing w:line="240" w:lineRule="auto" w:before="1" w:after="0"/>
        <w:ind w:left="159" w:right="496" w:firstLine="0"/>
        <w:jc w:val="both"/>
        <w:rPr>
          <w:sz w:val="24"/>
        </w:rPr>
      </w:pPr>
      <w:r>
        <w:rPr>
          <w:sz w:val="24"/>
        </w:rPr>
        <w:t>It will also be noted that a good deal of the effect of the increase in remuneration at all</w:t>
      </w:r>
      <w:r>
        <w:rPr>
          <w:spacing w:val="-2"/>
          <w:sz w:val="24"/>
        </w:rPr>
        <w:t> </w:t>
      </w:r>
      <w:r>
        <w:rPr>
          <w:sz w:val="24"/>
        </w:rPr>
        <w:t>stages</w:t>
      </w:r>
      <w:r>
        <w:rPr>
          <w:spacing w:val="-2"/>
          <w:sz w:val="24"/>
        </w:rPr>
        <w:t> </w:t>
      </w:r>
      <w:r>
        <w:rPr>
          <w:sz w:val="24"/>
        </w:rPr>
        <w:t>has</w:t>
      </w:r>
      <w:r>
        <w:rPr>
          <w:spacing w:val="-2"/>
          <w:sz w:val="24"/>
        </w:rPr>
        <w:t> </w:t>
      </w:r>
      <w:r>
        <w:rPr>
          <w:sz w:val="24"/>
        </w:rPr>
        <w:t>been</w:t>
      </w:r>
      <w:r>
        <w:rPr>
          <w:spacing w:val="-2"/>
          <w:sz w:val="24"/>
        </w:rPr>
        <w:t> </w:t>
      </w:r>
      <w:r>
        <w:rPr>
          <w:sz w:val="24"/>
        </w:rPr>
        <w:t>offset</w:t>
      </w:r>
      <w:r>
        <w:rPr>
          <w:spacing w:val="-2"/>
          <w:sz w:val="24"/>
        </w:rPr>
        <w:t> </w:t>
      </w:r>
      <w:r>
        <w:rPr>
          <w:sz w:val="24"/>
        </w:rPr>
        <w:t>by</w:t>
      </w:r>
      <w:r>
        <w:rPr>
          <w:spacing w:val="-2"/>
          <w:sz w:val="24"/>
        </w:rPr>
        <w:t> </w:t>
      </w:r>
      <w:r>
        <w:rPr>
          <w:sz w:val="24"/>
        </w:rPr>
        <w:t>the</w:t>
      </w:r>
      <w:r>
        <w:rPr>
          <w:spacing w:val="-2"/>
          <w:sz w:val="24"/>
        </w:rPr>
        <w:t> </w:t>
      </w:r>
      <w:r>
        <w:rPr>
          <w:sz w:val="24"/>
        </w:rPr>
        <w:t>rise</w:t>
      </w:r>
      <w:r>
        <w:rPr>
          <w:spacing w:val="-2"/>
          <w:sz w:val="24"/>
        </w:rPr>
        <w:t> </w:t>
      </w:r>
      <w:r>
        <w:rPr>
          <w:sz w:val="24"/>
        </w:rPr>
        <w:t>in</w:t>
      </w:r>
      <w:r>
        <w:rPr>
          <w:spacing w:val="-2"/>
          <w:sz w:val="24"/>
        </w:rPr>
        <w:t> </w:t>
      </w:r>
      <w:r>
        <w:rPr>
          <w:sz w:val="24"/>
        </w:rPr>
        <w:t>the</w:t>
      </w:r>
      <w:r>
        <w:rPr>
          <w:spacing w:val="-3"/>
          <w:sz w:val="24"/>
        </w:rPr>
        <w:t> </w:t>
      </w:r>
      <w:r>
        <w:rPr>
          <w:sz w:val="24"/>
        </w:rPr>
        <w:t>cost</w:t>
      </w:r>
      <w:r>
        <w:rPr>
          <w:spacing w:val="-2"/>
          <w:sz w:val="24"/>
        </w:rPr>
        <w:t> </w:t>
      </w:r>
      <w:r>
        <w:rPr>
          <w:sz w:val="24"/>
        </w:rPr>
        <w:t>of</w:t>
      </w:r>
      <w:r>
        <w:rPr>
          <w:spacing w:val="-5"/>
          <w:sz w:val="24"/>
        </w:rPr>
        <w:t> </w:t>
      </w:r>
      <w:r>
        <w:rPr>
          <w:sz w:val="24"/>
        </w:rPr>
        <w:t>living</w:t>
      </w:r>
      <w:r>
        <w:rPr>
          <w:spacing w:val="-2"/>
          <w:sz w:val="24"/>
        </w:rPr>
        <w:t> </w:t>
      </w:r>
      <w:r>
        <w:rPr>
          <w:sz w:val="24"/>
        </w:rPr>
        <w:t>which</w:t>
      </w:r>
      <w:r>
        <w:rPr>
          <w:spacing w:val="-2"/>
          <w:sz w:val="24"/>
        </w:rPr>
        <w:t> </w:t>
      </w:r>
      <w:r>
        <w:rPr>
          <w:sz w:val="24"/>
        </w:rPr>
        <w:t>has</w:t>
      </w:r>
      <w:r>
        <w:rPr>
          <w:spacing w:val="-2"/>
          <w:sz w:val="24"/>
        </w:rPr>
        <w:t> </w:t>
      </w:r>
      <w:r>
        <w:rPr>
          <w:sz w:val="24"/>
        </w:rPr>
        <w:t>taken</w:t>
      </w:r>
      <w:r>
        <w:rPr>
          <w:spacing w:val="-2"/>
          <w:sz w:val="24"/>
        </w:rPr>
        <w:t> </w:t>
      </w:r>
      <w:r>
        <w:rPr>
          <w:sz w:val="24"/>
        </w:rPr>
        <w:t>place</w:t>
      </w:r>
      <w:r>
        <w:rPr>
          <w:spacing w:val="-2"/>
          <w:sz w:val="24"/>
        </w:rPr>
        <w:t> </w:t>
      </w:r>
      <w:r>
        <w:rPr>
          <w:sz w:val="24"/>
        </w:rPr>
        <w:t>during</w:t>
      </w:r>
      <w:r>
        <w:rPr>
          <w:spacing w:val="-4"/>
          <w:sz w:val="24"/>
        </w:rPr>
        <w:t> </w:t>
      </w:r>
      <w:r>
        <w:rPr>
          <w:sz w:val="24"/>
        </w:rPr>
        <w:t>this period-the remunerations in the various types of institutions have risen by 18 to 92 per cent while the cost of living has risen by 65 per cent. It is only in four types of institutions-vocational schools (69 per cent), universities (73 per cent), higher primary schools (80 per cent) and lower primary schools (92 per cent) that the rise in</w:t>
      </w:r>
      <w:r>
        <w:rPr>
          <w:spacing w:val="40"/>
          <w:sz w:val="24"/>
        </w:rPr>
        <w:t> </w:t>
      </w:r>
      <w:r>
        <w:rPr>
          <w:sz w:val="24"/>
        </w:rPr>
        <w:t>remuneration has exceeded that in the cost of living. In some sectors, e.g., pre- primary, the</w:t>
      </w:r>
      <w:r>
        <w:rPr>
          <w:spacing w:val="-3"/>
          <w:sz w:val="24"/>
        </w:rPr>
        <w:t> </w:t>
      </w:r>
      <w:r>
        <w:rPr>
          <w:sz w:val="24"/>
        </w:rPr>
        <w:t>increase</w:t>
      </w:r>
      <w:r>
        <w:rPr>
          <w:spacing w:val="-3"/>
          <w:sz w:val="24"/>
        </w:rPr>
        <w:t> </w:t>
      </w:r>
      <w:r>
        <w:rPr>
          <w:sz w:val="24"/>
        </w:rPr>
        <w:t>in</w:t>
      </w:r>
      <w:r>
        <w:rPr>
          <w:spacing w:val="-3"/>
          <w:sz w:val="24"/>
        </w:rPr>
        <w:t> </w:t>
      </w:r>
      <w:r>
        <w:rPr>
          <w:sz w:val="24"/>
        </w:rPr>
        <w:t>the</w:t>
      </w:r>
      <w:r>
        <w:rPr>
          <w:spacing w:val="-3"/>
          <w:sz w:val="24"/>
        </w:rPr>
        <w:t> </w:t>
      </w:r>
      <w:r>
        <w:rPr>
          <w:sz w:val="24"/>
        </w:rPr>
        <w:t>cost</w:t>
      </w:r>
      <w:r>
        <w:rPr>
          <w:spacing w:val="-2"/>
          <w:sz w:val="24"/>
        </w:rPr>
        <w:t> </w:t>
      </w:r>
      <w:r>
        <w:rPr>
          <w:sz w:val="24"/>
        </w:rPr>
        <w:t>of</w:t>
      </w:r>
      <w:r>
        <w:rPr>
          <w:spacing w:val="-3"/>
          <w:sz w:val="24"/>
        </w:rPr>
        <w:t> </w:t>
      </w:r>
      <w:r>
        <w:rPr>
          <w:sz w:val="24"/>
        </w:rPr>
        <w:t>living</w:t>
      </w:r>
      <w:r>
        <w:rPr>
          <w:spacing w:val="-3"/>
          <w:sz w:val="24"/>
        </w:rPr>
        <w:t> </w:t>
      </w:r>
      <w:r>
        <w:rPr>
          <w:sz w:val="24"/>
        </w:rPr>
        <w:t>has</w:t>
      </w:r>
      <w:r>
        <w:rPr>
          <w:spacing w:val="-3"/>
          <w:sz w:val="24"/>
        </w:rPr>
        <w:t> </w:t>
      </w:r>
      <w:r>
        <w:rPr>
          <w:sz w:val="24"/>
        </w:rPr>
        <w:t>been</w:t>
      </w:r>
      <w:r>
        <w:rPr>
          <w:spacing w:val="-3"/>
          <w:sz w:val="24"/>
        </w:rPr>
        <w:t> </w:t>
      </w:r>
      <w:r>
        <w:rPr>
          <w:sz w:val="24"/>
        </w:rPr>
        <w:t>greater</w:t>
      </w:r>
      <w:r>
        <w:rPr>
          <w:spacing w:val="-3"/>
          <w:sz w:val="24"/>
        </w:rPr>
        <w:t> </w:t>
      </w:r>
      <w:r>
        <w:rPr>
          <w:sz w:val="24"/>
        </w:rPr>
        <w:t>than</w:t>
      </w:r>
      <w:r>
        <w:rPr>
          <w:spacing w:val="-3"/>
          <w:sz w:val="24"/>
        </w:rPr>
        <w:t> </w:t>
      </w:r>
      <w:r>
        <w:rPr>
          <w:sz w:val="24"/>
        </w:rPr>
        <w:t>that</w:t>
      </w:r>
      <w:r>
        <w:rPr>
          <w:spacing w:val="-3"/>
          <w:sz w:val="24"/>
        </w:rPr>
        <w:t> </w:t>
      </w:r>
      <w:r>
        <w:rPr>
          <w:sz w:val="24"/>
        </w:rPr>
        <w:t>in</w:t>
      </w:r>
      <w:r>
        <w:rPr>
          <w:spacing w:val="-3"/>
          <w:sz w:val="24"/>
        </w:rPr>
        <w:t> </w:t>
      </w:r>
      <w:r>
        <w:rPr>
          <w:sz w:val="24"/>
        </w:rPr>
        <w:t>remuneration.</w:t>
      </w:r>
      <w:r>
        <w:rPr>
          <w:spacing w:val="-3"/>
          <w:sz w:val="24"/>
        </w:rPr>
        <w:t> </w:t>
      </w:r>
      <w:r>
        <w:rPr>
          <w:sz w:val="24"/>
        </w:rPr>
        <w:t>On</w:t>
      </w:r>
      <w:r>
        <w:rPr>
          <w:spacing w:val="-3"/>
          <w:sz w:val="24"/>
        </w:rPr>
        <w:t> </w:t>
      </w:r>
      <w:r>
        <w:rPr>
          <w:sz w:val="24"/>
        </w:rPr>
        <w:t>the</w:t>
      </w:r>
      <w:r>
        <w:rPr>
          <w:spacing w:val="-3"/>
          <w:sz w:val="24"/>
        </w:rPr>
        <w:t> </w:t>
      </w:r>
      <w:r>
        <w:rPr>
          <w:sz w:val="24"/>
        </w:rPr>
        <w:t>whole, there was some improvement in the remuneration of teachers in real terms up to 1960-61. This has since been almost completely neutralized by the sharp increase in prices that has taken place in the last two or three years. This has, we are afraid, adversely affected the morale of teachers. In our opinion, the most urgent need is to upgrade the remuneration</w:t>
      </w:r>
      <w:r>
        <w:rPr>
          <w:spacing w:val="80"/>
          <w:sz w:val="24"/>
        </w:rPr>
        <w:t> </w:t>
      </w:r>
      <w:r>
        <w:rPr>
          <w:sz w:val="24"/>
        </w:rPr>
        <w:t>of teachers substantially, particularly at the school stage.</w:t>
      </w:r>
    </w:p>
    <w:p>
      <w:pPr>
        <w:pStyle w:val="BodyText"/>
        <w:spacing w:before="3"/>
      </w:pPr>
    </w:p>
    <w:p>
      <w:pPr>
        <w:pStyle w:val="ListParagraph"/>
        <w:numPr>
          <w:ilvl w:val="1"/>
          <w:numId w:val="44"/>
        </w:numPr>
        <w:tabs>
          <w:tab w:pos="651" w:val="left" w:leader="none"/>
        </w:tabs>
        <w:spacing w:line="240" w:lineRule="auto" w:before="0" w:after="0"/>
        <w:ind w:left="159" w:right="496" w:firstLine="0"/>
        <w:jc w:val="both"/>
        <w:rPr>
          <w:sz w:val="24"/>
        </w:rPr>
      </w:pPr>
      <w:r>
        <w:rPr>
          <w:sz w:val="24"/>
        </w:rPr>
        <w:t>The Commission made a study of the remuneration of teachers in all the States and Union Territories. It revealed two major weaknesses:</w:t>
      </w:r>
    </w:p>
    <w:p>
      <w:pPr>
        <w:pStyle w:val="BodyText"/>
        <w:spacing w:before="5"/>
      </w:pPr>
    </w:p>
    <w:p>
      <w:pPr>
        <w:pStyle w:val="ListParagraph"/>
        <w:numPr>
          <w:ilvl w:val="0"/>
          <w:numId w:val="45"/>
        </w:numPr>
        <w:tabs>
          <w:tab w:pos="563" w:val="left" w:leader="none"/>
        </w:tabs>
        <w:spacing w:line="240" w:lineRule="auto" w:before="0" w:after="0"/>
        <w:ind w:left="159" w:right="496" w:firstLine="0"/>
        <w:jc w:val="both"/>
        <w:rPr>
          <w:sz w:val="24"/>
        </w:rPr>
      </w:pPr>
      <w:r>
        <w:rPr>
          <w:sz w:val="24"/>
        </w:rPr>
        <w:t>Inter-State Differences. There are substantial differences in the remuneration of teachers from State to State, particularly at the school stage; and</w:t>
      </w:r>
    </w:p>
    <w:p>
      <w:pPr>
        <w:spacing w:after="0" w:line="240" w:lineRule="auto"/>
        <w:jc w:val="both"/>
        <w:rPr>
          <w:sz w:val="24"/>
        </w:rPr>
        <w:sectPr>
          <w:pgSz w:w="12240" w:h="15840"/>
          <w:pgMar w:header="0" w:footer="743" w:top="1360" w:bottom="940" w:left="1640" w:right="1300"/>
        </w:sectPr>
      </w:pPr>
    </w:p>
    <w:p>
      <w:pPr>
        <w:pStyle w:val="ListParagraph"/>
        <w:numPr>
          <w:ilvl w:val="0"/>
          <w:numId w:val="45"/>
        </w:numPr>
        <w:tabs>
          <w:tab w:pos="513" w:val="left" w:leader="none"/>
        </w:tabs>
        <w:spacing w:line="240" w:lineRule="auto" w:before="76" w:after="0"/>
        <w:ind w:left="159" w:right="496" w:firstLine="0"/>
        <w:jc w:val="both"/>
        <w:rPr>
          <w:sz w:val="24"/>
        </w:rPr>
      </w:pPr>
      <w:r>
        <w:rPr>
          <w:sz w:val="24"/>
        </w:rPr>
        <w:t>Intra-State Differences. Even within a State, there are variations in remuneration. At the university stage, salaries vary from faculty to faculty. The teachers in affiliated colleges do not have the same scales of pay as those in universities. At the school stage, there are often substantial differences in the remuneration of teachers working in institutions under different managements.</w:t>
      </w:r>
    </w:p>
    <w:p>
      <w:pPr>
        <w:pStyle w:val="BodyText"/>
        <w:spacing w:before="4"/>
      </w:pPr>
    </w:p>
    <w:p>
      <w:pPr>
        <w:pStyle w:val="BodyText"/>
        <w:ind w:left="159" w:right="498"/>
        <w:jc w:val="both"/>
      </w:pPr>
      <w:r>
        <w:rPr/>
        <w:t>There has been a strong demand for the abolition of these variations. It has been suggested that the first type of variation can be eliminated or reduced to the minimum by adopting national scales of pay with adjustment in allowances for inevitable local variations in the cost of living and that the second should be offset by adopting the principle of parity. Both these proposals need a closer examination.</w:t>
      </w:r>
    </w:p>
    <w:p>
      <w:pPr>
        <w:pStyle w:val="BodyText"/>
        <w:spacing w:before="4"/>
      </w:pPr>
    </w:p>
    <w:p>
      <w:pPr>
        <w:pStyle w:val="ListParagraph"/>
        <w:numPr>
          <w:ilvl w:val="1"/>
          <w:numId w:val="44"/>
        </w:numPr>
        <w:tabs>
          <w:tab w:pos="657" w:val="left" w:leader="none"/>
        </w:tabs>
        <w:spacing w:line="240" w:lineRule="auto" w:before="0" w:after="0"/>
        <w:ind w:left="159" w:right="496" w:firstLine="0"/>
        <w:jc w:val="both"/>
        <w:rPr>
          <w:b/>
          <w:sz w:val="24"/>
        </w:rPr>
      </w:pPr>
      <w:r>
        <w:rPr>
          <w:b/>
          <w:sz w:val="24"/>
        </w:rPr>
        <w:t>National Scales of Pay</w:t>
      </w:r>
      <w:r>
        <w:rPr>
          <w:sz w:val="24"/>
        </w:rPr>
        <w:t>. The demand for the introduction of national scales of pay for all categories of teachers is supported unanimously by teachers' organizations. We found that the proposal had a ready acceptance in higher education because of the developments in the post-Independence period. The University Education </w:t>
      </w:r>
      <w:r>
        <w:rPr>
          <w:sz w:val="24"/>
        </w:rPr>
        <w:t>Commission recommended that the multiplicity of scales of pay which then existed in the universities and colleges Should be reduced to the minimum and that an attempt should be made to adopt national scales of pay for teachers in higher education. This recommendation was broadly accepted and some action to implement it has since been taken. The UGC is attempting to introduce common scales of pay for different categories of teachers in the universities and similar scales of pay for teachers in affiliated colleges. Attempts for the 'introduction</w:t>
      </w:r>
      <w:r>
        <w:rPr>
          <w:spacing w:val="-2"/>
          <w:sz w:val="24"/>
        </w:rPr>
        <w:t> </w:t>
      </w:r>
      <w:r>
        <w:rPr>
          <w:sz w:val="24"/>
        </w:rPr>
        <w:t>of</w:t>
      </w:r>
      <w:r>
        <w:rPr>
          <w:spacing w:val="-2"/>
          <w:sz w:val="24"/>
        </w:rPr>
        <w:t> </w:t>
      </w:r>
      <w:r>
        <w:rPr>
          <w:sz w:val="24"/>
        </w:rPr>
        <w:t>common</w:t>
      </w:r>
      <w:r>
        <w:rPr>
          <w:spacing w:val="-2"/>
          <w:sz w:val="24"/>
        </w:rPr>
        <w:t> </w:t>
      </w:r>
      <w:r>
        <w:rPr>
          <w:sz w:val="24"/>
        </w:rPr>
        <w:t>scales</w:t>
      </w:r>
      <w:r>
        <w:rPr>
          <w:spacing w:val="-2"/>
          <w:sz w:val="24"/>
        </w:rPr>
        <w:t> </w:t>
      </w:r>
      <w:r>
        <w:rPr>
          <w:sz w:val="24"/>
        </w:rPr>
        <w:t>of</w:t>
      </w:r>
      <w:r>
        <w:rPr>
          <w:spacing w:val="-2"/>
          <w:sz w:val="24"/>
        </w:rPr>
        <w:t> </w:t>
      </w:r>
      <w:r>
        <w:rPr>
          <w:sz w:val="24"/>
        </w:rPr>
        <w:t>pay</w:t>
      </w:r>
      <w:r>
        <w:rPr>
          <w:spacing w:val="-2"/>
          <w:sz w:val="24"/>
        </w:rPr>
        <w:t> </w:t>
      </w:r>
      <w:r>
        <w:rPr>
          <w:sz w:val="24"/>
        </w:rPr>
        <w:t>are</w:t>
      </w:r>
      <w:r>
        <w:rPr>
          <w:spacing w:val="-2"/>
          <w:sz w:val="24"/>
        </w:rPr>
        <w:t> </w:t>
      </w:r>
      <w:r>
        <w:rPr>
          <w:sz w:val="24"/>
        </w:rPr>
        <w:t>also</w:t>
      </w:r>
      <w:r>
        <w:rPr>
          <w:spacing w:val="-2"/>
          <w:sz w:val="24"/>
        </w:rPr>
        <w:t> </w:t>
      </w:r>
      <w:r>
        <w:rPr>
          <w:sz w:val="24"/>
        </w:rPr>
        <w:t>being</w:t>
      </w:r>
      <w:r>
        <w:rPr>
          <w:spacing w:val="-2"/>
          <w:sz w:val="24"/>
        </w:rPr>
        <w:t> </w:t>
      </w:r>
      <w:r>
        <w:rPr>
          <w:sz w:val="24"/>
        </w:rPr>
        <w:t>made,</w:t>
      </w:r>
      <w:r>
        <w:rPr>
          <w:spacing w:val="-2"/>
          <w:sz w:val="24"/>
        </w:rPr>
        <w:t> </w:t>
      </w:r>
      <w:r>
        <w:rPr>
          <w:sz w:val="24"/>
        </w:rPr>
        <w:t>with</w:t>
      </w:r>
      <w:r>
        <w:rPr>
          <w:spacing w:val="-2"/>
          <w:sz w:val="24"/>
        </w:rPr>
        <w:t> </w:t>
      </w:r>
      <w:r>
        <w:rPr>
          <w:sz w:val="24"/>
        </w:rPr>
        <w:t>a</w:t>
      </w:r>
      <w:r>
        <w:rPr>
          <w:spacing w:val="-2"/>
          <w:sz w:val="24"/>
        </w:rPr>
        <w:t> </w:t>
      </w:r>
      <w:r>
        <w:rPr>
          <w:sz w:val="24"/>
        </w:rPr>
        <w:t>fair</w:t>
      </w:r>
      <w:r>
        <w:rPr>
          <w:spacing w:val="-2"/>
          <w:sz w:val="24"/>
        </w:rPr>
        <w:t> </w:t>
      </w:r>
      <w:r>
        <w:rPr>
          <w:sz w:val="24"/>
        </w:rPr>
        <w:t>amount</w:t>
      </w:r>
      <w:r>
        <w:rPr>
          <w:spacing w:val="-2"/>
          <w:sz w:val="24"/>
        </w:rPr>
        <w:t> </w:t>
      </w:r>
      <w:r>
        <w:rPr>
          <w:sz w:val="24"/>
        </w:rPr>
        <w:t>of</w:t>
      </w:r>
      <w:r>
        <w:rPr>
          <w:spacing w:val="-2"/>
          <w:sz w:val="24"/>
        </w:rPr>
        <w:t> </w:t>
      </w:r>
      <w:r>
        <w:rPr>
          <w:sz w:val="24"/>
        </w:rPr>
        <w:t>success, in respect of engineering institutions. It is true that, in spite of all that has been done during the last ten years, there are still considerable variations in the scales of pay of teachers in higher education. But the important point is that the general principle of adopting national scales of pay has been broadly accepted; and all that is needed is to make a more determined effort to move forward on the lines already set. This is a comparatively simpler issue.</w:t>
      </w:r>
    </w:p>
    <w:p>
      <w:pPr>
        <w:pStyle w:val="BodyText"/>
        <w:spacing w:before="4"/>
      </w:pPr>
    </w:p>
    <w:p>
      <w:pPr>
        <w:pStyle w:val="ListParagraph"/>
        <w:numPr>
          <w:ilvl w:val="1"/>
          <w:numId w:val="44"/>
        </w:numPr>
        <w:tabs>
          <w:tab w:pos="653" w:val="left" w:leader="none"/>
        </w:tabs>
        <w:spacing w:line="240" w:lineRule="auto" w:before="0" w:after="0"/>
        <w:ind w:left="159" w:right="496" w:firstLine="0"/>
        <w:jc w:val="both"/>
        <w:rPr>
          <w:sz w:val="24"/>
        </w:rPr>
      </w:pPr>
      <w:r>
        <w:rPr>
          <w:sz w:val="24"/>
        </w:rPr>
        <w:t>At the school stage, however, the problem is more difficult because the desirability of introducing national scales of pay at this stage is itself challenged. It is argued, for instance, that as the cost of living varies from one part of the country to another, a common national scale of pay would really imply unequal payment and cause considerable hardship to school teachers with lower levels of 'income. It is also pointed out that the supply and demand position for the different categories of teachers varies considerably from one part of the country to another. Women teachers, for instance, are readily available in some areas and are very difficult to obtain in others. Under these circumstances, it is pointed out that a common scale of pay would make it more difficult to recruit them in just those areas where they are most needed. There is some force in these arguments. But in our opinion, they only make out a case for providing local allowances in addition to basic national scales of pay rather than disprove the need to adopt minimum national scales of pay to reduce the large disparities that now exist in the salaries of school teachers in different States. We, therefore, recommend that, at the school</w:t>
      </w:r>
      <w:r>
        <w:rPr>
          <w:spacing w:val="21"/>
          <w:sz w:val="24"/>
        </w:rPr>
        <w:t> </w:t>
      </w:r>
      <w:r>
        <w:rPr>
          <w:sz w:val="24"/>
        </w:rPr>
        <w:t>stage,</w:t>
      </w:r>
      <w:r>
        <w:rPr>
          <w:spacing w:val="24"/>
          <w:sz w:val="24"/>
        </w:rPr>
        <w:t> </w:t>
      </w:r>
      <w:r>
        <w:rPr>
          <w:sz w:val="24"/>
        </w:rPr>
        <w:t>the</w:t>
      </w:r>
      <w:r>
        <w:rPr>
          <w:spacing w:val="24"/>
          <w:sz w:val="24"/>
        </w:rPr>
        <w:t> </w:t>
      </w:r>
      <w:r>
        <w:rPr>
          <w:sz w:val="24"/>
        </w:rPr>
        <w:t>Government</w:t>
      </w:r>
      <w:r>
        <w:rPr>
          <w:spacing w:val="24"/>
          <w:sz w:val="24"/>
        </w:rPr>
        <w:t> </w:t>
      </w:r>
      <w:r>
        <w:rPr>
          <w:sz w:val="24"/>
        </w:rPr>
        <w:t>of</w:t>
      </w:r>
      <w:r>
        <w:rPr>
          <w:spacing w:val="23"/>
          <w:sz w:val="24"/>
        </w:rPr>
        <w:t> </w:t>
      </w:r>
      <w:r>
        <w:rPr>
          <w:sz w:val="24"/>
        </w:rPr>
        <w:t>India</w:t>
      </w:r>
      <w:r>
        <w:rPr>
          <w:spacing w:val="24"/>
          <w:sz w:val="24"/>
        </w:rPr>
        <w:t> </w:t>
      </w:r>
      <w:r>
        <w:rPr>
          <w:sz w:val="24"/>
        </w:rPr>
        <w:t>should</w:t>
      </w:r>
      <w:r>
        <w:rPr>
          <w:spacing w:val="24"/>
          <w:sz w:val="24"/>
        </w:rPr>
        <w:t> </w:t>
      </w:r>
      <w:r>
        <w:rPr>
          <w:sz w:val="24"/>
        </w:rPr>
        <w:t>lay</w:t>
      </w:r>
      <w:r>
        <w:rPr>
          <w:spacing w:val="24"/>
          <w:sz w:val="24"/>
        </w:rPr>
        <w:t> </w:t>
      </w:r>
      <w:r>
        <w:rPr>
          <w:sz w:val="24"/>
        </w:rPr>
        <w:t>down</w:t>
      </w:r>
      <w:r>
        <w:rPr>
          <w:spacing w:val="24"/>
          <w:sz w:val="24"/>
        </w:rPr>
        <w:t> </w:t>
      </w:r>
      <w:r>
        <w:rPr>
          <w:sz w:val="24"/>
        </w:rPr>
        <w:t>the</w:t>
      </w:r>
      <w:r>
        <w:rPr>
          <w:spacing w:val="23"/>
          <w:sz w:val="24"/>
        </w:rPr>
        <w:t> </w:t>
      </w:r>
      <w:r>
        <w:rPr>
          <w:sz w:val="24"/>
        </w:rPr>
        <w:t>minimum</w:t>
      </w:r>
      <w:r>
        <w:rPr>
          <w:spacing w:val="22"/>
          <w:sz w:val="24"/>
        </w:rPr>
        <w:t> </w:t>
      </w:r>
      <w:r>
        <w:rPr>
          <w:sz w:val="24"/>
        </w:rPr>
        <w:t>scales</w:t>
      </w:r>
      <w:r>
        <w:rPr>
          <w:spacing w:val="24"/>
          <w:sz w:val="24"/>
        </w:rPr>
        <w:t> </w:t>
      </w:r>
      <w:r>
        <w:rPr>
          <w:sz w:val="24"/>
        </w:rPr>
        <w:t>of</w:t>
      </w:r>
      <w:r>
        <w:rPr>
          <w:spacing w:val="24"/>
          <w:sz w:val="24"/>
        </w:rPr>
        <w:t> </w:t>
      </w:r>
      <w:r>
        <w:rPr>
          <w:sz w:val="24"/>
        </w:rPr>
        <w:t>pay</w:t>
      </w:r>
      <w:r>
        <w:rPr>
          <w:spacing w:val="24"/>
          <w:sz w:val="24"/>
        </w:rPr>
        <w:t> </w:t>
      </w:r>
      <w:r>
        <w:rPr>
          <w:spacing w:val="-5"/>
          <w:sz w:val="24"/>
        </w:rPr>
        <w:t>for</w:t>
      </w:r>
    </w:p>
    <w:p>
      <w:pPr>
        <w:spacing w:after="0" w:line="240" w:lineRule="auto"/>
        <w:jc w:val="both"/>
        <w:rPr>
          <w:sz w:val="24"/>
        </w:rPr>
        <w:sectPr>
          <w:pgSz w:w="12240" w:h="15840"/>
          <w:pgMar w:header="0" w:footer="743" w:top="1360" w:bottom="940" w:left="1640" w:right="1300"/>
        </w:sectPr>
      </w:pPr>
    </w:p>
    <w:p>
      <w:pPr>
        <w:pStyle w:val="BodyText"/>
        <w:spacing w:before="76"/>
        <w:ind w:left="160" w:right="498"/>
        <w:jc w:val="both"/>
      </w:pPr>
      <w:r>
        <w:rPr/>
        <w:t>school teachers. The States and Union Territories should then adopt equivalent or higher scales of pay to suit their local conditions.</w:t>
      </w:r>
    </w:p>
    <w:p>
      <w:pPr>
        <w:pStyle w:val="BodyText"/>
        <w:spacing w:before="4"/>
      </w:pPr>
    </w:p>
    <w:p>
      <w:pPr>
        <w:pStyle w:val="ListParagraph"/>
        <w:numPr>
          <w:ilvl w:val="1"/>
          <w:numId w:val="44"/>
        </w:numPr>
        <w:tabs>
          <w:tab w:pos="653" w:val="left" w:leader="none"/>
        </w:tabs>
        <w:spacing w:line="240" w:lineRule="auto" w:before="0" w:after="0"/>
        <w:ind w:left="160" w:right="497" w:firstLine="0"/>
        <w:jc w:val="both"/>
        <w:rPr>
          <w:b/>
          <w:sz w:val="24"/>
        </w:rPr>
      </w:pPr>
      <w:r>
        <w:rPr>
          <w:b/>
          <w:sz w:val="24"/>
        </w:rPr>
        <w:t>The Principle of Parity. </w:t>
      </w:r>
      <w:r>
        <w:rPr>
          <w:sz w:val="24"/>
        </w:rPr>
        <w:t>With regard to the intra-State differences, we recommend that the remuneration of teachers working under different managements should also be</w:t>
      </w:r>
      <w:r>
        <w:rPr>
          <w:spacing w:val="40"/>
          <w:sz w:val="24"/>
        </w:rPr>
        <w:t> </w:t>
      </w:r>
      <w:r>
        <w:rPr>
          <w:sz w:val="24"/>
        </w:rPr>
        <w:t>the</w:t>
      </w:r>
      <w:r>
        <w:rPr>
          <w:spacing w:val="-2"/>
          <w:sz w:val="24"/>
        </w:rPr>
        <w:t> </w:t>
      </w:r>
      <w:r>
        <w:rPr>
          <w:sz w:val="24"/>
        </w:rPr>
        <w:t>same</w:t>
      </w:r>
      <w:r>
        <w:rPr>
          <w:spacing w:val="-2"/>
          <w:sz w:val="24"/>
        </w:rPr>
        <w:t> </w:t>
      </w:r>
      <w:r>
        <w:rPr>
          <w:sz w:val="24"/>
        </w:rPr>
        <w:t>and</w:t>
      </w:r>
      <w:r>
        <w:rPr>
          <w:spacing w:val="-2"/>
          <w:sz w:val="24"/>
        </w:rPr>
        <w:t> </w:t>
      </w:r>
      <w:r>
        <w:rPr>
          <w:sz w:val="24"/>
        </w:rPr>
        <w:t>that</w:t>
      </w:r>
      <w:r>
        <w:rPr>
          <w:spacing w:val="-2"/>
          <w:sz w:val="24"/>
        </w:rPr>
        <w:t> </w:t>
      </w:r>
      <w:r>
        <w:rPr>
          <w:sz w:val="24"/>
        </w:rPr>
        <w:t>all</w:t>
      </w:r>
      <w:r>
        <w:rPr>
          <w:spacing w:val="-2"/>
          <w:sz w:val="24"/>
        </w:rPr>
        <w:t> </w:t>
      </w:r>
      <w:r>
        <w:rPr>
          <w:sz w:val="24"/>
        </w:rPr>
        <w:t>teachers</w:t>
      </w:r>
      <w:r>
        <w:rPr>
          <w:spacing w:val="-2"/>
          <w:sz w:val="24"/>
        </w:rPr>
        <w:t> </w:t>
      </w:r>
      <w:r>
        <w:rPr>
          <w:sz w:val="24"/>
        </w:rPr>
        <w:t>having</w:t>
      </w:r>
      <w:r>
        <w:rPr>
          <w:spacing w:val="-4"/>
          <w:sz w:val="24"/>
        </w:rPr>
        <w:t> </w:t>
      </w:r>
      <w:r>
        <w:rPr>
          <w:sz w:val="24"/>
        </w:rPr>
        <w:t>the</w:t>
      </w:r>
      <w:r>
        <w:rPr>
          <w:spacing w:val="-2"/>
          <w:sz w:val="24"/>
        </w:rPr>
        <w:t> </w:t>
      </w:r>
      <w:r>
        <w:rPr>
          <w:sz w:val="24"/>
        </w:rPr>
        <w:t>same</w:t>
      </w:r>
      <w:r>
        <w:rPr>
          <w:spacing w:val="-5"/>
          <w:sz w:val="24"/>
        </w:rPr>
        <w:t> </w:t>
      </w:r>
      <w:r>
        <w:rPr>
          <w:sz w:val="24"/>
        </w:rPr>
        <w:t>qualifications</w:t>
      </w:r>
      <w:r>
        <w:rPr>
          <w:spacing w:val="-3"/>
          <w:sz w:val="24"/>
        </w:rPr>
        <w:t> </w:t>
      </w:r>
      <w:r>
        <w:rPr>
          <w:sz w:val="24"/>
        </w:rPr>
        <w:t>and</w:t>
      </w:r>
      <w:r>
        <w:rPr>
          <w:spacing w:val="-3"/>
          <w:sz w:val="24"/>
        </w:rPr>
        <w:t> </w:t>
      </w:r>
      <w:r>
        <w:rPr>
          <w:sz w:val="24"/>
        </w:rPr>
        <w:t>the</w:t>
      </w:r>
      <w:r>
        <w:rPr>
          <w:spacing w:val="-2"/>
          <w:sz w:val="24"/>
        </w:rPr>
        <w:t> </w:t>
      </w:r>
      <w:r>
        <w:rPr>
          <w:sz w:val="24"/>
        </w:rPr>
        <w:t>same</w:t>
      </w:r>
      <w:r>
        <w:rPr>
          <w:spacing w:val="-2"/>
          <w:sz w:val="24"/>
        </w:rPr>
        <w:t> </w:t>
      </w:r>
      <w:r>
        <w:rPr>
          <w:sz w:val="24"/>
        </w:rPr>
        <w:t>responsibilities should have the same, or at least similar, remuneration and conditions of work </w:t>
      </w:r>
      <w:r>
        <w:rPr>
          <w:sz w:val="24"/>
        </w:rPr>
        <w:t>and service. The problem will have to be discussed separately for higher and school</w:t>
      </w:r>
      <w:r>
        <w:rPr>
          <w:spacing w:val="40"/>
          <w:sz w:val="24"/>
        </w:rPr>
        <w:t> </w:t>
      </w:r>
      <w:r>
        <w:rPr>
          <w:spacing w:val="-2"/>
          <w:sz w:val="24"/>
        </w:rPr>
        <w:t>education.</w:t>
      </w:r>
    </w:p>
    <w:p>
      <w:pPr>
        <w:pStyle w:val="BodyText"/>
        <w:spacing w:before="5"/>
      </w:pPr>
    </w:p>
    <w:p>
      <w:pPr>
        <w:pStyle w:val="ListParagraph"/>
        <w:numPr>
          <w:ilvl w:val="0"/>
          <w:numId w:val="46"/>
        </w:numPr>
        <w:tabs>
          <w:tab w:pos="502" w:val="left" w:leader="none"/>
        </w:tabs>
        <w:spacing w:line="240" w:lineRule="auto" w:before="0" w:after="0"/>
        <w:ind w:left="159" w:right="496" w:firstLine="0"/>
        <w:jc w:val="both"/>
        <w:rPr>
          <w:sz w:val="24"/>
        </w:rPr>
      </w:pPr>
      <w:r>
        <w:rPr>
          <w:sz w:val="24"/>
        </w:rPr>
        <w:t>Higher Education. There is a good deal of disparity in the remuneration of teachers of different categories in higher education. For instance, the remuneration of teachers in different faculties is not the same: the teachers in the faculties of engineering and medicine are paid higher than those in the humanities. There is also a difference, in most parts of the country, between the salaries given to teachers in</w:t>
      </w:r>
      <w:r>
        <w:rPr>
          <w:spacing w:val="-1"/>
          <w:sz w:val="24"/>
        </w:rPr>
        <w:t> </w:t>
      </w:r>
      <w:r>
        <w:rPr>
          <w:sz w:val="24"/>
        </w:rPr>
        <w:t>universities and those given to teachers in affiliated colleges. In many States, teachers in government colleges do not get the scales of pay given to university teachers, although their remuneration is often much better than that of teachers in affiliated colleges. We recommend that these differences should be reduced to the minimum and efforts made to eliminate them </w:t>
      </w:r>
      <w:r>
        <w:rPr>
          <w:spacing w:val="-2"/>
          <w:sz w:val="24"/>
        </w:rPr>
        <w:t>gradually.</w:t>
      </w:r>
    </w:p>
    <w:p>
      <w:pPr>
        <w:pStyle w:val="BodyText"/>
        <w:spacing w:before="4"/>
      </w:pPr>
    </w:p>
    <w:p>
      <w:pPr>
        <w:pStyle w:val="ListParagraph"/>
        <w:numPr>
          <w:ilvl w:val="0"/>
          <w:numId w:val="46"/>
        </w:numPr>
        <w:tabs>
          <w:tab w:pos="512" w:val="left" w:leader="none"/>
        </w:tabs>
        <w:spacing w:line="240" w:lineRule="auto" w:before="0" w:after="0"/>
        <w:ind w:left="160" w:right="494" w:firstLine="0"/>
        <w:jc w:val="both"/>
        <w:rPr>
          <w:sz w:val="24"/>
        </w:rPr>
      </w:pPr>
      <w:r>
        <w:rPr>
          <w:sz w:val="24"/>
        </w:rPr>
        <w:t>School Teachers. We recommend that the scales of pay of school teachers belonging to</w:t>
      </w:r>
      <w:r>
        <w:rPr>
          <w:spacing w:val="-3"/>
          <w:sz w:val="24"/>
        </w:rPr>
        <w:t> </w:t>
      </w:r>
      <w:r>
        <w:rPr>
          <w:sz w:val="24"/>
        </w:rPr>
        <w:t>the</w:t>
      </w:r>
      <w:r>
        <w:rPr>
          <w:spacing w:val="-3"/>
          <w:sz w:val="24"/>
        </w:rPr>
        <w:t> </w:t>
      </w:r>
      <w:r>
        <w:rPr>
          <w:sz w:val="24"/>
        </w:rPr>
        <w:t>same</w:t>
      </w:r>
      <w:r>
        <w:rPr>
          <w:spacing w:val="-3"/>
          <w:sz w:val="24"/>
        </w:rPr>
        <w:t> </w:t>
      </w:r>
      <w:r>
        <w:rPr>
          <w:sz w:val="24"/>
        </w:rPr>
        <w:t>category</w:t>
      </w:r>
      <w:r>
        <w:rPr>
          <w:spacing w:val="-3"/>
          <w:sz w:val="24"/>
        </w:rPr>
        <w:t> </w:t>
      </w:r>
      <w:r>
        <w:rPr>
          <w:sz w:val="24"/>
        </w:rPr>
        <w:t>but</w:t>
      </w:r>
      <w:r>
        <w:rPr>
          <w:spacing w:val="-3"/>
          <w:sz w:val="24"/>
        </w:rPr>
        <w:t> </w:t>
      </w:r>
      <w:r>
        <w:rPr>
          <w:sz w:val="24"/>
        </w:rPr>
        <w:t>working</w:t>
      </w:r>
      <w:r>
        <w:rPr>
          <w:spacing w:val="-3"/>
          <w:sz w:val="24"/>
        </w:rPr>
        <w:t> </w:t>
      </w:r>
      <w:r>
        <w:rPr>
          <w:sz w:val="24"/>
        </w:rPr>
        <w:t>under</w:t>
      </w:r>
      <w:r>
        <w:rPr>
          <w:spacing w:val="-3"/>
          <w:sz w:val="24"/>
        </w:rPr>
        <w:t> </w:t>
      </w:r>
      <w:r>
        <w:rPr>
          <w:sz w:val="24"/>
        </w:rPr>
        <w:t>different</w:t>
      </w:r>
      <w:r>
        <w:rPr>
          <w:spacing w:val="-3"/>
          <w:sz w:val="24"/>
        </w:rPr>
        <w:t> </w:t>
      </w:r>
      <w:r>
        <w:rPr>
          <w:sz w:val="24"/>
        </w:rPr>
        <w:t>managements</w:t>
      </w:r>
      <w:r>
        <w:rPr>
          <w:spacing w:val="-3"/>
          <w:sz w:val="24"/>
        </w:rPr>
        <w:t> </w:t>
      </w:r>
      <w:r>
        <w:rPr>
          <w:sz w:val="24"/>
        </w:rPr>
        <w:t>such</w:t>
      </w:r>
      <w:r>
        <w:rPr>
          <w:spacing w:val="-3"/>
          <w:sz w:val="24"/>
        </w:rPr>
        <w:t> </w:t>
      </w:r>
      <w:r>
        <w:rPr>
          <w:sz w:val="24"/>
        </w:rPr>
        <w:t>as</w:t>
      </w:r>
      <w:r>
        <w:rPr>
          <w:spacing w:val="-3"/>
          <w:sz w:val="24"/>
        </w:rPr>
        <w:t> </w:t>
      </w:r>
      <w:r>
        <w:rPr>
          <w:sz w:val="24"/>
        </w:rPr>
        <w:t>government,</w:t>
      </w:r>
      <w:r>
        <w:rPr>
          <w:spacing w:val="-3"/>
          <w:sz w:val="24"/>
        </w:rPr>
        <w:t> </w:t>
      </w:r>
      <w:r>
        <w:rPr>
          <w:sz w:val="24"/>
        </w:rPr>
        <w:t>local bodies or private organizations, should be the same. The existing variations are purely historical</w:t>
      </w:r>
      <w:r>
        <w:rPr>
          <w:spacing w:val="-3"/>
          <w:sz w:val="24"/>
        </w:rPr>
        <w:t> </w:t>
      </w:r>
      <w:r>
        <w:rPr>
          <w:sz w:val="24"/>
        </w:rPr>
        <w:t>in</w:t>
      </w:r>
      <w:r>
        <w:rPr>
          <w:spacing w:val="-3"/>
          <w:sz w:val="24"/>
        </w:rPr>
        <w:t> </w:t>
      </w:r>
      <w:r>
        <w:rPr>
          <w:sz w:val="24"/>
        </w:rPr>
        <w:t>origin.</w:t>
      </w:r>
      <w:r>
        <w:rPr>
          <w:spacing w:val="-3"/>
          <w:sz w:val="24"/>
        </w:rPr>
        <w:t> </w:t>
      </w:r>
      <w:r>
        <w:rPr>
          <w:sz w:val="24"/>
        </w:rPr>
        <w:t>The</w:t>
      </w:r>
      <w:r>
        <w:rPr>
          <w:spacing w:val="-3"/>
          <w:sz w:val="24"/>
        </w:rPr>
        <w:t> </w:t>
      </w:r>
      <w:r>
        <w:rPr>
          <w:sz w:val="24"/>
        </w:rPr>
        <w:t>administrative</w:t>
      </w:r>
      <w:r>
        <w:rPr>
          <w:spacing w:val="-3"/>
          <w:sz w:val="24"/>
        </w:rPr>
        <w:t> </w:t>
      </w:r>
      <w:r>
        <w:rPr>
          <w:sz w:val="24"/>
        </w:rPr>
        <w:t>authorities</w:t>
      </w:r>
      <w:r>
        <w:rPr>
          <w:spacing w:val="-3"/>
          <w:sz w:val="24"/>
        </w:rPr>
        <w:t> </w:t>
      </w:r>
      <w:r>
        <w:rPr>
          <w:sz w:val="24"/>
        </w:rPr>
        <w:t>under</w:t>
      </w:r>
      <w:r>
        <w:rPr>
          <w:spacing w:val="-3"/>
          <w:sz w:val="24"/>
        </w:rPr>
        <w:t> </w:t>
      </w:r>
      <w:r>
        <w:rPr>
          <w:sz w:val="24"/>
        </w:rPr>
        <w:t>the</w:t>
      </w:r>
      <w:r>
        <w:rPr>
          <w:spacing w:val="-3"/>
          <w:sz w:val="24"/>
        </w:rPr>
        <w:t> </w:t>
      </w:r>
      <w:r>
        <w:rPr>
          <w:sz w:val="24"/>
        </w:rPr>
        <w:t>British</w:t>
      </w:r>
      <w:r>
        <w:rPr>
          <w:spacing w:val="-3"/>
          <w:sz w:val="24"/>
        </w:rPr>
        <w:t> </w:t>
      </w:r>
      <w:r>
        <w:rPr>
          <w:sz w:val="24"/>
        </w:rPr>
        <w:t>did</w:t>
      </w:r>
      <w:r>
        <w:rPr>
          <w:spacing w:val="-2"/>
          <w:sz w:val="24"/>
        </w:rPr>
        <w:t> </w:t>
      </w:r>
      <w:r>
        <w:rPr>
          <w:sz w:val="24"/>
        </w:rPr>
        <w:t>not</w:t>
      </w:r>
      <w:r>
        <w:rPr>
          <w:spacing w:val="-2"/>
          <w:sz w:val="24"/>
        </w:rPr>
        <w:t> </w:t>
      </w:r>
      <w:r>
        <w:rPr>
          <w:sz w:val="24"/>
        </w:rPr>
        <w:t>wish</w:t>
      </w:r>
      <w:r>
        <w:rPr>
          <w:spacing w:val="-2"/>
          <w:sz w:val="24"/>
        </w:rPr>
        <w:t> </w:t>
      </w:r>
      <w:r>
        <w:rPr>
          <w:sz w:val="24"/>
        </w:rPr>
        <w:t>to</w:t>
      </w:r>
      <w:r>
        <w:rPr>
          <w:spacing w:val="-2"/>
          <w:sz w:val="24"/>
        </w:rPr>
        <w:t> </w:t>
      </w:r>
      <w:r>
        <w:rPr>
          <w:sz w:val="24"/>
        </w:rPr>
        <w:t>reduce the salaries of government servants; at the same time, they were anxious to keep salary costs down to a level which the economy could afford. Hence the salaries 'of teachers in local authority schools were deliberately fixed at a point lower than that for government teachers and those for teachers in private schools were fixed at a still lower point. This policy has had two unfortunate results: it has lowered the average wage for teachers in general, as teachers in government service were a very small minority; it has also introduced an undesirable 'caste' system among them. It is time to eliminate these relics</w:t>
      </w:r>
      <w:r>
        <w:rPr>
          <w:spacing w:val="40"/>
          <w:sz w:val="24"/>
        </w:rPr>
        <w:t> </w:t>
      </w:r>
      <w:r>
        <w:rPr>
          <w:sz w:val="24"/>
        </w:rPr>
        <w:t>of the past.</w:t>
      </w:r>
    </w:p>
    <w:p>
      <w:pPr>
        <w:pStyle w:val="BodyText"/>
        <w:spacing w:before="4"/>
      </w:pPr>
    </w:p>
    <w:p>
      <w:pPr>
        <w:pStyle w:val="BodyText"/>
        <w:ind w:left="159" w:right="497"/>
        <w:jc w:val="both"/>
      </w:pPr>
      <w:r>
        <w:rPr/>
        <w:t>We are happy to note that a move in this direction has already been initiated and is well on the way. The principle of parity has been accepted at all levels of school education in seven States (Andhra Pradesh, Kerala, Madhya Pradesh, Madras, Mysore, Punjab and Rajasthan). In three States (Assam, Gujarat and Maharashtra) it has been accepted at the primary level, but not at the secondary for all</w:t>
      </w:r>
      <w:r>
        <w:rPr>
          <w:spacing w:val="-1"/>
        </w:rPr>
        <w:t> </w:t>
      </w:r>
      <w:r>
        <w:rPr/>
        <w:t>categories of teachers. In five States (Bihar, Jammu and Kashmir, Orissa, Uttar Pradesh and West Bengal) it has not been accepted at any stage and the scales of pay prescribed for teachers in non-government schools are different and much lower. Some illustrations of this are given in Table 3.2.</w:t>
      </w:r>
    </w:p>
    <w:p>
      <w:pPr>
        <w:spacing w:after="0"/>
        <w:jc w:val="both"/>
        <w:sectPr>
          <w:pgSz w:w="12240" w:h="15840"/>
          <w:pgMar w:header="0" w:footer="743" w:top="1360" w:bottom="940" w:left="1640" w:right="1300"/>
        </w:sectPr>
      </w:pPr>
    </w:p>
    <w:p>
      <w:pPr>
        <w:pStyle w:val="BodyText"/>
        <w:spacing w:before="76"/>
        <w:ind w:left="2073" w:hanging="1497"/>
      </w:pPr>
      <w:r>
        <w:rPr/>
        <w:t>TABLE</w:t>
      </w:r>
      <w:r>
        <w:rPr>
          <w:spacing w:val="-4"/>
        </w:rPr>
        <w:t> </w:t>
      </w:r>
      <w:r>
        <w:rPr/>
        <w:t>3.2.</w:t>
      </w:r>
      <w:r>
        <w:rPr>
          <w:spacing w:val="-4"/>
        </w:rPr>
        <w:t> </w:t>
      </w:r>
      <w:r>
        <w:rPr/>
        <w:t>PAY</w:t>
      </w:r>
      <w:r>
        <w:rPr>
          <w:spacing w:val="-4"/>
        </w:rPr>
        <w:t> </w:t>
      </w:r>
      <w:r>
        <w:rPr/>
        <w:t>SCALES</w:t>
      </w:r>
      <w:r>
        <w:rPr>
          <w:spacing w:val="-4"/>
        </w:rPr>
        <w:t> </w:t>
      </w:r>
      <w:r>
        <w:rPr/>
        <w:t>FOR</w:t>
      </w:r>
      <w:r>
        <w:rPr>
          <w:spacing w:val="-4"/>
        </w:rPr>
        <w:t> </w:t>
      </w:r>
      <w:r>
        <w:rPr/>
        <w:t>TEACHERS</w:t>
      </w:r>
      <w:r>
        <w:rPr>
          <w:spacing w:val="-5"/>
        </w:rPr>
        <w:t> </w:t>
      </w:r>
      <w:r>
        <w:rPr/>
        <w:t>IN</w:t>
      </w:r>
      <w:r>
        <w:rPr>
          <w:spacing w:val="-5"/>
        </w:rPr>
        <w:t> </w:t>
      </w:r>
      <w:r>
        <w:rPr/>
        <w:t>GOVERNMENT</w:t>
      </w:r>
      <w:r>
        <w:rPr>
          <w:spacing w:val="-5"/>
        </w:rPr>
        <w:t> </w:t>
      </w:r>
      <w:r>
        <w:rPr/>
        <w:t>AND</w:t>
      </w:r>
      <w:r>
        <w:rPr>
          <w:spacing w:val="-5"/>
        </w:rPr>
        <w:t> </w:t>
      </w:r>
      <w:r>
        <w:rPr/>
        <w:t>NON- GOVERNMENT SCHOOLS IN SOME STATES</w:t>
      </w:r>
    </w:p>
    <w:p>
      <w:pPr>
        <w:pStyle w:val="BodyText"/>
        <w:spacing w:before="6"/>
        <w:rPr>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9"/>
        <w:gridCol w:w="1734"/>
        <w:gridCol w:w="3414"/>
      </w:tblGrid>
      <w:tr>
        <w:trPr>
          <w:trHeight w:val="798" w:hRule="atLeast"/>
        </w:trPr>
        <w:tc>
          <w:tcPr>
            <w:tcW w:w="3489" w:type="dxa"/>
            <w:tcBorders>
              <w:top w:val="single" w:sz="12" w:space="0" w:color="808080"/>
              <w:bottom w:val="single" w:sz="12" w:space="0" w:color="808080"/>
            </w:tcBorders>
          </w:tcPr>
          <w:p>
            <w:pPr>
              <w:pStyle w:val="TableParagraph"/>
              <w:spacing w:before="48"/>
              <w:ind w:left="-3"/>
              <w:rPr>
                <w:sz w:val="24"/>
              </w:rPr>
            </w:pPr>
            <w:r>
              <w:rPr>
                <w:sz w:val="24"/>
              </w:rPr>
              <w:t>State</w:t>
            </w:r>
            <w:r>
              <w:rPr>
                <w:spacing w:val="-1"/>
                <w:sz w:val="24"/>
              </w:rPr>
              <w:t> </w:t>
            </w:r>
            <w:r>
              <w:rPr>
                <w:sz w:val="24"/>
              </w:rPr>
              <w:t>and</w:t>
            </w:r>
            <w:r>
              <w:rPr>
                <w:spacing w:val="-1"/>
                <w:sz w:val="24"/>
              </w:rPr>
              <w:t> </w:t>
            </w:r>
            <w:r>
              <w:rPr>
                <w:sz w:val="24"/>
              </w:rPr>
              <w:t>category</w:t>
            </w:r>
            <w:r>
              <w:rPr>
                <w:spacing w:val="-1"/>
                <w:sz w:val="24"/>
              </w:rPr>
              <w:t> </w:t>
            </w:r>
            <w:r>
              <w:rPr>
                <w:sz w:val="24"/>
              </w:rPr>
              <w:t>of</w:t>
            </w:r>
            <w:r>
              <w:rPr>
                <w:spacing w:val="-1"/>
                <w:sz w:val="24"/>
              </w:rPr>
              <w:t> </w:t>
            </w:r>
            <w:r>
              <w:rPr>
                <w:spacing w:val="-2"/>
                <w:sz w:val="24"/>
              </w:rPr>
              <w:t>teachers</w:t>
            </w:r>
          </w:p>
        </w:tc>
        <w:tc>
          <w:tcPr>
            <w:tcW w:w="1734" w:type="dxa"/>
            <w:tcBorders>
              <w:top w:val="single" w:sz="12" w:space="0" w:color="808080"/>
              <w:bottom w:val="single" w:sz="12" w:space="0" w:color="808080"/>
            </w:tcBorders>
          </w:tcPr>
          <w:p>
            <w:pPr>
              <w:pStyle w:val="TableParagraph"/>
              <w:spacing w:before="48"/>
              <w:ind w:left="172"/>
              <w:rPr>
                <w:sz w:val="24"/>
              </w:rPr>
            </w:pPr>
            <w:r>
              <w:rPr>
                <w:spacing w:val="-2"/>
                <w:sz w:val="24"/>
              </w:rPr>
              <w:t>Government institutions</w:t>
            </w:r>
          </w:p>
        </w:tc>
        <w:tc>
          <w:tcPr>
            <w:tcW w:w="3414" w:type="dxa"/>
            <w:tcBorders>
              <w:top w:val="single" w:sz="12" w:space="0" w:color="808080"/>
              <w:bottom w:val="single" w:sz="12" w:space="0" w:color="808080"/>
            </w:tcBorders>
          </w:tcPr>
          <w:p>
            <w:pPr>
              <w:pStyle w:val="TableParagraph"/>
              <w:spacing w:before="48"/>
              <w:ind w:left="270" w:right="510" w:hanging="1"/>
              <w:rPr>
                <w:sz w:val="24"/>
              </w:rPr>
            </w:pPr>
            <w:r>
              <w:rPr>
                <w:spacing w:val="-2"/>
                <w:sz w:val="24"/>
              </w:rPr>
              <w:t>Non-government institutions</w:t>
            </w:r>
          </w:p>
        </w:tc>
      </w:tr>
      <w:tr>
        <w:trPr>
          <w:trHeight w:val="467" w:hRule="atLeast"/>
        </w:trPr>
        <w:tc>
          <w:tcPr>
            <w:tcW w:w="3489" w:type="dxa"/>
            <w:tcBorders>
              <w:top w:val="single" w:sz="12" w:space="0" w:color="808080"/>
            </w:tcBorders>
          </w:tcPr>
          <w:p>
            <w:pPr>
              <w:pStyle w:val="TableParagraph"/>
              <w:spacing w:before="48"/>
              <w:ind w:left="-3"/>
              <w:rPr>
                <w:sz w:val="24"/>
              </w:rPr>
            </w:pPr>
            <w:r>
              <w:rPr>
                <w:spacing w:val="-2"/>
                <w:sz w:val="24"/>
              </w:rPr>
              <w:t>Assam</w:t>
            </w:r>
          </w:p>
        </w:tc>
        <w:tc>
          <w:tcPr>
            <w:tcW w:w="1734" w:type="dxa"/>
            <w:tcBorders>
              <w:top w:val="single" w:sz="12" w:space="0" w:color="808080"/>
            </w:tcBorders>
          </w:tcPr>
          <w:p>
            <w:pPr>
              <w:pStyle w:val="TableParagraph"/>
              <w:rPr>
                <w:sz w:val="24"/>
              </w:rPr>
            </w:pPr>
          </w:p>
        </w:tc>
        <w:tc>
          <w:tcPr>
            <w:tcW w:w="3414" w:type="dxa"/>
            <w:tcBorders>
              <w:top w:val="single" w:sz="12" w:space="0" w:color="808080"/>
            </w:tcBorders>
          </w:tcPr>
          <w:p>
            <w:pPr>
              <w:pStyle w:val="TableParagraph"/>
              <w:rPr>
                <w:sz w:val="24"/>
              </w:rPr>
            </w:pPr>
          </w:p>
        </w:tc>
      </w:tr>
      <w:tr>
        <w:trPr>
          <w:trHeight w:val="689" w:hRule="atLeast"/>
        </w:trPr>
        <w:tc>
          <w:tcPr>
            <w:tcW w:w="3489" w:type="dxa"/>
          </w:tcPr>
          <w:p>
            <w:pPr>
              <w:pStyle w:val="TableParagraph"/>
              <w:spacing w:line="270" w:lineRule="atLeast" w:before="118"/>
              <w:ind w:left="-3" w:right="369"/>
              <w:rPr>
                <w:sz w:val="24"/>
              </w:rPr>
            </w:pPr>
            <w:r>
              <w:rPr>
                <w:sz w:val="24"/>
              </w:rPr>
              <w:t>1.</w:t>
            </w:r>
            <w:r>
              <w:rPr>
                <w:spacing w:val="-9"/>
                <w:sz w:val="24"/>
              </w:rPr>
              <w:t> </w:t>
            </w:r>
            <w:r>
              <w:rPr>
                <w:sz w:val="24"/>
              </w:rPr>
              <w:t>Principal</w:t>
            </w:r>
            <w:r>
              <w:rPr>
                <w:spacing w:val="-9"/>
                <w:sz w:val="24"/>
              </w:rPr>
              <w:t> </w:t>
            </w:r>
            <w:r>
              <w:rPr>
                <w:sz w:val="24"/>
              </w:rPr>
              <w:t>of</w:t>
            </w:r>
            <w:r>
              <w:rPr>
                <w:spacing w:val="-9"/>
                <w:sz w:val="24"/>
              </w:rPr>
              <w:t> </w:t>
            </w:r>
            <w:r>
              <w:rPr>
                <w:sz w:val="24"/>
              </w:rPr>
              <w:t>a</w:t>
            </w:r>
            <w:r>
              <w:rPr>
                <w:spacing w:val="-9"/>
                <w:sz w:val="24"/>
              </w:rPr>
              <w:t> </w:t>
            </w:r>
            <w:r>
              <w:rPr>
                <w:sz w:val="24"/>
              </w:rPr>
              <w:t>higher secondary school</w:t>
            </w:r>
          </w:p>
        </w:tc>
        <w:tc>
          <w:tcPr>
            <w:tcW w:w="1734" w:type="dxa"/>
          </w:tcPr>
          <w:p>
            <w:pPr>
              <w:pStyle w:val="TableParagraph"/>
              <w:spacing w:before="132"/>
              <w:rPr>
                <w:sz w:val="24"/>
              </w:rPr>
            </w:pPr>
          </w:p>
          <w:p>
            <w:pPr>
              <w:pStyle w:val="TableParagraph"/>
              <w:spacing w:line="261" w:lineRule="exact" w:before="1"/>
              <w:ind w:left="171"/>
              <w:rPr>
                <w:sz w:val="24"/>
              </w:rPr>
            </w:pPr>
            <w:r>
              <w:rPr>
                <w:sz w:val="24"/>
              </w:rPr>
              <w:t>Rs.</w:t>
            </w:r>
            <w:r>
              <w:rPr>
                <w:spacing w:val="-1"/>
                <w:sz w:val="24"/>
              </w:rPr>
              <w:t> </w:t>
            </w:r>
            <w:r>
              <w:rPr>
                <w:sz w:val="24"/>
              </w:rPr>
              <w:t>350-</w:t>
            </w:r>
            <w:r>
              <w:rPr>
                <w:spacing w:val="-4"/>
                <w:sz w:val="24"/>
              </w:rPr>
              <w:t>1000</w:t>
            </w:r>
          </w:p>
        </w:tc>
        <w:tc>
          <w:tcPr>
            <w:tcW w:w="3414" w:type="dxa"/>
          </w:tcPr>
          <w:p>
            <w:pPr>
              <w:pStyle w:val="TableParagraph"/>
              <w:spacing w:before="132"/>
              <w:rPr>
                <w:sz w:val="24"/>
              </w:rPr>
            </w:pPr>
          </w:p>
          <w:p>
            <w:pPr>
              <w:pStyle w:val="TableParagraph"/>
              <w:spacing w:line="261" w:lineRule="exact" w:before="1"/>
              <w:ind w:left="269"/>
              <w:rPr>
                <w:sz w:val="24"/>
              </w:rPr>
            </w:pPr>
            <w:r>
              <w:rPr>
                <w:sz w:val="24"/>
              </w:rPr>
              <w:t>Rs.</w:t>
            </w:r>
            <w:r>
              <w:rPr>
                <w:spacing w:val="-1"/>
                <w:sz w:val="24"/>
              </w:rPr>
              <w:t> </w:t>
            </w:r>
            <w:r>
              <w:rPr>
                <w:sz w:val="24"/>
              </w:rPr>
              <w:t>250-</w:t>
            </w:r>
            <w:r>
              <w:rPr>
                <w:spacing w:val="-5"/>
                <w:sz w:val="24"/>
              </w:rPr>
              <w:t>600</w:t>
            </w:r>
          </w:p>
        </w:tc>
      </w:tr>
      <w:tr>
        <w:trPr>
          <w:trHeight w:val="965" w:hRule="atLeast"/>
        </w:trPr>
        <w:tc>
          <w:tcPr>
            <w:tcW w:w="3489" w:type="dxa"/>
          </w:tcPr>
          <w:p>
            <w:pPr>
              <w:pStyle w:val="TableParagraph"/>
              <w:rPr>
                <w:sz w:val="24"/>
              </w:rPr>
            </w:pPr>
          </w:p>
        </w:tc>
        <w:tc>
          <w:tcPr>
            <w:tcW w:w="1734" w:type="dxa"/>
          </w:tcPr>
          <w:p>
            <w:pPr>
              <w:pStyle w:val="TableParagraph"/>
              <w:ind w:left="172" w:right="726"/>
              <w:jc w:val="both"/>
              <w:rPr>
                <w:sz w:val="24"/>
              </w:rPr>
            </w:pPr>
            <w:r>
              <w:rPr>
                <w:spacing w:val="-2"/>
                <w:sz w:val="24"/>
              </w:rPr>
              <w:t>(starting </w:t>
            </w:r>
            <w:r>
              <w:rPr>
                <w:sz w:val="24"/>
              </w:rPr>
              <w:t>salary</w:t>
            </w:r>
            <w:r>
              <w:rPr>
                <w:spacing w:val="-15"/>
                <w:sz w:val="24"/>
              </w:rPr>
              <w:t> </w:t>
            </w:r>
            <w:r>
              <w:rPr>
                <w:sz w:val="24"/>
              </w:rPr>
              <w:t>of Rs. </w:t>
            </w:r>
            <w:r>
              <w:rPr>
                <w:spacing w:val="-4"/>
                <w:sz w:val="24"/>
              </w:rPr>
              <w:t>450)</w:t>
            </w:r>
          </w:p>
        </w:tc>
        <w:tc>
          <w:tcPr>
            <w:tcW w:w="3414" w:type="dxa"/>
          </w:tcPr>
          <w:p>
            <w:pPr>
              <w:pStyle w:val="TableParagraph"/>
              <w:spacing w:line="271" w:lineRule="exact"/>
              <w:ind w:left="270"/>
              <w:rPr>
                <w:sz w:val="24"/>
              </w:rPr>
            </w:pPr>
            <w:r>
              <w:rPr>
                <w:sz w:val="24"/>
              </w:rPr>
              <w:t>(starting</w:t>
            </w:r>
            <w:r>
              <w:rPr>
                <w:spacing w:val="-1"/>
                <w:sz w:val="24"/>
              </w:rPr>
              <w:t> </w:t>
            </w:r>
            <w:r>
              <w:rPr>
                <w:sz w:val="24"/>
              </w:rPr>
              <w:t>salary</w:t>
            </w:r>
            <w:r>
              <w:rPr>
                <w:spacing w:val="-1"/>
                <w:sz w:val="24"/>
              </w:rPr>
              <w:t> </w:t>
            </w:r>
            <w:r>
              <w:rPr>
                <w:spacing w:val="-5"/>
                <w:sz w:val="24"/>
              </w:rPr>
              <w:t>of</w:t>
            </w:r>
          </w:p>
          <w:p>
            <w:pPr>
              <w:pStyle w:val="TableParagraph"/>
              <w:rPr>
                <w:sz w:val="24"/>
              </w:rPr>
            </w:pPr>
          </w:p>
          <w:p>
            <w:pPr>
              <w:pStyle w:val="TableParagraph"/>
              <w:ind w:left="270"/>
              <w:rPr>
                <w:sz w:val="24"/>
              </w:rPr>
            </w:pPr>
            <w:r>
              <w:rPr>
                <w:sz w:val="24"/>
              </w:rPr>
              <w:t>Rs. </w:t>
            </w:r>
            <w:r>
              <w:rPr>
                <w:spacing w:val="-4"/>
                <w:sz w:val="24"/>
              </w:rPr>
              <w:t>390)</w:t>
            </w:r>
          </w:p>
        </w:tc>
      </w:tr>
      <w:tr>
        <w:trPr>
          <w:trHeight w:val="690" w:hRule="atLeast"/>
        </w:trPr>
        <w:tc>
          <w:tcPr>
            <w:tcW w:w="3489" w:type="dxa"/>
          </w:tcPr>
          <w:p>
            <w:pPr>
              <w:pStyle w:val="TableParagraph"/>
              <w:spacing w:line="270" w:lineRule="atLeast" w:before="118"/>
              <w:ind w:left="-3" w:right="369"/>
              <w:rPr>
                <w:sz w:val="24"/>
              </w:rPr>
            </w:pPr>
            <w:r>
              <w:rPr>
                <w:sz w:val="24"/>
              </w:rPr>
              <w:t>2.</w:t>
            </w:r>
            <w:r>
              <w:rPr>
                <w:spacing w:val="-10"/>
                <w:sz w:val="24"/>
              </w:rPr>
              <w:t> </w:t>
            </w:r>
            <w:r>
              <w:rPr>
                <w:sz w:val="24"/>
              </w:rPr>
              <w:t>Assistant</w:t>
            </w:r>
            <w:r>
              <w:rPr>
                <w:spacing w:val="-10"/>
                <w:sz w:val="24"/>
              </w:rPr>
              <w:t> </w:t>
            </w:r>
            <w:r>
              <w:rPr>
                <w:sz w:val="24"/>
              </w:rPr>
              <w:t>teacher</w:t>
            </w:r>
            <w:r>
              <w:rPr>
                <w:spacing w:val="-10"/>
                <w:sz w:val="24"/>
              </w:rPr>
              <w:t> </w:t>
            </w:r>
            <w:r>
              <w:rPr>
                <w:sz w:val="24"/>
              </w:rPr>
              <w:t>in</w:t>
            </w:r>
            <w:r>
              <w:rPr>
                <w:spacing w:val="-10"/>
                <w:sz w:val="24"/>
              </w:rPr>
              <w:t> </w:t>
            </w:r>
            <w:r>
              <w:rPr>
                <w:sz w:val="24"/>
              </w:rPr>
              <w:t>high school (trained graduate)</w:t>
            </w:r>
          </w:p>
        </w:tc>
        <w:tc>
          <w:tcPr>
            <w:tcW w:w="1734" w:type="dxa"/>
          </w:tcPr>
          <w:p>
            <w:pPr>
              <w:pStyle w:val="TableParagraph"/>
              <w:spacing w:before="132"/>
              <w:rPr>
                <w:sz w:val="24"/>
              </w:rPr>
            </w:pPr>
          </w:p>
          <w:p>
            <w:pPr>
              <w:pStyle w:val="TableParagraph"/>
              <w:spacing w:line="261" w:lineRule="exact" w:before="1"/>
              <w:ind w:left="172"/>
              <w:rPr>
                <w:sz w:val="24"/>
              </w:rPr>
            </w:pPr>
            <w:r>
              <w:rPr>
                <w:sz w:val="24"/>
              </w:rPr>
              <w:t>Rs</w:t>
            </w:r>
            <w:r>
              <w:rPr>
                <w:spacing w:val="30"/>
                <w:sz w:val="24"/>
              </w:rPr>
              <w:t>  </w:t>
            </w:r>
            <w:r>
              <w:rPr>
                <w:sz w:val="24"/>
              </w:rPr>
              <w:t>250-</w:t>
            </w:r>
            <w:r>
              <w:rPr>
                <w:spacing w:val="-5"/>
                <w:sz w:val="24"/>
              </w:rPr>
              <w:t>700</w:t>
            </w:r>
          </w:p>
        </w:tc>
        <w:tc>
          <w:tcPr>
            <w:tcW w:w="3414" w:type="dxa"/>
          </w:tcPr>
          <w:p>
            <w:pPr>
              <w:pStyle w:val="TableParagraph"/>
              <w:spacing w:before="132"/>
              <w:rPr>
                <w:sz w:val="24"/>
              </w:rPr>
            </w:pPr>
          </w:p>
          <w:p>
            <w:pPr>
              <w:pStyle w:val="TableParagraph"/>
              <w:spacing w:line="261" w:lineRule="exact" w:before="1"/>
              <w:ind w:left="270"/>
              <w:rPr>
                <w:sz w:val="24"/>
              </w:rPr>
            </w:pPr>
            <w:r>
              <w:rPr>
                <w:sz w:val="24"/>
              </w:rPr>
              <w:t>Rs.125-</w:t>
            </w:r>
            <w:r>
              <w:rPr>
                <w:spacing w:val="-5"/>
                <w:sz w:val="24"/>
              </w:rPr>
              <w:t>270</w:t>
            </w:r>
          </w:p>
        </w:tc>
      </w:tr>
      <w:tr>
        <w:trPr>
          <w:trHeight w:val="552" w:hRule="atLeast"/>
        </w:trPr>
        <w:tc>
          <w:tcPr>
            <w:tcW w:w="3489" w:type="dxa"/>
          </w:tcPr>
          <w:p>
            <w:pPr>
              <w:pStyle w:val="TableParagraph"/>
              <w:spacing w:line="261" w:lineRule="exact" w:before="271"/>
              <w:ind w:left="-3"/>
              <w:rPr>
                <w:sz w:val="24"/>
              </w:rPr>
            </w:pPr>
            <w:r>
              <w:rPr>
                <w:spacing w:val="-2"/>
                <w:sz w:val="24"/>
              </w:rPr>
              <w:t>Bihar</w:t>
            </w:r>
          </w:p>
        </w:tc>
        <w:tc>
          <w:tcPr>
            <w:tcW w:w="1734" w:type="dxa"/>
          </w:tcPr>
          <w:p>
            <w:pPr>
              <w:pStyle w:val="TableParagraph"/>
              <w:rPr>
                <w:sz w:val="24"/>
              </w:rPr>
            </w:pPr>
          </w:p>
        </w:tc>
        <w:tc>
          <w:tcPr>
            <w:tcW w:w="3414" w:type="dxa"/>
          </w:tcPr>
          <w:p>
            <w:pPr>
              <w:pStyle w:val="TableParagraph"/>
              <w:spacing w:line="271" w:lineRule="exact"/>
              <w:ind w:left="270"/>
              <w:rPr>
                <w:sz w:val="24"/>
              </w:rPr>
            </w:pPr>
            <w:r>
              <w:rPr>
                <w:sz w:val="24"/>
              </w:rPr>
              <w:t>(starting salary of </w:t>
            </w:r>
            <w:r>
              <w:rPr>
                <w:spacing w:val="-2"/>
                <w:sz w:val="24"/>
              </w:rPr>
              <w:t>Rs.140)</w:t>
            </w:r>
          </w:p>
        </w:tc>
      </w:tr>
      <w:tr>
        <w:trPr>
          <w:trHeight w:val="552" w:hRule="atLeast"/>
        </w:trPr>
        <w:tc>
          <w:tcPr>
            <w:tcW w:w="3489" w:type="dxa"/>
          </w:tcPr>
          <w:p>
            <w:pPr>
              <w:pStyle w:val="TableParagraph"/>
              <w:spacing w:line="271" w:lineRule="exact"/>
              <w:ind w:left="-3"/>
              <w:rPr>
                <w:sz w:val="24"/>
              </w:rPr>
            </w:pPr>
            <w:r>
              <w:rPr>
                <w:sz w:val="24"/>
              </w:rPr>
              <w:t>Matriculate</w:t>
            </w:r>
            <w:r>
              <w:rPr>
                <w:spacing w:val="-3"/>
                <w:sz w:val="24"/>
              </w:rPr>
              <w:t> </w:t>
            </w:r>
            <w:r>
              <w:rPr>
                <w:sz w:val="24"/>
              </w:rPr>
              <w:t>trained</w:t>
            </w:r>
            <w:r>
              <w:rPr>
                <w:spacing w:val="-2"/>
                <w:sz w:val="24"/>
              </w:rPr>
              <w:t> </w:t>
            </w:r>
            <w:r>
              <w:rPr>
                <w:sz w:val="24"/>
              </w:rPr>
              <w:t>teacher</w:t>
            </w:r>
            <w:r>
              <w:rPr>
                <w:spacing w:val="-2"/>
                <w:sz w:val="24"/>
              </w:rPr>
              <w:t> </w:t>
            </w:r>
            <w:r>
              <w:rPr>
                <w:spacing w:val="-5"/>
                <w:sz w:val="24"/>
              </w:rPr>
              <w:t>in</w:t>
            </w:r>
          </w:p>
          <w:p>
            <w:pPr>
              <w:pStyle w:val="TableParagraph"/>
              <w:spacing w:line="261" w:lineRule="exact"/>
              <w:ind w:left="-3"/>
              <w:rPr>
                <w:sz w:val="24"/>
              </w:rPr>
            </w:pPr>
            <w:r>
              <w:rPr>
                <w:sz w:val="24"/>
              </w:rPr>
              <w:t>a</w:t>
            </w:r>
            <w:r>
              <w:rPr>
                <w:spacing w:val="-1"/>
                <w:sz w:val="24"/>
              </w:rPr>
              <w:t> </w:t>
            </w:r>
            <w:r>
              <w:rPr>
                <w:sz w:val="24"/>
              </w:rPr>
              <w:t>primary</w:t>
            </w:r>
            <w:r>
              <w:rPr>
                <w:spacing w:val="-1"/>
                <w:sz w:val="24"/>
              </w:rPr>
              <w:t> </w:t>
            </w:r>
            <w:r>
              <w:rPr>
                <w:spacing w:val="-2"/>
                <w:sz w:val="24"/>
              </w:rPr>
              <w:t>school</w:t>
            </w:r>
          </w:p>
        </w:tc>
        <w:tc>
          <w:tcPr>
            <w:tcW w:w="1734" w:type="dxa"/>
          </w:tcPr>
          <w:p>
            <w:pPr>
              <w:pStyle w:val="TableParagraph"/>
              <w:spacing w:line="261" w:lineRule="exact" w:before="271"/>
              <w:ind w:left="171"/>
              <w:rPr>
                <w:sz w:val="24"/>
              </w:rPr>
            </w:pPr>
            <w:r>
              <w:rPr>
                <w:sz w:val="24"/>
              </w:rPr>
              <w:t>Rs. 115-</w:t>
            </w:r>
            <w:r>
              <w:rPr>
                <w:spacing w:val="-5"/>
                <w:sz w:val="24"/>
              </w:rPr>
              <w:t>200</w:t>
            </w:r>
          </w:p>
        </w:tc>
        <w:tc>
          <w:tcPr>
            <w:tcW w:w="3414" w:type="dxa"/>
          </w:tcPr>
          <w:p>
            <w:pPr>
              <w:pStyle w:val="TableParagraph"/>
              <w:spacing w:line="261" w:lineRule="exact" w:before="271"/>
              <w:ind w:left="269"/>
              <w:rPr>
                <w:sz w:val="24"/>
              </w:rPr>
            </w:pPr>
            <w:r>
              <w:rPr>
                <w:sz w:val="24"/>
              </w:rPr>
              <w:t>Rs. 50-</w:t>
            </w:r>
            <w:r>
              <w:rPr>
                <w:spacing w:val="-5"/>
                <w:sz w:val="24"/>
              </w:rPr>
              <w:t>90</w:t>
            </w:r>
          </w:p>
        </w:tc>
      </w:tr>
      <w:tr>
        <w:trPr>
          <w:trHeight w:val="690" w:hRule="atLeast"/>
        </w:trPr>
        <w:tc>
          <w:tcPr>
            <w:tcW w:w="3489" w:type="dxa"/>
          </w:tcPr>
          <w:p>
            <w:pPr>
              <w:pStyle w:val="TableParagraph"/>
              <w:spacing w:before="271"/>
              <w:ind w:left="-3"/>
              <w:rPr>
                <w:sz w:val="24"/>
              </w:rPr>
            </w:pPr>
            <w:r>
              <w:rPr>
                <w:spacing w:val="-2"/>
                <w:sz w:val="24"/>
              </w:rPr>
              <w:t>Orissa</w:t>
            </w:r>
          </w:p>
        </w:tc>
        <w:tc>
          <w:tcPr>
            <w:tcW w:w="1734" w:type="dxa"/>
          </w:tcPr>
          <w:p>
            <w:pPr>
              <w:pStyle w:val="TableParagraph"/>
              <w:spacing w:line="271" w:lineRule="exact"/>
              <w:ind w:left="172"/>
              <w:rPr>
                <w:sz w:val="24"/>
              </w:rPr>
            </w:pPr>
            <w:r>
              <w:rPr>
                <w:sz w:val="24"/>
              </w:rPr>
              <w:t>(D.A. Rs. </w:t>
            </w:r>
            <w:r>
              <w:rPr>
                <w:spacing w:val="-5"/>
                <w:sz w:val="24"/>
              </w:rPr>
              <w:t>5)</w:t>
            </w:r>
          </w:p>
        </w:tc>
        <w:tc>
          <w:tcPr>
            <w:tcW w:w="3414" w:type="dxa"/>
          </w:tcPr>
          <w:p>
            <w:pPr>
              <w:pStyle w:val="TableParagraph"/>
              <w:spacing w:line="271" w:lineRule="exact"/>
              <w:ind w:left="270"/>
              <w:rPr>
                <w:sz w:val="24"/>
              </w:rPr>
            </w:pPr>
            <w:r>
              <w:rPr>
                <w:sz w:val="24"/>
              </w:rPr>
              <w:t>(D.A. Rs. </w:t>
            </w:r>
            <w:r>
              <w:rPr>
                <w:spacing w:val="-5"/>
                <w:sz w:val="24"/>
              </w:rPr>
              <w:t>30)</w:t>
            </w:r>
          </w:p>
        </w:tc>
      </w:tr>
      <w:tr>
        <w:trPr>
          <w:trHeight w:val="827" w:hRule="atLeast"/>
        </w:trPr>
        <w:tc>
          <w:tcPr>
            <w:tcW w:w="3489" w:type="dxa"/>
          </w:tcPr>
          <w:p>
            <w:pPr>
              <w:pStyle w:val="TableParagraph"/>
              <w:spacing w:before="133"/>
              <w:ind w:left="-3"/>
              <w:rPr>
                <w:sz w:val="24"/>
              </w:rPr>
            </w:pPr>
            <w:r>
              <w:rPr>
                <w:sz w:val="24"/>
              </w:rPr>
              <w:t>Assistant teacher (trained graduate)in</w:t>
            </w:r>
            <w:r>
              <w:rPr>
                <w:spacing w:val="-13"/>
                <w:sz w:val="24"/>
              </w:rPr>
              <w:t> </w:t>
            </w:r>
            <w:r>
              <w:rPr>
                <w:sz w:val="24"/>
              </w:rPr>
              <w:t>a</w:t>
            </w:r>
            <w:r>
              <w:rPr>
                <w:spacing w:val="-13"/>
                <w:sz w:val="24"/>
              </w:rPr>
              <w:t> </w:t>
            </w:r>
            <w:r>
              <w:rPr>
                <w:sz w:val="24"/>
              </w:rPr>
              <w:t>secondary</w:t>
            </w:r>
            <w:r>
              <w:rPr>
                <w:spacing w:val="-13"/>
                <w:sz w:val="24"/>
              </w:rPr>
              <w:t> </w:t>
            </w:r>
            <w:r>
              <w:rPr>
                <w:sz w:val="24"/>
              </w:rPr>
              <w:t>school</w:t>
            </w:r>
          </w:p>
        </w:tc>
        <w:tc>
          <w:tcPr>
            <w:tcW w:w="1734" w:type="dxa"/>
          </w:tcPr>
          <w:p>
            <w:pPr>
              <w:pStyle w:val="TableParagraph"/>
              <w:spacing w:before="132"/>
              <w:rPr>
                <w:sz w:val="24"/>
              </w:rPr>
            </w:pPr>
          </w:p>
          <w:p>
            <w:pPr>
              <w:pStyle w:val="TableParagraph"/>
              <w:spacing w:before="1"/>
              <w:ind w:left="173"/>
              <w:rPr>
                <w:sz w:val="24"/>
              </w:rPr>
            </w:pPr>
            <w:r>
              <w:rPr>
                <w:sz w:val="24"/>
              </w:rPr>
              <w:t>Rs.</w:t>
            </w:r>
            <w:r>
              <w:rPr>
                <w:spacing w:val="-7"/>
                <w:sz w:val="24"/>
              </w:rPr>
              <w:t> </w:t>
            </w:r>
            <w:r>
              <w:rPr>
                <w:sz w:val="24"/>
              </w:rPr>
              <w:t>185-</w:t>
            </w:r>
            <w:r>
              <w:rPr>
                <w:spacing w:val="-5"/>
                <w:sz w:val="24"/>
              </w:rPr>
              <w:t>325</w:t>
            </w:r>
          </w:p>
        </w:tc>
        <w:tc>
          <w:tcPr>
            <w:tcW w:w="3414" w:type="dxa"/>
          </w:tcPr>
          <w:p>
            <w:pPr>
              <w:pStyle w:val="TableParagraph"/>
              <w:spacing w:before="132"/>
              <w:rPr>
                <w:sz w:val="24"/>
              </w:rPr>
            </w:pPr>
          </w:p>
          <w:p>
            <w:pPr>
              <w:pStyle w:val="TableParagraph"/>
              <w:spacing w:before="1"/>
              <w:ind w:left="270"/>
              <w:rPr>
                <w:sz w:val="24"/>
              </w:rPr>
            </w:pPr>
            <w:r>
              <w:rPr>
                <w:sz w:val="24"/>
              </w:rPr>
              <w:t>Rs.</w:t>
            </w:r>
            <w:r>
              <w:rPr>
                <w:spacing w:val="-7"/>
                <w:sz w:val="24"/>
              </w:rPr>
              <w:t> </w:t>
            </w:r>
            <w:r>
              <w:rPr>
                <w:sz w:val="24"/>
              </w:rPr>
              <w:t>175-</w:t>
            </w:r>
            <w:r>
              <w:rPr>
                <w:spacing w:val="-5"/>
                <w:sz w:val="24"/>
              </w:rPr>
              <w:t>300</w:t>
            </w:r>
          </w:p>
        </w:tc>
      </w:tr>
      <w:tr>
        <w:trPr>
          <w:trHeight w:val="1103" w:hRule="atLeast"/>
        </w:trPr>
        <w:tc>
          <w:tcPr>
            <w:tcW w:w="3489" w:type="dxa"/>
          </w:tcPr>
          <w:p>
            <w:pPr>
              <w:pStyle w:val="TableParagraph"/>
              <w:spacing w:before="132"/>
              <w:ind w:left="-3"/>
              <w:rPr>
                <w:sz w:val="24"/>
              </w:rPr>
            </w:pPr>
            <w:r>
              <w:rPr>
                <w:sz w:val="24"/>
              </w:rPr>
              <w:t>West </w:t>
            </w:r>
            <w:r>
              <w:rPr>
                <w:spacing w:val="-2"/>
                <w:sz w:val="24"/>
              </w:rPr>
              <w:t>Bengal</w:t>
            </w:r>
          </w:p>
          <w:p>
            <w:pPr>
              <w:pStyle w:val="TableParagraph"/>
              <w:ind w:left="-3" w:right="369"/>
              <w:rPr>
                <w:sz w:val="24"/>
              </w:rPr>
            </w:pPr>
            <w:r>
              <w:rPr>
                <w:sz w:val="24"/>
              </w:rPr>
              <w:t>1.</w:t>
            </w:r>
            <w:r>
              <w:rPr>
                <w:spacing w:val="-10"/>
                <w:sz w:val="24"/>
              </w:rPr>
              <w:t> </w:t>
            </w:r>
            <w:r>
              <w:rPr>
                <w:sz w:val="24"/>
              </w:rPr>
              <w:t>Headmaster</w:t>
            </w:r>
            <w:r>
              <w:rPr>
                <w:spacing w:val="-10"/>
                <w:sz w:val="24"/>
              </w:rPr>
              <w:t> </w:t>
            </w:r>
            <w:r>
              <w:rPr>
                <w:sz w:val="24"/>
              </w:rPr>
              <w:t>of</w:t>
            </w:r>
            <w:r>
              <w:rPr>
                <w:spacing w:val="-10"/>
                <w:sz w:val="24"/>
              </w:rPr>
              <w:t> </w:t>
            </w:r>
            <w:r>
              <w:rPr>
                <w:sz w:val="24"/>
              </w:rPr>
              <w:t>a</w:t>
            </w:r>
            <w:r>
              <w:rPr>
                <w:spacing w:val="-10"/>
                <w:sz w:val="24"/>
              </w:rPr>
              <w:t> </w:t>
            </w:r>
            <w:r>
              <w:rPr>
                <w:sz w:val="24"/>
              </w:rPr>
              <w:t>secondary </w:t>
            </w:r>
            <w:r>
              <w:rPr>
                <w:spacing w:val="-2"/>
                <w:sz w:val="24"/>
              </w:rPr>
              <w:t>school</w:t>
            </w:r>
          </w:p>
        </w:tc>
        <w:tc>
          <w:tcPr>
            <w:tcW w:w="1734" w:type="dxa"/>
          </w:tcPr>
          <w:p>
            <w:pPr>
              <w:pStyle w:val="TableParagraph"/>
              <w:rPr>
                <w:sz w:val="24"/>
              </w:rPr>
            </w:pPr>
          </w:p>
          <w:p>
            <w:pPr>
              <w:pStyle w:val="TableParagraph"/>
              <w:spacing w:before="132"/>
              <w:rPr>
                <w:sz w:val="24"/>
              </w:rPr>
            </w:pPr>
          </w:p>
          <w:p>
            <w:pPr>
              <w:pStyle w:val="TableParagraph"/>
              <w:ind w:left="171"/>
              <w:rPr>
                <w:sz w:val="24"/>
              </w:rPr>
            </w:pPr>
            <w:r>
              <w:rPr>
                <w:sz w:val="24"/>
              </w:rPr>
              <w:t>Rs.</w:t>
            </w:r>
            <w:r>
              <w:rPr>
                <w:spacing w:val="-1"/>
                <w:sz w:val="24"/>
              </w:rPr>
              <w:t> </w:t>
            </w:r>
            <w:r>
              <w:rPr>
                <w:sz w:val="24"/>
              </w:rPr>
              <w:t>325-</w:t>
            </w:r>
            <w:r>
              <w:rPr>
                <w:spacing w:val="-4"/>
                <w:sz w:val="24"/>
              </w:rPr>
              <w:t>1000</w:t>
            </w:r>
          </w:p>
        </w:tc>
        <w:tc>
          <w:tcPr>
            <w:tcW w:w="3414" w:type="dxa"/>
          </w:tcPr>
          <w:p>
            <w:pPr>
              <w:pStyle w:val="TableParagraph"/>
              <w:rPr>
                <w:sz w:val="24"/>
              </w:rPr>
            </w:pPr>
          </w:p>
          <w:p>
            <w:pPr>
              <w:pStyle w:val="TableParagraph"/>
              <w:spacing w:before="132"/>
              <w:rPr>
                <w:sz w:val="24"/>
              </w:rPr>
            </w:pPr>
          </w:p>
          <w:p>
            <w:pPr>
              <w:pStyle w:val="TableParagraph"/>
              <w:ind w:left="269"/>
              <w:rPr>
                <w:sz w:val="24"/>
              </w:rPr>
            </w:pPr>
            <w:r>
              <w:rPr>
                <w:sz w:val="24"/>
              </w:rPr>
              <w:t>Rs.</w:t>
            </w:r>
            <w:r>
              <w:rPr>
                <w:spacing w:val="-1"/>
                <w:sz w:val="24"/>
              </w:rPr>
              <w:t> </w:t>
            </w:r>
            <w:r>
              <w:rPr>
                <w:sz w:val="24"/>
              </w:rPr>
              <w:t>350-</w:t>
            </w:r>
            <w:r>
              <w:rPr>
                <w:spacing w:val="-5"/>
                <w:sz w:val="24"/>
              </w:rPr>
              <w:t>525</w:t>
            </w:r>
          </w:p>
        </w:tc>
      </w:tr>
      <w:tr>
        <w:trPr>
          <w:trHeight w:val="1104" w:hRule="atLeast"/>
        </w:trPr>
        <w:tc>
          <w:tcPr>
            <w:tcW w:w="3489" w:type="dxa"/>
          </w:tcPr>
          <w:p>
            <w:pPr>
              <w:pStyle w:val="TableParagraph"/>
              <w:spacing w:before="133"/>
              <w:ind w:left="-3"/>
              <w:rPr>
                <w:sz w:val="24"/>
              </w:rPr>
            </w:pPr>
            <w:r>
              <w:rPr>
                <w:sz w:val="24"/>
              </w:rPr>
              <w:t>2.</w:t>
            </w:r>
            <w:r>
              <w:rPr>
                <w:spacing w:val="-8"/>
                <w:sz w:val="24"/>
              </w:rPr>
              <w:t> </w:t>
            </w:r>
            <w:r>
              <w:rPr>
                <w:sz w:val="24"/>
              </w:rPr>
              <w:t>Assistant</w:t>
            </w:r>
            <w:r>
              <w:rPr>
                <w:spacing w:val="-8"/>
                <w:sz w:val="24"/>
              </w:rPr>
              <w:t> </w:t>
            </w:r>
            <w:r>
              <w:rPr>
                <w:sz w:val="24"/>
              </w:rPr>
              <w:t>teacher</w:t>
            </w:r>
            <w:r>
              <w:rPr>
                <w:spacing w:val="-8"/>
                <w:sz w:val="24"/>
              </w:rPr>
              <w:t> </w:t>
            </w:r>
            <w:r>
              <w:rPr>
                <w:sz w:val="24"/>
              </w:rPr>
              <w:t>in</w:t>
            </w:r>
            <w:r>
              <w:rPr>
                <w:spacing w:val="-8"/>
                <w:sz w:val="24"/>
              </w:rPr>
              <w:t> </w:t>
            </w:r>
            <w:r>
              <w:rPr>
                <w:sz w:val="24"/>
              </w:rPr>
              <w:t>a</w:t>
            </w:r>
            <w:r>
              <w:rPr>
                <w:spacing w:val="-8"/>
                <w:sz w:val="24"/>
              </w:rPr>
              <w:t> </w:t>
            </w:r>
            <w:r>
              <w:rPr>
                <w:sz w:val="24"/>
              </w:rPr>
              <w:t>secondary school</w:t>
            </w:r>
            <w:r>
              <w:rPr>
                <w:spacing w:val="40"/>
                <w:sz w:val="24"/>
              </w:rPr>
              <w:t> </w:t>
            </w:r>
            <w:r>
              <w:rPr>
                <w:sz w:val="24"/>
              </w:rPr>
              <w:t>with M.A./M.Sc</w:t>
            </w:r>
          </w:p>
          <w:p>
            <w:pPr>
              <w:pStyle w:val="TableParagraph"/>
              <w:ind w:left="-3"/>
              <w:rPr>
                <w:sz w:val="24"/>
              </w:rPr>
            </w:pPr>
            <w:r>
              <w:rPr>
                <w:sz w:val="24"/>
              </w:rPr>
              <w:t>./M. Corn. &amp; </w:t>
            </w:r>
            <w:r>
              <w:rPr>
                <w:spacing w:val="-4"/>
                <w:sz w:val="24"/>
              </w:rPr>
              <w:t>B.T.</w:t>
            </w:r>
          </w:p>
        </w:tc>
        <w:tc>
          <w:tcPr>
            <w:tcW w:w="1734" w:type="dxa"/>
          </w:tcPr>
          <w:p>
            <w:pPr>
              <w:pStyle w:val="TableParagraph"/>
              <w:rPr>
                <w:sz w:val="24"/>
              </w:rPr>
            </w:pPr>
          </w:p>
          <w:p>
            <w:pPr>
              <w:pStyle w:val="TableParagraph"/>
              <w:spacing w:before="132"/>
              <w:rPr>
                <w:sz w:val="24"/>
              </w:rPr>
            </w:pPr>
          </w:p>
          <w:p>
            <w:pPr>
              <w:pStyle w:val="TableParagraph"/>
              <w:spacing w:before="1"/>
              <w:ind w:left="172"/>
              <w:rPr>
                <w:sz w:val="24"/>
              </w:rPr>
            </w:pPr>
            <w:r>
              <w:rPr>
                <w:sz w:val="24"/>
              </w:rPr>
              <w:t>Rs. 225- </w:t>
            </w:r>
            <w:r>
              <w:rPr>
                <w:spacing w:val="-5"/>
                <w:sz w:val="24"/>
              </w:rPr>
              <w:t>475</w:t>
            </w:r>
          </w:p>
        </w:tc>
        <w:tc>
          <w:tcPr>
            <w:tcW w:w="3414" w:type="dxa"/>
          </w:tcPr>
          <w:p>
            <w:pPr>
              <w:pStyle w:val="TableParagraph"/>
              <w:rPr>
                <w:sz w:val="24"/>
              </w:rPr>
            </w:pPr>
          </w:p>
          <w:p>
            <w:pPr>
              <w:pStyle w:val="TableParagraph"/>
              <w:spacing w:before="132"/>
              <w:rPr>
                <w:sz w:val="24"/>
              </w:rPr>
            </w:pPr>
          </w:p>
          <w:p>
            <w:pPr>
              <w:pStyle w:val="TableParagraph"/>
              <w:spacing w:before="1"/>
              <w:ind w:left="270"/>
              <w:rPr>
                <w:sz w:val="24"/>
              </w:rPr>
            </w:pPr>
            <w:r>
              <w:rPr>
                <w:sz w:val="24"/>
              </w:rPr>
              <w:t>Rs. 210-</w:t>
            </w:r>
            <w:r>
              <w:rPr>
                <w:spacing w:val="-5"/>
                <w:sz w:val="24"/>
              </w:rPr>
              <w:t>450</w:t>
            </w:r>
          </w:p>
        </w:tc>
      </w:tr>
      <w:tr>
        <w:trPr>
          <w:trHeight w:val="684" w:hRule="atLeast"/>
        </w:trPr>
        <w:tc>
          <w:tcPr>
            <w:tcW w:w="3489" w:type="dxa"/>
          </w:tcPr>
          <w:p>
            <w:pPr>
              <w:pStyle w:val="TableParagraph"/>
              <w:spacing w:line="270" w:lineRule="atLeast" w:before="113"/>
              <w:ind w:left="-3"/>
              <w:rPr>
                <w:sz w:val="24"/>
              </w:rPr>
            </w:pPr>
            <w:r>
              <w:rPr>
                <w:sz w:val="24"/>
              </w:rPr>
              <w:t>3.</w:t>
            </w:r>
            <w:r>
              <w:rPr>
                <w:spacing w:val="-8"/>
                <w:sz w:val="24"/>
              </w:rPr>
              <w:t> </w:t>
            </w:r>
            <w:r>
              <w:rPr>
                <w:sz w:val="24"/>
              </w:rPr>
              <w:t>Assistant</w:t>
            </w:r>
            <w:r>
              <w:rPr>
                <w:spacing w:val="-8"/>
                <w:sz w:val="24"/>
              </w:rPr>
              <w:t> </w:t>
            </w:r>
            <w:r>
              <w:rPr>
                <w:sz w:val="24"/>
              </w:rPr>
              <w:t>teacher</w:t>
            </w:r>
            <w:r>
              <w:rPr>
                <w:spacing w:val="-8"/>
                <w:sz w:val="24"/>
              </w:rPr>
              <w:t> </w:t>
            </w:r>
            <w:r>
              <w:rPr>
                <w:sz w:val="24"/>
              </w:rPr>
              <w:t>in</w:t>
            </w:r>
            <w:r>
              <w:rPr>
                <w:spacing w:val="-8"/>
                <w:sz w:val="24"/>
              </w:rPr>
              <w:t> </w:t>
            </w:r>
            <w:r>
              <w:rPr>
                <w:sz w:val="24"/>
              </w:rPr>
              <w:t>a</w:t>
            </w:r>
            <w:r>
              <w:rPr>
                <w:spacing w:val="-8"/>
                <w:sz w:val="24"/>
              </w:rPr>
              <w:t> </w:t>
            </w:r>
            <w:r>
              <w:rPr>
                <w:sz w:val="24"/>
              </w:rPr>
              <w:t>secondary school with B.A./B.Sc., &amp; B.T.</w:t>
            </w:r>
          </w:p>
        </w:tc>
        <w:tc>
          <w:tcPr>
            <w:tcW w:w="1734" w:type="dxa"/>
          </w:tcPr>
          <w:p>
            <w:pPr>
              <w:pStyle w:val="TableParagraph"/>
              <w:spacing w:before="132"/>
              <w:rPr>
                <w:sz w:val="24"/>
              </w:rPr>
            </w:pPr>
          </w:p>
          <w:p>
            <w:pPr>
              <w:pStyle w:val="TableParagraph"/>
              <w:spacing w:line="256" w:lineRule="exact" w:before="1"/>
              <w:ind w:left="171"/>
              <w:rPr>
                <w:sz w:val="24"/>
              </w:rPr>
            </w:pPr>
            <w:r>
              <w:rPr>
                <w:sz w:val="24"/>
              </w:rPr>
              <w:t>Rs. 175-</w:t>
            </w:r>
            <w:r>
              <w:rPr>
                <w:spacing w:val="-5"/>
                <w:sz w:val="24"/>
              </w:rPr>
              <w:t>325</w:t>
            </w:r>
          </w:p>
        </w:tc>
        <w:tc>
          <w:tcPr>
            <w:tcW w:w="3414" w:type="dxa"/>
          </w:tcPr>
          <w:p>
            <w:pPr>
              <w:pStyle w:val="TableParagraph"/>
              <w:spacing w:before="132"/>
              <w:rPr>
                <w:sz w:val="24"/>
              </w:rPr>
            </w:pPr>
          </w:p>
          <w:p>
            <w:pPr>
              <w:pStyle w:val="TableParagraph"/>
              <w:spacing w:line="256" w:lineRule="exact" w:before="1"/>
              <w:ind w:left="269"/>
              <w:rPr>
                <w:sz w:val="24"/>
              </w:rPr>
            </w:pPr>
            <w:r>
              <w:rPr>
                <w:sz w:val="24"/>
              </w:rPr>
              <w:t>Rs. 160-</w:t>
            </w:r>
            <w:r>
              <w:rPr>
                <w:spacing w:val="-5"/>
                <w:sz w:val="24"/>
              </w:rPr>
              <w:t>295</w:t>
            </w:r>
          </w:p>
        </w:tc>
      </w:tr>
    </w:tbl>
    <w:p>
      <w:pPr>
        <w:pStyle w:val="BodyText"/>
        <w:spacing w:before="208"/>
        <w:rPr>
          <w:sz w:val="20"/>
        </w:rPr>
      </w:pPr>
      <w:r>
        <w:rPr/>
        <mc:AlternateContent>
          <mc:Choice Requires="wps">
            <w:drawing>
              <wp:anchor distT="0" distB="0" distL="0" distR="0" allowOverlap="1" layoutInCell="1" locked="0" behindDoc="1" simplePos="0" relativeHeight="487593472">
                <wp:simplePos x="0" y="0"/>
                <wp:positionH relativeFrom="page">
                  <wp:posOffset>1143000</wp:posOffset>
                </wp:positionH>
                <wp:positionV relativeFrom="paragraph">
                  <wp:posOffset>293878</wp:posOffset>
                </wp:positionV>
                <wp:extent cx="5486400" cy="19050"/>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5486400" cy="19050"/>
                          <a:chExt cx="5486400" cy="19050"/>
                        </a:xfrm>
                      </wpg:grpSpPr>
                      <wps:wsp>
                        <wps:cNvPr id="75" name="Graphic 7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76" name="Graphic 76"/>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77" name="Graphic 77"/>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78" name="Graphic 78"/>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79" name="Graphic 79"/>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80" name="Graphic 80"/>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81" name="Graphic 81"/>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140015pt;width:432pt;height:1.5pt;mso-position-horizontal-relative:page;mso-position-vertical-relative:paragraph;z-index:-15723008;mso-wrap-distance-left:0;mso-wrap-distance-right:0" id="docshapegroup69" coordorigin="1800,463" coordsize="8640,30">
                <v:rect style="position:absolute;left:1800;top:462;width:8640;height:30" id="docshape70" filled="true" fillcolor="#808080" stroked="false">
                  <v:fill type="solid"/>
                </v:rect>
                <v:shape style="position:absolute;left:1800;top:462;width:8636;height:5" id="docshape71" coordorigin="1800,463" coordsize="8636,5" path="m10435,463l1805,463,1800,463,1800,468,1805,468,10435,468,10435,463xe" filled="true" fillcolor="#aca89a" stroked="false">
                  <v:path arrowok="t"/>
                  <v:fill type="solid"/>
                </v:shape>
                <v:rect style="position:absolute;left:10435;top:462;width:5;height:5" id="docshape72" filled="true" fillcolor="#f1efe2" stroked="false">
                  <v:fill type="solid"/>
                </v:rect>
                <v:shape style="position:absolute;left:1800;top:462;width:8640;height:26" id="docshape73" coordorigin="1800,463" coordsize="8640,26" path="m1805,468l1800,468,1800,488,1805,488,1805,468xm10440,463l10435,463,10435,468,10440,468,10440,463xe" filled="true" fillcolor="#aca89a" stroked="false">
                  <v:path arrowok="t"/>
                  <v:fill type="solid"/>
                </v:shape>
                <v:rect style="position:absolute;left:10435;top:467;width:5;height:21" id="docshape74" filled="true" fillcolor="#f1efe2" stroked="false">
                  <v:fill type="solid"/>
                </v:rect>
                <v:rect style="position:absolute;left:1800;top:488;width:5;height:5" id="docshape75" filled="true" fillcolor="#aca89a" stroked="false">
                  <v:fill type="solid"/>
                </v:rect>
                <v:shape style="position:absolute;left:1800;top:488;width:8640;height:5" id="docshape76" coordorigin="1800,488" coordsize="8640,5" path="m10440,488l10435,488,1800,488,1800,493,10435,493,10440,493,10440,488xe" filled="true" fillcolor="#f1efe2" stroked="false">
                  <v:path arrowok="t"/>
                  <v:fill type="solid"/>
                </v:shape>
                <w10:wrap type="topAndBottom"/>
              </v:group>
            </w:pict>
          </mc:Fallback>
        </mc:AlternateContent>
      </w:r>
    </w:p>
    <w:p>
      <w:pPr>
        <w:pStyle w:val="BodyText"/>
      </w:pPr>
    </w:p>
    <w:p>
      <w:pPr>
        <w:pStyle w:val="BodyText"/>
        <w:spacing w:before="53"/>
      </w:pPr>
    </w:p>
    <w:p>
      <w:pPr>
        <w:pStyle w:val="BodyText"/>
        <w:ind w:left="159" w:right="497"/>
        <w:jc w:val="both"/>
      </w:pPr>
      <w:r>
        <w:rPr/>
        <w:t>It will be seen that, in some cases, the differences are marginal while in others, they are serious and glaring.</w:t>
      </w:r>
    </w:p>
    <w:p>
      <w:pPr>
        <w:pStyle w:val="BodyText"/>
        <w:spacing w:before="3"/>
      </w:pPr>
    </w:p>
    <w:p>
      <w:pPr>
        <w:pStyle w:val="BodyText"/>
        <w:spacing w:before="1"/>
        <w:ind w:left="159" w:right="498"/>
        <w:jc w:val="both"/>
      </w:pPr>
      <w:r>
        <w:rPr/>
        <w:t>Three main arguments are put forward for retaining this disparity in remuneration. The first is that the teachers in non-government schools are not well-qualified and not</w:t>
      </w:r>
      <w:r>
        <w:rPr>
          <w:spacing w:val="40"/>
        </w:rPr>
        <w:t> </w:t>
      </w:r>
      <w:r>
        <w:rPr/>
        <w:t>properly</w:t>
      </w:r>
      <w:r>
        <w:rPr>
          <w:spacing w:val="40"/>
        </w:rPr>
        <w:t> </w:t>
      </w:r>
      <w:r>
        <w:rPr/>
        <w:t>selected.</w:t>
      </w:r>
      <w:r>
        <w:rPr>
          <w:spacing w:val="40"/>
        </w:rPr>
        <w:t> </w:t>
      </w:r>
      <w:r>
        <w:rPr/>
        <w:t>We</w:t>
      </w:r>
      <w:r>
        <w:rPr>
          <w:spacing w:val="40"/>
        </w:rPr>
        <w:t> </w:t>
      </w:r>
      <w:r>
        <w:rPr/>
        <w:t>cannot</w:t>
      </w:r>
      <w:r>
        <w:rPr>
          <w:spacing w:val="40"/>
        </w:rPr>
        <w:t> </w:t>
      </w:r>
      <w:r>
        <w:rPr/>
        <w:t>accept</w:t>
      </w:r>
      <w:r>
        <w:rPr>
          <w:spacing w:val="40"/>
        </w:rPr>
        <w:t> </w:t>
      </w:r>
      <w:r>
        <w:rPr/>
        <w:t>this</w:t>
      </w:r>
      <w:r>
        <w:rPr>
          <w:spacing w:val="40"/>
        </w:rPr>
        <w:t> </w:t>
      </w:r>
      <w:r>
        <w:rPr/>
        <w:t>contention.</w:t>
      </w:r>
      <w:r>
        <w:rPr>
          <w:spacing w:val="40"/>
        </w:rPr>
        <w:t> </w:t>
      </w:r>
      <w:r>
        <w:rPr/>
        <w:t>Instead</w:t>
      </w:r>
      <w:r>
        <w:rPr>
          <w:spacing w:val="40"/>
        </w:rPr>
        <w:t> </w:t>
      </w:r>
      <w:r>
        <w:rPr/>
        <w:t>of</w:t>
      </w:r>
      <w:r>
        <w:rPr>
          <w:spacing w:val="40"/>
        </w:rPr>
        <w:t> </w:t>
      </w:r>
      <w:r>
        <w:rPr/>
        <w:t>perpetuating</w:t>
      </w:r>
      <w:r>
        <w:rPr>
          <w:spacing w:val="40"/>
        </w:rPr>
        <w:t> </w:t>
      </w:r>
      <w:r>
        <w:rPr/>
        <w:t>unequal</w:t>
      </w:r>
    </w:p>
    <w:p>
      <w:pPr>
        <w:spacing w:after="0"/>
        <w:jc w:val="both"/>
        <w:sectPr>
          <w:pgSz w:w="12240" w:h="15840"/>
          <w:pgMar w:header="0" w:footer="743" w:top="1360" w:bottom="940" w:left="1640" w:right="1300"/>
        </w:sectPr>
      </w:pPr>
    </w:p>
    <w:p>
      <w:pPr>
        <w:pStyle w:val="BodyText"/>
        <w:spacing w:before="76"/>
        <w:ind w:left="160" w:right="495"/>
        <w:jc w:val="both"/>
      </w:pPr>
      <w:r>
        <w:rPr/>
        <w:t>remuneration on these grounds, it is essential to adopt the principle of parity in remuneration, and simultaneously to prescribe the same qualifications for teachers in all types of schools and to introduce a similar machinery for their recruitment. The second is that teachers in government service have certain handicaps such as liability to transfer, application</w:t>
      </w:r>
      <w:r>
        <w:rPr>
          <w:spacing w:val="-1"/>
        </w:rPr>
        <w:t> </w:t>
      </w:r>
      <w:r>
        <w:rPr/>
        <w:t>of</w:t>
      </w:r>
      <w:r>
        <w:rPr>
          <w:spacing w:val="-1"/>
        </w:rPr>
        <w:t> </w:t>
      </w:r>
      <w:r>
        <w:rPr/>
        <w:t>conduct</w:t>
      </w:r>
      <w:r>
        <w:rPr>
          <w:spacing w:val="-1"/>
        </w:rPr>
        <w:t> </w:t>
      </w:r>
      <w:r>
        <w:rPr/>
        <w:t>and</w:t>
      </w:r>
      <w:r>
        <w:rPr>
          <w:spacing w:val="-1"/>
        </w:rPr>
        <w:t> </w:t>
      </w:r>
      <w:r>
        <w:rPr/>
        <w:t>discipline</w:t>
      </w:r>
      <w:r>
        <w:rPr>
          <w:spacing w:val="-1"/>
        </w:rPr>
        <w:t> </w:t>
      </w:r>
      <w:r>
        <w:rPr/>
        <w:t>rules,</w:t>
      </w:r>
      <w:r>
        <w:rPr>
          <w:spacing w:val="-1"/>
        </w:rPr>
        <w:t> </w:t>
      </w:r>
      <w:r>
        <w:rPr/>
        <w:t>etc.,</w:t>
      </w:r>
      <w:r>
        <w:rPr>
          <w:spacing w:val="-1"/>
        </w:rPr>
        <w:t> </w:t>
      </w:r>
      <w:r>
        <w:rPr/>
        <w:t>and</w:t>
      </w:r>
      <w:r>
        <w:rPr>
          <w:spacing w:val="-1"/>
        </w:rPr>
        <w:t> </w:t>
      </w:r>
      <w:r>
        <w:rPr/>
        <w:t>that</w:t>
      </w:r>
      <w:r>
        <w:rPr>
          <w:spacing w:val="-1"/>
        </w:rPr>
        <w:t> </w:t>
      </w:r>
      <w:r>
        <w:rPr/>
        <w:t>parity</w:t>
      </w:r>
      <w:r>
        <w:rPr>
          <w:spacing w:val="-1"/>
        </w:rPr>
        <w:t> </w:t>
      </w:r>
      <w:r>
        <w:rPr/>
        <w:t>in</w:t>
      </w:r>
      <w:r>
        <w:rPr>
          <w:spacing w:val="-1"/>
        </w:rPr>
        <w:t> </w:t>
      </w:r>
      <w:r>
        <w:rPr/>
        <w:t>remuneration</w:t>
      </w:r>
      <w:r>
        <w:rPr>
          <w:spacing w:val="-1"/>
        </w:rPr>
        <w:t> </w:t>
      </w:r>
      <w:r>
        <w:rPr/>
        <w:t>would</w:t>
      </w:r>
      <w:r>
        <w:rPr>
          <w:spacing w:val="-1"/>
        </w:rPr>
        <w:t> </w:t>
      </w:r>
      <w:r>
        <w:rPr/>
        <w:t>tilt the balance materially in favour of teachers in private schools. We do not agree with this view either. We are opposed to the idea of frequent transfers in government schools and have recommended that their teachers should, as far as possible, be localized. We do not support the restrictions on the academic freedom of teachers in government educational institutions and instead of compensating them for it in monetary terms, we have recommended the grant of academic freedom. There are bound to be some differences in conditions of service in government and non-government institutions. For instance, private educational institutions call provide a more satisfying experience to certain persons while teachers in government schools have better prospects of promotion. But in the proposals formulated by us, these differences have been reduced to the minimum and there is, therefore, no justification to continue the existing disparity of remuneration. The third argument put forward is financial and it is said that the funds needed to upgrade the salaries of teachers in local authority and private schools to the level of those in government schools are not readily available. We recognize the force of this argument and recommend that the principle of parity should be accepted as a State policy forthwith but that its full implementation should be spread over a phased programme of about five </w:t>
      </w:r>
      <w:r>
        <w:rPr>
          <w:spacing w:val="-2"/>
        </w:rPr>
        <w:t>years.</w:t>
      </w:r>
    </w:p>
    <w:p>
      <w:pPr>
        <w:pStyle w:val="BodyText"/>
        <w:spacing w:before="4"/>
      </w:pPr>
    </w:p>
    <w:p>
      <w:pPr>
        <w:pStyle w:val="ListParagraph"/>
        <w:numPr>
          <w:ilvl w:val="1"/>
          <w:numId w:val="47"/>
        </w:numPr>
        <w:tabs>
          <w:tab w:pos="655" w:val="left" w:leader="none"/>
        </w:tabs>
        <w:spacing w:line="240" w:lineRule="auto" w:before="1" w:after="0"/>
        <w:ind w:left="160" w:right="498" w:firstLine="0"/>
        <w:jc w:val="both"/>
        <w:rPr>
          <w:b/>
          <w:sz w:val="24"/>
        </w:rPr>
      </w:pPr>
      <w:r>
        <w:rPr>
          <w:b/>
          <w:sz w:val="24"/>
        </w:rPr>
        <w:t>Revision of Salaries</w:t>
      </w:r>
      <w:r>
        <w:rPr>
          <w:sz w:val="24"/>
        </w:rPr>
        <w:t>. In making our proposals for the revision of the remuneration of teachers, we have kept the following principles in view:</w:t>
      </w:r>
    </w:p>
    <w:p>
      <w:pPr>
        <w:pStyle w:val="BodyText"/>
        <w:spacing w:before="3"/>
      </w:pPr>
    </w:p>
    <w:p>
      <w:pPr>
        <w:pStyle w:val="ListParagraph"/>
        <w:numPr>
          <w:ilvl w:val="0"/>
          <w:numId w:val="48"/>
        </w:numPr>
        <w:tabs>
          <w:tab w:pos="525" w:val="left" w:leader="none"/>
        </w:tabs>
        <w:spacing w:line="240" w:lineRule="auto" w:before="0" w:after="0"/>
        <w:ind w:left="160" w:right="497" w:firstLine="0"/>
        <w:jc w:val="both"/>
        <w:rPr>
          <w:sz w:val="24"/>
        </w:rPr>
      </w:pPr>
      <w:r>
        <w:rPr>
          <w:sz w:val="24"/>
        </w:rPr>
        <w:t>At the university stage, the remuneration of teachers should be broadly comparable with that of the senior services of the Government so that a fair proportion of the top talent in the country is attracted to the profession of teaching and research. What is important here is that the salary of a vice-chancellor should be about the same as that of a Secretary</w:t>
      </w:r>
      <w:r>
        <w:rPr>
          <w:spacing w:val="-1"/>
          <w:sz w:val="24"/>
        </w:rPr>
        <w:t> </w:t>
      </w:r>
      <w:r>
        <w:rPr>
          <w:sz w:val="24"/>
        </w:rPr>
        <w:t>to</w:t>
      </w:r>
      <w:r>
        <w:rPr>
          <w:spacing w:val="-1"/>
          <w:sz w:val="24"/>
        </w:rPr>
        <w:t> </w:t>
      </w:r>
      <w:r>
        <w:rPr>
          <w:sz w:val="24"/>
        </w:rPr>
        <w:t>the</w:t>
      </w:r>
      <w:r>
        <w:rPr>
          <w:spacing w:val="-1"/>
          <w:sz w:val="24"/>
        </w:rPr>
        <w:t> </w:t>
      </w:r>
      <w:r>
        <w:rPr>
          <w:sz w:val="24"/>
        </w:rPr>
        <w:t>Union</w:t>
      </w:r>
      <w:r>
        <w:rPr>
          <w:spacing w:val="-1"/>
          <w:sz w:val="24"/>
        </w:rPr>
        <w:t> </w:t>
      </w:r>
      <w:r>
        <w:rPr>
          <w:sz w:val="24"/>
        </w:rPr>
        <w:t>Government;</w:t>
      </w:r>
      <w:r>
        <w:rPr>
          <w:spacing w:val="-1"/>
          <w:sz w:val="24"/>
        </w:rPr>
        <w:t> </w:t>
      </w:r>
      <w:r>
        <w:rPr>
          <w:sz w:val="24"/>
        </w:rPr>
        <w:t>the</w:t>
      </w:r>
      <w:r>
        <w:rPr>
          <w:spacing w:val="-1"/>
          <w:sz w:val="24"/>
        </w:rPr>
        <w:t> </w:t>
      </w:r>
      <w:r>
        <w:rPr>
          <w:sz w:val="24"/>
        </w:rPr>
        <w:t>maximum</w:t>
      </w:r>
      <w:r>
        <w:rPr>
          <w:spacing w:val="-1"/>
          <w:sz w:val="24"/>
        </w:rPr>
        <w:t> </w:t>
      </w:r>
      <w:r>
        <w:rPr>
          <w:sz w:val="24"/>
        </w:rPr>
        <w:t>salary</w:t>
      </w:r>
      <w:r>
        <w:rPr>
          <w:spacing w:val="-1"/>
          <w:sz w:val="24"/>
        </w:rPr>
        <w:t> </w:t>
      </w:r>
      <w:r>
        <w:rPr>
          <w:sz w:val="24"/>
        </w:rPr>
        <w:t>of</w:t>
      </w:r>
      <w:r>
        <w:rPr>
          <w:spacing w:val="-1"/>
          <w:sz w:val="24"/>
        </w:rPr>
        <w:t> </w:t>
      </w:r>
      <w:r>
        <w:rPr>
          <w:sz w:val="24"/>
        </w:rPr>
        <w:t>a</w:t>
      </w:r>
      <w:r>
        <w:rPr>
          <w:spacing w:val="-1"/>
          <w:sz w:val="24"/>
        </w:rPr>
        <w:t> </w:t>
      </w:r>
      <w:r>
        <w:rPr>
          <w:sz w:val="24"/>
        </w:rPr>
        <w:t>university</w:t>
      </w:r>
      <w:r>
        <w:rPr>
          <w:spacing w:val="-1"/>
          <w:sz w:val="24"/>
        </w:rPr>
        <w:t> </w:t>
      </w:r>
      <w:r>
        <w:rPr>
          <w:sz w:val="24"/>
        </w:rPr>
        <w:t>professor</w:t>
      </w:r>
      <w:r>
        <w:rPr>
          <w:spacing w:val="-1"/>
          <w:sz w:val="24"/>
        </w:rPr>
        <w:t> </w:t>
      </w:r>
      <w:r>
        <w:rPr>
          <w:sz w:val="24"/>
        </w:rPr>
        <w:t>should be the same as the maximum in the senior scale of the IAS; and for outstanding professors, higher salaries comparable to super-time scales of pay of the IAS should be </w:t>
      </w:r>
      <w:r>
        <w:rPr>
          <w:spacing w:val="-2"/>
          <w:sz w:val="24"/>
        </w:rPr>
        <w:t>available.</w:t>
      </w:r>
    </w:p>
    <w:p>
      <w:pPr>
        <w:pStyle w:val="BodyText"/>
        <w:spacing w:before="4"/>
      </w:pPr>
    </w:p>
    <w:p>
      <w:pPr>
        <w:pStyle w:val="ListParagraph"/>
        <w:numPr>
          <w:ilvl w:val="0"/>
          <w:numId w:val="48"/>
        </w:numPr>
        <w:tabs>
          <w:tab w:pos="555" w:val="left" w:leader="none"/>
        </w:tabs>
        <w:spacing w:line="240" w:lineRule="auto" w:before="0" w:after="0"/>
        <w:ind w:left="159" w:right="497" w:firstLine="0"/>
        <w:jc w:val="both"/>
        <w:rPr>
          <w:sz w:val="24"/>
        </w:rPr>
      </w:pPr>
      <w:r>
        <w:rPr>
          <w:sz w:val="24"/>
        </w:rPr>
        <w:t>The scales of pay of primary teachers should be comparable to those of public servants with similar qualifications and responsibilities. But they should have a higher basic pay in recognition of the two years of professional training which they have </w:t>
      </w:r>
      <w:r>
        <w:rPr>
          <w:spacing w:val="-2"/>
          <w:sz w:val="24"/>
        </w:rPr>
        <w:t>received.</w:t>
      </w:r>
    </w:p>
    <w:p>
      <w:pPr>
        <w:pStyle w:val="BodyText"/>
        <w:spacing w:before="5"/>
      </w:pPr>
    </w:p>
    <w:p>
      <w:pPr>
        <w:pStyle w:val="ListParagraph"/>
        <w:numPr>
          <w:ilvl w:val="0"/>
          <w:numId w:val="48"/>
        </w:numPr>
        <w:tabs>
          <w:tab w:pos="528" w:val="left" w:leader="none"/>
        </w:tabs>
        <w:spacing w:line="240" w:lineRule="auto" w:before="0" w:after="0"/>
        <w:ind w:left="159" w:right="496" w:firstLine="0"/>
        <w:jc w:val="both"/>
        <w:rPr>
          <w:sz w:val="24"/>
        </w:rPr>
      </w:pPr>
      <w:r>
        <w:rPr>
          <w:sz w:val="24"/>
        </w:rPr>
        <w:t>Since teaching is a unified profession, requiring common attitudes of devotion and dedication and since teachers at every stage are entrusted with the responsibility of educating the younger generation, the differences in the remuneration of the teachers at the</w:t>
      </w:r>
      <w:r>
        <w:rPr>
          <w:spacing w:val="-3"/>
          <w:sz w:val="24"/>
        </w:rPr>
        <w:t> </w:t>
      </w:r>
      <w:r>
        <w:rPr>
          <w:sz w:val="24"/>
        </w:rPr>
        <w:t>different</w:t>
      </w:r>
      <w:r>
        <w:rPr>
          <w:spacing w:val="-3"/>
          <w:sz w:val="24"/>
        </w:rPr>
        <w:t> </w:t>
      </w:r>
      <w:r>
        <w:rPr>
          <w:sz w:val="24"/>
        </w:rPr>
        <w:t>levels-primary,</w:t>
      </w:r>
      <w:r>
        <w:rPr>
          <w:spacing w:val="-3"/>
          <w:sz w:val="24"/>
        </w:rPr>
        <w:t> </w:t>
      </w:r>
      <w:r>
        <w:rPr>
          <w:sz w:val="24"/>
        </w:rPr>
        <w:t>secondary</w:t>
      </w:r>
      <w:r>
        <w:rPr>
          <w:spacing w:val="-3"/>
          <w:sz w:val="24"/>
        </w:rPr>
        <w:t> </w:t>
      </w:r>
      <w:r>
        <w:rPr>
          <w:sz w:val="24"/>
        </w:rPr>
        <w:t>and</w:t>
      </w:r>
      <w:r>
        <w:rPr>
          <w:spacing w:val="-4"/>
          <w:sz w:val="24"/>
        </w:rPr>
        <w:t> </w:t>
      </w:r>
      <w:r>
        <w:rPr>
          <w:sz w:val="24"/>
        </w:rPr>
        <w:t>university-should</w:t>
      </w:r>
      <w:r>
        <w:rPr>
          <w:spacing w:val="-4"/>
          <w:sz w:val="24"/>
        </w:rPr>
        <w:t> </w:t>
      </w:r>
      <w:r>
        <w:rPr>
          <w:sz w:val="24"/>
        </w:rPr>
        <w:t>be</w:t>
      </w:r>
      <w:r>
        <w:rPr>
          <w:spacing w:val="-4"/>
          <w:sz w:val="24"/>
        </w:rPr>
        <w:t> </w:t>
      </w:r>
      <w:r>
        <w:rPr>
          <w:sz w:val="24"/>
        </w:rPr>
        <w:t>reduced</w:t>
      </w:r>
      <w:r>
        <w:rPr>
          <w:spacing w:val="-4"/>
          <w:sz w:val="24"/>
        </w:rPr>
        <w:t> </w:t>
      </w:r>
      <w:r>
        <w:rPr>
          <w:sz w:val="24"/>
        </w:rPr>
        <w:t>to</w:t>
      </w:r>
      <w:r>
        <w:rPr>
          <w:spacing w:val="-4"/>
          <w:sz w:val="24"/>
        </w:rPr>
        <w:t> </w:t>
      </w:r>
      <w:r>
        <w:rPr>
          <w:sz w:val="24"/>
        </w:rPr>
        <w:t>the</w:t>
      </w:r>
      <w:r>
        <w:rPr>
          <w:spacing w:val="-4"/>
          <w:sz w:val="24"/>
        </w:rPr>
        <w:t> </w:t>
      </w:r>
      <w:r>
        <w:rPr>
          <w:sz w:val="24"/>
        </w:rPr>
        <w:t>minimum. For example, the minimum salaries of primary, secondary and university teachers should be</w:t>
      </w:r>
      <w:r>
        <w:rPr>
          <w:spacing w:val="15"/>
          <w:sz w:val="24"/>
        </w:rPr>
        <w:t> </w:t>
      </w:r>
      <w:r>
        <w:rPr>
          <w:sz w:val="24"/>
        </w:rPr>
        <w:t>in</w:t>
      </w:r>
      <w:r>
        <w:rPr>
          <w:spacing w:val="18"/>
          <w:sz w:val="24"/>
        </w:rPr>
        <w:t> </w:t>
      </w:r>
      <w:r>
        <w:rPr>
          <w:sz w:val="24"/>
        </w:rPr>
        <w:t>the</w:t>
      </w:r>
      <w:r>
        <w:rPr>
          <w:spacing w:val="18"/>
          <w:sz w:val="24"/>
        </w:rPr>
        <w:t> </w:t>
      </w:r>
      <w:r>
        <w:rPr>
          <w:sz w:val="24"/>
        </w:rPr>
        <w:t>ratio</w:t>
      </w:r>
      <w:r>
        <w:rPr>
          <w:spacing w:val="18"/>
          <w:sz w:val="24"/>
        </w:rPr>
        <w:t> </w:t>
      </w:r>
      <w:r>
        <w:rPr>
          <w:sz w:val="24"/>
        </w:rPr>
        <w:t>of</w:t>
      </w:r>
      <w:r>
        <w:rPr>
          <w:spacing w:val="18"/>
          <w:sz w:val="24"/>
        </w:rPr>
        <w:t> </w:t>
      </w:r>
      <w:r>
        <w:rPr>
          <w:sz w:val="24"/>
        </w:rPr>
        <w:t>1</w:t>
      </w:r>
      <w:r>
        <w:rPr>
          <w:spacing w:val="18"/>
          <w:sz w:val="24"/>
        </w:rPr>
        <w:t> </w:t>
      </w:r>
      <w:r>
        <w:rPr>
          <w:sz w:val="24"/>
        </w:rPr>
        <w:t>:</w:t>
      </w:r>
      <w:r>
        <w:rPr>
          <w:spacing w:val="18"/>
          <w:sz w:val="24"/>
        </w:rPr>
        <w:t> </w:t>
      </w:r>
      <w:r>
        <w:rPr>
          <w:sz w:val="24"/>
        </w:rPr>
        <w:t>2</w:t>
      </w:r>
      <w:r>
        <w:rPr>
          <w:spacing w:val="18"/>
          <w:sz w:val="24"/>
        </w:rPr>
        <w:t> </w:t>
      </w:r>
      <w:r>
        <w:rPr>
          <w:sz w:val="24"/>
        </w:rPr>
        <w:t>:</w:t>
      </w:r>
      <w:r>
        <w:rPr>
          <w:spacing w:val="18"/>
          <w:sz w:val="24"/>
        </w:rPr>
        <w:t> </w:t>
      </w:r>
      <w:r>
        <w:rPr>
          <w:sz w:val="24"/>
        </w:rPr>
        <w:t>3.</w:t>
      </w:r>
      <w:r>
        <w:rPr>
          <w:spacing w:val="18"/>
          <w:sz w:val="24"/>
        </w:rPr>
        <w:t> </w:t>
      </w:r>
      <w:r>
        <w:rPr>
          <w:sz w:val="24"/>
        </w:rPr>
        <w:t>At</w:t>
      </w:r>
      <w:r>
        <w:rPr>
          <w:spacing w:val="17"/>
          <w:sz w:val="24"/>
        </w:rPr>
        <w:t> </w:t>
      </w:r>
      <w:r>
        <w:rPr>
          <w:sz w:val="24"/>
        </w:rPr>
        <w:t>present,</w:t>
      </w:r>
      <w:r>
        <w:rPr>
          <w:spacing w:val="18"/>
          <w:sz w:val="24"/>
        </w:rPr>
        <w:t> </w:t>
      </w:r>
      <w:r>
        <w:rPr>
          <w:sz w:val="24"/>
        </w:rPr>
        <w:t>the</w:t>
      </w:r>
      <w:r>
        <w:rPr>
          <w:spacing w:val="18"/>
          <w:sz w:val="24"/>
        </w:rPr>
        <w:t> </w:t>
      </w:r>
      <w:r>
        <w:rPr>
          <w:sz w:val="24"/>
        </w:rPr>
        <w:t>starting</w:t>
      </w:r>
      <w:r>
        <w:rPr>
          <w:spacing w:val="18"/>
          <w:sz w:val="24"/>
        </w:rPr>
        <w:t> </w:t>
      </w:r>
      <w:r>
        <w:rPr>
          <w:sz w:val="24"/>
        </w:rPr>
        <w:t>salary</w:t>
      </w:r>
      <w:r>
        <w:rPr>
          <w:spacing w:val="18"/>
          <w:sz w:val="24"/>
        </w:rPr>
        <w:t> </w:t>
      </w:r>
      <w:r>
        <w:rPr>
          <w:sz w:val="24"/>
        </w:rPr>
        <w:t>of</w:t>
      </w:r>
      <w:r>
        <w:rPr>
          <w:spacing w:val="16"/>
          <w:sz w:val="24"/>
        </w:rPr>
        <w:t> </w:t>
      </w:r>
      <w:r>
        <w:rPr>
          <w:sz w:val="24"/>
        </w:rPr>
        <w:t>a</w:t>
      </w:r>
      <w:r>
        <w:rPr>
          <w:spacing w:val="18"/>
          <w:sz w:val="24"/>
        </w:rPr>
        <w:t> </w:t>
      </w:r>
      <w:r>
        <w:rPr>
          <w:sz w:val="24"/>
        </w:rPr>
        <w:t>primary</w:t>
      </w:r>
      <w:r>
        <w:rPr>
          <w:spacing w:val="18"/>
          <w:sz w:val="24"/>
        </w:rPr>
        <w:t> </w:t>
      </w:r>
      <w:r>
        <w:rPr>
          <w:sz w:val="24"/>
        </w:rPr>
        <w:t>teacher</w:t>
      </w:r>
      <w:r>
        <w:rPr>
          <w:spacing w:val="18"/>
          <w:sz w:val="24"/>
        </w:rPr>
        <w:t> </w:t>
      </w:r>
      <w:r>
        <w:rPr>
          <w:sz w:val="24"/>
        </w:rPr>
        <w:t>can</w:t>
      </w:r>
      <w:r>
        <w:rPr>
          <w:spacing w:val="18"/>
          <w:sz w:val="24"/>
        </w:rPr>
        <w:t> </w:t>
      </w:r>
      <w:r>
        <w:rPr>
          <w:sz w:val="24"/>
        </w:rPr>
        <w:t>be</w:t>
      </w:r>
      <w:r>
        <w:rPr>
          <w:spacing w:val="18"/>
          <w:sz w:val="24"/>
        </w:rPr>
        <w:t> </w:t>
      </w:r>
      <w:r>
        <w:rPr>
          <w:spacing w:val="-5"/>
          <w:sz w:val="24"/>
        </w:rPr>
        <w:t>as</w:t>
      </w:r>
    </w:p>
    <w:p>
      <w:pPr>
        <w:spacing w:after="0" w:line="240" w:lineRule="auto"/>
        <w:jc w:val="both"/>
        <w:rPr>
          <w:sz w:val="24"/>
        </w:rPr>
        <w:sectPr>
          <w:pgSz w:w="12240" w:h="15840"/>
          <w:pgMar w:header="0" w:footer="743" w:top="1360" w:bottom="940" w:left="1640" w:right="1300"/>
        </w:sectPr>
      </w:pPr>
    </w:p>
    <w:p>
      <w:pPr>
        <w:pStyle w:val="BodyText"/>
        <w:spacing w:before="76"/>
        <w:ind w:left="160"/>
      </w:pPr>
      <w:r>
        <w:rPr/>
        <w:t>low as Rs. 60-80, which is about one-twelfth to one-sixteenth of the starting salary of </w:t>
      </w:r>
      <w:r>
        <w:rPr/>
        <w:t>a</w:t>
      </w:r>
      <w:r>
        <w:rPr>
          <w:spacing w:val="80"/>
        </w:rPr>
        <w:t> </w:t>
      </w:r>
      <w:r>
        <w:rPr>
          <w:spacing w:val="-2"/>
        </w:rPr>
        <w:t>professor.</w:t>
      </w:r>
    </w:p>
    <w:p>
      <w:pPr>
        <w:pStyle w:val="BodyText"/>
        <w:spacing w:before="4"/>
      </w:pPr>
    </w:p>
    <w:p>
      <w:pPr>
        <w:pStyle w:val="ListParagraph"/>
        <w:numPr>
          <w:ilvl w:val="0"/>
          <w:numId w:val="48"/>
        </w:numPr>
        <w:tabs>
          <w:tab w:pos="512" w:val="left" w:leader="none"/>
        </w:tabs>
        <w:spacing w:line="240" w:lineRule="auto" w:before="0" w:after="0"/>
        <w:ind w:left="159" w:right="494" w:firstLine="0"/>
        <w:jc w:val="both"/>
        <w:rPr>
          <w:sz w:val="24"/>
        </w:rPr>
      </w:pPr>
      <w:r>
        <w:rPr>
          <w:sz w:val="24"/>
        </w:rPr>
        <w:t>In order to induce better qualified teachers to teach at the lower stages-the raising of educational standards will ultimately depend upon this-it is essential to adopt a policy under which the scales of pay of teachers at the school stage will be based only on qualifications and be made independent of the sub- stage-pre-primary, lower primary, higher primary, lower secondary or higher secondary-in which-they might be serving. While we accept this idea in principle, it may not be Possible, on financial grounds, to adopt it immediately in to. We have, however, taken the view that at least the</w:t>
      </w:r>
      <w:r>
        <w:rPr>
          <w:spacing w:val="40"/>
          <w:sz w:val="24"/>
        </w:rPr>
        <w:t> </w:t>
      </w:r>
      <w:r>
        <w:rPr>
          <w:sz w:val="24"/>
        </w:rPr>
        <w:t>headmasters of all large lower primary schools (say, with an enrolment of about 200) and of all higher primary schools should be trained graduates and should have the same scale of pay as that of trained graduate teachers in secondary schools. Similarly, a certain proportion of the teachers at the secondary stage should have the same qualifications and the same scales of pay as those of junior lecturers in affiliated colleges.</w:t>
      </w:r>
    </w:p>
    <w:p>
      <w:pPr>
        <w:pStyle w:val="BodyText"/>
        <w:spacing w:before="4"/>
      </w:pPr>
    </w:p>
    <w:p>
      <w:pPr>
        <w:pStyle w:val="ListParagraph"/>
        <w:numPr>
          <w:ilvl w:val="0"/>
          <w:numId w:val="48"/>
        </w:numPr>
        <w:tabs>
          <w:tab w:pos="499" w:val="left" w:leader="none"/>
        </w:tabs>
        <w:spacing w:line="240" w:lineRule="auto" w:before="0" w:after="0"/>
        <w:ind w:left="159" w:right="496" w:firstLine="0"/>
        <w:jc w:val="both"/>
        <w:rPr>
          <w:sz w:val="24"/>
        </w:rPr>
      </w:pPr>
      <w:r>
        <w:rPr>
          <w:sz w:val="24"/>
        </w:rPr>
        <w:t>The</w:t>
      </w:r>
      <w:r>
        <w:rPr>
          <w:spacing w:val="-1"/>
          <w:sz w:val="24"/>
        </w:rPr>
        <w:t> </w:t>
      </w:r>
      <w:r>
        <w:rPr>
          <w:sz w:val="24"/>
        </w:rPr>
        <w:t>improvement</w:t>
      </w:r>
      <w:r>
        <w:rPr>
          <w:spacing w:val="-1"/>
          <w:sz w:val="24"/>
        </w:rPr>
        <w:t> </w:t>
      </w:r>
      <w:r>
        <w:rPr>
          <w:sz w:val="24"/>
        </w:rPr>
        <w:t>in</w:t>
      </w:r>
      <w:r>
        <w:rPr>
          <w:spacing w:val="-1"/>
          <w:sz w:val="24"/>
        </w:rPr>
        <w:t> </w:t>
      </w:r>
      <w:r>
        <w:rPr>
          <w:sz w:val="24"/>
        </w:rPr>
        <w:t>salary</w:t>
      </w:r>
      <w:r>
        <w:rPr>
          <w:spacing w:val="-1"/>
          <w:sz w:val="24"/>
        </w:rPr>
        <w:t> </w:t>
      </w:r>
      <w:r>
        <w:rPr>
          <w:sz w:val="24"/>
        </w:rPr>
        <w:t>scales</w:t>
      </w:r>
      <w:r>
        <w:rPr>
          <w:spacing w:val="-1"/>
          <w:sz w:val="24"/>
        </w:rPr>
        <w:t> </w:t>
      </w:r>
      <w:r>
        <w:rPr>
          <w:sz w:val="24"/>
        </w:rPr>
        <w:t>should</w:t>
      </w:r>
      <w:r>
        <w:rPr>
          <w:spacing w:val="-1"/>
          <w:sz w:val="24"/>
        </w:rPr>
        <w:t> </w:t>
      </w:r>
      <w:r>
        <w:rPr>
          <w:sz w:val="24"/>
        </w:rPr>
        <w:t>not</w:t>
      </w:r>
      <w:r>
        <w:rPr>
          <w:spacing w:val="-5"/>
          <w:sz w:val="24"/>
        </w:rPr>
        <w:t> </w:t>
      </w:r>
      <w:r>
        <w:rPr>
          <w:sz w:val="24"/>
        </w:rPr>
        <w:t>be</w:t>
      </w:r>
      <w:r>
        <w:rPr>
          <w:spacing w:val="-1"/>
          <w:sz w:val="24"/>
        </w:rPr>
        <w:t> </w:t>
      </w:r>
      <w:r>
        <w:rPr>
          <w:sz w:val="24"/>
        </w:rPr>
        <w:t>entirely</w:t>
      </w:r>
      <w:r>
        <w:rPr>
          <w:spacing w:val="-1"/>
          <w:sz w:val="24"/>
        </w:rPr>
        <w:t> </w:t>
      </w:r>
      <w:r>
        <w:rPr>
          <w:sz w:val="24"/>
        </w:rPr>
        <w:t>automatic:</w:t>
      </w:r>
      <w:r>
        <w:rPr>
          <w:spacing w:val="-2"/>
          <w:sz w:val="24"/>
        </w:rPr>
        <w:t> </w:t>
      </w:r>
      <w:r>
        <w:rPr>
          <w:sz w:val="24"/>
        </w:rPr>
        <w:t>it</w:t>
      </w:r>
      <w:r>
        <w:rPr>
          <w:spacing w:val="-2"/>
          <w:sz w:val="24"/>
        </w:rPr>
        <w:t> </w:t>
      </w:r>
      <w:r>
        <w:rPr>
          <w:sz w:val="24"/>
        </w:rPr>
        <w:t>should</w:t>
      </w:r>
      <w:r>
        <w:rPr>
          <w:spacing w:val="-2"/>
          <w:sz w:val="24"/>
        </w:rPr>
        <w:t> </w:t>
      </w:r>
      <w:r>
        <w:rPr>
          <w:sz w:val="24"/>
        </w:rPr>
        <w:t>be</w:t>
      </w:r>
      <w:r>
        <w:rPr>
          <w:spacing w:val="-2"/>
          <w:sz w:val="24"/>
        </w:rPr>
        <w:t> </w:t>
      </w:r>
      <w:r>
        <w:rPr>
          <w:sz w:val="24"/>
        </w:rPr>
        <w:t>linked with the improvement in qualifications and quality.</w:t>
      </w:r>
    </w:p>
    <w:p>
      <w:pPr>
        <w:pStyle w:val="BodyText"/>
        <w:spacing w:before="5"/>
      </w:pPr>
    </w:p>
    <w:p>
      <w:pPr>
        <w:pStyle w:val="ListParagraph"/>
        <w:numPr>
          <w:ilvl w:val="1"/>
          <w:numId w:val="47"/>
        </w:numPr>
        <w:tabs>
          <w:tab w:pos="697" w:val="left" w:leader="none"/>
        </w:tabs>
        <w:spacing w:line="240" w:lineRule="auto" w:before="0" w:after="0"/>
        <w:ind w:left="159" w:right="498" w:firstLine="0"/>
        <w:jc w:val="both"/>
        <w:rPr>
          <w:b/>
          <w:sz w:val="24"/>
        </w:rPr>
      </w:pPr>
      <w:r>
        <w:rPr>
          <w:b/>
          <w:sz w:val="24"/>
        </w:rPr>
        <w:t>Salaries of Teachers. </w:t>
      </w:r>
      <w:r>
        <w:rPr>
          <w:sz w:val="24"/>
        </w:rPr>
        <w:t>In the light of these general principles, we propose the following scales of pay:</w:t>
      </w:r>
    </w:p>
    <w:p>
      <w:pPr>
        <w:pStyle w:val="BodyText"/>
      </w:pPr>
    </w:p>
    <w:p>
      <w:pPr>
        <w:pStyle w:val="BodyText"/>
        <w:spacing w:before="3"/>
      </w:pPr>
    </w:p>
    <w:p>
      <w:pPr>
        <w:pStyle w:val="BodyText"/>
        <w:spacing w:before="1"/>
        <w:ind w:left="727"/>
      </w:pPr>
      <w:r>
        <w:rPr/>
        <w:t>TABLE</w:t>
      </w:r>
      <w:r>
        <w:rPr>
          <w:spacing w:val="-8"/>
        </w:rPr>
        <w:t> </w:t>
      </w:r>
      <w:r>
        <w:rPr/>
        <w:t>3.3.</w:t>
      </w:r>
      <w:r>
        <w:rPr>
          <w:spacing w:val="-5"/>
        </w:rPr>
        <w:t> </w:t>
      </w:r>
      <w:r>
        <w:rPr/>
        <w:t>RECOMMENDED</w:t>
      </w:r>
      <w:r>
        <w:rPr>
          <w:spacing w:val="-5"/>
        </w:rPr>
        <w:t> </w:t>
      </w:r>
      <w:r>
        <w:rPr/>
        <w:t>PAY</w:t>
      </w:r>
      <w:r>
        <w:rPr>
          <w:spacing w:val="-6"/>
        </w:rPr>
        <w:t> </w:t>
      </w:r>
      <w:r>
        <w:rPr/>
        <w:t>SCALES</w:t>
      </w:r>
      <w:r>
        <w:rPr>
          <w:spacing w:val="-4"/>
        </w:rPr>
        <w:t> </w:t>
      </w:r>
      <w:r>
        <w:rPr/>
        <w:t>FOP,</w:t>
      </w:r>
      <w:r>
        <w:rPr>
          <w:spacing w:val="-4"/>
        </w:rPr>
        <w:t> </w:t>
      </w:r>
      <w:r>
        <w:rPr/>
        <w:t>SCHOOL</w:t>
      </w:r>
      <w:r>
        <w:rPr>
          <w:spacing w:val="-4"/>
        </w:rPr>
        <w:t> </w:t>
      </w:r>
      <w:r>
        <w:rPr>
          <w:spacing w:val="-2"/>
        </w:rPr>
        <w:t>TEACHERS</w:t>
      </w:r>
    </w:p>
    <w:p>
      <w:pPr>
        <w:pStyle w:val="BodyText"/>
        <w:spacing w:before="1"/>
        <w:rPr>
          <w:sz w:val="15"/>
        </w:rPr>
      </w:pPr>
      <w:r>
        <w:rPr/>
        <mc:AlternateContent>
          <mc:Choice Requires="wps">
            <w:drawing>
              <wp:anchor distT="0" distB="0" distL="0" distR="0" allowOverlap="1" layoutInCell="1" locked="0" behindDoc="1" simplePos="0" relativeHeight="487593984">
                <wp:simplePos x="0" y="0"/>
                <wp:positionH relativeFrom="page">
                  <wp:posOffset>1143000</wp:posOffset>
                </wp:positionH>
                <wp:positionV relativeFrom="paragraph">
                  <wp:posOffset>125452</wp:posOffset>
                </wp:positionV>
                <wp:extent cx="5486400" cy="1905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5486400" cy="19050"/>
                          <a:chExt cx="5486400" cy="19050"/>
                        </a:xfrm>
                      </wpg:grpSpPr>
                      <wps:wsp>
                        <wps:cNvPr id="83" name="Graphic 8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84" name="Graphic 84"/>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85" name="Graphic 85"/>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86" name="Graphic 86"/>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87" name="Graphic 87"/>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88" name="Graphic 88"/>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89" name="Graphic 89"/>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878125pt;width:432pt;height:1.5pt;mso-position-horizontal-relative:page;mso-position-vertical-relative:paragraph;z-index:-15722496;mso-wrap-distance-left:0;mso-wrap-distance-right:0" id="docshapegroup77" coordorigin="1800,198" coordsize="8640,30">
                <v:rect style="position:absolute;left:1800;top:197;width:8640;height:30" id="docshape78" filled="true" fillcolor="#808080" stroked="false">
                  <v:fill type="solid"/>
                </v:rect>
                <v:shape style="position:absolute;left:1800;top:197;width:8636;height:5" id="docshape79" coordorigin="1800,198" coordsize="8636,5" path="m10435,198l1805,198,1800,198,1800,202,1805,202,10435,202,10435,198xe" filled="true" fillcolor="#aca89a" stroked="false">
                  <v:path arrowok="t"/>
                  <v:fill type="solid"/>
                </v:shape>
                <v:rect style="position:absolute;left:10435;top:197;width:5;height:5" id="docshape80" filled="true" fillcolor="#f1efe2" stroked="false">
                  <v:fill type="solid"/>
                </v:rect>
                <v:shape style="position:absolute;left:1800;top:197;width:8640;height:26" id="docshape81" coordorigin="1800,198" coordsize="8640,26" path="m1805,202l1800,202,1800,223,1805,223,1805,202xm10440,198l10435,198,10435,202,10440,202,10440,198xe" filled="true" fillcolor="#aca89a" stroked="false">
                  <v:path arrowok="t"/>
                  <v:fill type="solid"/>
                </v:shape>
                <v:rect style="position:absolute;left:10435;top:202;width:5;height:21" id="docshape82" filled="true" fillcolor="#f1efe2" stroked="false">
                  <v:fill type="solid"/>
                </v:rect>
                <v:rect style="position:absolute;left:1800;top:222;width:5;height:5" id="docshape83" filled="true" fillcolor="#aca89a" stroked="false">
                  <v:fill type="solid"/>
                </v:rect>
                <v:shape style="position:absolute;left:1800;top:222;width:8640;height:5" id="docshape84"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3823" w:val="left" w:leader="none"/>
          <w:tab w:pos="7485" w:val="left" w:leader="none"/>
        </w:tabs>
        <w:spacing w:before="48"/>
        <w:ind w:left="159"/>
      </w:pPr>
      <w:r>
        <w:rPr>
          <w:spacing w:val="-2"/>
        </w:rPr>
        <w:t>Teachers</w:t>
      </w:r>
      <w:r>
        <w:rPr/>
        <w:tab/>
      </w:r>
      <w:r>
        <w:rPr>
          <w:spacing w:val="-2"/>
        </w:rPr>
        <w:t>Remuneration</w:t>
      </w:r>
      <w:r>
        <w:rPr/>
        <w:tab/>
      </w:r>
      <w:r>
        <w:rPr>
          <w:spacing w:val="-5"/>
        </w:rPr>
        <w:t>Rs.</w:t>
      </w:r>
    </w:p>
    <w:p>
      <w:pPr>
        <w:pStyle w:val="BodyText"/>
      </w:pPr>
    </w:p>
    <w:p>
      <w:pPr>
        <w:pStyle w:val="ListParagraph"/>
        <w:numPr>
          <w:ilvl w:val="0"/>
          <w:numId w:val="49"/>
        </w:numPr>
        <w:tabs>
          <w:tab w:pos="558" w:val="left" w:leader="none"/>
        </w:tabs>
        <w:spacing w:line="240" w:lineRule="auto" w:before="0" w:after="0"/>
        <w:ind w:left="558" w:right="0" w:hanging="339"/>
        <w:jc w:val="left"/>
        <w:rPr>
          <w:sz w:val="24"/>
        </w:rPr>
      </w:pPr>
      <w:r>
        <w:rPr>
          <w:sz w:val="24"/>
        </w:rPr>
        <w:t>Teachers</w:t>
      </w:r>
      <w:r>
        <w:rPr>
          <w:spacing w:val="-1"/>
          <w:sz w:val="24"/>
        </w:rPr>
        <w:t> </w:t>
      </w:r>
      <w:r>
        <w:rPr>
          <w:sz w:val="24"/>
        </w:rPr>
        <w:t>who</w:t>
      </w:r>
      <w:r>
        <w:rPr>
          <w:spacing w:val="-1"/>
          <w:sz w:val="24"/>
        </w:rPr>
        <w:t> </w:t>
      </w:r>
      <w:r>
        <w:rPr>
          <w:spacing w:val="-4"/>
          <w:sz w:val="24"/>
        </w:rPr>
        <w:t>have</w:t>
      </w:r>
    </w:p>
    <w:p>
      <w:pPr>
        <w:pStyle w:val="BodyText"/>
        <w:tabs>
          <w:tab w:pos="3822" w:val="left" w:leader="none"/>
          <w:tab w:pos="7847" w:val="right" w:leader="none"/>
        </w:tabs>
        <w:ind w:left="159"/>
      </w:pPr>
      <w:r>
        <w:rPr/>
        <w:t>completed</w:t>
      </w:r>
      <w:r>
        <w:rPr>
          <w:spacing w:val="-1"/>
        </w:rPr>
        <w:t> </w:t>
      </w:r>
      <w:r>
        <w:rPr/>
        <w:t>the</w:t>
      </w:r>
      <w:r>
        <w:rPr>
          <w:spacing w:val="-1"/>
        </w:rPr>
        <w:t> </w:t>
      </w:r>
      <w:r>
        <w:rPr>
          <w:spacing w:val="-5"/>
        </w:rPr>
        <w:t>and</w:t>
      </w:r>
      <w:r>
        <w:rPr/>
        <w:tab/>
        <w:t>Minimum</w:t>
      </w:r>
      <w:r>
        <w:rPr>
          <w:spacing w:val="-4"/>
        </w:rPr>
        <w:t> </w:t>
      </w:r>
      <w:r>
        <w:rPr/>
        <w:t>for trained</w:t>
      </w:r>
      <w:r>
        <w:rPr>
          <w:spacing w:val="-2"/>
        </w:rPr>
        <w:t> teacher</w:t>
      </w:r>
      <w:r>
        <w:rPr/>
        <w:tab/>
      </w:r>
      <w:r>
        <w:rPr>
          <w:spacing w:val="-5"/>
        </w:rPr>
        <w:t>150</w:t>
      </w:r>
    </w:p>
    <w:p>
      <w:pPr>
        <w:pStyle w:val="BodyText"/>
        <w:ind w:left="159" w:right="6687"/>
      </w:pPr>
      <w:r>
        <w:rPr/>
        <w:t>secondary course and have</w:t>
      </w:r>
      <w:r>
        <w:rPr>
          <w:spacing w:val="-13"/>
        </w:rPr>
        <w:t> </w:t>
      </w:r>
      <w:r>
        <w:rPr/>
        <w:t>received</w:t>
      </w:r>
      <w:r>
        <w:rPr>
          <w:spacing w:val="-13"/>
        </w:rPr>
        <w:t> </w:t>
      </w:r>
      <w:r>
        <w:rPr/>
        <w:t>two</w:t>
      </w:r>
      <w:r>
        <w:rPr>
          <w:spacing w:val="-13"/>
        </w:rPr>
        <w:t> </w:t>
      </w:r>
      <w:r>
        <w:rPr/>
        <w:t>years of professional training</w:t>
      </w:r>
    </w:p>
    <w:p>
      <w:pPr>
        <w:pStyle w:val="BodyText"/>
        <w:tabs>
          <w:tab w:pos="7847" w:val="right" w:leader="none"/>
        </w:tabs>
        <w:ind w:left="3823"/>
      </w:pPr>
      <w:r>
        <w:rPr/>
        <w:t>Maximum</w:t>
      </w:r>
      <w:r>
        <w:rPr>
          <w:spacing w:val="-3"/>
        </w:rPr>
        <w:t> </w:t>
      </w:r>
      <w:r>
        <w:rPr/>
        <w:t>salary</w:t>
      </w:r>
      <w:r>
        <w:rPr>
          <w:spacing w:val="-1"/>
        </w:rPr>
        <w:t> </w:t>
      </w:r>
      <w:r>
        <w:rPr/>
        <w:t>(to</w:t>
      </w:r>
      <w:r>
        <w:rPr>
          <w:spacing w:val="-1"/>
        </w:rPr>
        <w:t> </w:t>
      </w:r>
      <w:r>
        <w:rPr/>
        <w:t>be</w:t>
      </w:r>
      <w:r>
        <w:rPr>
          <w:spacing w:val="-1"/>
        </w:rPr>
        <w:t> </w:t>
      </w:r>
      <w:r>
        <w:rPr>
          <w:spacing w:val="-2"/>
        </w:rPr>
        <w:t>reached</w:t>
      </w:r>
      <w:r>
        <w:rPr/>
        <w:tab/>
      </w:r>
      <w:r>
        <w:rPr>
          <w:spacing w:val="-5"/>
        </w:rPr>
        <w:t>250</w:t>
      </w:r>
    </w:p>
    <w:p>
      <w:pPr>
        <w:pStyle w:val="BodyText"/>
        <w:ind w:left="3823"/>
      </w:pPr>
      <w:r>
        <w:rPr/>
        <w:t>in a period of about 20 </w:t>
      </w:r>
      <w:r>
        <w:rPr>
          <w:spacing w:val="-2"/>
        </w:rPr>
        <w:t>years)</w:t>
      </w:r>
    </w:p>
    <w:p>
      <w:pPr>
        <w:pStyle w:val="BodyText"/>
        <w:ind w:left="3823"/>
      </w:pPr>
      <w:r>
        <w:rPr/>
        <w:t>Selection grade (for about </w:t>
      </w:r>
      <w:r>
        <w:rPr>
          <w:spacing w:val="-5"/>
        </w:rPr>
        <w:t>15</w:t>
      </w:r>
    </w:p>
    <w:p>
      <w:pPr>
        <w:pStyle w:val="BodyText"/>
        <w:tabs>
          <w:tab w:pos="8288" w:val="right" w:leader="none"/>
        </w:tabs>
        <w:ind w:left="3823"/>
      </w:pPr>
      <w:r>
        <w:rPr/>
        <w:t>per cent of the </w:t>
      </w:r>
      <w:r>
        <w:rPr>
          <w:spacing w:val="-2"/>
        </w:rPr>
        <w:t>cadre)</w:t>
      </w:r>
      <w:r>
        <w:rPr/>
        <w:tab/>
      </w:r>
      <w:r>
        <w:rPr>
          <w:spacing w:val="-4"/>
        </w:rPr>
        <w:t>250-</w:t>
      </w:r>
      <w:r>
        <w:rPr/>
        <w:t>300</w:t>
      </w:r>
    </w:p>
    <w:p>
      <w:pPr>
        <w:pStyle w:val="BodyText"/>
        <w:spacing w:before="552"/>
        <w:ind w:left="159" w:right="495"/>
        <w:jc w:val="both"/>
      </w:pPr>
      <w:r>
        <w:rPr/>
        <w:t>N.B.</w:t>
      </w:r>
      <w:r>
        <w:rPr>
          <w:spacing w:val="40"/>
        </w:rPr>
        <w:t> </w:t>
      </w:r>
      <w:r>
        <w:rPr/>
        <w:t>The minimum salary of a primary teacher who has completed the secondary course should be immediately raised to Rs.100; and in a period of five years, it should be raised to Rs. 125.Similarly, the minimum pay of a teacher, who has received two years of training, should be raised immediately to Rs.125; and it should be raised</w:t>
      </w:r>
      <w:r>
        <w:rPr>
          <w:spacing w:val="40"/>
        </w:rPr>
        <w:t> </w:t>
      </w:r>
      <w:r>
        <w:rPr/>
        <w:t>to</w:t>
      </w:r>
      <w:r>
        <w:rPr>
          <w:spacing w:val="40"/>
        </w:rPr>
        <w:t> </w:t>
      </w:r>
      <w:r>
        <w:rPr/>
        <w:t>Rs. 150 in a period of five years. Untrained persons with the requisite academic qualifications</w:t>
      </w:r>
      <w:r>
        <w:rPr>
          <w:spacing w:val="40"/>
        </w:rPr>
        <w:t> </w:t>
      </w:r>
      <w:r>
        <w:rPr/>
        <w:t>should work on the starting salary</w:t>
      </w:r>
      <w:r>
        <w:rPr>
          <w:spacing w:val="40"/>
        </w:rPr>
        <w:t> </w:t>
      </w:r>
      <w:r>
        <w:rPr/>
        <w:t>until they are trained and become eligible for the scale.</w:t>
      </w:r>
    </w:p>
    <w:p>
      <w:pPr>
        <w:spacing w:after="0"/>
        <w:jc w:val="both"/>
        <w:sectPr>
          <w:pgSz w:w="12240" w:h="15840"/>
          <w:pgMar w:header="0" w:footer="743" w:top="1360" w:bottom="940" w:left="1640" w:right="1300"/>
        </w:sectPr>
      </w:pPr>
    </w:p>
    <w:p>
      <w:pPr>
        <w:pStyle w:val="BodyText"/>
        <w:spacing w:before="3"/>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01"/>
        <w:gridCol w:w="2982"/>
        <w:gridCol w:w="1547"/>
      </w:tblGrid>
      <w:tr>
        <w:trPr>
          <w:trHeight w:val="270" w:hRule="atLeast"/>
        </w:trPr>
        <w:tc>
          <w:tcPr>
            <w:tcW w:w="3701" w:type="dxa"/>
          </w:tcPr>
          <w:p>
            <w:pPr>
              <w:pStyle w:val="TableParagraph"/>
              <w:spacing w:line="251" w:lineRule="exact"/>
              <w:ind w:left="50"/>
              <w:rPr>
                <w:sz w:val="24"/>
              </w:rPr>
            </w:pPr>
            <w:r>
              <w:rPr>
                <w:sz w:val="24"/>
              </w:rPr>
              <w:t>(2)</w:t>
            </w:r>
            <w:r>
              <w:rPr>
                <w:spacing w:val="60"/>
                <w:sz w:val="24"/>
              </w:rPr>
              <w:t> </w:t>
            </w:r>
            <w:r>
              <w:rPr>
                <w:sz w:val="24"/>
              </w:rPr>
              <w:t>Graduates who have received </w:t>
            </w:r>
            <w:r>
              <w:rPr>
                <w:spacing w:val="-5"/>
                <w:sz w:val="24"/>
              </w:rPr>
              <w:t>one</w:t>
            </w:r>
          </w:p>
        </w:tc>
        <w:tc>
          <w:tcPr>
            <w:tcW w:w="2982" w:type="dxa"/>
          </w:tcPr>
          <w:p>
            <w:pPr>
              <w:pStyle w:val="TableParagraph"/>
              <w:rPr>
                <w:sz w:val="20"/>
              </w:rPr>
            </w:pPr>
          </w:p>
        </w:tc>
        <w:tc>
          <w:tcPr>
            <w:tcW w:w="1547" w:type="dxa"/>
            <w:vMerge w:val="restart"/>
          </w:tcPr>
          <w:p>
            <w:pPr>
              <w:pStyle w:val="TableParagraph"/>
              <w:rPr>
                <w:sz w:val="24"/>
              </w:rPr>
            </w:pPr>
          </w:p>
        </w:tc>
      </w:tr>
      <w:tr>
        <w:trPr>
          <w:trHeight w:val="275" w:hRule="atLeast"/>
        </w:trPr>
        <w:tc>
          <w:tcPr>
            <w:tcW w:w="3701" w:type="dxa"/>
          </w:tcPr>
          <w:p>
            <w:pPr>
              <w:pStyle w:val="TableParagraph"/>
              <w:spacing w:line="256" w:lineRule="exact"/>
              <w:ind w:left="50"/>
              <w:rPr>
                <w:sz w:val="24"/>
              </w:rPr>
            </w:pPr>
            <w:r>
              <w:rPr>
                <w:sz w:val="24"/>
              </w:rPr>
              <w:t>year of professional </w:t>
            </w:r>
            <w:r>
              <w:rPr>
                <w:spacing w:val="-2"/>
                <w:sz w:val="24"/>
              </w:rPr>
              <w:t>training</w:t>
            </w:r>
          </w:p>
        </w:tc>
        <w:tc>
          <w:tcPr>
            <w:tcW w:w="2982" w:type="dxa"/>
          </w:tcPr>
          <w:p>
            <w:pPr>
              <w:pStyle w:val="TableParagraph"/>
              <w:spacing w:line="256" w:lineRule="exact"/>
              <w:ind w:left="13"/>
              <w:rPr>
                <w:sz w:val="24"/>
              </w:rPr>
            </w:pPr>
            <w:r>
              <w:rPr>
                <w:sz w:val="24"/>
              </w:rPr>
              <w:t>Minimum</w:t>
            </w:r>
            <w:r>
              <w:rPr>
                <w:spacing w:val="-3"/>
                <w:sz w:val="24"/>
              </w:rPr>
              <w:t> </w:t>
            </w:r>
            <w:r>
              <w:rPr>
                <w:sz w:val="24"/>
              </w:rPr>
              <w:t>for </w:t>
            </w:r>
            <w:r>
              <w:rPr>
                <w:spacing w:val="-2"/>
                <w:sz w:val="24"/>
              </w:rPr>
              <w:t>trained</w:t>
            </w:r>
          </w:p>
        </w:tc>
        <w:tc>
          <w:tcPr>
            <w:tcW w:w="1547" w:type="dxa"/>
            <w:vMerge/>
            <w:tcBorders>
              <w:top w:val="nil"/>
            </w:tcBorders>
          </w:tcPr>
          <w:p>
            <w:pPr>
              <w:rPr>
                <w:sz w:val="2"/>
                <w:szCs w:val="2"/>
              </w:rPr>
            </w:pP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2"/>
              <w:rPr>
                <w:sz w:val="24"/>
              </w:rPr>
            </w:pPr>
            <w:r>
              <w:rPr>
                <w:spacing w:val="-2"/>
                <w:sz w:val="24"/>
              </w:rPr>
              <w:t>graduate</w:t>
            </w:r>
          </w:p>
        </w:tc>
        <w:tc>
          <w:tcPr>
            <w:tcW w:w="1547" w:type="dxa"/>
          </w:tcPr>
          <w:p>
            <w:pPr>
              <w:pStyle w:val="TableParagraph"/>
              <w:spacing w:line="256" w:lineRule="exact"/>
              <w:ind w:left="694"/>
              <w:rPr>
                <w:sz w:val="24"/>
              </w:rPr>
            </w:pPr>
            <w:r>
              <w:rPr>
                <w:spacing w:val="-5"/>
                <w:sz w:val="24"/>
              </w:rPr>
              <w:t>220</w:t>
            </w: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2"/>
              <w:rPr>
                <w:sz w:val="24"/>
              </w:rPr>
            </w:pPr>
            <w:r>
              <w:rPr>
                <w:sz w:val="24"/>
              </w:rPr>
              <w:t>Maximum</w:t>
            </w:r>
            <w:r>
              <w:rPr>
                <w:spacing w:val="-4"/>
                <w:sz w:val="24"/>
              </w:rPr>
              <w:t> </w:t>
            </w:r>
            <w:r>
              <w:rPr>
                <w:sz w:val="24"/>
              </w:rPr>
              <w:t>salary (to </w:t>
            </w:r>
            <w:r>
              <w:rPr>
                <w:spacing w:val="-5"/>
                <w:sz w:val="24"/>
              </w:rPr>
              <w:t>be</w:t>
            </w:r>
          </w:p>
        </w:tc>
        <w:tc>
          <w:tcPr>
            <w:tcW w:w="1547" w:type="dxa"/>
          </w:tcPr>
          <w:p>
            <w:pPr>
              <w:pStyle w:val="TableParagraph"/>
              <w:rPr>
                <w:sz w:val="20"/>
              </w:rPr>
            </w:pP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1"/>
              <w:rPr>
                <w:sz w:val="24"/>
              </w:rPr>
            </w:pPr>
            <w:r>
              <w:rPr>
                <w:sz w:val="24"/>
              </w:rPr>
              <w:t>reached in a period </w:t>
            </w:r>
            <w:r>
              <w:rPr>
                <w:spacing w:val="-5"/>
                <w:sz w:val="24"/>
              </w:rPr>
              <w:t>of</w:t>
            </w:r>
          </w:p>
        </w:tc>
        <w:tc>
          <w:tcPr>
            <w:tcW w:w="1547" w:type="dxa"/>
          </w:tcPr>
          <w:p>
            <w:pPr>
              <w:pStyle w:val="TableParagraph"/>
              <w:rPr>
                <w:sz w:val="20"/>
              </w:rPr>
            </w:pP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2"/>
              <w:rPr>
                <w:sz w:val="24"/>
              </w:rPr>
            </w:pPr>
            <w:r>
              <w:rPr>
                <w:sz w:val="24"/>
              </w:rPr>
              <w:t>20 </w:t>
            </w:r>
            <w:r>
              <w:rPr>
                <w:spacing w:val="-2"/>
                <w:sz w:val="24"/>
              </w:rPr>
              <w:t>years)</w:t>
            </w:r>
          </w:p>
        </w:tc>
        <w:tc>
          <w:tcPr>
            <w:tcW w:w="1547" w:type="dxa"/>
          </w:tcPr>
          <w:p>
            <w:pPr>
              <w:pStyle w:val="TableParagraph"/>
              <w:spacing w:line="256" w:lineRule="exact"/>
              <w:ind w:left="694"/>
              <w:rPr>
                <w:sz w:val="24"/>
              </w:rPr>
            </w:pPr>
            <w:r>
              <w:rPr>
                <w:spacing w:val="-5"/>
                <w:sz w:val="24"/>
              </w:rPr>
              <w:t>400</w:t>
            </w: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2"/>
              <w:rPr>
                <w:sz w:val="24"/>
              </w:rPr>
            </w:pPr>
            <w:r>
              <w:rPr>
                <w:sz w:val="24"/>
              </w:rPr>
              <w:t>Selection grade </w:t>
            </w:r>
            <w:r>
              <w:rPr>
                <w:spacing w:val="-4"/>
                <w:sz w:val="24"/>
              </w:rPr>
              <w:t>(for</w:t>
            </w:r>
          </w:p>
        </w:tc>
        <w:tc>
          <w:tcPr>
            <w:tcW w:w="1547" w:type="dxa"/>
          </w:tcPr>
          <w:p>
            <w:pPr>
              <w:pStyle w:val="TableParagraph"/>
              <w:rPr>
                <w:sz w:val="20"/>
              </w:rPr>
            </w:pPr>
          </w:p>
        </w:tc>
      </w:tr>
      <w:tr>
        <w:trPr>
          <w:trHeight w:val="275" w:hRule="atLeast"/>
        </w:trPr>
        <w:tc>
          <w:tcPr>
            <w:tcW w:w="3701" w:type="dxa"/>
          </w:tcPr>
          <w:p>
            <w:pPr>
              <w:pStyle w:val="TableParagraph"/>
              <w:rPr>
                <w:sz w:val="20"/>
              </w:rPr>
            </w:pPr>
          </w:p>
        </w:tc>
        <w:tc>
          <w:tcPr>
            <w:tcW w:w="2982" w:type="dxa"/>
          </w:tcPr>
          <w:p>
            <w:pPr>
              <w:pStyle w:val="TableParagraph"/>
              <w:spacing w:line="256" w:lineRule="exact"/>
              <w:ind w:left="12"/>
              <w:rPr>
                <w:sz w:val="24"/>
              </w:rPr>
            </w:pPr>
            <w:r>
              <w:rPr>
                <w:sz w:val="24"/>
              </w:rPr>
              <w:t>about 15 per cent of </w:t>
            </w:r>
            <w:r>
              <w:rPr>
                <w:spacing w:val="-5"/>
                <w:sz w:val="24"/>
              </w:rPr>
              <w:t>the</w:t>
            </w:r>
          </w:p>
        </w:tc>
        <w:tc>
          <w:tcPr>
            <w:tcW w:w="1547" w:type="dxa"/>
          </w:tcPr>
          <w:p>
            <w:pPr>
              <w:pStyle w:val="TableParagraph"/>
              <w:rPr>
                <w:sz w:val="20"/>
              </w:rPr>
            </w:pPr>
          </w:p>
        </w:tc>
      </w:tr>
      <w:tr>
        <w:trPr>
          <w:trHeight w:val="270" w:hRule="atLeast"/>
        </w:trPr>
        <w:tc>
          <w:tcPr>
            <w:tcW w:w="3701" w:type="dxa"/>
          </w:tcPr>
          <w:p>
            <w:pPr>
              <w:pStyle w:val="TableParagraph"/>
              <w:rPr>
                <w:sz w:val="20"/>
              </w:rPr>
            </w:pPr>
          </w:p>
        </w:tc>
        <w:tc>
          <w:tcPr>
            <w:tcW w:w="2982" w:type="dxa"/>
          </w:tcPr>
          <w:p>
            <w:pPr>
              <w:pStyle w:val="TableParagraph"/>
              <w:spacing w:line="251" w:lineRule="exact"/>
              <w:ind w:left="12"/>
              <w:rPr>
                <w:sz w:val="24"/>
              </w:rPr>
            </w:pPr>
            <w:r>
              <w:rPr>
                <w:spacing w:val="-2"/>
                <w:sz w:val="24"/>
              </w:rPr>
              <w:t>cadre)</w:t>
            </w:r>
          </w:p>
        </w:tc>
        <w:tc>
          <w:tcPr>
            <w:tcW w:w="1547" w:type="dxa"/>
          </w:tcPr>
          <w:p>
            <w:pPr>
              <w:pStyle w:val="TableParagraph"/>
              <w:spacing w:line="251" w:lineRule="exact"/>
              <w:ind w:left="696"/>
              <w:rPr>
                <w:sz w:val="24"/>
              </w:rPr>
            </w:pPr>
            <w:r>
              <w:rPr>
                <w:sz w:val="24"/>
              </w:rPr>
              <w:t>400-</w:t>
            </w:r>
            <w:r>
              <w:rPr>
                <w:spacing w:val="-5"/>
                <w:sz w:val="24"/>
              </w:rPr>
              <w:t>500</w:t>
            </w:r>
          </w:p>
        </w:tc>
      </w:tr>
    </w:tbl>
    <w:p>
      <w:pPr>
        <w:pStyle w:val="BodyText"/>
        <w:spacing w:before="9"/>
      </w:pPr>
    </w:p>
    <w:p>
      <w:pPr>
        <w:pStyle w:val="BodyText"/>
        <w:ind w:left="160" w:right="510"/>
      </w:pPr>
      <w:r>
        <w:rPr/>
        <w:t>N.B.</w:t>
      </w:r>
      <w:r>
        <w:rPr>
          <w:spacing w:val="80"/>
        </w:rPr>
        <w:t> </w:t>
      </w:r>
      <w:r>
        <w:rPr/>
        <w:t>Untrained graduates should remain on their starting salary</w:t>
      </w:r>
      <w:r>
        <w:rPr>
          <w:spacing w:val="80"/>
        </w:rPr>
        <w:t> </w:t>
      </w:r>
      <w:r>
        <w:rPr/>
        <w:t>of</w:t>
      </w:r>
      <w:r>
        <w:rPr>
          <w:spacing w:val="80"/>
        </w:rPr>
        <w:t> </w:t>
      </w:r>
      <w:r>
        <w:rPr/>
        <w:t>Rs. 200 p.m. until</w:t>
      </w:r>
      <w:r>
        <w:rPr>
          <w:spacing w:val="40"/>
        </w:rPr>
        <w:t> </w:t>
      </w:r>
      <w:r>
        <w:rPr/>
        <w:t>they are trained</w:t>
      </w:r>
      <w:r>
        <w:rPr>
          <w:spacing w:val="40"/>
        </w:rPr>
        <w:t> </w:t>
      </w:r>
      <w:r>
        <w:rPr/>
        <w:t>and become eligible for the scale.</w:t>
      </w:r>
    </w:p>
    <w:p>
      <w:pPr>
        <w:pStyle w:val="BodyText"/>
      </w:pPr>
    </w:p>
    <w:p>
      <w:pPr>
        <w:pStyle w:val="BodyText"/>
      </w:pPr>
    </w:p>
    <w:p>
      <w:pPr>
        <w:pStyle w:val="ListParagraph"/>
        <w:numPr>
          <w:ilvl w:val="0"/>
          <w:numId w:val="50"/>
        </w:numPr>
        <w:tabs>
          <w:tab w:pos="559" w:val="left" w:leader="none"/>
        </w:tabs>
        <w:spacing w:line="240" w:lineRule="auto" w:before="1" w:after="0"/>
        <w:ind w:left="160" w:right="5610" w:firstLine="0"/>
        <w:jc w:val="left"/>
        <w:rPr>
          <w:sz w:val="24"/>
        </w:rPr>
      </w:pPr>
      <w:r>
        <w:rPr>
          <w:sz w:val="24"/>
        </w:rPr>
        <w:t>Teachers</w:t>
      </w:r>
      <w:r>
        <w:rPr>
          <w:spacing w:val="40"/>
          <w:sz w:val="24"/>
        </w:rPr>
        <w:t> </w:t>
      </w:r>
      <w:r>
        <w:rPr>
          <w:sz w:val="24"/>
        </w:rPr>
        <w:t>working</w:t>
      </w:r>
      <w:r>
        <w:rPr>
          <w:spacing w:val="40"/>
          <w:sz w:val="24"/>
        </w:rPr>
        <w:t> </w:t>
      </w:r>
      <w:r>
        <w:rPr>
          <w:sz w:val="24"/>
        </w:rPr>
        <w:t>in</w:t>
      </w:r>
      <w:r>
        <w:rPr>
          <w:spacing w:val="-7"/>
          <w:sz w:val="24"/>
        </w:rPr>
        <w:t> </w:t>
      </w:r>
      <w:r>
        <w:rPr>
          <w:sz w:val="24"/>
        </w:rPr>
        <w:t>secondary schools and having postgraduate</w:t>
      </w:r>
    </w:p>
    <w:p>
      <w:pPr>
        <w:pStyle w:val="BodyText"/>
        <w:tabs>
          <w:tab w:pos="7488" w:val="left" w:leader="none"/>
        </w:tabs>
        <w:ind w:left="160"/>
      </w:pPr>
      <w:r>
        <w:rPr>
          <w:spacing w:val="-2"/>
        </w:rPr>
        <w:t>qualifications</w:t>
      </w:r>
      <w:r>
        <w:rPr/>
        <w:tab/>
        <w:t>300-</w:t>
      </w:r>
      <w:r>
        <w:rPr>
          <w:spacing w:val="-5"/>
        </w:rPr>
        <w:t>600</w:t>
      </w:r>
    </w:p>
    <w:p>
      <w:pPr>
        <w:pStyle w:val="BodyText"/>
        <w:spacing w:before="276"/>
        <w:ind w:left="160"/>
      </w:pPr>
      <w:r>
        <w:rPr/>
        <w:t>N.B. On being trained, they should get one additional</w:t>
      </w:r>
      <w:r>
        <w:rPr>
          <w:spacing w:val="1"/>
        </w:rPr>
        <w:t> </w:t>
      </w:r>
      <w:r>
        <w:rPr>
          <w:spacing w:val="-2"/>
        </w:rPr>
        <w:t>increment.</w:t>
      </w:r>
    </w:p>
    <w:p>
      <w:pPr>
        <w:pStyle w:val="BodyText"/>
        <w:spacing w:before="275"/>
      </w:pPr>
    </w:p>
    <w:p>
      <w:pPr>
        <w:pStyle w:val="ListParagraph"/>
        <w:numPr>
          <w:ilvl w:val="0"/>
          <w:numId w:val="50"/>
        </w:numPr>
        <w:tabs>
          <w:tab w:pos="557" w:val="left" w:leader="none"/>
          <w:tab w:pos="3822" w:val="left" w:leader="none"/>
        </w:tabs>
        <w:spacing w:line="240" w:lineRule="auto" w:before="1" w:after="0"/>
        <w:ind w:left="557" w:right="0" w:hanging="338"/>
        <w:jc w:val="left"/>
        <w:rPr>
          <w:sz w:val="24"/>
        </w:rPr>
      </w:pPr>
      <w:r>
        <w:rPr>
          <w:sz w:val="24"/>
        </w:rPr>
        <w:t>Heads</w:t>
      </w:r>
      <w:r>
        <w:rPr>
          <w:spacing w:val="-1"/>
          <w:sz w:val="24"/>
        </w:rPr>
        <w:t> </w:t>
      </w:r>
      <w:r>
        <w:rPr>
          <w:sz w:val="24"/>
        </w:rPr>
        <w:t>of</w:t>
      </w:r>
      <w:r>
        <w:rPr>
          <w:spacing w:val="-1"/>
          <w:sz w:val="24"/>
        </w:rPr>
        <w:t> </w:t>
      </w:r>
      <w:r>
        <w:rPr>
          <w:sz w:val="24"/>
        </w:rPr>
        <w:t>secondary</w:t>
      </w:r>
      <w:r>
        <w:rPr>
          <w:spacing w:val="-1"/>
          <w:sz w:val="24"/>
        </w:rPr>
        <w:t> </w:t>
      </w:r>
      <w:r>
        <w:rPr>
          <w:spacing w:val="-2"/>
          <w:sz w:val="24"/>
        </w:rPr>
        <w:t>schools</w:t>
      </w:r>
      <w:r>
        <w:rPr>
          <w:sz w:val="24"/>
        </w:rPr>
        <w:tab/>
        <w:t>Depending</w:t>
      </w:r>
      <w:r>
        <w:rPr>
          <w:spacing w:val="-3"/>
          <w:sz w:val="24"/>
        </w:rPr>
        <w:t> </w:t>
      </w:r>
      <w:r>
        <w:rPr>
          <w:sz w:val="24"/>
        </w:rPr>
        <w:t>upon</w:t>
      </w:r>
      <w:r>
        <w:rPr>
          <w:spacing w:val="-1"/>
          <w:sz w:val="24"/>
        </w:rPr>
        <w:t> </w:t>
      </w:r>
      <w:r>
        <w:rPr>
          <w:sz w:val="24"/>
        </w:rPr>
        <w:t>the</w:t>
      </w:r>
      <w:r>
        <w:rPr>
          <w:spacing w:val="-1"/>
          <w:sz w:val="24"/>
        </w:rPr>
        <w:t> </w:t>
      </w:r>
      <w:r>
        <w:rPr>
          <w:spacing w:val="-4"/>
          <w:sz w:val="24"/>
        </w:rPr>
        <w:t>size</w:t>
      </w:r>
    </w:p>
    <w:p>
      <w:pPr>
        <w:pStyle w:val="BodyText"/>
        <w:ind w:left="3822" w:right="2856" w:firstLine="1"/>
      </w:pPr>
      <w:r>
        <w:rPr/>
        <w:t>and quality of the school and also on their qualifi- cations, the headmasters should have one or other</w:t>
      </w:r>
      <w:r>
        <w:rPr>
          <w:spacing w:val="40"/>
        </w:rPr>
        <w:t> </w:t>
      </w:r>
      <w:r>
        <w:rPr/>
        <w:t>of the scales of pay for teachers in affiliated col- leges</w:t>
      </w:r>
      <w:r>
        <w:rPr>
          <w:spacing w:val="-15"/>
        </w:rPr>
        <w:t> </w:t>
      </w:r>
      <w:r>
        <w:rPr/>
        <w:t>recommended</w:t>
      </w:r>
      <w:r>
        <w:rPr>
          <w:spacing w:val="-15"/>
        </w:rPr>
        <w:t> </w:t>
      </w:r>
      <w:r>
        <w:rPr/>
        <w:t>below.</w:t>
      </w:r>
    </w:p>
    <w:p>
      <w:pPr>
        <w:pStyle w:val="ListParagraph"/>
        <w:numPr>
          <w:ilvl w:val="0"/>
          <w:numId w:val="50"/>
        </w:numPr>
        <w:tabs>
          <w:tab w:pos="499" w:val="left" w:leader="none"/>
        </w:tabs>
        <w:spacing w:line="240" w:lineRule="auto" w:before="275" w:after="0"/>
        <w:ind w:left="499" w:right="0" w:hanging="339"/>
        <w:jc w:val="left"/>
        <w:rPr>
          <w:sz w:val="24"/>
        </w:rPr>
      </w:pPr>
      <w:r>
        <w:rPr>
          <w:sz w:val="24"/>
        </w:rPr>
        <w:t>Teachers</w:t>
      </w:r>
      <w:r>
        <w:rPr>
          <w:spacing w:val="-2"/>
          <w:sz w:val="24"/>
        </w:rPr>
        <w:t> </w:t>
      </w:r>
      <w:r>
        <w:rPr>
          <w:sz w:val="24"/>
        </w:rPr>
        <w:t>in</w:t>
      </w:r>
      <w:r>
        <w:rPr>
          <w:spacing w:val="-1"/>
          <w:sz w:val="24"/>
        </w:rPr>
        <w:t> </w:t>
      </w:r>
      <w:r>
        <w:rPr>
          <w:spacing w:val="-2"/>
          <w:sz w:val="24"/>
        </w:rPr>
        <w:t>affiliated</w:t>
      </w:r>
    </w:p>
    <w:p>
      <w:pPr>
        <w:pStyle w:val="BodyText"/>
        <w:tabs>
          <w:tab w:pos="3823" w:val="left" w:leader="none"/>
          <w:tab w:pos="7487" w:val="left" w:leader="none"/>
        </w:tabs>
        <w:ind w:left="160"/>
      </w:pPr>
      <w:r>
        <w:rPr>
          <w:spacing w:val="-2"/>
        </w:rPr>
        <w:t>colleges</w:t>
      </w:r>
      <w:r>
        <w:rPr/>
        <w:tab/>
        <w:t>Lecturer-Junior</w:t>
      </w:r>
      <w:r>
        <w:rPr>
          <w:spacing w:val="-3"/>
        </w:rPr>
        <w:t> </w:t>
      </w:r>
      <w:r>
        <w:rPr>
          <w:spacing w:val="-2"/>
        </w:rPr>
        <w:t>scale</w:t>
      </w:r>
      <w:r>
        <w:rPr/>
        <w:tab/>
        <w:t>300-25-</w:t>
      </w:r>
      <w:r>
        <w:rPr>
          <w:spacing w:val="-5"/>
        </w:rPr>
        <w:t>600</w:t>
      </w:r>
    </w:p>
    <w:p>
      <w:pPr>
        <w:pStyle w:val="BodyText"/>
        <w:tabs>
          <w:tab w:pos="7488" w:val="left" w:leader="none"/>
        </w:tabs>
        <w:ind w:left="3823"/>
      </w:pPr>
      <w:r>
        <w:rPr/>
        <w:t>Senior </w:t>
      </w:r>
      <w:r>
        <w:rPr>
          <w:spacing w:val="-2"/>
        </w:rPr>
        <w:t>scale</w:t>
      </w:r>
      <w:r>
        <w:rPr/>
        <w:tab/>
        <w:t>400-30-</w:t>
      </w:r>
      <w:r>
        <w:rPr>
          <w:spacing w:val="-5"/>
        </w:rPr>
        <w:t>640</w:t>
      </w:r>
    </w:p>
    <w:p>
      <w:pPr>
        <w:pStyle w:val="BodyText"/>
        <w:ind w:left="7488"/>
      </w:pPr>
      <w:r>
        <w:rPr/>
        <w:t>-40-</w:t>
      </w:r>
      <w:r>
        <w:rPr>
          <w:spacing w:val="-5"/>
        </w:rPr>
        <w:t>800</w:t>
      </w:r>
    </w:p>
    <w:p>
      <w:pPr>
        <w:pStyle w:val="BodyText"/>
        <w:tabs>
          <w:tab w:pos="7488" w:val="left" w:leader="none"/>
        </w:tabs>
        <w:ind w:left="3823"/>
      </w:pPr>
      <w:r>
        <w:rPr/>
        <w:t>Senior Lecturer / </w:t>
      </w:r>
      <w:r>
        <w:rPr>
          <w:spacing w:val="-2"/>
        </w:rPr>
        <w:t>Reader</w:t>
      </w:r>
      <w:r>
        <w:rPr/>
        <w:tab/>
        <w:t>700-40-</w:t>
      </w:r>
      <w:r>
        <w:rPr>
          <w:spacing w:val="-4"/>
        </w:rPr>
        <w:t>1100</w:t>
      </w:r>
    </w:p>
    <w:p>
      <w:pPr>
        <w:pStyle w:val="BodyText"/>
        <w:tabs>
          <w:tab w:pos="4929" w:val="left" w:leader="none"/>
          <w:tab w:pos="7487" w:val="left" w:leader="none"/>
        </w:tabs>
        <w:ind w:left="3823"/>
      </w:pPr>
      <w:r>
        <w:rPr>
          <w:spacing w:val="-2"/>
        </w:rPr>
        <w:t>Principal</w:t>
      </w:r>
      <w:r>
        <w:rPr/>
        <w:tab/>
      </w:r>
      <w:r>
        <w:rPr>
          <w:spacing w:val="-10"/>
        </w:rPr>
        <w:t>I</w:t>
      </w:r>
      <w:r>
        <w:rPr/>
        <w:tab/>
        <w:t>700-40-</w:t>
      </w:r>
      <w:r>
        <w:rPr>
          <w:spacing w:val="-4"/>
        </w:rPr>
        <w:t>1100</w:t>
      </w:r>
    </w:p>
    <w:p>
      <w:pPr>
        <w:pStyle w:val="BodyText"/>
        <w:tabs>
          <w:tab w:pos="7488" w:val="left" w:leader="none"/>
        </w:tabs>
        <w:ind w:left="4860"/>
      </w:pPr>
      <w:r>
        <w:rPr>
          <w:spacing w:val="-5"/>
        </w:rPr>
        <w:t>II</w:t>
      </w:r>
      <w:r>
        <w:rPr/>
        <w:tab/>
        <w:t>800-50-</w:t>
      </w:r>
      <w:r>
        <w:rPr>
          <w:spacing w:val="-4"/>
        </w:rPr>
        <w:t>1250</w:t>
      </w:r>
    </w:p>
    <w:p>
      <w:pPr>
        <w:pStyle w:val="BodyText"/>
        <w:tabs>
          <w:tab w:pos="7488" w:val="left" w:leader="none"/>
        </w:tabs>
        <w:ind w:left="4860"/>
      </w:pPr>
      <w:r>
        <w:rPr>
          <w:spacing w:val="-5"/>
        </w:rPr>
        <w:t>III</w:t>
      </w:r>
      <w:r>
        <w:rPr/>
        <w:tab/>
        <w:t>1000-</w:t>
      </w:r>
      <w:r>
        <w:rPr>
          <w:spacing w:val="-5"/>
        </w:rPr>
        <w:t>50-</w:t>
      </w:r>
    </w:p>
    <w:p>
      <w:pPr>
        <w:pStyle w:val="BodyText"/>
        <w:ind w:left="7488"/>
      </w:pPr>
      <w:r>
        <w:rPr>
          <w:spacing w:val="-4"/>
        </w:rPr>
        <w:t>1500</w:t>
      </w:r>
    </w:p>
    <w:p>
      <w:pPr>
        <w:pStyle w:val="BodyText"/>
      </w:pPr>
    </w:p>
    <w:p>
      <w:pPr>
        <w:pStyle w:val="BodyText"/>
        <w:ind w:left="160" w:right="497"/>
        <w:jc w:val="both"/>
      </w:pPr>
      <w:r>
        <w:rPr/>
        <w:t>N.B.</w:t>
      </w:r>
      <w:r>
        <w:rPr>
          <w:spacing w:val="80"/>
        </w:rPr>
        <w:t>  </w:t>
      </w:r>
      <w:r>
        <w:rPr/>
        <w:t>The</w:t>
      </w:r>
      <w:r>
        <w:rPr>
          <w:spacing w:val="34"/>
        </w:rPr>
        <w:t> </w:t>
      </w:r>
      <w:r>
        <w:rPr/>
        <w:t>proportion of lecturers in the</w:t>
      </w:r>
      <w:r>
        <w:rPr>
          <w:spacing w:val="80"/>
        </w:rPr>
        <w:t> </w:t>
      </w:r>
      <w:r>
        <w:rPr/>
        <w:t>senior</w:t>
      </w:r>
      <w:r>
        <w:rPr>
          <w:spacing w:val="80"/>
        </w:rPr>
        <w:t> </w:t>
      </w:r>
      <w:r>
        <w:rPr/>
        <w:t>scale</w:t>
      </w:r>
      <w:r>
        <w:rPr>
          <w:spacing w:val="80"/>
        </w:rPr>
        <w:t> </w:t>
      </w:r>
      <w:r>
        <w:rPr/>
        <w:t>to</w:t>
      </w:r>
      <w:r>
        <w:rPr>
          <w:spacing w:val="80"/>
        </w:rPr>
        <w:t> </w:t>
      </w:r>
      <w:r>
        <w:rPr/>
        <w:t>those in the junior scale should be progressively improved. By the end of the Fifth Plan, this pro- portion should be raised to about 750% on an average.</w:t>
      </w:r>
    </w:p>
    <w:p>
      <w:pPr>
        <w:spacing w:after="0"/>
        <w:jc w:val="both"/>
        <w:sectPr>
          <w:pgSz w:w="12240" w:h="15840"/>
          <w:pgMar w:header="0" w:footer="743" w:top="1420" w:bottom="940" w:left="1640" w:right="1300"/>
        </w:sectPr>
      </w:pPr>
    </w:p>
    <w:p>
      <w:pPr>
        <w:pStyle w:val="BodyText"/>
        <w:spacing w:before="3"/>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7"/>
        <w:gridCol w:w="2882"/>
        <w:gridCol w:w="2669"/>
      </w:tblGrid>
      <w:tr>
        <w:trPr>
          <w:trHeight w:val="270" w:hRule="atLeast"/>
        </w:trPr>
        <w:tc>
          <w:tcPr>
            <w:tcW w:w="3117" w:type="dxa"/>
          </w:tcPr>
          <w:p>
            <w:pPr>
              <w:pStyle w:val="TableParagraph"/>
              <w:spacing w:line="251" w:lineRule="exact"/>
              <w:ind w:left="50"/>
              <w:rPr>
                <w:sz w:val="24"/>
              </w:rPr>
            </w:pPr>
            <w:r>
              <w:rPr>
                <w:sz w:val="24"/>
              </w:rPr>
              <w:t>(6)</w:t>
            </w:r>
            <w:r>
              <w:rPr>
                <w:spacing w:val="-1"/>
                <w:sz w:val="24"/>
              </w:rPr>
              <w:t> </w:t>
            </w:r>
            <w:r>
              <w:rPr>
                <w:sz w:val="24"/>
              </w:rPr>
              <w:t>Teachers</w:t>
            </w:r>
            <w:r>
              <w:rPr>
                <w:spacing w:val="-2"/>
                <w:sz w:val="24"/>
              </w:rPr>
              <w:t> </w:t>
            </w:r>
            <w:r>
              <w:rPr>
                <w:sz w:val="24"/>
              </w:rPr>
              <w:t>in </w:t>
            </w:r>
            <w:r>
              <w:rPr>
                <w:spacing w:val="-2"/>
                <w:sz w:val="24"/>
              </w:rPr>
              <w:t>university</w:t>
            </w:r>
          </w:p>
        </w:tc>
        <w:tc>
          <w:tcPr>
            <w:tcW w:w="5551" w:type="dxa"/>
            <w:gridSpan w:val="2"/>
          </w:tcPr>
          <w:p>
            <w:pPr>
              <w:pStyle w:val="TableParagraph"/>
              <w:rPr>
                <w:sz w:val="20"/>
              </w:rPr>
            </w:pPr>
          </w:p>
        </w:tc>
      </w:tr>
      <w:tr>
        <w:trPr>
          <w:trHeight w:val="275" w:hRule="atLeast"/>
        </w:trPr>
        <w:tc>
          <w:tcPr>
            <w:tcW w:w="3117" w:type="dxa"/>
          </w:tcPr>
          <w:p>
            <w:pPr>
              <w:pStyle w:val="TableParagraph"/>
              <w:spacing w:line="256" w:lineRule="exact"/>
              <w:ind w:left="50"/>
              <w:rPr>
                <w:sz w:val="24"/>
              </w:rPr>
            </w:pPr>
            <w:r>
              <w:rPr>
                <w:spacing w:val="-2"/>
                <w:sz w:val="24"/>
              </w:rPr>
              <w:t>departments</w:t>
            </w:r>
          </w:p>
        </w:tc>
        <w:tc>
          <w:tcPr>
            <w:tcW w:w="2882" w:type="dxa"/>
          </w:tcPr>
          <w:p>
            <w:pPr>
              <w:pStyle w:val="TableParagraph"/>
              <w:spacing w:line="256" w:lineRule="exact"/>
              <w:ind w:left="595"/>
              <w:rPr>
                <w:sz w:val="24"/>
              </w:rPr>
            </w:pPr>
            <w:r>
              <w:rPr>
                <w:spacing w:val="-2"/>
                <w:sz w:val="24"/>
              </w:rPr>
              <w:t>Lecturer</w:t>
            </w:r>
          </w:p>
        </w:tc>
        <w:tc>
          <w:tcPr>
            <w:tcW w:w="2669" w:type="dxa"/>
          </w:tcPr>
          <w:p>
            <w:pPr>
              <w:pStyle w:val="TableParagraph"/>
              <w:spacing w:line="256" w:lineRule="exact"/>
              <w:ind w:left="1379"/>
              <w:rPr>
                <w:sz w:val="24"/>
              </w:rPr>
            </w:pPr>
            <w:r>
              <w:rPr>
                <w:spacing w:val="-2"/>
                <w:sz w:val="24"/>
              </w:rPr>
              <w:t>400-40-</w:t>
            </w:r>
            <w:r>
              <w:rPr>
                <w:spacing w:val="-4"/>
                <w:sz w:val="24"/>
              </w:rPr>
              <w:t>800-</w:t>
            </w:r>
          </w:p>
        </w:tc>
      </w:tr>
      <w:tr>
        <w:trPr>
          <w:trHeight w:val="275" w:hRule="atLeast"/>
        </w:trPr>
        <w:tc>
          <w:tcPr>
            <w:tcW w:w="3117" w:type="dxa"/>
          </w:tcPr>
          <w:p>
            <w:pPr>
              <w:pStyle w:val="TableParagraph"/>
              <w:rPr>
                <w:sz w:val="20"/>
              </w:rPr>
            </w:pPr>
          </w:p>
        </w:tc>
        <w:tc>
          <w:tcPr>
            <w:tcW w:w="2882" w:type="dxa"/>
          </w:tcPr>
          <w:p>
            <w:pPr>
              <w:pStyle w:val="TableParagraph"/>
              <w:rPr>
                <w:sz w:val="20"/>
              </w:rPr>
            </w:pPr>
          </w:p>
        </w:tc>
        <w:tc>
          <w:tcPr>
            <w:tcW w:w="2669" w:type="dxa"/>
          </w:tcPr>
          <w:p>
            <w:pPr>
              <w:pStyle w:val="TableParagraph"/>
              <w:spacing w:line="256" w:lineRule="exact"/>
              <w:ind w:left="1379"/>
              <w:rPr>
                <w:sz w:val="24"/>
              </w:rPr>
            </w:pPr>
            <w:r>
              <w:rPr>
                <w:sz w:val="24"/>
              </w:rPr>
              <w:t>50-</w:t>
            </w:r>
            <w:r>
              <w:rPr>
                <w:spacing w:val="-5"/>
                <w:sz w:val="24"/>
              </w:rPr>
              <w:t>950</w:t>
            </w:r>
          </w:p>
        </w:tc>
      </w:tr>
      <w:tr>
        <w:trPr>
          <w:trHeight w:val="275" w:hRule="atLeast"/>
        </w:trPr>
        <w:tc>
          <w:tcPr>
            <w:tcW w:w="3117" w:type="dxa"/>
          </w:tcPr>
          <w:p>
            <w:pPr>
              <w:pStyle w:val="TableParagraph"/>
              <w:rPr>
                <w:sz w:val="20"/>
              </w:rPr>
            </w:pPr>
          </w:p>
        </w:tc>
        <w:tc>
          <w:tcPr>
            <w:tcW w:w="2882" w:type="dxa"/>
          </w:tcPr>
          <w:p>
            <w:pPr>
              <w:pStyle w:val="TableParagraph"/>
              <w:spacing w:line="256" w:lineRule="exact"/>
              <w:ind w:left="596"/>
              <w:rPr>
                <w:sz w:val="24"/>
              </w:rPr>
            </w:pPr>
            <w:r>
              <w:rPr>
                <w:spacing w:val="-2"/>
                <w:sz w:val="24"/>
              </w:rPr>
              <w:t>Reader</w:t>
            </w:r>
          </w:p>
        </w:tc>
        <w:tc>
          <w:tcPr>
            <w:tcW w:w="2669" w:type="dxa"/>
          </w:tcPr>
          <w:p>
            <w:pPr>
              <w:pStyle w:val="TableParagraph"/>
              <w:spacing w:line="256" w:lineRule="exact"/>
              <w:ind w:left="1379"/>
              <w:rPr>
                <w:sz w:val="24"/>
              </w:rPr>
            </w:pPr>
            <w:r>
              <w:rPr>
                <w:sz w:val="24"/>
              </w:rPr>
              <w:t>700-50-</w:t>
            </w:r>
            <w:r>
              <w:rPr>
                <w:spacing w:val="-4"/>
                <w:sz w:val="24"/>
              </w:rPr>
              <w:t>1250</w:t>
            </w:r>
          </w:p>
        </w:tc>
      </w:tr>
      <w:tr>
        <w:trPr>
          <w:trHeight w:val="275" w:hRule="atLeast"/>
        </w:trPr>
        <w:tc>
          <w:tcPr>
            <w:tcW w:w="3117" w:type="dxa"/>
          </w:tcPr>
          <w:p>
            <w:pPr>
              <w:pStyle w:val="TableParagraph"/>
              <w:rPr>
                <w:sz w:val="20"/>
              </w:rPr>
            </w:pPr>
          </w:p>
        </w:tc>
        <w:tc>
          <w:tcPr>
            <w:tcW w:w="2882" w:type="dxa"/>
          </w:tcPr>
          <w:p>
            <w:pPr>
              <w:pStyle w:val="TableParagraph"/>
              <w:spacing w:line="256" w:lineRule="exact"/>
              <w:ind w:left="596"/>
              <w:rPr>
                <w:sz w:val="24"/>
              </w:rPr>
            </w:pPr>
            <w:r>
              <w:rPr>
                <w:spacing w:val="-2"/>
                <w:sz w:val="24"/>
              </w:rPr>
              <w:t>Professor</w:t>
            </w:r>
          </w:p>
        </w:tc>
        <w:tc>
          <w:tcPr>
            <w:tcW w:w="2669" w:type="dxa"/>
          </w:tcPr>
          <w:p>
            <w:pPr>
              <w:pStyle w:val="TableParagraph"/>
              <w:spacing w:line="256" w:lineRule="exact"/>
              <w:ind w:left="1379"/>
              <w:rPr>
                <w:sz w:val="24"/>
              </w:rPr>
            </w:pPr>
            <w:r>
              <w:rPr>
                <w:sz w:val="24"/>
              </w:rPr>
              <w:t>1100-</w:t>
            </w:r>
            <w:r>
              <w:rPr>
                <w:spacing w:val="-5"/>
                <w:sz w:val="24"/>
              </w:rPr>
              <w:t>50-</w:t>
            </w:r>
          </w:p>
        </w:tc>
      </w:tr>
      <w:tr>
        <w:trPr>
          <w:trHeight w:val="275" w:hRule="atLeast"/>
        </w:trPr>
        <w:tc>
          <w:tcPr>
            <w:tcW w:w="3117" w:type="dxa"/>
          </w:tcPr>
          <w:p>
            <w:pPr>
              <w:pStyle w:val="TableParagraph"/>
              <w:rPr>
                <w:sz w:val="20"/>
              </w:rPr>
            </w:pPr>
          </w:p>
        </w:tc>
        <w:tc>
          <w:tcPr>
            <w:tcW w:w="2882" w:type="dxa"/>
          </w:tcPr>
          <w:p>
            <w:pPr>
              <w:pStyle w:val="TableParagraph"/>
              <w:rPr>
                <w:sz w:val="20"/>
              </w:rPr>
            </w:pPr>
          </w:p>
        </w:tc>
        <w:tc>
          <w:tcPr>
            <w:tcW w:w="2669" w:type="dxa"/>
          </w:tcPr>
          <w:p>
            <w:pPr>
              <w:pStyle w:val="TableParagraph"/>
              <w:spacing w:line="256" w:lineRule="exact"/>
              <w:ind w:left="1379"/>
              <w:rPr>
                <w:sz w:val="24"/>
              </w:rPr>
            </w:pPr>
            <w:r>
              <w:rPr>
                <w:spacing w:val="-4"/>
                <w:sz w:val="24"/>
              </w:rPr>
              <w:t>1300</w:t>
            </w:r>
          </w:p>
        </w:tc>
      </w:tr>
      <w:tr>
        <w:trPr>
          <w:trHeight w:val="270" w:hRule="atLeast"/>
        </w:trPr>
        <w:tc>
          <w:tcPr>
            <w:tcW w:w="3117" w:type="dxa"/>
          </w:tcPr>
          <w:p>
            <w:pPr>
              <w:pStyle w:val="TableParagraph"/>
              <w:rPr>
                <w:sz w:val="20"/>
              </w:rPr>
            </w:pPr>
          </w:p>
        </w:tc>
        <w:tc>
          <w:tcPr>
            <w:tcW w:w="2882" w:type="dxa"/>
          </w:tcPr>
          <w:p>
            <w:pPr>
              <w:pStyle w:val="TableParagraph"/>
              <w:rPr>
                <w:sz w:val="20"/>
              </w:rPr>
            </w:pPr>
          </w:p>
        </w:tc>
        <w:tc>
          <w:tcPr>
            <w:tcW w:w="2669" w:type="dxa"/>
          </w:tcPr>
          <w:p>
            <w:pPr>
              <w:pStyle w:val="TableParagraph"/>
              <w:spacing w:line="251" w:lineRule="exact"/>
              <w:ind w:left="1379"/>
              <w:rPr>
                <w:sz w:val="24"/>
              </w:rPr>
            </w:pPr>
            <w:r>
              <w:rPr>
                <w:sz w:val="24"/>
              </w:rPr>
              <w:t>-60-</w:t>
            </w:r>
            <w:r>
              <w:rPr>
                <w:spacing w:val="-4"/>
                <w:sz w:val="24"/>
              </w:rPr>
              <w:t>1600</w:t>
            </w:r>
          </w:p>
        </w:tc>
      </w:tr>
    </w:tbl>
    <w:p>
      <w:pPr>
        <w:pStyle w:val="BodyText"/>
        <w:spacing w:before="7"/>
      </w:pPr>
    </w:p>
    <w:p>
      <w:pPr>
        <w:pStyle w:val="BodyText"/>
        <w:ind w:left="160" w:right="497"/>
        <w:jc w:val="both"/>
      </w:pPr>
      <w:r>
        <w:rPr/>
        <w:t>N.B. (1)</w:t>
      </w:r>
      <w:r>
        <w:rPr>
          <w:spacing w:val="40"/>
        </w:rPr>
        <w:t> </w:t>
      </w:r>
      <w:r>
        <w:rPr/>
        <w:t>The proportion of junior to senior</w:t>
      </w:r>
      <w:r>
        <w:rPr>
          <w:spacing w:val="40"/>
        </w:rPr>
        <w:t> </w:t>
      </w:r>
      <w:r>
        <w:rPr/>
        <w:t>posts (i.e. Readers to Professors) is about 3:I at present in the universities (the corresponding ratio for affiliated colleges is 5:1).We should gradually move in the direction of raising it to 2:1.</w:t>
      </w:r>
    </w:p>
    <w:p>
      <w:pPr>
        <w:pStyle w:val="BodyText"/>
      </w:pPr>
    </w:p>
    <w:p>
      <w:pPr>
        <w:pStyle w:val="ListParagraph"/>
        <w:numPr>
          <w:ilvl w:val="0"/>
          <w:numId w:val="49"/>
        </w:numPr>
        <w:tabs>
          <w:tab w:pos="620" w:val="left" w:leader="none"/>
        </w:tabs>
        <w:spacing w:line="240" w:lineRule="auto" w:before="1" w:after="0"/>
        <w:ind w:left="160" w:right="497" w:firstLine="60"/>
        <w:jc w:val="both"/>
        <w:rPr>
          <w:sz w:val="24"/>
        </w:rPr>
      </w:pPr>
      <w:r>
        <w:rPr>
          <w:sz w:val="24"/>
        </w:rPr>
        <w:t>One-third</w:t>
      </w:r>
      <w:r>
        <w:rPr>
          <w:spacing w:val="40"/>
          <w:sz w:val="24"/>
        </w:rPr>
        <w:t> </w:t>
      </w:r>
      <w:r>
        <w:rPr>
          <w:sz w:val="24"/>
        </w:rPr>
        <w:t>of</w:t>
      </w:r>
      <w:r>
        <w:rPr>
          <w:spacing w:val="40"/>
          <w:sz w:val="24"/>
        </w:rPr>
        <w:t> </w:t>
      </w:r>
      <w:r>
        <w:rPr>
          <w:sz w:val="24"/>
        </w:rPr>
        <w:t>the</w:t>
      </w:r>
      <w:r>
        <w:rPr>
          <w:spacing w:val="40"/>
          <w:sz w:val="24"/>
        </w:rPr>
        <w:t> </w:t>
      </w:r>
      <w:r>
        <w:rPr>
          <w:sz w:val="24"/>
        </w:rPr>
        <w:t>professors</w:t>
      </w:r>
      <w:r>
        <w:rPr>
          <w:spacing w:val="-2"/>
          <w:sz w:val="24"/>
        </w:rPr>
        <w:t> </w:t>
      </w:r>
      <w:r>
        <w:rPr>
          <w:sz w:val="24"/>
        </w:rPr>
        <w:t>should</w:t>
      </w:r>
      <w:r>
        <w:rPr>
          <w:spacing w:val="40"/>
          <w:sz w:val="24"/>
        </w:rPr>
        <w:t> </w:t>
      </w:r>
      <w:r>
        <w:rPr>
          <w:sz w:val="24"/>
        </w:rPr>
        <w:t>be</w:t>
      </w:r>
      <w:r>
        <w:rPr>
          <w:spacing w:val="-2"/>
          <w:sz w:val="24"/>
        </w:rPr>
        <w:t> </w:t>
      </w:r>
      <w:r>
        <w:rPr>
          <w:sz w:val="24"/>
        </w:rPr>
        <w:t>in</w:t>
      </w:r>
      <w:r>
        <w:rPr>
          <w:spacing w:val="-2"/>
          <w:sz w:val="24"/>
        </w:rPr>
        <w:t> </w:t>
      </w:r>
      <w:r>
        <w:rPr>
          <w:sz w:val="24"/>
        </w:rPr>
        <w:t>the</w:t>
      </w:r>
      <w:r>
        <w:rPr>
          <w:spacing w:val="-2"/>
          <w:sz w:val="24"/>
        </w:rPr>
        <w:t> </w:t>
      </w:r>
      <w:r>
        <w:rPr>
          <w:sz w:val="24"/>
        </w:rPr>
        <w:t>senior</w:t>
      </w:r>
      <w:r>
        <w:rPr>
          <w:spacing w:val="-2"/>
          <w:sz w:val="24"/>
        </w:rPr>
        <w:t> </w:t>
      </w:r>
      <w:r>
        <w:rPr>
          <w:sz w:val="24"/>
        </w:rPr>
        <w:t>scale</w:t>
      </w:r>
      <w:r>
        <w:rPr>
          <w:spacing w:val="-2"/>
          <w:sz w:val="24"/>
        </w:rPr>
        <w:t> </w:t>
      </w:r>
      <w:r>
        <w:rPr>
          <w:sz w:val="24"/>
        </w:rPr>
        <w:t>of</w:t>
      </w:r>
      <w:r>
        <w:rPr>
          <w:spacing w:val="-2"/>
          <w:sz w:val="24"/>
        </w:rPr>
        <w:t> </w:t>
      </w:r>
      <w:r>
        <w:rPr>
          <w:sz w:val="24"/>
        </w:rPr>
        <w:t>Rs.</w:t>
      </w:r>
      <w:r>
        <w:rPr>
          <w:spacing w:val="-2"/>
          <w:sz w:val="24"/>
        </w:rPr>
        <w:t> </w:t>
      </w:r>
      <w:r>
        <w:rPr>
          <w:sz w:val="24"/>
        </w:rPr>
        <w:t>1600-1800.</w:t>
      </w:r>
      <w:r>
        <w:rPr>
          <w:spacing w:val="-2"/>
          <w:sz w:val="24"/>
        </w:rPr>
        <w:t> </w:t>
      </w:r>
      <w:r>
        <w:rPr>
          <w:sz w:val="24"/>
        </w:rPr>
        <w:t>Special scales should be introduced for exceptionally meritorious persons and in selected Centres of Advanced Studies.</w:t>
      </w:r>
    </w:p>
    <w:p>
      <w:pPr>
        <w:pStyle w:val="BodyText"/>
        <w:spacing w:before="276"/>
        <w:ind w:left="160"/>
      </w:pPr>
      <w:r>
        <w:rPr>
          <w:spacing w:val="-2"/>
        </w:rPr>
        <w:t>Note:</w:t>
      </w:r>
    </w:p>
    <w:p>
      <w:pPr>
        <w:pStyle w:val="ListParagraph"/>
        <w:numPr>
          <w:ilvl w:val="1"/>
          <w:numId w:val="49"/>
        </w:numPr>
        <w:tabs>
          <w:tab w:pos="759" w:val="left" w:leader="none"/>
        </w:tabs>
        <w:spacing w:line="240" w:lineRule="auto" w:before="0" w:after="0"/>
        <w:ind w:left="160" w:right="496" w:firstLine="60"/>
        <w:jc w:val="both"/>
        <w:rPr>
          <w:sz w:val="24"/>
        </w:rPr>
      </w:pPr>
      <w:r>
        <w:rPr>
          <w:sz w:val="24"/>
        </w:rPr>
        <w:t>The above scales of pay for school teachers are at</w:t>
      </w:r>
      <w:r>
        <w:rPr>
          <w:spacing w:val="40"/>
          <w:sz w:val="24"/>
        </w:rPr>
        <w:t> </w:t>
      </w:r>
      <w:r>
        <w:rPr>
          <w:sz w:val="24"/>
        </w:rPr>
        <w:t>the</w:t>
      </w:r>
      <w:r>
        <w:rPr>
          <w:spacing w:val="40"/>
          <w:sz w:val="24"/>
        </w:rPr>
        <w:t> </w:t>
      </w:r>
      <w:r>
        <w:rPr>
          <w:sz w:val="24"/>
        </w:rPr>
        <w:t>current</w:t>
      </w:r>
      <w:r>
        <w:rPr>
          <w:spacing w:val="40"/>
          <w:sz w:val="24"/>
        </w:rPr>
        <w:t> </w:t>
      </w:r>
      <w:r>
        <w:rPr>
          <w:sz w:val="24"/>
        </w:rPr>
        <w:t>price level and include the</w:t>
      </w:r>
      <w:r>
        <w:rPr>
          <w:spacing w:val="40"/>
          <w:sz w:val="24"/>
        </w:rPr>
        <w:t> </w:t>
      </w:r>
      <w:r>
        <w:rPr>
          <w:sz w:val="24"/>
        </w:rPr>
        <w:t>existing</w:t>
      </w:r>
      <w:r>
        <w:rPr>
          <w:spacing w:val="40"/>
          <w:sz w:val="24"/>
        </w:rPr>
        <w:t> </w:t>
      </w:r>
      <w:r>
        <w:rPr>
          <w:sz w:val="24"/>
        </w:rPr>
        <w:t>dearness</w:t>
      </w:r>
      <w:r>
        <w:rPr>
          <w:spacing w:val="40"/>
          <w:sz w:val="24"/>
        </w:rPr>
        <w:t> </w:t>
      </w:r>
      <w:r>
        <w:rPr>
          <w:sz w:val="24"/>
        </w:rPr>
        <w:t>allowance.</w:t>
      </w:r>
      <w:r>
        <w:rPr>
          <w:spacing w:val="40"/>
          <w:sz w:val="24"/>
        </w:rPr>
        <w:t> </w:t>
      </w:r>
      <w:r>
        <w:rPr>
          <w:sz w:val="24"/>
        </w:rPr>
        <w:t>Suitable increases will, however, have to be made</w:t>
      </w:r>
      <w:r>
        <w:rPr>
          <w:spacing w:val="74"/>
          <w:sz w:val="24"/>
        </w:rPr>
        <w:t> </w:t>
      </w:r>
      <w:r>
        <w:rPr>
          <w:sz w:val="24"/>
        </w:rPr>
        <w:t>for</w:t>
      </w:r>
      <w:r>
        <w:rPr>
          <w:spacing w:val="72"/>
          <w:sz w:val="24"/>
        </w:rPr>
        <w:t> </w:t>
      </w:r>
      <w:r>
        <w:rPr>
          <w:sz w:val="24"/>
        </w:rPr>
        <w:t>rise</w:t>
      </w:r>
      <w:r>
        <w:rPr>
          <w:spacing w:val="72"/>
          <w:sz w:val="24"/>
        </w:rPr>
        <w:t> </w:t>
      </w:r>
      <w:r>
        <w:rPr>
          <w:sz w:val="24"/>
        </w:rPr>
        <w:t>in prices from time to time.</w:t>
      </w:r>
      <w:r>
        <w:rPr>
          <w:spacing w:val="80"/>
          <w:w w:val="150"/>
          <w:sz w:val="24"/>
        </w:rPr>
        <w:t> </w:t>
      </w:r>
      <w:r>
        <w:rPr>
          <w:sz w:val="24"/>
        </w:rPr>
        <w:t>For</w:t>
      </w:r>
      <w:r>
        <w:rPr>
          <w:spacing w:val="72"/>
          <w:sz w:val="24"/>
        </w:rPr>
        <w:t> </w:t>
      </w:r>
      <w:r>
        <w:rPr>
          <w:sz w:val="24"/>
        </w:rPr>
        <w:t>this</w:t>
      </w:r>
      <w:r>
        <w:rPr>
          <w:spacing w:val="72"/>
          <w:sz w:val="24"/>
        </w:rPr>
        <w:t> </w:t>
      </w:r>
      <w:r>
        <w:rPr>
          <w:sz w:val="24"/>
        </w:rPr>
        <w:t>purpose,</w:t>
      </w:r>
      <w:r>
        <w:rPr>
          <w:spacing w:val="72"/>
          <w:sz w:val="24"/>
        </w:rPr>
        <w:t> </w:t>
      </w:r>
      <w:r>
        <w:rPr>
          <w:sz w:val="24"/>
        </w:rPr>
        <w:t>there</w:t>
      </w:r>
      <w:r>
        <w:rPr>
          <w:spacing w:val="72"/>
          <w:sz w:val="24"/>
        </w:rPr>
        <w:t> </w:t>
      </w:r>
      <w:r>
        <w:rPr>
          <w:sz w:val="24"/>
        </w:rPr>
        <w:t>should</w:t>
      </w:r>
      <w:r>
        <w:rPr>
          <w:spacing w:val="72"/>
          <w:sz w:val="24"/>
        </w:rPr>
        <w:t> </w:t>
      </w:r>
      <w:r>
        <w:rPr>
          <w:sz w:val="24"/>
        </w:rPr>
        <w:t>be</w:t>
      </w:r>
      <w:r>
        <w:rPr>
          <w:spacing w:val="72"/>
          <w:sz w:val="24"/>
        </w:rPr>
        <w:t> </w:t>
      </w:r>
      <w:r>
        <w:rPr>
          <w:sz w:val="24"/>
        </w:rPr>
        <w:t>parity in dearness</w:t>
      </w:r>
      <w:r>
        <w:rPr>
          <w:spacing w:val="80"/>
          <w:sz w:val="24"/>
        </w:rPr>
        <w:t> </w:t>
      </w:r>
      <w:r>
        <w:rPr>
          <w:sz w:val="24"/>
        </w:rPr>
        <w:t>allowance,</w:t>
      </w:r>
      <w:r>
        <w:rPr>
          <w:spacing w:val="80"/>
          <w:sz w:val="24"/>
        </w:rPr>
        <w:t> </w:t>
      </w:r>
      <w:r>
        <w:rPr>
          <w:sz w:val="24"/>
        </w:rPr>
        <w:t>i.e.,</w:t>
      </w:r>
      <w:r>
        <w:rPr>
          <w:spacing w:val="80"/>
          <w:sz w:val="24"/>
        </w:rPr>
        <w:t> </w:t>
      </w:r>
      <w:r>
        <w:rPr>
          <w:sz w:val="24"/>
        </w:rPr>
        <w:t>the</w:t>
      </w:r>
      <w:r>
        <w:rPr>
          <w:spacing w:val="80"/>
          <w:sz w:val="24"/>
        </w:rPr>
        <w:t> </w:t>
      </w:r>
      <w:r>
        <w:rPr>
          <w:sz w:val="24"/>
        </w:rPr>
        <w:t>dearness allowance in any given year should be the same as it</w:t>
      </w:r>
      <w:r>
        <w:rPr>
          <w:spacing w:val="40"/>
          <w:sz w:val="24"/>
        </w:rPr>
        <w:t> </w:t>
      </w:r>
      <w:r>
        <w:rPr>
          <w:sz w:val="24"/>
        </w:rPr>
        <w:t>is paid to government servants drawing the same salary.</w:t>
      </w:r>
    </w:p>
    <w:p>
      <w:pPr>
        <w:pStyle w:val="ListParagraph"/>
        <w:numPr>
          <w:ilvl w:val="1"/>
          <w:numId w:val="49"/>
        </w:numPr>
        <w:tabs>
          <w:tab w:pos="635" w:val="left" w:leader="none"/>
        </w:tabs>
        <w:spacing w:line="240" w:lineRule="auto" w:before="0" w:after="0"/>
        <w:ind w:left="160" w:right="498" w:firstLine="60"/>
        <w:jc w:val="both"/>
        <w:rPr>
          <w:sz w:val="24"/>
        </w:rPr>
      </w:pPr>
      <w:r>
        <w:rPr>
          <w:sz w:val="24"/>
        </w:rPr>
        <w:t>All</w:t>
      </w:r>
      <w:r>
        <w:rPr>
          <w:spacing w:val="40"/>
          <w:sz w:val="24"/>
        </w:rPr>
        <w:t> </w:t>
      </w:r>
      <w:r>
        <w:rPr>
          <w:sz w:val="24"/>
        </w:rPr>
        <w:t>scales of pay should be periodically reviewed</w:t>
      </w:r>
      <w:r>
        <w:rPr>
          <w:spacing w:val="40"/>
          <w:sz w:val="24"/>
        </w:rPr>
        <w:t> </w:t>
      </w:r>
      <w:r>
        <w:rPr>
          <w:sz w:val="24"/>
        </w:rPr>
        <w:t>and</w:t>
      </w:r>
      <w:r>
        <w:rPr>
          <w:spacing w:val="40"/>
          <w:sz w:val="24"/>
        </w:rPr>
        <w:t> </w:t>
      </w:r>
      <w:r>
        <w:rPr>
          <w:sz w:val="24"/>
        </w:rPr>
        <w:t>revised at least once in five </w:t>
      </w:r>
      <w:r>
        <w:rPr>
          <w:spacing w:val="-2"/>
          <w:sz w:val="24"/>
        </w:rPr>
        <w:t>years.</w:t>
      </w:r>
    </w:p>
    <w:p>
      <w:pPr>
        <w:pStyle w:val="ListParagraph"/>
        <w:numPr>
          <w:ilvl w:val="1"/>
          <w:numId w:val="49"/>
        </w:numPr>
        <w:tabs>
          <w:tab w:pos="612" w:val="left" w:leader="none"/>
        </w:tabs>
        <w:spacing w:line="240" w:lineRule="auto" w:before="0" w:after="0"/>
        <w:ind w:left="160" w:right="496" w:firstLine="60"/>
        <w:jc w:val="both"/>
        <w:rPr>
          <w:sz w:val="24"/>
        </w:rPr>
      </w:pPr>
      <w:r>
        <w:rPr>
          <w:sz w:val="24"/>
        </w:rPr>
        <w:t>Compensatory cost of living allowance given in cities, house-rent allowance or other allowances are not included.</w:t>
      </w:r>
      <w:r>
        <w:rPr>
          <w:spacing w:val="80"/>
          <w:sz w:val="24"/>
        </w:rPr>
        <w:t> </w:t>
      </w:r>
      <w:r>
        <w:rPr>
          <w:sz w:val="24"/>
        </w:rPr>
        <w:t>These will be in addition to the salary recommended above and should be given on a basis of parity.</w:t>
      </w:r>
    </w:p>
    <w:p>
      <w:pPr>
        <w:pStyle w:val="ListParagraph"/>
        <w:numPr>
          <w:ilvl w:val="1"/>
          <w:numId w:val="49"/>
        </w:numPr>
        <w:tabs>
          <w:tab w:pos="662" w:val="left" w:leader="none"/>
        </w:tabs>
        <w:spacing w:line="240" w:lineRule="auto" w:before="0" w:after="0"/>
        <w:ind w:left="160" w:right="496" w:firstLine="60"/>
        <w:jc w:val="both"/>
        <w:rPr>
          <w:sz w:val="24"/>
        </w:rPr>
      </w:pPr>
      <w:r>
        <w:rPr>
          <w:sz w:val="24"/>
        </w:rPr>
        <w:t>The</w:t>
      </w:r>
      <w:r>
        <w:rPr>
          <w:spacing w:val="40"/>
          <w:sz w:val="24"/>
        </w:rPr>
        <w:t> </w:t>
      </w:r>
      <w:r>
        <w:rPr>
          <w:sz w:val="24"/>
        </w:rPr>
        <w:t>scales of pay are to be integrally related to</w:t>
      </w:r>
      <w:r>
        <w:rPr>
          <w:spacing w:val="40"/>
          <w:sz w:val="24"/>
        </w:rPr>
        <w:t> </w:t>
      </w:r>
      <w:r>
        <w:rPr>
          <w:sz w:val="24"/>
        </w:rPr>
        <w:t>the</w:t>
      </w:r>
      <w:r>
        <w:rPr>
          <w:spacing w:val="40"/>
          <w:sz w:val="24"/>
        </w:rPr>
        <w:t> </w:t>
      </w:r>
      <w:r>
        <w:rPr>
          <w:sz w:val="24"/>
        </w:rPr>
        <w:t>programmes</w:t>
      </w:r>
      <w:r>
        <w:rPr>
          <w:spacing w:val="40"/>
          <w:sz w:val="24"/>
        </w:rPr>
        <w:t> </w:t>
      </w:r>
      <w:r>
        <w:rPr>
          <w:sz w:val="24"/>
        </w:rPr>
        <w:t>of</w:t>
      </w:r>
      <w:r>
        <w:rPr>
          <w:spacing w:val="40"/>
          <w:sz w:val="24"/>
        </w:rPr>
        <w:t> </w:t>
      </w:r>
      <w:r>
        <w:rPr>
          <w:sz w:val="24"/>
        </w:rPr>
        <w:t>qualitative improvement of</w:t>
      </w:r>
      <w:r>
        <w:rPr>
          <w:spacing w:val="40"/>
          <w:sz w:val="24"/>
        </w:rPr>
        <w:t> </w:t>
      </w:r>
      <w:r>
        <w:rPr>
          <w:sz w:val="24"/>
        </w:rPr>
        <w:t>teachers</w:t>
      </w:r>
      <w:r>
        <w:rPr>
          <w:spacing w:val="40"/>
          <w:sz w:val="24"/>
        </w:rPr>
        <w:t> </w:t>
      </w:r>
      <w:r>
        <w:rPr>
          <w:sz w:val="24"/>
        </w:rPr>
        <w:t>through</w:t>
      </w:r>
      <w:r>
        <w:rPr>
          <w:spacing w:val="40"/>
          <w:sz w:val="24"/>
        </w:rPr>
        <w:t> </w:t>
      </w:r>
      <w:r>
        <w:rPr>
          <w:sz w:val="24"/>
        </w:rPr>
        <w:t>improved methods of selection, and improvement in general and</w:t>
      </w:r>
      <w:r>
        <w:rPr>
          <w:spacing w:val="40"/>
          <w:sz w:val="24"/>
        </w:rPr>
        <w:t> </w:t>
      </w:r>
      <w:r>
        <w:rPr>
          <w:sz w:val="24"/>
        </w:rPr>
        <w:t>professional education.</w:t>
      </w:r>
    </w:p>
    <w:p>
      <w:pPr>
        <w:pStyle w:val="ListParagraph"/>
        <w:numPr>
          <w:ilvl w:val="1"/>
          <w:numId w:val="49"/>
        </w:numPr>
        <w:tabs>
          <w:tab w:pos="664" w:val="left" w:leader="none"/>
        </w:tabs>
        <w:spacing w:line="240" w:lineRule="auto" w:before="0" w:after="0"/>
        <w:ind w:left="664" w:right="0" w:hanging="445"/>
        <w:jc w:val="both"/>
        <w:rPr>
          <w:sz w:val="24"/>
        </w:rPr>
      </w:pPr>
      <w:r>
        <w:rPr>
          <w:sz w:val="24"/>
        </w:rPr>
        <w:t>The</w:t>
      </w:r>
      <w:r>
        <w:rPr>
          <w:spacing w:val="-2"/>
          <w:sz w:val="24"/>
        </w:rPr>
        <w:t> </w:t>
      </w:r>
      <w:r>
        <w:rPr>
          <w:sz w:val="24"/>
        </w:rPr>
        <w:t>scales</w:t>
      </w:r>
      <w:r>
        <w:rPr>
          <w:spacing w:val="-1"/>
          <w:sz w:val="24"/>
        </w:rPr>
        <w:t> </w:t>
      </w:r>
      <w:r>
        <w:rPr>
          <w:sz w:val="24"/>
        </w:rPr>
        <w:t>are</w:t>
      </w:r>
      <w:r>
        <w:rPr>
          <w:spacing w:val="-1"/>
          <w:sz w:val="24"/>
        </w:rPr>
        <w:t> </w:t>
      </w:r>
      <w:r>
        <w:rPr>
          <w:sz w:val="24"/>
        </w:rPr>
        <w:t>to</w:t>
      </w:r>
      <w:r>
        <w:rPr>
          <w:spacing w:val="-1"/>
          <w:sz w:val="24"/>
        </w:rPr>
        <w:t> </w:t>
      </w:r>
      <w:r>
        <w:rPr>
          <w:sz w:val="24"/>
        </w:rPr>
        <w:t>be</w:t>
      </w:r>
      <w:r>
        <w:rPr>
          <w:spacing w:val="-1"/>
          <w:sz w:val="24"/>
        </w:rPr>
        <w:t> </w:t>
      </w:r>
      <w:r>
        <w:rPr>
          <w:sz w:val="24"/>
        </w:rPr>
        <w:t>given</w:t>
      </w:r>
      <w:r>
        <w:rPr>
          <w:spacing w:val="-1"/>
          <w:sz w:val="24"/>
        </w:rPr>
        <w:t> </w:t>
      </w:r>
      <w:r>
        <w:rPr>
          <w:sz w:val="24"/>
        </w:rPr>
        <w:t>to</w:t>
      </w:r>
      <w:r>
        <w:rPr>
          <w:spacing w:val="-2"/>
          <w:sz w:val="24"/>
        </w:rPr>
        <w:t> </w:t>
      </w:r>
      <w:r>
        <w:rPr>
          <w:sz w:val="24"/>
        </w:rPr>
        <w:t>all</w:t>
      </w:r>
      <w:r>
        <w:rPr>
          <w:spacing w:val="-1"/>
          <w:sz w:val="24"/>
        </w:rPr>
        <w:t> </w:t>
      </w:r>
      <w:r>
        <w:rPr>
          <w:sz w:val="24"/>
        </w:rPr>
        <w:t>teachers-government, local authority or </w:t>
      </w:r>
      <w:r>
        <w:rPr>
          <w:spacing w:val="-2"/>
          <w:sz w:val="24"/>
        </w:rPr>
        <w:t>private.</w:t>
      </w:r>
    </w:p>
    <w:p>
      <w:pPr>
        <w:pStyle w:val="BodyText"/>
      </w:pPr>
    </w:p>
    <w:p>
      <w:pPr>
        <w:pStyle w:val="BodyText"/>
        <w:spacing w:before="3"/>
      </w:pPr>
    </w:p>
    <w:p>
      <w:pPr>
        <w:pStyle w:val="BodyText"/>
        <w:spacing w:before="1"/>
        <w:ind w:left="160"/>
      </w:pPr>
      <w:r>
        <w:rPr/>
        <w:t>We</w:t>
      </w:r>
      <w:r>
        <w:rPr>
          <w:spacing w:val="-4"/>
        </w:rPr>
        <w:t> </w:t>
      </w:r>
      <w:r>
        <w:rPr/>
        <w:t>shall</w:t>
      </w:r>
      <w:r>
        <w:rPr>
          <w:spacing w:val="-1"/>
        </w:rPr>
        <w:t> </w:t>
      </w:r>
      <w:r>
        <w:rPr/>
        <w:t>now</w:t>
      </w:r>
      <w:r>
        <w:rPr>
          <w:spacing w:val="-1"/>
        </w:rPr>
        <w:t> </w:t>
      </w:r>
      <w:r>
        <w:rPr/>
        <w:t>turn</w:t>
      </w:r>
      <w:r>
        <w:rPr>
          <w:spacing w:val="-1"/>
        </w:rPr>
        <w:t> </w:t>
      </w:r>
      <w:r>
        <w:rPr/>
        <w:t>to</w:t>
      </w:r>
      <w:r>
        <w:rPr>
          <w:spacing w:val="-1"/>
        </w:rPr>
        <w:t> </w:t>
      </w:r>
      <w:r>
        <w:rPr/>
        <w:t>a</w:t>
      </w:r>
      <w:r>
        <w:rPr>
          <w:spacing w:val="-1"/>
        </w:rPr>
        <w:t> </w:t>
      </w:r>
      <w:r>
        <w:rPr/>
        <w:t>discussion</w:t>
      </w:r>
      <w:r>
        <w:rPr>
          <w:spacing w:val="-2"/>
        </w:rPr>
        <w:t> </w:t>
      </w:r>
      <w:r>
        <w:rPr/>
        <w:t>of</w:t>
      </w:r>
      <w:r>
        <w:rPr>
          <w:spacing w:val="-1"/>
        </w:rPr>
        <w:t> </w:t>
      </w:r>
      <w:r>
        <w:rPr/>
        <w:t>these</w:t>
      </w:r>
      <w:r>
        <w:rPr>
          <w:spacing w:val="-1"/>
        </w:rPr>
        <w:t> </w:t>
      </w:r>
      <w:r>
        <w:rPr/>
        <w:t>scales</w:t>
      </w:r>
      <w:r>
        <w:rPr>
          <w:spacing w:val="-1"/>
        </w:rPr>
        <w:t> </w:t>
      </w:r>
      <w:r>
        <w:rPr/>
        <w:t>in</w:t>
      </w:r>
      <w:r>
        <w:rPr>
          <w:spacing w:val="-1"/>
        </w:rPr>
        <w:t> </w:t>
      </w:r>
      <w:r>
        <w:rPr/>
        <w:t>some </w:t>
      </w:r>
      <w:r>
        <w:rPr>
          <w:spacing w:val="-2"/>
        </w:rPr>
        <w:t>detail.</w:t>
      </w:r>
    </w:p>
    <w:p>
      <w:pPr>
        <w:pStyle w:val="BodyText"/>
        <w:spacing w:before="3"/>
      </w:pPr>
    </w:p>
    <w:p>
      <w:pPr>
        <w:pStyle w:val="ListParagraph"/>
        <w:numPr>
          <w:ilvl w:val="1"/>
          <w:numId w:val="47"/>
        </w:numPr>
        <w:tabs>
          <w:tab w:pos="704" w:val="left" w:leader="none"/>
        </w:tabs>
        <w:spacing w:line="240" w:lineRule="auto" w:before="0" w:after="0"/>
        <w:ind w:left="160" w:right="495" w:firstLine="0"/>
        <w:jc w:val="both"/>
        <w:rPr>
          <w:b/>
          <w:sz w:val="24"/>
        </w:rPr>
      </w:pPr>
      <w:r>
        <w:rPr>
          <w:b/>
          <w:sz w:val="24"/>
        </w:rPr>
        <w:t>Reform at the University Stage. </w:t>
      </w:r>
      <w:r>
        <w:rPr>
          <w:sz w:val="24"/>
        </w:rPr>
        <w:t>As a result of the recommendations of the University Education Commission and the work done by the UGC during the last ten years, considerable improvement has been made in regard to the scales of pay of teachers at the university stage. The multiplicity of scales which existed in the past has been reduced and the new scales adopted are more comparable to those in the senior administrative services of the Government of India. National scales of pay have been suggested for teachers in universities and in affiliated colleges and these are being increasingly adopted by the institutions concerned. We also welcome the recent decision of the Government of India, on the recommendation of the UGC, to sanction the new scales of</w:t>
      </w:r>
      <w:r>
        <w:rPr>
          <w:spacing w:val="1"/>
          <w:sz w:val="24"/>
        </w:rPr>
        <w:t> </w:t>
      </w:r>
      <w:r>
        <w:rPr>
          <w:sz w:val="24"/>
        </w:rPr>
        <w:t>pay</w:t>
      </w:r>
      <w:r>
        <w:rPr>
          <w:spacing w:val="1"/>
          <w:sz w:val="24"/>
        </w:rPr>
        <w:t> </w:t>
      </w:r>
      <w:r>
        <w:rPr>
          <w:sz w:val="24"/>
        </w:rPr>
        <w:t>for university</w:t>
      </w:r>
      <w:r>
        <w:rPr>
          <w:spacing w:val="1"/>
          <w:sz w:val="24"/>
        </w:rPr>
        <w:t> </w:t>
      </w:r>
      <w:r>
        <w:rPr>
          <w:sz w:val="24"/>
        </w:rPr>
        <w:t>teachers</w:t>
      </w:r>
      <w:r>
        <w:rPr>
          <w:spacing w:val="1"/>
          <w:sz w:val="24"/>
        </w:rPr>
        <w:t> </w:t>
      </w:r>
      <w:r>
        <w:rPr>
          <w:sz w:val="24"/>
        </w:rPr>
        <w:t>which</w:t>
      </w:r>
      <w:r>
        <w:rPr>
          <w:spacing w:val="1"/>
          <w:sz w:val="24"/>
        </w:rPr>
        <w:t> </w:t>
      </w:r>
      <w:r>
        <w:rPr>
          <w:sz w:val="24"/>
        </w:rPr>
        <w:t>have been</w:t>
      </w:r>
      <w:r>
        <w:rPr>
          <w:spacing w:val="1"/>
          <w:sz w:val="24"/>
        </w:rPr>
        <w:t> </w:t>
      </w:r>
      <w:r>
        <w:rPr>
          <w:sz w:val="24"/>
        </w:rPr>
        <w:t>indicated</w:t>
      </w:r>
      <w:r>
        <w:rPr>
          <w:spacing w:val="1"/>
          <w:sz w:val="24"/>
        </w:rPr>
        <w:t> </w:t>
      </w:r>
      <w:r>
        <w:rPr>
          <w:sz w:val="24"/>
        </w:rPr>
        <w:t>above. The</w:t>
      </w:r>
      <w:r>
        <w:rPr>
          <w:spacing w:val="1"/>
          <w:sz w:val="24"/>
        </w:rPr>
        <w:t> </w:t>
      </w:r>
      <w:r>
        <w:rPr>
          <w:sz w:val="24"/>
        </w:rPr>
        <w:t>main</w:t>
      </w:r>
      <w:r>
        <w:rPr>
          <w:spacing w:val="1"/>
          <w:sz w:val="24"/>
        </w:rPr>
        <w:t> </w:t>
      </w:r>
      <w:r>
        <w:rPr>
          <w:sz w:val="24"/>
        </w:rPr>
        <w:t>points</w:t>
      </w:r>
      <w:r>
        <w:rPr>
          <w:spacing w:val="1"/>
          <w:sz w:val="24"/>
        </w:rPr>
        <w:t> </w:t>
      </w:r>
      <w:r>
        <w:rPr>
          <w:spacing w:val="-5"/>
          <w:sz w:val="24"/>
        </w:rPr>
        <w:t>to</w:t>
      </w:r>
    </w:p>
    <w:p>
      <w:pPr>
        <w:spacing w:after="0" w:line="240" w:lineRule="auto"/>
        <w:jc w:val="both"/>
        <w:rPr>
          <w:sz w:val="24"/>
        </w:rPr>
        <w:sectPr>
          <w:pgSz w:w="12240" w:h="15840"/>
          <w:pgMar w:header="0" w:footer="743" w:top="1420" w:bottom="940" w:left="1640" w:right="1300"/>
        </w:sectPr>
      </w:pPr>
    </w:p>
    <w:p>
      <w:pPr>
        <w:pStyle w:val="BodyText"/>
        <w:spacing w:before="76"/>
        <w:ind w:left="160" w:right="497"/>
        <w:jc w:val="both"/>
      </w:pPr>
      <w:r>
        <w:rPr/>
        <w:t>be considered in this context, therefore, are two: (a) implementation of these proposals; and (b) relating them to improvement in quality and qualifications of teachers.</w:t>
      </w:r>
    </w:p>
    <w:p>
      <w:pPr>
        <w:pStyle w:val="BodyText"/>
        <w:spacing w:before="4"/>
      </w:pPr>
    </w:p>
    <w:p>
      <w:pPr>
        <w:pStyle w:val="ListParagraph"/>
        <w:numPr>
          <w:ilvl w:val="1"/>
          <w:numId w:val="47"/>
        </w:numPr>
        <w:tabs>
          <w:tab w:pos="689" w:val="left" w:leader="none"/>
        </w:tabs>
        <w:spacing w:line="240" w:lineRule="auto" w:before="0" w:after="0"/>
        <w:ind w:left="159" w:right="496" w:firstLine="0"/>
        <w:jc w:val="both"/>
        <w:rPr>
          <w:sz w:val="24"/>
        </w:rPr>
      </w:pPr>
      <w:r>
        <w:rPr>
          <w:sz w:val="24"/>
        </w:rPr>
        <w:t>To facilitate the introduction of these scales at an early date, and especially in private institutions which are so numerous, we recommend that assistance from the</w:t>
      </w:r>
      <w:r>
        <w:rPr>
          <w:spacing w:val="40"/>
          <w:sz w:val="24"/>
        </w:rPr>
        <w:t> </w:t>
      </w:r>
      <w:r>
        <w:rPr>
          <w:sz w:val="24"/>
        </w:rPr>
        <w:t>Centre be provided to meet the additional expenditure on a sharing basis of 80 per cent from the Central funds and 20 per cent by the State Government and that, in the case of private colleges, the Central assistance may even be provided on a 100 per cent basis. Such assistance should continue during the Fourth Plan period; and, in the meanwhile, steps may be taken by the State Governments to devise</w:t>
      </w:r>
      <w:r>
        <w:rPr>
          <w:spacing w:val="-1"/>
          <w:sz w:val="24"/>
        </w:rPr>
        <w:t> </w:t>
      </w:r>
      <w:r>
        <w:rPr>
          <w:sz w:val="24"/>
        </w:rPr>
        <w:t>an</w:t>
      </w:r>
      <w:r>
        <w:rPr>
          <w:spacing w:val="-1"/>
          <w:sz w:val="24"/>
        </w:rPr>
        <w:t> </w:t>
      </w:r>
      <w:r>
        <w:rPr>
          <w:sz w:val="24"/>
        </w:rPr>
        <w:t>appropriate</w:t>
      </w:r>
      <w:r>
        <w:rPr>
          <w:spacing w:val="-3"/>
          <w:sz w:val="24"/>
        </w:rPr>
        <w:t> </w:t>
      </w:r>
      <w:r>
        <w:rPr>
          <w:sz w:val="24"/>
        </w:rPr>
        <w:t>system</w:t>
      </w:r>
      <w:r>
        <w:rPr>
          <w:spacing w:val="-2"/>
          <w:sz w:val="24"/>
        </w:rPr>
        <w:t> </w:t>
      </w:r>
      <w:r>
        <w:rPr>
          <w:sz w:val="24"/>
        </w:rPr>
        <w:t>of grant-in- aid for placing the revised scales on a permanent basis. Our proposals on this subject</w:t>
      </w:r>
      <w:r>
        <w:rPr>
          <w:spacing w:val="40"/>
          <w:sz w:val="24"/>
        </w:rPr>
        <w:t> </w:t>
      </w:r>
      <w:r>
        <w:rPr>
          <w:sz w:val="24"/>
        </w:rPr>
        <w:t>have been discussed elsewhere.</w:t>
      </w:r>
      <w:r>
        <w:rPr>
          <w:b/>
          <w:sz w:val="24"/>
          <w:vertAlign w:val="superscript"/>
        </w:rPr>
        <w:t>27</w:t>
      </w:r>
    </w:p>
    <w:p>
      <w:pPr>
        <w:pStyle w:val="BodyText"/>
        <w:spacing w:before="4"/>
        <w:rPr>
          <w:b/>
        </w:rPr>
      </w:pPr>
    </w:p>
    <w:p>
      <w:pPr>
        <w:pStyle w:val="ListParagraph"/>
        <w:numPr>
          <w:ilvl w:val="0"/>
          <w:numId w:val="51"/>
        </w:numPr>
        <w:tabs>
          <w:tab w:pos="518" w:val="left" w:leader="none"/>
        </w:tabs>
        <w:spacing w:line="240" w:lineRule="auto" w:before="0" w:after="0"/>
        <w:ind w:left="160" w:right="498" w:firstLine="0"/>
        <w:jc w:val="both"/>
        <w:rPr>
          <w:sz w:val="24"/>
        </w:rPr>
      </w:pPr>
      <w:r>
        <w:rPr>
          <w:sz w:val="24"/>
        </w:rPr>
        <w:t>Teachers in Universities. In regard to the qualifications and selection procedures for university teachers, we agree with the recommendations made by the Model Act Committee which we quote for ready reference:</w:t>
      </w:r>
    </w:p>
    <w:p>
      <w:pPr>
        <w:pStyle w:val="BodyText"/>
        <w:spacing w:before="5"/>
      </w:pPr>
    </w:p>
    <w:p>
      <w:pPr>
        <w:pStyle w:val="BodyText"/>
        <w:ind w:left="160" w:right="491"/>
        <w:jc w:val="both"/>
        <w:rPr>
          <w:b/>
        </w:rPr>
      </w:pPr>
      <w:r>
        <w:rPr/>
        <w:t>The</w:t>
      </w:r>
      <w:r>
        <w:rPr>
          <w:spacing w:val="-1"/>
        </w:rPr>
        <w:t> </w:t>
      </w:r>
      <w:r>
        <w:rPr/>
        <w:t>standard</w:t>
      </w:r>
      <w:r>
        <w:rPr>
          <w:spacing w:val="-1"/>
        </w:rPr>
        <w:t> </w:t>
      </w:r>
      <w:r>
        <w:rPr/>
        <w:t>and</w:t>
      </w:r>
      <w:r>
        <w:rPr>
          <w:spacing w:val="-1"/>
        </w:rPr>
        <w:t> </w:t>
      </w:r>
      <w:r>
        <w:rPr/>
        <w:t>quality</w:t>
      </w:r>
      <w:r>
        <w:rPr>
          <w:spacing w:val="-1"/>
        </w:rPr>
        <w:t> </w:t>
      </w:r>
      <w:r>
        <w:rPr/>
        <w:t>of</w:t>
      </w:r>
      <w:r>
        <w:rPr>
          <w:spacing w:val="-2"/>
        </w:rPr>
        <w:t> </w:t>
      </w:r>
      <w:r>
        <w:rPr/>
        <w:t>work</w:t>
      </w:r>
      <w:r>
        <w:rPr>
          <w:spacing w:val="-1"/>
        </w:rPr>
        <w:t> </w:t>
      </w:r>
      <w:r>
        <w:rPr/>
        <w:t>of</w:t>
      </w:r>
      <w:r>
        <w:rPr>
          <w:spacing w:val="-1"/>
        </w:rPr>
        <w:t> </w:t>
      </w:r>
      <w:r>
        <w:rPr/>
        <w:t>a</w:t>
      </w:r>
      <w:r>
        <w:rPr>
          <w:spacing w:val="-1"/>
        </w:rPr>
        <w:t> </w:t>
      </w:r>
      <w:r>
        <w:rPr/>
        <w:t>university</w:t>
      </w:r>
      <w:r>
        <w:rPr>
          <w:spacing w:val="-3"/>
        </w:rPr>
        <w:t> </w:t>
      </w:r>
      <w:r>
        <w:rPr/>
        <w:t>depends</w:t>
      </w:r>
      <w:r>
        <w:rPr>
          <w:spacing w:val="-1"/>
        </w:rPr>
        <w:t> </w:t>
      </w:r>
      <w:r>
        <w:rPr/>
        <w:t>very</w:t>
      </w:r>
      <w:r>
        <w:rPr>
          <w:spacing w:val="-1"/>
        </w:rPr>
        <w:t> </w:t>
      </w:r>
      <w:r>
        <w:rPr/>
        <w:t>largely</w:t>
      </w:r>
      <w:r>
        <w:rPr>
          <w:spacing w:val="-1"/>
        </w:rPr>
        <w:t> </w:t>
      </w:r>
      <w:r>
        <w:rPr/>
        <w:t>on</w:t>
      </w:r>
      <w:r>
        <w:rPr>
          <w:spacing w:val="-1"/>
        </w:rPr>
        <w:t> </w:t>
      </w:r>
      <w:r>
        <w:rPr/>
        <w:t>the</w:t>
      </w:r>
      <w:r>
        <w:rPr>
          <w:spacing w:val="-1"/>
        </w:rPr>
        <w:t> </w:t>
      </w:r>
      <w:r>
        <w:rPr/>
        <w:t>quality</w:t>
      </w:r>
      <w:r>
        <w:rPr>
          <w:spacing w:val="-3"/>
        </w:rPr>
        <w:t> </w:t>
      </w:r>
      <w:r>
        <w:rPr/>
        <w:t>of</w:t>
      </w:r>
      <w:r>
        <w:rPr>
          <w:spacing w:val="-2"/>
        </w:rPr>
        <w:t> </w:t>
      </w:r>
      <w:r>
        <w:rPr/>
        <w:t>its teachers. It is most important that every care is exercised by the authorities concerned so that teachers of the highest competency are recruited by the universities. Also the conditions of service and opportunities for professional advancement should be such as would attract and retain in the service of the universities men of outstanding ability. The power to appoint teachers must be vested in the Executive Council, but all the teaching appointments should be made by the Executive Council only on the recommendation of a properly constituted Selection Committee. The Selection Committee should consist, besides the Vice-Chancellor and the Head of the Department concerned, of a certain number of experts. This number may vary in accordance with the category of teachers to be appointed. For a professor, it should be necessary to have two or even three outside experts. It may be an advantage to have one nominee of the Chancellor/Visitor on the Selection Committee. The Court or the Academic Council should not select a representative to the Selection Committee. It should be a clear rule that the Executive Council should accept the selection unanimously recommended by the Selection Committee. In rare cases, if for good reasons the Executive Council is unable to accept the recommendation of the Selection Committee, efforts for a better selection may be renewed in the following year. A great deal of what is described as university politics or interference of outside politics in universities arises in connection with appointments. Universities must have the freedom to make their own appointments; but they must be steadfast in their desire to make right appointments.</w:t>
      </w:r>
      <w:r>
        <w:rPr>
          <w:b/>
          <w:vertAlign w:val="superscript"/>
        </w:rPr>
        <w:t>28</w:t>
      </w:r>
    </w:p>
    <w:p>
      <w:pPr>
        <w:pStyle w:val="BodyText"/>
        <w:spacing w:before="4"/>
        <w:rPr>
          <w:b/>
        </w:rPr>
      </w:pPr>
    </w:p>
    <w:p>
      <w:pPr>
        <w:pStyle w:val="ListParagraph"/>
        <w:numPr>
          <w:ilvl w:val="0"/>
          <w:numId w:val="51"/>
        </w:numPr>
        <w:tabs>
          <w:tab w:pos="538" w:val="left" w:leader="none"/>
        </w:tabs>
        <w:spacing w:line="240" w:lineRule="auto" w:before="0" w:after="0"/>
        <w:ind w:left="160" w:right="498" w:firstLine="0"/>
        <w:jc w:val="both"/>
        <w:rPr>
          <w:sz w:val="24"/>
        </w:rPr>
      </w:pPr>
      <w:r>
        <w:rPr>
          <w:sz w:val="24"/>
        </w:rPr>
        <w:t>Our attention has been drawn to the fact that, in most universities, candidates for appointment as professors are called for interview before a selection committee. Each candidate is interviewed by the committee for 10 to 15 minutes. We are definitely of the view that, in the case of such high level appointments, interviews have hardly any</w:t>
      </w:r>
    </w:p>
    <w:p>
      <w:pPr>
        <w:pStyle w:val="BodyText"/>
        <w:spacing w:before="3"/>
      </w:pPr>
    </w:p>
    <w:p>
      <w:pPr>
        <w:pStyle w:val="BodyText"/>
        <w:spacing w:before="1"/>
        <w:ind w:left="160" w:right="497"/>
        <w:jc w:val="both"/>
      </w:pPr>
      <w:r>
        <w:rPr>
          <w:b/>
          <w:vertAlign w:val="superscript"/>
        </w:rPr>
        <w:t>27</w:t>
      </w:r>
      <w:r>
        <w:rPr>
          <w:vertAlign w:val="baseline"/>
        </w:rPr>
        <w:t>Chapter XIII.</w:t>
      </w:r>
      <w:r>
        <w:rPr>
          <w:spacing w:val="40"/>
          <w:vertAlign w:val="baseline"/>
        </w:rPr>
        <w:t> </w:t>
      </w:r>
      <w:r>
        <w:rPr>
          <w:b/>
          <w:vertAlign w:val="superscript"/>
        </w:rPr>
        <w:t>28</w:t>
      </w:r>
      <w:r>
        <w:rPr>
          <w:vertAlign w:val="baseline"/>
        </w:rPr>
        <w:t>Report of the Committee on Model Act for Universities, Ministry of Education, Government of India, 1964,pp.33-4.</w:t>
      </w:r>
    </w:p>
    <w:p>
      <w:pPr>
        <w:spacing w:after="0"/>
        <w:jc w:val="both"/>
        <w:sectPr>
          <w:pgSz w:w="12240" w:h="15840"/>
          <w:pgMar w:header="0" w:footer="743" w:top="1360" w:bottom="940" w:left="1640" w:right="1300"/>
        </w:sectPr>
      </w:pPr>
    </w:p>
    <w:p>
      <w:pPr>
        <w:pStyle w:val="BodyText"/>
        <w:spacing w:before="76"/>
        <w:ind w:left="160" w:right="494"/>
        <w:jc w:val="both"/>
      </w:pPr>
      <w:r>
        <w:rPr/>
        <w:t>meaning, and, in fact, tend to discourage first-rate men from offering for such appointments. Professors should be persons of standing in the subjects and should be known to the experts by reputation in the fields of their work. It should, therefore, be possible for a selection committee to make a selection on the basis of a careful consideration of</w:t>
      </w:r>
      <w:r>
        <w:rPr>
          <w:spacing w:val="-1"/>
        </w:rPr>
        <w:t> </w:t>
      </w:r>
      <w:r>
        <w:rPr/>
        <w:t>the information supplied by the candidates and other relevant data which may be available to the committee. If considered necessary, candidates who have been found suitable for appointment by the selection committee may be invited by the vice- chancellor for a personal discussion before making a formal offer of appointment.</w:t>
      </w:r>
    </w:p>
    <w:p>
      <w:pPr>
        <w:pStyle w:val="BodyText"/>
        <w:spacing w:before="4"/>
      </w:pPr>
    </w:p>
    <w:p>
      <w:pPr>
        <w:pStyle w:val="ListParagraph"/>
        <w:numPr>
          <w:ilvl w:val="0"/>
          <w:numId w:val="51"/>
        </w:numPr>
        <w:tabs>
          <w:tab w:pos="536" w:val="left" w:leader="none"/>
        </w:tabs>
        <w:spacing w:line="240" w:lineRule="auto" w:before="0" w:after="0"/>
        <w:ind w:left="160" w:right="497" w:firstLine="0"/>
        <w:jc w:val="both"/>
        <w:rPr>
          <w:sz w:val="24"/>
        </w:rPr>
      </w:pPr>
      <w:r>
        <w:rPr>
          <w:sz w:val="24"/>
        </w:rPr>
        <w:t>Teachers in Affiliated Colleges. The procedure described above will also apply to university colleges. Problems do not generally arise with regard to government colleges where recruitment is done through a Public Service Commission. In private affiliated colleges, however, the situation needs considerable improvement on the following lines:</w:t>
      </w:r>
    </w:p>
    <w:p>
      <w:pPr>
        <w:pStyle w:val="BodyText"/>
        <w:spacing w:before="4"/>
      </w:pPr>
    </w:p>
    <w:p>
      <w:pPr>
        <w:pStyle w:val="ListParagraph"/>
        <w:numPr>
          <w:ilvl w:val="1"/>
          <w:numId w:val="51"/>
        </w:numPr>
        <w:tabs>
          <w:tab w:pos="579" w:val="left" w:leader="none"/>
        </w:tabs>
        <w:spacing w:line="240" w:lineRule="auto" w:before="0" w:after="0"/>
        <w:ind w:left="160" w:right="498" w:firstLine="0"/>
        <w:jc w:val="both"/>
        <w:rPr>
          <w:sz w:val="24"/>
        </w:rPr>
      </w:pPr>
      <w:r>
        <w:rPr>
          <w:sz w:val="24"/>
        </w:rPr>
        <w:t>The qualifications of teachers in these colleges should be prescribed by the universities and should be similar to those prescribed in university departments.</w:t>
      </w:r>
    </w:p>
    <w:p>
      <w:pPr>
        <w:pStyle w:val="BodyText"/>
        <w:spacing w:before="5"/>
      </w:pPr>
    </w:p>
    <w:p>
      <w:pPr>
        <w:pStyle w:val="ListParagraph"/>
        <w:numPr>
          <w:ilvl w:val="1"/>
          <w:numId w:val="51"/>
        </w:numPr>
        <w:tabs>
          <w:tab w:pos="533" w:val="left" w:leader="none"/>
        </w:tabs>
        <w:spacing w:line="240" w:lineRule="auto" w:before="0" w:after="0"/>
        <w:ind w:left="160" w:right="498" w:firstLine="0"/>
        <w:jc w:val="both"/>
        <w:rPr>
          <w:sz w:val="24"/>
        </w:rPr>
      </w:pPr>
      <w:r>
        <w:rPr>
          <w:sz w:val="24"/>
        </w:rPr>
        <w:t>Each post should be advertised and selection committees should be formed on the lines recommended above for the universities.</w:t>
      </w:r>
    </w:p>
    <w:p>
      <w:pPr>
        <w:pStyle w:val="BodyText"/>
        <w:spacing w:before="3"/>
      </w:pPr>
    </w:p>
    <w:p>
      <w:pPr>
        <w:pStyle w:val="ListParagraph"/>
        <w:numPr>
          <w:ilvl w:val="1"/>
          <w:numId w:val="51"/>
        </w:numPr>
        <w:tabs>
          <w:tab w:pos="520" w:val="left" w:leader="none"/>
        </w:tabs>
        <w:spacing w:line="240" w:lineRule="auto" w:before="1" w:after="0"/>
        <w:ind w:left="160" w:right="496" w:firstLine="0"/>
        <w:jc w:val="both"/>
        <w:rPr>
          <w:b/>
          <w:sz w:val="24"/>
        </w:rPr>
      </w:pPr>
      <w:r>
        <w:rPr>
          <w:sz w:val="24"/>
        </w:rPr>
        <w:t>On the advice of the selection committee, the appointment should be made by the managing committee constituted for the college. As recommended by the Model Act Committee, this managing committee should be a compact body consisting of about 10 members. The composition of this body should be prescribed by the university. The principal of the college should be a member of this body and in addition there should be provision for one or more teachers to be on it, preferably by some method of rotation rather than by election. The university should nominate to the governing body two representatives who should normally be teachers of experience.</w:t>
      </w:r>
      <w:r>
        <w:rPr>
          <w:b/>
          <w:sz w:val="24"/>
          <w:vertAlign w:val="superscript"/>
        </w:rPr>
        <w:t>29</w:t>
      </w:r>
    </w:p>
    <w:p>
      <w:pPr>
        <w:pStyle w:val="BodyText"/>
        <w:spacing w:before="3"/>
        <w:rPr>
          <w:b/>
        </w:rPr>
      </w:pPr>
    </w:p>
    <w:p>
      <w:pPr>
        <w:pStyle w:val="ListParagraph"/>
        <w:numPr>
          <w:ilvl w:val="1"/>
          <w:numId w:val="51"/>
        </w:numPr>
        <w:tabs>
          <w:tab w:pos="631" w:val="left" w:leader="none"/>
        </w:tabs>
        <w:spacing w:line="240" w:lineRule="auto" w:before="0" w:after="0"/>
        <w:ind w:left="160" w:right="496" w:firstLine="60"/>
        <w:jc w:val="both"/>
        <w:rPr>
          <w:b/>
          <w:sz w:val="24"/>
        </w:rPr>
      </w:pPr>
      <w:r>
        <w:rPr>
          <w:sz w:val="24"/>
        </w:rPr>
        <w:t>If any exemption is to be given at all from the possession of the prescribed qualifications, it should not be for more than a year or two. Even when circumstances demand that the exemption should last for a longer period, such exemption given for a temporary period should not lapse into permanent exemption. It is unfair to admit</w:t>
      </w:r>
      <w:r>
        <w:rPr>
          <w:spacing w:val="40"/>
          <w:sz w:val="24"/>
        </w:rPr>
        <w:t> </w:t>
      </w:r>
      <w:r>
        <w:rPr>
          <w:sz w:val="24"/>
        </w:rPr>
        <w:t>students to a course unless there are qualified teachers.</w:t>
      </w:r>
      <w:r>
        <w:rPr>
          <w:b/>
          <w:sz w:val="24"/>
          <w:vertAlign w:val="superscript"/>
        </w:rPr>
        <w:t>30</w:t>
      </w:r>
    </w:p>
    <w:p>
      <w:pPr>
        <w:pStyle w:val="BodyText"/>
        <w:spacing w:before="4"/>
        <w:rPr>
          <w:b/>
        </w:rPr>
      </w:pPr>
    </w:p>
    <w:p>
      <w:pPr>
        <w:pStyle w:val="ListParagraph"/>
        <w:numPr>
          <w:ilvl w:val="1"/>
          <w:numId w:val="51"/>
        </w:numPr>
        <w:tabs>
          <w:tab w:pos="490" w:val="left" w:leader="none"/>
        </w:tabs>
        <w:spacing w:line="240" w:lineRule="auto" w:before="0" w:after="0"/>
        <w:ind w:left="160" w:right="496" w:firstLine="0"/>
        <w:jc w:val="both"/>
        <w:rPr>
          <w:b/>
          <w:sz w:val="24"/>
        </w:rPr>
      </w:pPr>
      <w:r>
        <w:rPr>
          <w:sz w:val="24"/>
        </w:rPr>
        <w:t>While the right to make appointments should vest in the colleges, it should be open to the university to withhold 'recognition' of colleges, if persons with high qualifications are rejected without adequate reasons and others with lower qualifications, even though satisfying the minimum requirements, are appointed. In some of these cases this happens because the institution is, either openly or without avowing it, a narrowly denominational institution. In other cases it may just be a case of improper exercise of patronage by the managing body or it may be due to extraneous pressures.</w:t>
      </w:r>
      <w:r>
        <w:rPr>
          <w:b/>
          <w:sz w:val="24"/>
          <w:vertAlign w:val="superscript"/>
        </w:rPr>
        <w:t>31</w:t>
      </w:r>
    </w:p>
    <w:p>
      <w:pPr>
        <w:pStyle w:val="BodyText"/>
        <w:spacing w:before="5"/>
        <w:rPr>
          <w:b/>
        </w:rPr>
      </w:pPr>
    </w:p>
    <w:p>
      <w:pPr>
        <w:pStyle w:val="BodyText"/>
        <w:ind w:left="160" w:right="497"/>
        <w:jc w:val="both"/>
      </w:pPr>
      <w:r>
        <w:rPr>
          <w:b/>
          <w:vertAlign w:val="superscript"/>
        </w:rPr>
        <w:t>29</w:t>
      </w:r>
      <w:r>
        <w:rPr>
          <w:vertAlign w:val="baseline"/>
        </w:rPr>
        <w:t>Report of the Committee on Model Act for Universities, Ministry of Education, Government of India, 1964, p. 28. </w:t>
      </w:r>
      <w:r>
        <w:rPr>
          <w:b/>
          <w:vertAlign w:val="superscript"/>
        </w:rPr>
        <w:t>30</w:t>
      </w:r>
      <w:r>
        <w:rPr>
          <w:vertAlign w:val="baseline"/>
        </w:rPr>
        <w:t>Ibid p. 28. </w:t>
      </w:r>
      <w:r>
        <w:rPr>
          <w:b/>
          <w:vertAlign w:val="superscript"/>
        </w:rPr>
        <w:t>31</w:t>
      </w:r>
      <w:r>
        <w:rPr>
          <w:vertAlign w:val="baseline"/>
        </w:rPr>
        <w:t>Ibid p. 28.</w:t>
      </w:r>
    </w:p>
    <w:p>
      <w:pPr>
        <w:spacing w:after="0"/>
        <w:jc w:val="both"/>
        <w:sectPr>
          <w:pgSz w:w="12240" w:h="15840"/>
          <w:pgMar w:header="0" w:footer="743" w:top="1360" w:bottom="940" w:left="1640" w:right="1300"/>
        </w:sectPr>
      </w:pPr>
    </w:p>
    <w:p>
      <w:pPr>
        <w:pStyle w:val="ListParagraph"/>
        <w:numPr>
          <w:ilvl w:val="1"/>
          <w:numId w:val="51"/>
        </w:numPr>
        <w:tabs>
          <w:tab w:pos="475" w:val="left" w:leader="none"/>
        </w:tabs>
        <w:spacing w:line="240" w:lineRule="auto" w:before="76" w:after="0"/>
        <w:ind w:left="159" w:right="493" w:firstLine="0"/>
        <w:jc w:val="both"/>
        <w:rPr>
          <w:sz w:val="24"/>
        </w:rPr>
      </w:pPr>
      <w:r>
        <w:rPr>
          <w:sz w:val="24"/>
        </w:rPr>
        <w:t>We further recommend that it would be desirable to adopt a discriminating approach between one private management and another. Where good standards are maintained and the management has shown its competence to conduct the institution satisfactorily,</w:t>
      </w:r>
      <w:r>
        <w:rPr>
          <w:spacing w:val="40"/>
          <w:sz w:val="24"/>
        </w:rPr>
        <w:t> </w:t>
      </w:r>
      <w:r>
        <w:rPr>
          <w:sz w:val="24"/>
        </w:rPr>
        <w:t>greater</w:t>
      </w:r>
      <w:r>
        <w:rPr>
          <w:spacing w:val="-1"/>
          <w:sz w:val="24"/>
        </w:rPr>
        <w:t> </w:t>
      </w:r>
      <w:r>
        <w:rPr>
          <w:sz w:val="24"/>
        </w:rPr>
        <w:t>freedom</w:t>
      </w:r>
      <w:r>
        <w:rPr>
          <w:spacing w:val="-3"/>
          <w:sz w:val="24"/>
        </w:rPr>
        <w:t> </w:t>
      </w:r>
      <w:r>
        <w:rPr>
          <w:sz w:val="24"/>
        </w:rPr>
        <w:t>should</w:t>
      </w:r>
      <w:r>
        <w:rPr>
          <w:spacing w:val="-1"/>
          <w:sz w:val="24"/>
        </w:rPr>
        <w:t> </w:t>
      </w:r>
      <w:r>
        <w:rPr>
          <w:sz w:val="24"/>
        </w:rPr>
        <w:t>be</w:t>
      </w:r>
      <w:r>
        <w:rPr>
          <w:spacing w:val="-1"/>
          <w:sz w:val="24"/>
        </w:rPr>
        <w:t> </w:t>
      </w:r>
      <w:r>
        <w:rPr>
          <w:sz w:val="24"/>
        </w:rPr>
        <w:t>given</w:t>
      </w:r>
      <w:r>
        <w:rPr>
          <w:spacing w:val="-1"/>
          <w:sz w:val="24"/>
        </w:rPr>
        <w:t> </w:t>
      </w:r>
      <w:r>
        <w:rPr>
          <w:sz w:val="24"/>
        </w:rPr>
        <w:t>to</w:t>
      </w:r>
      <w:r>
        <w:rPr>
          <w:spacing w:val="-3"/>
          <w:sz w:val="24"/>
        </w:rPr>
        <w:t> </w:t>
      </w:r>
      <w:r>
        <w:rPr>
          <w:sz w:val="24"/>
        </w:rPr>
        <w:t>it</w:t>
      </w:r>
      <w:r>
        <w:rPr>
          <w:spacing w:val="-1"/>
          <w:sz w:val="24"/>
        </w:rPr>
        <w:t> </w:t>
      </w:r>
      <w:r>
        <w:rPr>
          <w:sz w:val="24"/>
        </w:rPr>
        <w:t>in</w:t>
      </w:r>
      <w:r>
        <w:rPr>
          <w:spacing w:val="-1"/>
          <w:sz w:val="24"/>
        </w:rPr>
        <w:t> </w:t>
      </w:r>
      <w:r>
        <w:rPr>
          <w:sz w:val="24"/>
        </w:rPr>
        <w:t>the</w:t>
      </w:r>
      <w:r>
        <w:rPr>
          <w:spacing w:val="-5"/>
          <w:sz w:val="24"/>
        </w:rPr>
        <w:t> </w:t>
      </w:r>
      <w:r>
        <w:rPr>
          <w:sz w:val="24"/>
        </w:rPr>
        <w:t>choice</w:t>
      </w:r>
      <w:r>
        <w:rPr>
          <w:spacing w:val="-1"/>
          <w:sz w:val="24"/>
        </w:rPr>
        <w:t> </w:t>
      </w:r>
      <w:r>
        <w:rPr>
          <w:sz w:val="24"/>
        </w:rPr>
        <w:t>of</w:t>
      </w:r>
      <w:r>
        <w:rPr>
          <w:spacing w:val="-1"/>
          <w:sz w:val="24"/>
        </w:rPr>
        <w:t> </w:t>
      </w:r>
      <w:r>
        <w:rPr>
          <w:sz w:val="24"/>
        </w:rPr>
        <w:t>its</w:t>
      </w:r>
      <w:r>
        <w:rPr>
          <w:spacing w:val="-1"/>
          <w:sz w:val="24"/>
        </w:rPr>
        <w:t> </w:t>
      </w:r>
      <w:r>
        <w:rPr>
          <w:sz w:val="24"/>
        </w:rPr>
        <w:t>teachers.</w:t>
      </w:r>
      <w:r>
        <w:rPr>
          <w:spacing w:val="-1"/>
          <w:sz w:val="24"/>
        </w:rPr>
        <w:t> </w:t>
      </w:r>
      <w:r>
        <w:rPr>
          <w:sz w:val="24"/>
        </w:rPr>
        <w:t>Where</w:t>
      </w:r>
      <w:r>
        <w:rPr>
          <w:spacing w:val="-1"/>
          <w:sz w:val="24"/>
        </w:rPr>
        <w:t> </w:t>
      </w:r>
      <w:r>
        <w:rPr>
          <w:sz w:val="24"/>
        </w:rPr>
        <w:t>the</w:t>
      </w:r>
      <w:r>
        <w:rPr>
          <w:spacing w:val="-1"/>
          <w:sz w:val="24"/>
        </w:rPr>
        <w:t> </w:t>
      </w:r>
      <w:r>
        <w:rPr>
          <w:sz w:val="24"/>
        </w:rPr>
        <w:t>management is not satisfactory, greater control should be exercised.</w:t>
      </w:r>
    </w:p>
    <w:p>
      <w:pPr>
        <w:pStyle w:val="BodyText"/>
        <w:spacing w:before="4"/>
      </w:pPr>
    </w:p>
    <w:p>
      <w:pPr>
        <w:pStyle w:val="ListParagraph"/>
        <w:numPr>
          <w:ilvl w:val="1"/>
          <w:numId w:val="47"/>
        </w:numPr>
        <w:tabs>
          <w:tab w:pos="684" w:val="left" w:leader="none"/>
        </w:tabs>
        <w:spacing w:line="240" w:lineRule="auto" w:before="0" w:after="0"/>
        <w:ind w:left="160" w:right="497" w:firstLine="0"/>
        <w:jc w:val="both"/>
        <w:rPr>
          <w:b/>
          <w:sz w:val="24"/>
        </w:rPr>
      </w:pPr>
      <w:r>
        <w:rPr>
          <w:b/>
          <w:sz w:val="24"/>
        </w:rPr>
        <w:t>Pay Scales for School Stage. </w:t>
      </w:r>
      <w:r>
        <w:rPr>
          <w:sz w:val="24"/>
        </w:rPr>
        <w:t>As compared to higher education the problem of improving the remuneration of teachers at the school stage is more complex and difficult. It is also far more urgent. This urgency has increased because Government has recently sanctioned new scales of pay for teachers in higher education and thus increased the gap, which was already large, between their salaries and those of the school teachers.</w:t>
      </w:r>
    </w:p>
    <w:p>
      <w:pPr>
        <w:pStyle w:val="BodyText"/>
        <w:spacing w:before="4"/>
      </w:pPr>
    </w:p>
    <w:p>
      <w:pPr>
        <w:pStyle w:val="ListParagraph"/>
        <w:numPr>
          <w:ilvl w:val="1"/>
          <w:numId w:val="47"/>
        </w:numPr>
        <w:tabs>
          <w:tab w:pos="646" w:val="left" w:leader="none"/>
        </w:tabs>
        <w:spacing w:line="240" w:lineRule="auto" w:before="0" w:after="0"/>
        <w:ind w:left="160" w:right="496" w:firstLine="0"/>
        <w:jc w:val="both"/>
        <w:rPr>
          <w:sz w:val="24"/>
        </w:rPr>
      </w:pPr>
      <w:r>
        <w:rPr>
          <w:sz w:val="24"/>
        </w:rPr>
        <w:t>Our first proposal is that the existing multiplicity of scales of pay should be reduced and that there should be three main scales of pay for school teachers:</w:t>
      </w:r>
    </w:p>
    <w:p>
      <w:pPr>
        <w:pStyle w:val="BodyText"/>
        <w:spacing w:before="5"/>
      </w:pPr>
    </w:p>
    <w:p>
      <w:pPr>
        <w:pStyle w:val="ListParagraph"/>
        <w:numPr>
          <w:ilvl w:val="0"/>
          <w:numId w:val="52"/>
        </w:numPr>
        <w:tabs>
          <w:tab w:pos="562" w:val="left" w:leader="none"/>
        </w:tabs>
        <w:spacing w:line="240" w:lineRule="auto" w:before="0" w:after="0"/>
        <w:ind w:left="160" w:right="498" w:firstLine="59"/>
        <w:jc w:val="both"/>
        <w:rPr>
          <w:sz w:val="24"/>
        </w:rPr>
      </w:pPr>
      <w:r>
        <w:rPr>
          <w:sz w:val="24"/>
        </w:rPr>
        <w:t>A scale of pay for teachers who have completed the secondary course and are trained and who would form the vast bulk of teachers at the primary stage;</w:t>
      </w:r>
    </w:p>
    <w:p>
      <w:pPr>
        <w:pStyle w:val="BodyText"/>
        <w:spacing w:before="3"/>
      </w:pPr>
    </w:p>
    <w:p>
      <w:pPr>
        <w:pStyle w:val="ListParagraph"/>
        <w:numPr>
          <w:ilvl w:val="0"/>
          <w:numId w:val="52"/>
        </w:numPr>
        <w:tabs>
          <w:tab w:pos="502" w:val="left" w:leader="none"/>
        </w:tabs>
        <w:spacing w:line="240" w:lineRule="auto" w:before="0" w:after="0"/>
        <w:ind w:left="160" w:right="496" w:firstLine="0"/>
        <w:jc w:val="both"/>
        <w:rPr>
          <w:sz w:val="24"/>
        </w:rPr>
      </w:pPr>
      <w:r>
        <w:rPr>
          <w:sz w:val="24"/>
        </w:rPr>
        <w:t>A scale of pay for trained graduates who would form</w:t>
      </w:r>
      <w:r>
        <w:rPr>
          <w:spacing w:val="-1"/>
          <w:sz w:val="24"/>
        </w:rPr>
        <w:t> </w:t>
      </w:r>
      <w:r>
        <w:rPr>
          <w:sz w:val="24"/>
        </w:rPr>
        <w:t>a small proportion of teachers at the primary stage but the vast bulk of teachers at the lower secondary stage;</w:t>
      </w:r>
    </w:p>
    <w:p>
      <w:pPr>
        <w:pStyle w:val="BodyText"/>
        <w:spacing w:before="4"/>
      </w:pPr>
    </w:p>
    <w:p>
      <w:pPr>
        <w:pStyle w:val="ListParagraph"/>
        <w:numPr>
          <w:ilvl w:val="0"/>
          <w:numId w:val="52"/>
        </w:numPr>
        <w:tabs>
          <w:tab w:pos="512" w:val="left" w:leader="none"/>
        </w:tabs>
        <w:spacing w:line="240" w:lineRule="auto" w:before="0" w:after="0"/>
        <w:ind w:left="160" w:right="497" w:firstLine="0"/>
        <w:jc w:val="both"/>
        <w:rPr>
          <w:sz w:val="24"/>
        </w:rPr>
      </w:pPr>
      <w:r>
        <w:rPr>
          <w:sz w:val="24"/>
        </w:rPr>
        <w:t>A scale of pay for teachers with postgraduate qualifications who would form a small proportion of teachers at the lower secondary stage, but the bulk of teachers at the higher secondary stage.</w:t>
      </w:r>
    </w:p>
    <w:p>
      <w:pPr>
        <w:pStyle w:val="BodyText"/>
        <w:spacing w:before="5"/>
      </w:pPr>
    </w:p>
    <w:p>
      <w:pPr>
        <w:pStyle w:val="BodyText"/>
        <w:ind w:left="160" w:right="495"/>
        <w:jc w:val="both"/>
      </w:pPr>
      <w:r>
        <w:rPr/>
        <w:t>Incentives to teachers of special subjects or to teachers with additional qualifications can be given in the form of advance increments or special allowance. The scales of pay of special teachers (i.e. for drawing, craft, physical education, etc.) can also be related to these three basic scales in some suitable manner. The scales of pay for librarians should also be related to those for teachers in a suitable manner.</w:t>
      </w:r>
    </w:p>
    <w:p>
      <w:pPr>
        <w:pStyle w:val="BodyText"/>
        <w:spacing w:before="4"/>
      </w:pPr>
    </w:p>
    <w:p>
      <w:pPr>
        <w:pStyle w:val="ListParagraph"/>
        <w:numPr>
          <w:ilvl w:val="1"/>
          <w:numId w:val="47"/>
        </w:numPr>
        <w:tabs>
          <w:tab w:pos="667" w:val="left" w:leader="none"/>
        </w:tabs>
        <w:spacing w:line="240" w:lineRule="auto" w:before="0" w:after="0"/>
        <w:ind w:left="160" w:right="499" w:firstLine="0"/>
        <w:jc w:val="both"/>
        <w:rPr>
          <w:b/>
          <w:sz w:val="24"/>
        </w:rPr>
      </w:pPr>
      <w:r>
        <w:rPr>
          <w:b/>
          <w:sz w:val="24"/>
        </w:rPr>
        <w:t>Scales of Pay of Teachers Who Have Completed the Secondary Course. </w:t>
      </w:r>
      <w:r>
        <w:rPr>
          <w:sz w:val="24"/>
        </w:rPr>
        <w:t>With regard to this category of teachers, we make the following recommendations:</w:t>
      </w:r>
    </w:p>
    <w:p>
      <w:pPr>
        <w:pStyle w:val="BodyText"/>
        <w:spacing w:before="3"/>
      </w:pPr>
    </w:p>
    <w:p>
      <w:pPr>
        <w:pStyle w:val="ListParagraph"/>
        <w:numPr>
          <w:ilvl w:val="0"/>
          <w:numId w:val="53"/>
        </w:numPr>
        <w:tabs>
          <w:tab w:pos="503" w:val="left" w:leader="none"/>
        </w:tabs>
        <w:spacing w:line="240" w:lineRule="auto" w:before="0" w:after="0"/>
        <w:ind w:left="160" w:right="497" w:firstLine="0"/>
        <w:jc w:val="both"/>
        <w:rPr>
          <w:b/>
          <w:sz w:val="24"/>
        </w:rPr>
      </w:pPr>
      <w:r>
        <w:rPr>
          <w:sz w:val="24"/>
        </w:rPr>
        <w:t>There should be no teacher at the primary stage who has not completed the secondary school course and has not had two years of professional education</w:t>
      </w:r>
      <w:r>
        <w:rPr>
          <w:b/>
          <w:sz w:val="24"/>
          <w:vertAlign w:val="superscript"/>
        </w:rPr>
        <w:t>32</w:t>
      </w:r>
    </w:p>
    <w:p>
      <w:pPr>
        <w:pStyle w:val="BodyText"/>
        <w:spacing w:before="4"/>
        <w:rPr>
          <w:b/>
        </w:rPr>
      </w:pPr>
    </w:p>
    <w:p>
      <w:pPr>
        <w:pStyle w:val="ListParagraph"/>
        <w:numPr>
          <w:ilvl w:val="0"/>
          <w:numId w:val="53"/>
        </w:numPr>
        <w:tabs>
          <w:tab w:pos="508" w:val="left" w:leader="none"/>
        </w:tabs>
        <w:spacing w:line="240" w:lineRule="auto" w:before="0" w:after="0"/>
        <w:ind w:left="160" w:right="497" w:firstLine="0"/>
        <w:jc w:val="both"/>
        <w:rPr>
          <w:sz w:val="24"/>
        </w:rPr>
      </w:pPr>
      <w:r>
        <w:rPr>
          <w:sz w:val="24"/>
        </w:rPr>
        <w:t>In so far as teachers who have completed the secondary school course are concerned, we recommend the following scales of pay:</w:t>
      </w:r>
    </w:p>
    <w:p>
      <w:pPr>
        <w:pStyle w:val="BodyText"/>
        <w:spacing w:before="5"/>
      </w:pPr>
    </w:p>
    <w:p>
      <w:pPr>
        <w:pStyle w:val="BodyText"/>
        <w:ind w:left="160" w:right="497"/>
        <w:jc w:val="both"/>
      </w:pPr>
      <w:r>
        <w:rPr>
          <w:b/>
          <w:vertAlign w:val="superscript"/>
        </w:rPr>
        <w:t>32</w:t>
      </w:r>
      <w:r>
        <w:rPr>
          <w:vertAlign w:val="baseline"/>
        </w:rPr>
        <w:t>There is one exception to this rule. As stated already, the headmasters of all higher primary schools and of lower primary schools with an enrolment of more than about 200 should be trained graduates. The salaries of trained graduates working in the above posts at the primary stage should be the same as those of trained graduates working in secondary schools. This will be discussed in the following section.</w:t>
      </w:r>
    </w:p>
    <w:p>
      <w:pPr>
        <w:spacing w:after="0"/>
        <w:jc w:val="both"/>
        <w:sectPr>
          <w:pgSz w:w="12240" w:h="15840"/>
          <w:pgMar w:header="0" w:footer="743" w:top="1360" w:bottom="940" w:left="1640" w:right="1300"/>
        </w:sectPr>
      </w:pPr>
    </w:p>
    <w:p>
      <w:pPr>
        <w:pStyle w:val="ListParagraph"/>
        <w:numPr>
          <w:ilvl w:val="1"/>
          <w:numId w:val="53"/>
        </w:numPr>
        <w:tabs>
          <w:tab w:pos="529" w:val="left" w:leader="none"/>
        </w:tabs>
        <w:spacing w:line="240" w:lineRule="auto" w:before="76" w:after="0"/>
        <w:ind w:left="160" w:right="497" w:firstLine="0"/>
        <w:jc w:val="both"/>
        <w:rPr>
          <w:sz w:val="24"/>
        </w:rPr>
      </w:pPr>
      <w:r>
        <w:rPr>
          <w:sz w:val="24"/>
        </w:rPr>
        <w:t>The minimum pay of a primary school teacher who has completed the secondary school course should be Rs. 100. This minimum should be given effect to </w:t>
      </w:r>
      <w:r>
        <w:rPr>
          <w:sz w:val="24"/>
        </w:rPr>
        <w:t>immediately; and within a period of five years, it should be raised to Rs. 125.</w:t>
      </w:r>
    </w:p>
    <w:p>
      <w:pPr>
        <w:pStyle w:val="BodyText"/>
        <w:spacing w:before="4"/>
      </w:pPr>
    </w:p>
    <w:p>
      <w:pPr>
        <w:pStyle w:val="ListParagraph"/>
        <w:numPr>
          <w:ilvl w:val="1"/>
          <w:numId w:val="53"/>
        </w:numPr>
        <w:tabs>
          <w:tab w:pos="539" w:val="left" w:leader="none"/>
        </w:tabs>
        <w:spacing w:line="240" w:lineRule="auto" w:before="0" w:after="0"/>
        <w:ind w:left="160" w:right="498" w:firstLine="0"/>
        <w:jc w:val="both"/>
        <w:rPr>
          <w:sz w:val="24"/>
        </w:rPr>
      </w:pPr>
      <w:r>
        <w:rPr>
          <w:sz w:val="24"/>
        </w:rPr>
        <w:t>The minimum pay of primary school teachers who have completed the secondary school course and are trained, should be Rs. 125; and within a period of five years, </w:t>
      </w:r>
      <w:r>
        <w:rPr>
          <w:sz w:val="24"/>
        </w:rPr>
        <w:t>it should be raised to Rs. 150.</w:t>
      </w:r>
    </w:p>
    <w:p>
      <w:pPr>
        <w:pStyle w:val="BodyText"/>
        <w:spacing w:before="5"/>
      </w:pPr>
    </w:p>
    <w:p>
      <w:pPr>
        <w:pStyle w:val="ListParagraph"/>
        <w:numPr>
          <w:ilvl w:val="1"/>
          <w:numId w:val="53"/>
        </w:numPr>
        <w:tabs>
          <w:tab w:pos="496" w:val="left" w:leader="none"/>
        </w:tabs>
        <w:spacing w:line="240" w:lineRule="auto" w:before="0" w:after="0"/>
        <w:ind w:left="160" w:right="496" w:firstLine="0"/>
        <w:jc w:val="both"/>
        <w:rPr>
          <w:sz w:val="24"/>
        </w:rPr>
      </w:pPr>
      <w:r>
        <w:rPr>
          <w:sz w:val="24"/>
        </w:rPr>
        <w:t>The following scales of pay should be adopted, as soon as practicable and at any rate not later than the first year of the Fifth Plan, for all primary school teachers who have completed the secondary school course and are trained:</w:t>
      </w:r>
    </w:p>
    <w:p>
      <w:pPr>
        <w:pStyle w:val="BodyText"/>
      </w:pPr>
    </w:p>
    <w:p>
      <w:pPr>
        <w:pStyle w:val="BodyText"/>
        <w:spacing w:before="4"/>
      </w:pPr>
    </w:p>
    <w:p>
      <w:pPr>
        <w:pStyle w:val="BodyText"/>
        <w:tabs>
          <w:tab w:pos="6571" w:val="left" w:leader="none"/>
        </w:tabs>
        <w:ind w:left="160"/>
      </w:pPr>
      <w:r>
        <w:rPr/>
        <w:t>Starting </w:t>
      </w:r>
      <w:r>
        <w:rPr>
          <w:spacing w:val="-2"/>
        </w:rPr>
        <w:t>salary</w:t>
      </w:r>
      <w:r>
        <w:rPr/>
        <w:tab/>
        <w:t>Rs. </w:t>
      </w:r>
      <w:r>
        <w:rPr>
          <w:spacing w:val="-5"/>
        </w:rPr>
        <w:t>150</w:t>
      </w:r>
    </w:p>
    <w:p>
      <w:pPr>
        <w:pStyle w:val="BodyText"/>
        <w:tabs>
          <w:tab w:pos="6131" w:val="left" w:leader="none"/>
          <w:tab w:pos="6345" w:val="left" w:leader="none"/>
          <w:tab w:pos="6551" w:val="left" w:leader="none"/>
        </w:tabs>
        <w:ind w:left="160" w:right="1346"/>
      </w:pPr>
      <w:r>
        <w:rPr/>
        <w:t>Maximum salary (to be reached in a period of 20 years)</w:t>
        <w:tab/>
        <w:tab/>
        <w:t>..</w:t>
      </w:r>
      <w:r>
        <w:rPr>
          <w:spacing w:val="40"/>
        </w:rPr>
        <w:t> </w:t>
      </w:r>
      <w:r>
        <w:rPr/>
        <w:t>Rs. 250 Selection grade available for 15 percent of the cadre</w:t>
        <w:tab/>
      </w:r>
      <w:r>
        <w:rPr>
          <w:spacing w:val="-6"/>
        </w:rPr>
        <w:t>..</w:t>
      </w:r>
      <w:r>
        <w:rPr/>
        <w:tab/>
        <w:tab/>
        <w:t>Rs.</w:t>
      </w:r>
      <w:r>
        <w:rPr>
          <w:spacing w:val="-13"/>
        </w:rPr>
        <w:t> </w:t>
      </w:r>
      <w:r>
        <w:rPr/>
        <w:t>250</w:t>
      </w:r>
      <w:r>
        <w:rPr>
          <w:spacing w:val="-13"/>
        </w:rPr>
        <w:t> </w:t>
      </w:r>
      <w:r>
        <w:rPr/>
        <w:t>to</w:t>
      </w:r>
      <w:r>
        <w:rPr>
          <w:spacing w:val="-13"/>
        </w:rPr>
        <w:t> </w:t>
      </w:r>
      <w:r>
        <w:rPr/>
        <w:t>300</w:t>
      </w:r>
    </w:p>
    <w:p>
      <w:pPr>
        <w:pStyle w:val="BodyText"/>
        <w:spacing w:before="4"/>
      </w:pPr>
    </w:p>
    <w:p>
      <w:pPr>
        <w:pStyle w:val="BodyText"/>
        <w:spacing w:before="1"/>
        <w:ind w:left="159"/>
      </w:pPr>
      <w:r>
        <w:rPr>
          <w:spacing w:val="-4"/>
        </w:rPr>
        <w:t>Note</w:t>
      </w:r>
    </w:p>
    <w:p>
      <w:pPr>
        <w:pStyle w:val="BodyText"/>
        <w:spacing w:before="2"/>
      </w:pPr>
    </w:p>
    <w:p>
      <w:pPr>
        <w:pStyle w:val="ListParagraph"/>
        <w:numPr>
          <w:ilvl w:val="2"/>
          <w:numId w:val="53"/>
        </w:numPr>
        <w:tabs>
          <w:tab w:pos="469" w:val="left" w:leader="none"/>
        </w:tabs>
        <w:spacing w:line="240" w:lineRule="auto" w:before="0" w:after="0"/>
        <w:ind w:left="159" w:right="496" w:firstLine="0"/>
        <w:jc w:val="both"/>
        <w:rPr>
          <w:sz w:val="24"/>
        </w:rPr>
      </w:pPr>
      <w:r>
        <w:rPr>
          <w:sz w:val="24"/>
        </w:rPr>
        <w:t>The scale should e the same for all qualified and trained teachers working at all the sub-stage-pre-primary, lower primary or higher primary- and, in accordance with the principle of parity, should also be given to teachers in local authority and private schools.</w:t>
      </w:r>
    </w:p>
    <w:p>
      <w:pPr>
        <w:pStyle w:val="BodyText"/>
        <w:spacing w:before="5"/>
      </w:pPr>
    </w:p>
    <w:p>
      <w:pPr>
        <w:pStyle w:val="ListParagraph"/>
        <w:numPr>
          <w:ilvl w:val="2"/>
          <w:numId w:val="53"/>
        </w:numPr>
        <w:tabs>
          <w:tab w:pos="537" w:val="left" w:leader="none"/>
        </w:tabs>
        <w:spacing w:line="240" w:lineRule="auto" w:before="0" w:after="0"/>
        <w:ind w:left="159" w:right="496" w:firstLine="0"/>
        <w:jc w:val="both"/>
        <w:rPr>
          <w:sz w:val="24"/>
        </w:rPr>
      </w:pPr>
      <w:r>
        <w:rPr>
          <w:sz w:val="24"/>
        </w:rPr>
        <w:t>Only the scales of pay of qualified and trained primary teaches are to be upgraded substantially. The scales of pay of the other categories of primary teachers need not be upgraded to the same extent. It should be an objective of administrative policy to keep them substantially lower so that the teachers would have an adequate incentive to</w:t>
      </w:r>
      <w:r>
        <w:rPr>
          <w:spacing w:val="40"/>
          <w:sz w:val="24"/>
        </w:rPr>
        <w:t> </w:t>
      </w:r>
      <w:r>
        <w:rPr>
          <w:sz w:val="24"/>
        </w:rPr>
        <w:t>improve their general and professional qualifications.</w:t>
      </w:r>
    </w:p>
    <w:p>
      <w:pPr>
        <w:pStyle w:val="BodyText"/>
        <w:spacing w:before="4"/>
      </w:pPr>
    </w:p>
    <w:p>
      <w:pPr>
        <w:pStyle w:val="ListParagraph"/>
        <w:numPr>
          <w:ilvl w:val="2"/>
          <w:numId w:val="53"/>
        </w:numPr>
        <w:tabs>
          <w:tab w:pos="607" w:val="left" w:leader="none"/>
        </w:tabs>
        <w:spacing w:line="240" w:lineRule="auto" w:before="0" w:after="0"/>
        <w:ind w:left="159" w:right="495" w:firstLine="0"/>
        <w:jc w:val="both"/>
        <w:rPr>
          <w:sz w:val="24"/>
        </w:rPr>
      </w:pPr>
      <w:r>
        <w:rPr>
          <w:sz w:val="24"/>
        </w:rPr>
        <w:t>The expression 'trained' should be interpreted to mean teachers who have had two years of professional education. In other words, these improvements in remuneration will be linked wit improvement in the quality and qualifications of primary teachers. The principal method to be adopted to raise the</w:t>
      </w:r>
      <w:r>
        <w:rPr>
          <w:spacing w:val="-1"/>
          <w:sz w:val="24"/>
        </w:rPr>
        <w:t> </w:t>
      </w:r>
      <w:r>
        <w:rPr>
          <w:sz w:val="24"/>
        </w:rPr>
        <w:t>average remuneration of primary teachers will be to organize an intensive programme of raising the qualifications of teachers in service, as described in the next chapter, and to eliminate, in a phased programme spread over a period of about ten years, all teachers other than those who are qualified and trained.</w:t>
      </w:r>
    </w:p>
    <w:p>
      <w:pPr>
        <w:pStyle w:val="BodyText"/>
        <w:spacing w:before="3"/>
      </w:pPr>
    </w:p>
    <w:p>
      <w:pPr>
        <w:pStyle w:val="ListParagraph"/>
        <w:numPr>
          <w:ilvl w:val="0"/>
          <w:numId w:val="53"/>
        </w:numPr>
        <w:tabs>
          <w:tab w:pos="540" w:val="left" w:leader="none"/>
        </w:tabs>
        <w:spacing w:line="240" w:lineRule="auto" w:before="1" w:after="0"/>
        <w:ind w:left="159" w:right="496" w:firstLine="0"/>
        <w:jc w:val="both"/>
        <w:rPr>
          <w:sz w:val="24"/>
        </w:rPr>
      </w:pPr>
      <w:r>
        <w:rPr>
          <w:sz w:val="24"/>
        </w:rPr>
        <w:t>Our attention has been drawn to an anomaly which must be removed as early as 'Possible. Several States restrict, on financial grounds, the number of posts which carry the salary</w:t>
      </w:r>
      <w:r>
        <w:rPr>
          <w:spacing w:val="-1"/>
          <w:sz w:val="24"/>
        </w:rPr>
        <w:t> </w:t>
      </w:r>
      <w:r>
        <w:rPr>
          <w:sz w:val="24"/>
        </w:rPr>
        <w:t>scale of trained teachers who have</w:t>
      </w:r>
      <w:r>
        <w:rPr>
          <w:spacing w:val="-1"/>
          <w:sz w:val="24"/>
        </w:rPr>
        <w:t> </w:t>
      </w:r>
      <w:r>
        <w:rPr>
          <w:sz w:val="24"/>
        </w:rPr>
        <w:t>completed the secondary</w:t>
      </w:r>
      <w:r>
        <w:rPr>
          <w:spacing w:val="-1"/>
          <w:sz w:val="24"/>
        </w:rPr>
        <w:t> </w:t>
      </w:r>
      <w:r>
        <w:rPr>
          <w:sz w:val="24"/>
        </w:rPr>
        <w:t>school course. The remaining posts are usually assigned to lower scales of pay sanctioned for teachers with lower qualifications. Not infrequently, persons with lower qualifications are recruited to these posts even when qualified and trained teachers are available. This is bad enough;</w:t>
      </w:r>
      <w:r>
        <w:rPr>
          <w:spacing w:val="40"/>
          <w:sz w:val="24"/>
        </w:rPr>
        <w:t> </w:t>
      </w:r>
      <w:r>
        <w:rPr>
          <w:sz w:val="24"/>
        </w:rPr>
        <w:t>but what is worse, even trained and qualified teachers who are recruited against the posts are given, not the salaries of qualified and trained teachers to which they are entitled, but the</w:t>
      </w:r>
      <w:r>
        <w:rPr>
          <w:spacing w:val="22"/>
          <w:sz w:val="24"/>
        </w:rPr>
        <w:t> </w:t>
      </w:r>
      <w:r>
        <w:rPr>
          <w:sz w:val="24"/>
        </w:rPr>
        <w:t>lower</w:t>
      </w:r>
      <w:r>
        <w:rPr>
          <w:spacing w:val="22"/>
          <w:sz w:val="24"/>
        </w:rPr>
        <w:t> </w:t>
      </w:r>
      <w:r>
        <w:rPr>
          <w:sz w:val="24"/>
        </w:rPr>
        <w:t>salaries</w:t>
      </w:r>
      <w:r>
        <w:rPr>
          <w:spacing w:val="22"/>
          <w:sz w:val="24"/>
        </w:rPr>
        <w:t> </w:t>
      </w:r>
      <w:r>
        <w:rPr>
          <w:sz w:val="24"/>
        </w:rPr>
        <w:t>meant</w:t>
      </w:r>
      <w:r>
        <w:rPr>
          <w:spacing w:val="22"/>
          <w:sz w:val="24"/>
        </w:rPr>
        <w:t> </w:t>
      </w:r>
      <w:r>
        <w:rPr>
          <w:sz w:val="24"/>
        </w:rPr>
        <w:t>for</w:t>
      </w:r>
      <w:r>
        <w:rPr>
          <w:spacing w:val="22"/>
          <w:sz w:val="24"/>
        </w:rPr>
        <w:t> </w:t>
      </w:r>
      <w:r>
        <w:rPr>
          <w:sz w:val="24"/>
        </w:rPr>
        <w:t>these</w:t>
      </w:r>
      <w:r>
        <w:rPr>
          <w:spacing w:val="22"/>
          <w:sz w:val="24"/>
        </w:rPr>
        <w:t> </w:t>
      </w:r>
      <w:r>
        <w:rPr>
          <w:sz w:val="24"/>
        </w:rPr>
        <w:t>posts.</w:t>
      </w:r>
      <w:r>
        <w:rPr>
          <w:spacing w:val="22"/>
          <w:sz w:val="24"/>
        </w:rPr>
        <w:t> </w:t>
      </w:r>
      <w:r>
        <w:rPr>
          <w:sz w:val="24"/>
        </w:rPr>
        <w:t>As</w:t>
      </w:r>
      <w:r>
        <w:rPr>
          <w:spacing w:val="21"/>
          <w:sz w:val="24"/>
        </w:rPr>
        <w:t> </w:t>
      </w:r>
      <w:r>
        <w:rPr>
          <w:sz w:val="24"/>
        </w:rPr>
        <w:t>the</w:t>
      </w:r>
      <w:r>
        <w:rPr>
          <w:spacing w:val="21"/>
          <w:sz w:val="24"/>
        </w:rPr>
        <w:t> </w:t>
      </w:r>
      <w:r>
        <w:rPr>
          <w:sz w:val="24"/>
        </w:rPr>
        <w:t>completion</w:t>
      </w:r>
      <w:r>
        <w:rPr>
          <w:spacing w:val="21"/>
          <w:sz w:val="24"/>
        </w:rPr>
        <w:t> </w:t>
      </w:r>
      <w:r>
        <w:rPr>
          <w:sz w:val="24"/>
        </w:rPr>
        <w:t>of</w:t>
      </w:r>
      <w:r>
        <w:rPr>
          <w:spacing w:val="21"/>
          <w:sz w:val="24"/>
        </w:rPr>
        <w:t> </w:t>
      </w:r>
      <w:r>
        <w:rPr>
          <w:sz w:val="24"/>
        </w:rPr>
        <w:t>secondary</w:t>
      </w:r>
      <w:r>
        <w:rPr>
          <w:spacing w:val="21"/>
          <w:sz w:val="24"/>
        </w:rPr>
        <w:t> </w:t>
      </w:r>
      <w:r>
        <w:rPr>
          <w:sz w:val="24"/>
        </w:rPr>
        <w:t>school</w:t>
      </w:r>
      <w:r>
        <w:rPr>
          <w:spacing w:val="21"/>
          <w:sz w:val="24"/>
        </w:rPr>
        <w:t> </w:t>
      </w:r>
      <w:r>
        <w:rPr>
          <w:sz w:val="24"/>
        </w:rPr>
        <w:t>course</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and two years of professional training are accepted as the minimum qualification for a primary teacher, this practice should be abandoned as early as possible and the principle adopted that every trained teacher who has completed the secondary school course receives the scale of pay sanctioned for such teachers. This will remove an injustice now being done to a large number of teachers in service, and create an incentive for un- qualified or untrained teachers to become qualified and trained.</w:t>
      </w:r>
    </w:p>
    <w:p>
      <w:pPr>
        <w:pStyle w:val="BodyText"/>
        <w:spacing w:before="4"/>
      </w:pPr>
    </w:p>
    <w:p>
      <w:pPr>
        <w:pStyle w:val="ListParagraph"/>
        <w:numPr>
          <w:ilvl w:val="1"/>
          <w:numId w:val="47"/>
        </w:numPr>
        <w:tabs>
          <w:tab w:pos="655" w:val="left" w:leader="none"/>
        </w:tabs>
        <w:spacing w:line="240" w:lineRule="auto" w:before="0" w:after="0"/>
        <w:ind w:left="159" w:right="497" w:firstLine="0"/>
        <w:jc w:val="both"/>
        <w:rPr>
          <w:b/>
          <w:sz w:val="24"/>
        </w:rPr>
      </w:pPr>
      <w:r>
        <w:rPr>
          <w:b/>
          <w:sz w:val="24"/>
        </w:rPr>
        <w:t>Scales of Pay of Teachers in Secondary Schools. </w:t>
      </w:r>
      <w:r>
        <w:rPr>
          <w:sz w:val="24"/>
        </w:rPr>
        <w:t>At present, the scales of pay of teachers at the secondary stage are fixed in a rather haphazard manner and scales of remuneration do not always show a clearly integrated picture from primary school to the university. Some definite principles in fixing their pay scales and relating them to the scales of pay of primary school teachers on the one hand and those of the university teachers on the other must be followed. In this context, we suggest the following:</w:t>
      </w:r>
    </w:p>
    <w:p>
      <w:pPr>
        <w:pStyle w:val="BodyText"/>
        <w:spacing w:before="4"/>
      </w:pPr>
    </w:p>
    <w:p>
      <w:pPr>
        <w:pStyle w:val="ListParagraph"/>
        <w:numPr>
          <w:ilvl w:val="0"/>
          <w:numId w:val="54"/>
        </w:numPr>
        <w:tabs>
          <w:tab w:pos="500" w:val="left" w:leader="none"/>
        </w:tabs>
        <w:spacing w:line="240" w:lineRule="auto" w:before="0" w:after="0"/>
        <w:ind w:left="159" w:right="496" w:firstLine="0"/>
        <w:jc w:val="both"/>
        <w:rPr>
          <w:sz w:val="24"/>
        </w:rPr>
      </w:pPr>
      <w:r>
        <w:rPr>
          <w:sz w:val="24"/>
        </w:rPr>
        <w:t>The</w:t>
      </w:r>
      <w:r>
        <w:rPr>
          <w:spacing w:val="-1"/>
          <w:sz w:val="24"/>
        </w:rPr>
        <w:t> </w:t>
      </w:r>
      <w:r>
        <w:rPr>
          <w:sz w:val="24"/>
        </w:rPr>
        <w:t>scales</w:t>
      </w:r>
      <w:r>
        <w:rPr>
          <w:spacing w:val="-1"/>
          <w:sz w:val="24"/>
        </w:rPr>
        <w:t> </w:t>
      </w:r>
      <w:r>
        <w:rPr>
          <w:sz w:val="24"/>
        </w:rPr>
        <w:t>of</w:t>
      </w:r>
      <w:r>
        <w:rPr>
          <w:spacing w:val="-1"/>
          <w:sz w:val="24"/>
        </w:rPr>
        <w:t> </w:t>
      </w:r>
      <w:r>
        <w:rPr>
          <w:sz w:val="24"/>
        </w:rPr>
        <w:t>pay</w:t>
      </w:r>
      <w:r>
        <w:rPr>
          <w:spacing w:val="-1"/>
          <w:sz w:val="24"/>
        </w:rPr>
        <w:t> </w:t>
      </w:r>
      <w:r>
        <w:rPr>
          <w:sz w:val="24"/>
        </w:rPr>
        <w:t>fixed</w:t>
      </w:r>
      <w:r>
        <w:rPr>
          <w:spacing w:val="-1"/>
          <w:sz w:val="24"/>
        </w:rPr>
        <w:t> </w:t>
      </w:r>
      <w:r>
        <w:rPr>
          <w:sz w:val="24"/>
        </w:rPr>
        <w:t>for</w:t>
      </w:r>
      <w:r>
        <w:rPr>
          <w:spacing w:val="-1"/>
          <w:sz w:val="24"/>
        </w:rPr>
        <w:t> </w:t>
      </w:r>
      <w:r>
        <w:rPr>
          <w:sz w:val="24"/>
        </w:rPr>
        <w:t>headmasters</w:t>
      </w:r>
      <w:r>
        <w:rPr>
          <w:spacing w:val="-2"/>
          <w:sz w:val="24"/>
        </w:rPr>
        <w:t> </w:t>
      </w:r>
      <w:r>
        <w:rPr>
          <w:sz w:val="24"/>
        </w:rPr>
        <w:t>of</w:t>
      </w:r>
      <w:r>
        <w:rPr>
          <w:spacing w:val="-1"/>
          <w:sz w:val="24"/>
        </w:rPr>
        <w:t> </w:t>
      </w:r>
      <w:r>
        <w:rPr>
          <w:sz w:val="24"/>
        </w:rPr>
        <w:t>lower</w:t>
      </w:r>
      <w:r>
        <w:rPr>
          <w:spacing w:val="-1"/>
          <w:sz w:val="24"/>
        </w:rPr>
        <w:t> </w:t>
      </w:r>
      <w:r>
        <w:rPr>
          <w:sz w:val="24"/>
        </w:rPr>
        <w:t>and</w:t>
      </w:r>
      <w:r>
        <w:rPr>
          <w:spacing w:val="-1"/>
          <w:sz w:val="24"/>
        </w:rPr>
        <w:t> </w:t>
      </w:r>
      <w:r>
        <w:rPr>
          <w:sz w:val="24"/>
        </w:rPr>
        <w:t>higher</w:t>
      </w:r>
      <w:r>
        <w:rPr>
          <w:spacing w:val="-1"/>
          <w:sz w:val="24"/>
        </w:rPr>
        <w:t> </w:t>
      </w:r>
      <w:r>
        <w:rPr>
          <w:sz w:val="24"/>
        </w:rPr>
        <w:t>secondary</w:t>
      </w:r>
      <w:r>
        <w:rPr>
          <w:spacing w:val="-2"/>
          <w:sz w:val="24"/>
        </w:rPr>
        <w:t> </w:t>
      </w:r>
      <w:r>
        <w:rPr>
          <w:sz w:val="24"/>
        </w:rPr>
        <w:t>schools</w:t>
      </w:r>
      <w:r>
        <w:rPr>
          <w:spacing w:val="-2"/>
          <w:sz w:val="24"/>
        </w:rPr>
        <w:t> </w:t>
      </w:r>
      <w:r>
        <w:rPr>
          <w:sz w:val="24"/>
        </w:rPr>
        <w:t>should have a definite relationship with those of the teachers in affiliated colleges or even in universities. Depending upon the quality, size and function of the school and the qualifications of the person concerned, the salary scales of the headmasters of lower secondary schools should be the same as those of junior or senior lecturers or readers. In the higher secondary schools, the principals or headmasters should be entitled to the scales of pay of a reader and, in some selected institutions, even to that of a professor. This would help to, lessen the gap between salaries at the school and university levels.</w:t>
      </w:r>
    </w:p>
    <w:p>
      <w:pPr>
        <w:pStyle w:val="BodyText"/>
        <w:spacing w:before="5"/>
      </w:pPr>
    </w:p>
    <w:p>
      <w:pPr>
        <w:pStyle w:val="ListParagraph"/>
        <w:numPr>
          <w:ilvl w:val="0"/>
          <w:numId w:val="54"/>
        </w:numPr>
        <w:tabs>
          <w:tab w:pos="498" w:val="left" w:leader="none"/>
        </w:tabs>
        <w:spacing w:line="240" w:lineRule="auto" w:before="0" w:after="0"/>
        <w:ind w:left="159" w:right="495" w:firstLine="0"/>
        <w:jc w:val="both"/>
        <w:rPr>
          <w:sz w:val="24"/>
        </w:rPr>
      </w:pPr>
      <w:r>
        <w:rPr>
          <w:sz w:val="24"/>
        </w:rPr>
        <w:t>On</w:t>
      </w:r>
      <w:r>
        <w:rPr>
          <w:spacing w:val="-3"/>
          <w:sz w:val="24"/>
        </w:rPr>
        <w:t> </w:t>
      </w:r>
      <w:r>
        <w:rPr>
          <w:sz w:val="24"/>
        </w:rPr>
        <w:t>the</w:t>
      </w:r>
      <w:r>
        <w:rPr>
          <w:spacing w:val="-3"/>
          <w:sz w:val="24"/>
        </w:rPr>
        <w:t> </w:t>
      </w:r>
      <w:r>
        <w:rPr>
          <w:sz w:val="24"/>
        </w:rPr>
        <w:t>basis</w:t>
      </w:r>
      <w:r>
        <w:rPr>
          <w:spacing w:val="-3"/>
          <w:sz w:val="24"/>
        </w:rPr>
        <w:t> </w:t>
      </w:r>
      <w:r>
        <w:rPr>
          <w:sz w:val="24"/>
        </w:rPr>
        <w:t>of</w:t>
      </w:r>
      <w:r>
        <w:rPr>
          <w:spacing w:val="-3"/>
          <w:sz w:val="24"/>
        </w:rPr>
        <w:t> </w:t>
      </w:r>
      <w:r>
        <w:rPr>
          <w:sz w:val="24"/>
        </w:rPr>
        <w:t>their</w:t>
      </w:r>
      <w:r>
        <w:rPr>
          <w:spacing w:val="-3"/>
          <w:sz w:val="24"/>
        </w:rPr>
        <w:t> </w:t>
      </w:r>
      <w:r>
        <w:rPr>
          <w:sz w:val="24"/>
        </w:rPr>
        <w:t>general</w:t>
      </w:r>
      <w:r>
        <w:rPr>
          <w:spacing w:val="-2"/>
          <w:sz w:val="24"/>
        </w:rPr>
        <w:t> </w:t>
      </w:r>
      <w:r>
        <w:rPr>
          <w:sz w:val="24"/>
        </w:rPr>
        <w:t>education,</w:t>
      </w:r>
      <w:r>
        <w:rPr>
          <w:spacing w:val="-4"/>
          <w:sz w:val="24"/>
        </w:rPr>
        <w:t> </w:t>
      </w:r>
      <w:r>
        <w:rPr>
          <w:sz w:val="24"/>
        </w:rPr>
        <w:t>the</w:t>
      </w:r>
      <w:r>
        <w:rPr>
          <w:spacing w:val="-2"/>
          <w:sz w:val="24"/>
        </w:rPr>
        <w:t> </w:t>
      </w:r>
      <w:r>
        <w:rPr>
          <w:sz w:val="24"/>
        </w:rPr>
        <w:t>assistant</w:t>
      </w:r>
      <w:r>
        <w:rPr>
          <w:spacing w:val="-2"/>
          <w:sz w:val="24"/>
        </w:rPr>
        <w:t> </w:t>
      </w:r>
      <w:r>
        <w:rPr>
          <w:sz w:val="24"/>
        </w:rPr>
        <w:t>teachers</w:t>
      </w:r>
      <w:r>
        <w:rPr>
          <w:spacing w:val="-2"/>
          <w:sz w:val="24"/>
        </w:rPr>
        <w:t> </w:t>
      </w:r>
      <w:r>
        <w:rPr>
          <w:sz w:val="24"/>
        </w:rPr>
        <w:t>in</w:t>
      </w:r>
      <w:r>
        <w:rPr>
          <w:spacing w:val="-2"/>
          <w:sz w:val="24"/>
        </w:rPr>
        <w:t> </w:t>
      </w:r>
      <w:r>
        <w:rPr>
          <w:sz w:val="24"/>
        </w:rPr>
        <w:t>secondary</w:t>
      </w:r>
      <w:r>
        <w:rPr>
          <w:spacing w:val="-2"/>
          <w:sz w:val="24"/>
        </w:rPr>
        <w:t> </w:t>
      </w:r>
      <w:r>
        <w:rPr>
          <w:sz w:val="24"/>
        </w:rPr>
        <w:t>schools</w:t>
      </w:r>
      <w:r>
        <w:rPr>
          <w:spacing w:val="-4"/>
          <w:sz w:val="24"/>
        </w:rPr>
        <w:t> </w:t>
      </w:r>
      <w:r>
        <w:rPr>
          <w:sz w:val="24"/>
        </w:rPr>
        <w:t>can be divided into two categories: graduates and those with postgraduate qualifications. The relative proportions of these two categories should be definitely prescribed. We recommend that, depending upon the size, function and quality of school, the proportion of teachers with postgraduate qualifications should vary from about 10 to 30 per cent. It may be pointed out that by 'postgraduate' qualifications we mean the same type and level of qualifications as are prescribed for junior lecturers in affiliated colleges. Teachers wit other postgraduate qualifications should be fitted in the scale of pay for graduate teachers in a suitable manner.</w:t>
      </w:r>
    </w:p>
    <w:p>
      <w:pPr>
        <w:pStyle w:val="BodyText"/>
        <w:spacing w:before="4"/>
      </w:pPr>
    </w:p>
    <w:p>
      <w:pPr>
        <w:pStyle w:val="ListParagraph"/>
        <w:numPr>
          <w:ilvl w:val="0"/>
          <w:numId w:val="54"/>
        </w:numPr>
        <w:tabs>
          <w:tab w:pos="530" w:val="left" w:leader="none"/>
        </w:tabs>
        <w:spacing w:line="240" w:lineRule="auto" w:before="0" w:after="0"/>
        <w:ind w:left="159" w:right="497" w:firstLine="0"/>
        <w:jc w:val="both"/>
        <w:rPr>
          <w:sz w:val="24"/>
        </w:rPr>
      </w:pPr>
      <w:r>
        <w:rPr>
          <w:sz w:val="24"/>
        </w:rPr>
        <w:t>The scales of pay of trained graduate teachers should have a minimum of Rs. 220 rising to Rs. 400 in a period of about 20 years. There should be a selection grade which would rise to Rs. 500 and be available to about 15 per cent of the cadre.</w:t>
      </w:r>
    </w:p>
    <w:p>
      <w:pPr>
        <w:pStyle w:val="BodyText"/>
        <w:spacing w:before="3"/>
      </w:pPr>
    </w:p>
    <w:p>
      <w:pPr>
        <w:pStyle w:val="ListParagraph"/>
        <w:numPr>
          <w:ilvl w:val="0"/>
          <w:numId w:val="54"/>
        </w:numPr>
        <w:tabs>
          <w:tab w:pos="532" w:val="left" w:leader="none"/>
        </w:tabs>
        <w:spacing w:line="240" w:lineRule="auto" w:before="1" w:after="0"/>
        <w:ind w:left="159" w:right="498" w:firstLine="0"/>
        <w:jc w:val="both"/>
        <w:rPr>
          <w:sz w:val="24"/>
        </w:rPr>
      </w:pPr>
      <w:r>
        <w:rPr>
          <w:sz w:val="24"/>
        </w:rPr>
        <w:t>Teachers with postgraduate qualifications in higher secondary schools should have</w:t>
      </w:r>
      <w:r>
        <w:rPr>
          <w:spacing w:val="40"/>
          <w:sz w:val="24"/>
        </w:rPr>
        <w:t> </w:t>
      </w:r>
      <w:r>
        <w:rPr>
          <w:sz w:val="24"/>
        </w:rPr>
        <w:t>the same pay scales as those of junior lecturers, i.e., Rs. 300-600, since their academic qualifications will be the same. They should be given one increment when trained.</w:t>
      </w:r>
    </w:p>
    <w:p>
      <w:pPr>
        <w:pStyle w:val="BodyText"/>
        <w:spacing w:before="3"/>
      </w:pPr>
    </w:p>
    <w:p>
      <w:pPr>
        <w:pStyle w:val="ListParagraph"/>
        <w:numPr>
          <w:ilvl w:val="0"/>
          <w:numId w:val="54"/>
        </w:numPr>
        <w:tabs>
          <w:tab w:pos="596" w:val="left" w:leader="none"/>
        </w:tabs>
        <w:spacing w:line="240" w:lineRule="auto" w:before="0" w:after="0"/>
        <w:ind w:left="159" w:right="496" w:firstLine="60"/>
        <w:jc w:val="both"/>
        <w:rPr>
          <w:sz w:val="24"/>
        </w:rPr>
      </w:pPr>
      <w:r>
        <w:rPr>
          <w:sz w:val="24"/>
        </w:rPr>
        <w:t>Teachers with first or second class in B.A./B.Sc. or M.A. M.Sc. should be given advance increments in the above scale. An advance increment should also be given to those who are M.Eds.</w:t>
      </w:r>
    </w:p>
    <w:p>
      <w:pPr>
        <w:spacing w:after="0" w:line="240" w:lineRule="auto"/>
        <w:jc w:val="both"/>
        <w:rPr>
          <w:sz w:val="24"/>
        </w:rPr>
        <w:sectPr>
          <w:pgSz w:w="12240" w:h="15840"/>
          <w:pgMar w:header="0" w:footer="743" w:top="1360" w:bottom="940" w:left="1640" w:right="1300"/>
        </w:sectPr>
      </w:pPr>
    </w:p>
    <w:p>
      <w:pPr>
        <w:pStyle w:val="ListParagraph"/>
        <w:numPr>
          <w:ilvl w:val="0"/>
          <w:numId w:val="54"/>
        </w:numPr>
        <w:tabs>
          <w:tab w:pos="507" w:val="left" w:leader="none"/>
        </w:tabs>
        <w:spacing w:line="240" w:lineRule="auto" w:before="76" w:after="0"/>
        <w:ind w:left="160" w:right="496" w:firstLine="0"/>
        <w:jc w:val="both"/>
        <w:rPr>
          <w:sz w:val="24"/>
        </w:rPr>
      </w:pPr>
      <w:r>
        <w:rPr/>
        <mc:AlternateContent>
          <mc:Choice Requires="wps">
            <w:drawing>
              <wp:anchor distT="0" distB="0" distL="0" distR="0" allowOverlap="1" layoutInCell="1" locked="0" behindDoc="0" simplePos="0" relativeHeight="15736832">
                <wp:simplePos x="0" y="0"/>
                <wp:positionH relativeFrom="page">
                  <wp:posOffset>1143000</wp:posOffset>
                </wp:positionH>
                <wp:positionV relativeFrom="page">
                  <wp:posOffset>8591550</wp:posOffset>
                </wp:positionV>
                <wp:extent cx="3175" cy="1333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676.5pt;width:.24001pt;height:1.02pt;mso-position-horizontal-relative:page;mso-position-vertical-relative:page;z-index:15736832" id="docshape85" filled="true" fillcolor="#aca89a" stroked="false">
                <v:fill type="solid"/>
                <w10:wrap type="none"/>
              </v:rect>
            </w:pict>
          </mc:Fallback>
        </mc:AlternateContent>
      </w:r>
      <w:r>
        <w:rPr>
          <w:sz w:val="24"/>
        </w:rPr>
        <w:t>Professional training should be obligatory for all secondary school teachers. It should preferably be taken before first employment. Exceptions may be made in the case of teachers with postgraduate qualifications and of first and second class graduates. They may be untrained at the time of appointment but should take professional training within three</w:t>
      </w:r>
      <w:r>
        <w:rPr>
          <w:spacing w:val="-2"/>
          <w:sz w:val="24"/>
        </w:rPr>
        <w:t> </w:t>
      </w:r>
      <w:r>
        <w:rPr>
          <w:sz w:val="24"/>
        </w:rPr>
        <w:t>years.</w:t>
      </w:r>
      <w:r>
        <w:rPr>
          <w:spacing w:val="-2"/>
          <w:sz w:val="24"/>
        </w:rPr>
        <w:t> </w:t>
      </w:r>
      <w:r>
        <w:rPr>
          <w:sz w:val="24"/>
        </w:rPr>
        <w:t>All</w:t>
      </w:r>
      <w:r>
        <w:rPr>
          <w:spacing w:val="-2"/>
          <w:sz w:val="24"/>
        </w:rPr>
        <w:t> </w:t>
      </w:r>
      <w:r>
        <w:rPr>
          <w:sz w:val="24"/>
        </w:rPr>
        <w:t>untrained</w:t>
      </w:r>
      <w:r>
        <w:rPr>
          <w:spacing w:val="-2"/>
          <w:sz w:val="24"/>
        </w:rPr>
        <w:t> </w:t>
      </w:r>
      <w:r>
        <w:rPr>
          <w:sz w:val="24"/>
        </w:rPr>
        <w:t>teachers,</w:t>
      </w:r>
      <w:r>
        <w:rPr>
          <w:spacing w:val="-2"/>
          <w:sz w:val="24"/>
        </w:rPr>
        <w:t> </w:t>
      </w:r>
      <w:r>
        <w:rPr>
          <w:sz w:val="24"/>
        </w:rPr>
        <w:t>however,</w:t>
      </w:r>
      <w:r>
        <w:rPr>
          <w:spacing w:val="-2"/>
          <w:sz w:val="24"/>
        </w:rPr>
        <w:t> </w:t>
      </w:r>
      <w:r>
        <w:rPr>
          <w:sz w:val="24"/>
        </w:rPr>
        <w:t>shall</w:t>
      </w:r>
      <w:r>
        <w:rPr>
          <w:spacing w:val="-2"/>
          <w:sz w:val="24"/>
        </w:rPr>
        <w:t> </w:t>
      </w:r>
      <w:r>
        <w:rPr>
          <w:sz w:val="24"/>
        </w:rPr>
        <w:t>remain</w:t>
      </w:r>
      <w:r>
        <w:rPr>
          <w:spacing w:val="-2"/>
          <w:sz w:val="24"/>
        </w:rPr>
        <w:t> </w:t>
      </w:r>
      <w:r>
        <w:rPr>
          <w:sz w:val="24"/>
        </w:rPr>
        <w:t>on</w:t>
      </w:r>
      <w:r>
        <w:rPr>
          <w:spacing w:val="-5"/>
          <w:sz w:val="24"/>
        </w:rPr>
        <w:t> </w:t>
      </w:r>
      <w:r>
        <w:rPr>
          <w:sz w:val="24"/>
        </w:rPr>
        <w:t>their</w:t>
      </w:r>
      <w:r>
        <w:rPr>
          <w:spacing w:val="-2"/>
          <w:sz w:val="24"/>
        </w:rPr>
        <w:t> </w:t>
      </w:r>
      <w:r>
        <w:rPr>
          <w:sz w:val="24"/>
        </w:rPr>
        <w:t>own</w:t>
      </w:r>
      <w:r>
        <w:rPr>
          <w:spacing w:val="-2"/>
          <w:sz w:val="24"/>
        </w:rPr>
        <w:t> </w:t>
      </w:r>
      <w:r>
        <w:rPr>
          <w:sz w:val="24"/>
        </w:rPr>
        <w:t>starting</w:t>
      </w:r>
      <w:r>
        <w:rPr>
          <w:spacing w:val="-2"/>
          <w:sz w:val="24"/>
        </w:rPr>
        <w:t> </w:t>
      </w:r>
      <w:r>
        <w:rPr>
          <w:sz w:val="24"/>
        </w:rPr>
        <w:t>salary</w:t>
      </w:r>
      <w:r>
        <w:rPr>
          <w:spacing w:val="-2"/>
          <w:sz w:val="24"/>
        </w:rPr>
        <w:t> </w:t>
      </w:r>
      <w:r>
        <w:rPr>
          <w:sz w:val="24"/>
        </w:rPr>
        <w:t>and be integrated into the regular scale of pay only after professional training.</w:t>
      </w:r>
    </w:p>
    <w:p>
      <w:pPr>
        <w:pStyle w:val="BodyText"/>
        <w:spacing w:before="4"/>
      </w:pPr>
    </w:p>
    <w:p>
      <w:pPr>
        <w:pStyle w:val="ListParagraph"/>
        <w:numPr>
          <w:ilvl w:val="1"/>
          <w:numId w:val="47"/>
        </w:numPr>
        <w:tabs>
          <w:tab w:pos="649" w:val="left" w:leader="none"/>
        </w:tabs>
        <w:spacing w:line="240" w:lineRule="auto" w:before="0" w:after="0"/>
        <w:ind w:left="160" w:right="497" w:firstLine="0"/>
        <w:jc w:val="both"/>
        <w:rPr>
          <w:sz w:val="24"/>
        </w:rPr>
      </w:pPr>
      <w:r>
        <w:rPr>
          <w:sz w:val="24"/>
        </w:rPr>
        <w:t>The effect of these proposals can be appreciated in relation to the existing situation. The Commission carried out a study of the emoluments of school teachers in 29 districts (out of a total of 312) and its relevant findings are shown in Table 3.4.</w:t>
      </w:r>
    </w:p>
    <w:p>
      <w:pPr>
        <w:pStyle w:val="BodyText"/>
        <w:spacing w:before="4"/>
      </w:pPr>
    </w:p>
    <w:p>
      <w:pPr>
        <w:pStyle w:val="ListParagraph"/>
        <w:numPr>
          <w:ilvl w:val="1"/>
          <w:numId w:val="47"/>
        </w:numPr>
        <w:tabs>
          <w:tab w:pos="667" w:val="left" w:leader="none"/>
        </w:tabs>
        <w:spacing w:line="240" w:lineRule="auto" w:before="0" w:after="0"/>
        <w:ind w:left="160" w:right="495" w:firstLine="0"/>
        <w:jc w:val="both"/>
        <w:rPr>
          <w:b/>
          <w:sz w:val="24"/>
        </w:rPr>
      </w:pPr>
      <w:r>
        <w:rPr>
          <w:b/>
          <w:sz w:val="24"/>
        </w:rPr>
        <w:t>Recruitment of School Teachers. </w:t>
      </w:r>
      <w:r>
        <w:rPr>
          <w:sz w:val="24"/>
        </w:rPr>
        <w:t>As at the university stage, the improvement in the salaries of school teachers must be linked with an improvement in their qualifications and methods of recruitment. The responsibility for this will be on the State Education Departments. The qualifications of teachers will have to be prescribed by the State Board of School Education and the Education Departments, would have to devise proper procedures for their recruitment. Our recommendations regarding the qualifications of school teachers have been given above. In the light of these and in view of local conditions,, we trust that the State Board of School Education would prescribe the qualifications for primary and secondary teachers in all schools-government, local authority or private. With regard to methods of recruitment, we make the following </w:t>
      </w:r>
      <w:r>
        <w:rPr>
          <w:spacing w:val="-2"/>
          <w:sz w:val="24"/>
        </w:rPr>
        <w:t>suggestions:</w:t>
      </w:r>
    </w:p>
    <w:p>
      <w:pPr>
        <w:pStyle w:val="BodyText"/>
        <w:spacing w:before="6"/>
      </w:pPr>
    </w:p>
    <w:p>
      <w:pPr>
        <w:pStyle w:val="ListParagraph"/>
        <w:numPr>
          <w:ilvl w:val="0"/>
          <w:numId w:val="55"/>
        </w:numPr>
        <w:tabs>
          <w:tab w:pos="499" w:val="left" w:leader="none"/>
        </w:tabs>
        <w:spacing w:line="240" w:lineRule="auto" w:before="0" w:after="0"/>
        <w:ind w:left="499" w:right="0" w:hanging="339"/>
        <w:jc w:val="both"/>
        <w:rPr>
          <w:sz w:val="24"/>
        </w:rPr>
      </w:pPr>
      <w:r>
        <w:rPr>
          <w:sz w:val="24"/>
        </w:rPr>
        <w:t>Government</w:t>
      </w:r>
      <w:r>
        <w:rPr>
          <w:spacing w:val="-1"/>
          <w:sz w:val="24"/>
        </w:rPr>
        <w:t> </w:t>
      </w:r>
      <w:r>
        <w:rPr>
          <w:sz w:val="24"/>
        </w:rPr>
        <w:t>Schools.</w:t>
      </w:r>
      <w:r>
        <w:rPr>
          <w:spacing w:val="-1"/>
          <w:sz w:val="24"/>
        </w:rPr>
        <w:t> </w:t>
      </w:r>
      <w:r>
        <w:rPr>
          <w:sz w:val="24"/>
        </w:rPr>
        <w:t>The existing</w:t>
      </w:r>
      <w:r>
        <w:rPr>
          <w:spacing w:val="-1"/>
          <w:sz w:val="24"/>
        </w:rPr>
        <w:t> </w:t>
      </w:r>
      <w:r>
        <w:rPr>
          <w:sz w:val="24"/>
        </w:rPr>
        <w:t>methods</w:t>
      </w:r>
      <w:r>
        <w:rPr>
          <w:spacing w:val="-1"/>
          <w:sz w:val="24"/>
        </w:rPr>
        <w:t> </w:t>
      </w:r>
      <w:r>
        <w:rPr>
          <w:sz w:val="24"/>
        </w:rPr>
        <w:t>of recruitment</w:t>
      </w:r>
      <w:r>
        <w:rPr>
          <w:spacing w:val="-1"/>
          <w:sz w:val="24"/>
        </w:rPr>
        <w:t> </w:t>
      </w:r>
      <w:r>
        <w:rPr>
          <w:sz w:val="24"/>
        </w:rPr>
        <w:t>are </w:t>
      </w:r>
      <w:r>
        <w:rPr>
          <w:spacing w:val="-2"/>
          <w:sz w:val="24"/>
        </w:rPr>
        <w:t>satisfactory.</w:t>
      </w:r>
    </w:p>
    <w:p>
      <w:pPr>
        <w:pStyle w:val="BodyText"/>
        <w:spacing w:before="2"/>
      </w:pPr>
    </w:p>
    <w:p>
      <w:pPr>
        <w:pStyle w:val="ListParagraph"/>
        <w:numPr>
          <w:ilvl w:val="0"/>
          <w:numId w:val="55"/>
        </w:numPr>
        <w:tabs>
          <w:tab w:pos="527" w:val="left" w:leader="none"/>
        </w:tabs>
        <w:spacing w:line="240" w:lineRule="auto" w:before="1" w:after="0"/>
        <w:ind w:left="160" w:right="497" w:firstLine="0"/>
        <w:jc w:val="both"/>
        <w:rPr>
          <w:sz w:val="24"/>
        </w:rPr>
      </w:pPr>
      <w:r>
        <w:rPr>
          <w:sz w:val="24"/>
        </w:rPr>
        <w:t>Local Authority Schools. With regard to local authority schools, we recommend in Chapter X the constitution of district school boards which will remain in charge of all school education within a. district. They will recruit the teachers required for their</w:t>
      </w:r>
      <w:r>
        <w:rPr>
          <w:spacing w:val="40"/>
          <w:sz w:val="24"/>
        </w:rPr>
        <w:t> </w:t>
      </w:r>
      <w:r>
        <w:rPr>
          <w:sz w:val="24"/>
        </w:rPr>
        <w:t>schools through selection committees consisting of a representative of the district school board, the District Education Officer or his representative, and a panel of two or four persons as may be prescribed by Government.</w:t>
      </w:r>
    </w:p>
    <w:p>
      <w:pPr>
        <w:pStyle w:val="BodyText"/>
        <w:spacing w:before="3"/>
      </w:pPr>
    </w:p>
    <w:p>
      <w:pPr>
        <w:pStyle w:val="ListParagraph"/>
        <w:numPr>
          <w:ilvl w:val="0"/>
          <w:numId w:val="55"/>
        </w:numPr>
        <w:tabs>
          <w:tab w:pos="501" w:val="left" w:leader="none"/>
        </w:tabs>
        <w:spacing w:line="240" w:lineRule="auto" w:before="0" w:after="0"/>
        <w:ind w:left="160" w:right="497" w:firstLine="0"/>
        <w:jc w:val="both"/>
        <w:rPr>
          <w:sz w:val="24"/>
        </w:rPr>
      </w:pPr>
      <w:r>
        <w:rPr>
          <w:sz w:val="24"/>
        </w:rPr>
        <w:t>With</w:t>
      </w:r>
      <w:r>
        <w:rPr>
          <w:spacing w:val="-1"/>
          <w:sz w:val="24"/>
        </w:rPr>
        <w:t> </w:t>
      </w:r>
      <w:r>
        <w:rPr>
          <w:sz w:val="24"/>
        </w:rPr>
        <w:t>regard</w:t>
      </w:r>
      <w:r>
        <w:rPr>
          <w:spacing w:val="-1"/>
          <w:sz w:val="24"/>
        </w:rPr>
        <w:t> </w:t>
      </w:r>
      <w:r>
        <w:rPr>
          <w:sz w:val="24"/>
        </w:rPr>
        <w:t>to</w:t>
      </w:r>
      <w:r>
        <w:rPr>
          <w:spacing w:val="-2"/>
          <w:sz w:val="24"/>
        </w:rPr>
        <w:t> </w:t>
      </w:r>
      <w:r>
        <w:rPr>
          <w:sz w:val="24"/>
        </w:rPr>
        <w:t>private</w:t>
      </w:r>
      <w:r>
        <w:rPr>
          <w:spacing w:val="-1"/>
          <w:sz w:val="24"/>
        </w:rPr>
        <w:t> </w:t>
      </w:r>
      <w:r>
        <w:rPr>
          <w:sz w:val="24"/>
        </w:rPr>
        <w:t>schools,</w:t>
      </w:r>
      <w:r>
        <w:rPr>
          <w:spacing w:val="-1"/>
          <w:sz w:val="24"/>
        </w:rPr>
        <w:t> </w:t>
      </w:r>
      <w:r>
        <w:rPr>
          <w:sz w:val="24"/>
        </w:rPr>
        <w:t>the</w:t>
      </w:r>
      <w:r>
        <w:rPr>
          <w:spacing w:val="-1"/>
          <w:sz w:val="24"/>
        </w:rPr>
        <w:t> </w:t>
      </w:r>
      <w:r>
        <w:rPr>
          <w:sz w:val="24"/>
        </w:rPr>
        <w:t>existing</w:t>
      </w:r>
      <w:r>
        <w:rPr>
          <w:spacing w:val="-3"/>
          <w:sz w:val="24"/>
        </w:rPr>
        <w:t> </w:t>
      </w:r>
      <w:r>
        <w:rPr>
          <w:sz w:val="24"/>
        </w:rPr>
        <w:t>position</w:t>
      </w:r>
      <w:r>
        <w:rPr>
          <w:spacing w:val="-3"/>
          <w:sz w:val="24"/>
        </w:rPr>
        <w:t> </w:t>
      </w:r>
      <w:r>
        <w:rPr>
          <w:sz w:val="24"/>
        </w:rPr>
        <w:t>leaves</w:t>
      </w:r>
      <w:r>
        <w:rPr>
          <w:spacing w:val="-1"/>
          <w:sz w:val="24"/>
        </w:rPr>
        <w:t> </w:t>
      </w:r>
      <w:r>
        <w:rPr>
          <w:sz w:val="24"/>
        </w:rPr>
        <w:t>much</w:t>
      </w:r>
      <w:r>
        <w:rPr>
          <w:spacing w:val="-1"/>
          <w:sz w:val="24"/>
        </w:rPr>
        <w:t> </w:t>
      </w:r>
      <w:r>
        <w:rPr>
          <w:sz w:val="24"/>
        </w:rPr>
        <w:t>to</w:t>
      </w:r>
      <w:r>
        <w:rPr>
          <w:spacing w:val="-1"/>
          <w:sz w:val="24"/>
        </w:rPr>
        <w:t> </w:t>
      </w:r>
      <w:r>
        <w:rPr>
          <w:sz w:val="24"/>
        </w:rPr>
        <w:t>be</w:t>
      </w:r>
      <w:r>
        <w:rPr>
          <w:spacing w:val="-1"/>
          <w:sz w:val="24"/>
        </w:rPr>
        <w:t> </w:t>
      </w:r>
      <w:r>
        <w:rPr>
          <w:sz w:val="24"/>
        </w:rPr>
        <w:t>desired</w:t>
      </w:r>
      <w:r>
        <w:rPr>
          <w:spacing w:val="-1"/>
          <w:sz w:val="24"/>
        </w:rPr>
        <w:t> </w:t>
      </w:r>
      <w:r>
        <w:rPr>
          <w:sz w:val="24"/>
        </w:rPr>
        <w:t>and</w:t>
      </w:r>
      <w:r>
        <w:rPr>
          <w:spacing w:val="-1"/>
          <w:sz w:val="24"/>
        </w:rPr>
        <w:t> </w:t>
      </w:r>
      <w:r>
        <w:rPr>
          <w:sz w:val="24"/>
        </w:rPr>
        <w:t>the recruitment procedures will have to be tightened on the lines recommended earlier for affiliated</w:t>
      </w:r>
      <w:r>
        <w:rPr>
          <w:spacing w:val="-1"/>
          <w:sz w:val="24"/>
        </w:rPr>
        <w:t> </w:t>
      </w:r>
      <w:r>
        <w:rPr>
          <w:sz w:val="24"/>
        </w:rPr>
        <w:t>colleges.</w:t>
      </w:r>
      <w:r>
        <w:rPr>
          <w:spacing w:val="-1"/>
          <w:sz w:val="24"/>
        </w:rPr>
        <w:t> </w:t>
      </w:r>
      <w:r>
        <w:rPr>
          <w:sz w:val="24"/>
        </w:rPr>
        <w:t>Every</w:t>
      </w:r>
      <w:r>
        <w:rPr>
          <w:spacing w:val="-2"/>
          <w:sz w:val="24"/>
        </w:rPr>
        <w:t> </w:t>
      </w:r>
      <w:r>
        <w:rPr>
          <w:sz w:val="24"/>
        </w:rPr>
        <w:t>school</w:t>
      </w:r>
      <w:r>
        <w:rPr>
          <w:spacing w:val="-1"/>
          <w:sz w:val="24"/>
        </w:rPr>
        <w:t> </w:t>
      </w:r>
      <w:r>
        <w:rPr>
          <w:sz w:val="24"/>
        </w:rPr>
        <w:t>recognized</w:t>
      </w:r>
      <w:r>
        <w:rPr>
          <w:spacing w:val="-1"/>
          <w:sz w:val="24"/>
        </w:rPr>
        <w:t> </w:t>
      </w:r>
      <w:r>
        <w:rPr>
          <w:sz w:val="24"/>
        </w:rPr>
        <w:t>and</w:t>
      </w:r>
      <w:r>
        <w:rPr>
          <w:spacing w:val="-1"/>
          <w:sz w:val="24"/>
        </w:rPr>
        <w:t> </w:t>
      </w:r>
      <w:r>
        <w:rPr>
          <w:sz w:val="24"/>
        </w:rPr>
        <w:t>aided</w:t>
      </w:r>
      <w:r>
        <w:rPr>
          <w:spacing w:val="-1"/>
          <w:sz w:val="24"/>
        </w:rPr>
        <w:t> </w:t>
      </w:r>
      <w:r>
        <w:rPr>
          <w:sz w:val="24"/>
        </w:rPr>
        <w:t>by</w:t>
      </w:r>
      <w:r>
        <w:rPr>
          <w:spacing w:val="-1"/>
          <w:sz w:val="24"/>
        </w:rPr>
        <w:t> </w:t>
      </w:r>
      <w:r>
        <w:rPr>
          <w:sz w:val="24"/>
        </w:rPr>
        <w:t>the</w:t>
      </w:r>
      <w:r>
        <w:rPr>
          <w:spacing w:val="-1"/>
          <w:sz w:val="24"/>
        </w:rPr>
        <w:t> </w:t>
      </w:r>
      <w:r>
        <w:rPr>
          <w:sz w:val="24"/>
        </w:rPr>
        <w:t>State</w:t>
      </w:r>
      <w:r>
        <w:rPr>
          <w:spacing w:val="-1"/>
          <w:sz w:val="24"/>
        </w:rPr>
        <w:t> </w:t>
      </w:r>
      <w:r>
        <w:rPr>
          <w:sz w:val="24"/>
        </w:rPr>
        <w:t>Education</w:t>
      </w:r>
      <w:r>
        <w:rPr>
          <w:spacing w:val="-1"/>
          <w:sz w:val="24"/>
        </w:rPr>
        <w:t> </w:t>
      </w:r>
      <w:r>
        <w:rPr>
          <w:sz w:val="24"/>
        </w:rPr>
        <w:t>Department </w:t>
      </w:r>
      <w:r>
        <w:rPr>
          <w:spacing w:val="-2"/>
          <w:sz w:val="24"/>
        </w:rPr>
        <w:t>should</w:t>
      </w:r>
    </w:p>
    <w:p>
      <w:pPr>
        <w:pStyle w:val="BodyText"/>
        <w:spacing w:before="224"/>
        <w:rPr>
          <w:sz w:val="20"/>
        </w:rPr>
      </w:pPr>
      <w:r>
        <w:rPr/>
        <mc:AlternateContent>
          <mc:Choice Requires="wps">
            <w:drawing>
              <wp:anchor distT="0" distB="0" distL="0" distR="0" allowOverlap="1" layoutInCell="1" locked="0" behindDoc="1" simplePos="0" relativeHeight="487594496">
                <wp:simplePos x="0" y="0"/>
                <wp:positionH relativeFrom="page">
                  <wp:posOffset>1143000</wp:posOffset>
                </wp:positionH>
                <wp:positionV relativeFrom="paragraph">
                  <wp:posOffset>303557</wp:posOffset>
                </wp:positionV>
                <wp:extent cx="5486400" cy="19050"/>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5486400" cy="19050"/>
                          <a:chExt cx="5486400" cy="19050"/>
                        </a:xfrm>
                      </wpg:grpSpPr>
                      <wps:wsp>
                        <wps:cNvPr id="92" name="Graphic 92"/>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93" name="Graphic 93"/>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94" name="Graphic 94"/>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95" name="Graphic 95"/>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96" name="Graphic 96"/>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97" name="Graphic 97"/>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98" name="Graphic 98"/>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902178pt;width:432pt;height:1.5pt;mso-position-horizontal-relative:page;mso-position-vertical-relative:paragraph;z-index:-15721984;mso-wrap-distance-left:0;mso-wrap-distance-right:0" id="docshapegroup86" coordorigin="1800,478" coordsize="8640,30">
                <v:rect style="position:absolute;left:1800;top:478;width:8640;height:30" id="docshape87" filled="true" fillcolor="#808080" stroked="false">
                  <v:fill type="solid"/>
                </v:rect>
                <v:shape style="position:absolute;left:1800;top:478;width:8636;height:5" id="docshape88" coordorigin="1800,478" coordsize="8636,5" path="m10435,478l1805,478,1800,478,1800,483,1805,483,10435,483,10435,478xe" filled="true" fillcolor="#aca89a" stroked="false">
                  <v:path arrowok="t"/>
                  <v:fill type="solid"/>
                </v:shape>
                <v:rect style="position:absolute;left:10435;top:478;width:5;height:5" id="docshape89" filled="true" fillcolor="#f1efe2" stroked="false">
                  <v:fill type="solid"/>
                </v:rect>
                <v:shape style="position:absolute;left:1800;top:478;width:8640;height:26" id="docshape90" coordorigin="1800,478" coordsize="8640,26" path="m1805,483l1800,483,1800,503,1805,503,1805,483xm10440,478l10435,478,10435,483,10440,483,10440,478xe" filled="true" fillcolor="#aca89a" stroked="false">
                  <v:path arrowok="t"/>
                  <v:fill type="solid"/>
                </v:shape>
                <v:rect style="position:absolute;left:10435;top:482;width:5;height:21" id="docshape91" filled="true" fillcolor="#f1efe2" stroked="false">
                  <v:fill type="solid"/>
                </v:rect>
                <v:rect style="position:absolute;left:1800;top:503;width:5;height:5" id="docshape92" filled="true" fillcolor="#aca89a" stroked="false">
                  <v:fill type="solid"/>
                </v:rect>
                <v:shape style="position:absolute;left:1800;top:503;width:8640;height:5" id="docshape93" coordorigin="1800,503" coordsize="8640,5" path="m10440,503l10435,503,1800,503,1800,508,10435,508,10440,508,10440,503xe" filled="true" fillcolor="#f1efe2" stroked="false">
                  <v:path arrowok="t"/>
                  <v:fill type="solid"/>
                </v:shape>
                <w10:wrap type="topAndBottom"/>
              </v:group>
            </w:pict>
          </mc:Fallback>
        </mc:AlternateContent>
      </w:r>
    </w:p>
    <w:p>
      <w:pPr>
        <w:pStyle w:val="BodyText"/>
        <w:spacing w:before="48"/>
        <w:ind w:left="383"/>
      </w:pPr>
      <w:r>
        <w:rPr/>
        <w:t>TABLE</w:t>
      </w:r>
      <w:r>
        <w:rPr>
          <w:spacing w:val="-4"/>
        </w:rPr>
        <w:t> </w:t>
      </w:r>
      <w:r>
        <w:rPr/>
        <w:t>3.4.</w:t>
      </w:r>
      <w:r>
        <w:rPr>
          <w:spacing w:val="-3"/>
        </w:rPr>
        <w:t> </w:t>
      </w:r>
      <w:r>
        <w:rPr/>
        <w:t>EMOLUMENTS</w:t>
      </w:r>
      <w:r>
        <w:rPr>
          <w:spacing w:val="-3"/>
        </w:rPr>
        <w:t> </w:t>
      </w:r>
      <w:r>
        <w:rPr/>
        <w:t>OF</w:t>
      </w:r>
      <w:r>
        <w:rPr>
          <w:spacing w:val="-3"/>
        </w:rPr>
        <w:t> </w:t>
      </w:r>
      <w:r>
        <w:rPr/>
        <w:t>SCHOOL</w:t>
      </w:r>
      <w:r>
        <w:rPr>
          <w:spacing w:val="-3"/>
        </w:rPr>
        <w:t> </w:t>
      </w:r>
      <w:r>
        <w:rPr/>
        <w:t>TEACHERS</w:t>
      </w:r>
      <w:r>
        <w:rPr>
          <w:spacing w:val="-2"/>
        </w:rPr>
        <w:t> </w:t>
      </w:r>
      <w:r>
        <w:rPr/>
        <w:t>IN</w:t>
      </w:r>
      <w:r>
        <w:rPr>
          <w:spacing w:val="-3"/>
        </w:rPr>
        <w:t> </w:t>
      </w:r>
      <w:r>
        <w:rPr/>
        <w:t>29</w:t>
      </w:r>
      <w:r>
        <w:rPr>
          <w:spacing w:val="-2"/>
        </w:rPr>
        <w:t> </w:t>
      </w:r>
      <w:r>
        <w:rPr/>
        <w:t>DISTRICTS</w:t>
      </w:r>
      <w:r>
        <w:rPr>
          <w:spacing w:val="-2"/>
        </w:rPr>
        <w:t> (1965)</w:t>
      </w:r>
    </w:p>
    <w:p>
      <w:pPr>
        <w:pStyle w:val="BodyText"/>
        <w:spacing w:before="1"/>
        <w:rPr>
          <w:sz w:val="15"/>
        </w:rPr>
      </w:pPr>
      <w:r>
        <w:rPr/>
        <mc:AlternateContent>
          <mc:Choice Requires="wps">
            <w:drawing>
              <wp:anchor distT="0" distB="0" distL="0" distR="0" allowOverlap="1" layoutInCell="1" locked="0" behindDoc="1" simplePos="0" relativeHeight="487595008">
                <wp:simplePos x="0" y="0"/>
                <wp:positionH relativeFrom="page">
                  <wp:posOffset>1143000</wp:posOffset>
                </wp:positionH>
                <wp:positionV relativeFrom="paragraph">
                  <wp:posOffset>125744</wp:posOffset>
                </wp:positionV>
                <wp:extent cx="5486400" cy="19050"/>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5486400" cy="19050"/>
                          <a:chExt cx="5486400" cy="19050"/>
                        </a:xfrm>
                      </wpg:grpSpPr>
                      <wps:wsp>
                        <wps:cNvPr id="100" name="Graphic 10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01" name="Graphic 10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02" name="Graphic 10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03" name="Graphic 103"/>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04" name="Graphic 104"/>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105" name="Graphic 105"/>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106" name="Graphic 106"/>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1162pt;width:432pt;height:1.5pt;mso-position-horizontal-relative:page;mso-position-vertical-relative:paragraph;z-index:-15721472;mso-wrap-distance-left:0;mso-wrap-distance-right:0" id="docshapegroup94" coordorigin="1800,198" coordsize="8640,30">
                <v:rect style="position:absolute;left:1800;top:198;width:8640;height:30" id="docshape95" filled="true" fillcolor="#808080" stroked="false">
                  <v:fill type="solid"/>
                </v:rect>
                <v:shape style="position:absolute;left:1800;top:198;width:8636;height:5" id="docshape96" coordorigin="1800,198" coordsize="8636,5" path="m10435,198l1805,198,1800,198,1800,203,1805,203,10435,203,10435,198xe" filled="true" fillcolor="#aca89a" stroked="false">
                  <v:path arrowok="t"/>
                  <v:fill type="solid"/>
                </v:shape>
                <v:rect style="position:absolute;left:10435;top:198;width:5;height:5" id="docshape97" filled="true" fillcolor="#f1efe2" stroked="false">
                  <v:fill type="solid"/>
                </v:rect>
                <v:shape style="position:absolute;left:1800;top:198;width:8640;height:26" id="docshape98" coordorigin="1800,198" coordsize="8640,26" path="m1805,203l1800,203,1800,223,1805,223,1805,203xm10440,198l10435,198,10435,203,10440,203,10440,198xe" filled="true" fillcolor="#aca89a" stroked="false">
                  <v:path arrowok="t"/>
                  <v:fill type="solid"/>
                </v:shape>
                <v:rect style="position:absolute;left:10435;top:202;width:5;height:21" id="docshape99" filled="true" fillcolor="#f1efe2" stroked="false">
                  <v:fill type="solid"/>
                </v:rect>
                <v:rect style="position:absolute;left:1800;top:223;width:5;height:5" id="docshape100" filled="true" fillcolor="#aca89a" stroked="false">
                  <v:fill type="solid"/>
                </v:rect>
                <v:shape style="position:absolute;left:1800;top:223;width:8640;height:5" id="docshape101"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spacing w:before="48" w:after="11"/>
        <w:ind w:left="4059"/>
      </w:pPr>
      <w:r>
        <w:rPr/>
        <w:t>Percentage of </w:t>
      </w:r>
      <w:r>
        <w:rPr>
          <w:spacing w:val="-2"/>
        </w:rPr>
        <w:t>Teachers</w:t>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95"/>
        <w:gridCol w:w="1544"/>
        <w:gridCol w:w="4597"/>
      </w:tblGrid>
      <w:tr>
        <w:trPr>
          <w:trHeight w:val="739" w:hRule="atLeast"/>
        </w:trPr>
        <w:tc>
          <w:tcPr>
            <w:tcW w:w="2495" w:type="dxa"/>
            <w:tcBorders>
              <w:bottom w:val="single" w:sz="12" w:space="0" w:color="808080"/>
            </w:tcBorders>
          </w:tcPr>
          <w:p>
            <w:pPr>
              <w:pStyle w:val="TableParagraph"/>
              <w:spacing w:line="266" w:lineRule="exact"/>
              <w:ind w:left="-3"/>
              <w:rPr>
                <w:sz w:val="24"/>
              </w:rPr>
            </w:pPr>
            <w:r>
              <w:rPr>
                <w:sz w:val="24"/>
              </w:rPr>
              <w:t>Emoluments</w:t>
            </w:r>
            <w:r>
              <w:rPr>
                <w:spacing w:val="-4"/>
                <w:sz w:val="24"/>
              </w:rPr>
              <w:t> </w:t>
            </w:r>
            <w:r>
              <w:rPr>
                <w:sz w:val="24"/>
              </w:rPr>
              <w:t>per</w:t>
            </w:r>
            <w:r>
              <w:rPr>
                <w:spacing w:val="-2"/>
                <w:sz w:val="24"/>
              </w:rPr>
              <w:t> month</w:t>
            </w:r>
          </w:p>
        </w:tc>
        <w:tc>
          <w:tcPr>
            <w:tcW w:w="1544" w:type="dxa"/>
            <w:tcBorders>
              <w:bottom w:val="single" w:sz="12" w:space="0" w:color="808080"/>
            </w:tcBorders>
          </w:tcPr>
          <w:p>
            <w:pPr>
              <w:pStyle w:val="TableParagraph"/>
              <w:ind w:left="250" w:right="533" w:hanging="3"/>
              <w:rPr>
                <w:sz w:val="24"/>
              </w:rPr>
            </w:pPr>
            <w:r>
              <w:rPr>
                <w:spacing w:val="-2"/>
                <w:sz w:val="24"/>
              </w:rPr>
              <w:t>Lower primary</w:t>
            </w:r>
          </w:p>
        </w:tc>
        <w:tc>
          <w:tcPr>
            <w:tcW w:w="4597" w:type="dxa"/>
            <w:tcBorders>
              <w:bottom w:val="single" w:sz="12" w:space="0" w:color="808080"/>
            </w:tcBorders>
          </w:tcPr>
          <w:p>
            <w:pPr>
              <w:pStyle w:val="TableParagraph"/>
              <w:tabs>
                <w:tab w:pos="2368" w:val="left" w:leader="none"/>
              </w:tabs>
              <w:ind w:left="537" w:right="1211" w:hanging="1"/>
              <w:rPr>
                <w:sz w:val="24"/>
              </w:rPr>
            </w:pPr>
            <w:r>
              <w:rPr>
                <w:spacing w:val="-2"/>
                <w:sz w:val="24"/>
              </w:rPr>
              <w:t>Higher</w:t>
            </w:r>
            <w:r>
              <w:rPr>
                <w:sz w:val="24"/>
              </w:rPr>
              <w:tab/>
            </w:r>
            <w:r>
              <w:rPr>
                <w:spacing w:val="-2"/>
                <w:sz w:val="24"/>
              </w:rPr>
              <w:t>Secondary primary</w:t>
            </w:r>
          </w:p>
        </w:tc>
      </w:tr>
      <w:tr>
        <w:trPr>
          <w:trHeight w:val="329" w:hRule="atLeast"/>
        </w:trPr>
        <w:tc>
          <w:tcPr>
            <w:tcW w:w="2495" w:type="dxa"/>
            <w:tcBorders>
              <w:top w:val="single" w:sz="12" w:space="0" w:color="808080"/>
            </w:tcBorders>
          </w:tcPr>
          <w:p>
            <w:pPr>
              <w:pStyle w:val="TableParagraph"/>
              <w:spacing w:line="261" w:lineRule="exact" w:before="48"/>
              <w:ind w:left="-3"/>
              <w:rPr>
                <w:sz w:val="24"/>
              </w:rPr>
            </w:pPr>
            <w:r>
              <w:rPr>
                <w:sz w:val="24"/>
              </w:rPr>
              <w:t>Rs.</w:t>
            </w:r>
            <w:r>
              <w:rPr>
                <w:spacing w:val="-1"/>
                <w:sz w:val="24"/>
              </w:rPr>
              <w:t> </w:t>
            </w:r>
            <w:r>
              <w:rPr>
                <w:sz w:val="24"/>
              </w:rPr>
              <w:t>60</w:t>
            </w:r>
            <w:r>
              <w:rPr>
                <w:spacing w:val="-1"/>
                <w:sz w:val="24"/>
              </w:rPr>
              <w:t> </w:t>
            </w:r>
            <w:r>
              <w:rPr>
                <w:sz w:val="24"/>
              </w:rPr>
              <w:t>and</w:t>
            </w:r>
            <w:r>
              <w:rPr>
                <w:spacing w:val="-1"/>
                <w:sz w:val="24"/>
              </w:rPr>
              <w:t> </w:t>
            </w:r>
            <w:r>
              <w:rPr>
                <w:spacing w:val="-4"/>
                <w:sz w:val="24"/>
              </w:rPr>
              <w:t>less</w:t>
            </w:r>
          </w:p>
        </w:tc>
        <w:tc>
          <w:tcPr>
            <w:tcW w:w="1544" w:type="dxa"/>
            <w:tcBorders>
              <w:top w:val="single" w:sz="12" w:space="0" w:color="808080"/>
            </w:tcBorders>
          </w:tcPr>
          <w:p>
            <w:pPr>
              <w:pStyle w:val="TableParagraph"/>
              <w:spacing w:line="261" w:lineRule="exact" w:before="48"/>
              <w:ind w:left="250"/>
              <w:rPr>
                <w:sz w:val="24"/>
              </w:rPr>
            </w:pPr>
            <w:r>
              <w:rPr>
                <w:spacing w:val="-5"/>
                <w:sz w:val="24"/>
              </w:rPr>
              <w:t>2.2</w:t>
            </w:r>
          </w:p>
        </w:tc>
        <w:tc>
          <w:tcPr>
            <w:tcW w:w="4597" w:type="dxa"/>
            <w:tcBorders>
              <w:top w:val="single" w:sz="12" w:space="0" w:color="808080"/>
            </w:tcBorders>
          </w:tcPr>
          <w:p>
            <w:pPr>
              <w:pStyle w:val="TableParagraph"/>
              <w:spacing w:line="261" w:lineRule="exact" w:before="48"/>
              <w:ind w:left="537"/>
              <w:rPr>
                <w:sz w:val="24"/>
              </w:rPr>
            </w:pPr>
            <w:r>
              <w:rPr/>
              <mc:AlternateContent>
                <mc:Choice Requires="wps">
                  <w:drawing>
                    <wp:anchor distT="0" distB="0" distL="0" distR="0" allowOverlap="1" layoutInCell="1" locked="0" behindDoc="0" simplePos="0" relativeHeight="15736320">
                      <wp:simplePos x="0" y="0"/>
                      <wp:positionH relativeFrom="column">
                        <wp:posOffset>2916549</wp:posOffset>
                      </wp:positionH>
                      <wp:positionV relativeFrom="paragraph">
                        <wp:posOffset>-19262</wp:posOffset>
                      </wp:positionV>
                      <wp:extent cx="3175" cy="1651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3175" cy="16510"/>
                                <a:chExt cx="3175" cy="16510"/>
                              </a:xfrm>
                            </wpg:grpSpPr>
                            <wps:wsp>
                              <wps:cNvPr id="108" name="Graphic 108"/>
                              <wps:cNvSpPr/>
                              <wps:spPr>
                                <a:xfrm>
                                  <a:off x="0" y="12"/>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229.649567pt;margin-top:-1.516763pt;width:.25pt;height:1.3pt;mso-position-horizontal-relative:column;mso-position-vertical-relative:paragraph;z-index:15736320" id="docshapegroup102" coordorigin="4593,-30" coordsize="5,26">
                      <v:shape style="position:absolute;left:4593;top:-31;width:5;height:26" id="docshape103" coordorigin="4593,-30" coordsize="5,26" path="m4598,-30l4593,-30,4593,-26,4593,-5,4598,-5,4598,-26,4598,-30xe" filled="true" fillcolor="#f1efe2" stroked="false">
                        <v:path arrowok="t"/>
                        <v:fill type="solid"/>
                      </v:shape>
                      <w10:wrap type="none"/>
                    </v:group>
                  </w:pict>
                </mc:Fallback>
              </mc:AlternateContent>
            </w:r>
            <w:r>
              <w:rPr>
                <w:spacing w:val="-5"/>
                <w:sz w:val="24"/>
              </w:rPr>
              <w:t>2.3</w:t>
            </w:r>
          </w:p>
        </w:tc>
      </w:tr>
      <w:tr>
        <w:trPr>
          <w:trHeight w:val="270" w:hRule="atLeast"/>
        </w:trPr>
        <w:tc>
          <w:tcPr>
            <w:tcW w:w="2495" w:type="dxa"/>
          </w:tcPr>
          <w:p>
            <w:pPr>
              <w:pStyle w:val="TableParagraph"/>
              <w:spacing w:line="251" w:lineRule="exact"/>
              <w:ind w:left="-3"/>
              <w:rPr>
                <w:sz w:val="24"/>
              </w:rPr>
            </w:pPr>
            <w:r>
              <w:rPr>
                <w:sz w:val="24"/>
              </w:rPr>
              <w:t>60-</w:t>
            </w:r>
            <w:r>
              <w:rPr>
                <w:spacing w:val="-5"/>
                <w:sz w:val="24"/>
              </w:rPr>
              <w:t>80</w:t>
            </w:r>
          </w:p>
        </w:tc>
        <w:tc>
          <w:tcPr>
            <w:tcW w:w="1544" w:type="dxa"/>
          </w:tcPr>
          <w:p>
            <w:pPr>
              <w:pStyle w:val="TableParagraph"/>
              <w:spacing w:line="251" w:lineRule="exact"/>
              <w:ind w:left="250"/>
              <w:rPr>
                <w:sz w:val="24"/>
              </w:rPr>
            </w:pPr>
            <w:r>
              <w:rPr>
                <w:spacing w:val="-4"/>
                <w:sz w:val="24"/>
              </w:rPr>
              <w:t>15.7</w:t>
            </w:r>
          </w:p>
        </w:tc>
        <w:tc>
          <w:tcPr>
            <w:tcW w:w="4597" w:type="dxa"/>
          </w:tcPr>
          <w:p>
            <w:pPr>
              <w:pStyle w:val="TableParagraph"/>
              <w:spacing w:line="251" w:lineRule="exact"/>
              <w:ind w:left="538"/>
              <w:rPr>
                <w:sz w:val="24"/>
              </w:rPr>
            </w:pPr>
            <w:r>
              <w:rPr>
                <w:spacing w:val="-5"/>
                <w:sz w:val="24"/>
              </w:rPr>
              <w:t>4.9</w:t>
            </w:r>
          </w:p>
        </w:tc>
      </w:tr>
    </w:tbl>
    <w:p>
      <w:pPr>
        <w:spacing w:after="0" w:line="251" w:lineRule="exact"/>
        <w:rPr>
          <w:sz w:val="24"/>
        </w:rPr>
        <w:sectPr>
          <w:pgSz w:w="12240" w:h="15840"/>
          <w:pgMar w:header="0" w:footer="743" w:top="1360" w:bottom="940" w:left="1640" w:right="1300"/>
        </w:sectPr>
      </w:pPr>
    </w:p>
    <w:p>
      <w:pPr>
        <w:pStyle w:val="BodyText"/>
        <w:spacing w:before="3"/>
        <w:rPr>
          <w:sz w:val="2"/>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4"/>
        <w:gridCol w:w="2241"/>
        <w:gridCol w:w="1742"/>
        <w:gridCol w:w="2752"/>
      </w:tblGrid>
      <w:tr>
        <w:trPr>
          <w:trHeight w:val="270" w:hRule="atLeast"/>
        </w:trPr>
        <w:tc>
          <w:tcPr>
            <w:tcW w:w="1904" w:type="dxa"/>
          </w:tcPr>
          <w:p>
            <w:pPr>
              <w:pStyle w:val="TableParagraph"/>
              <w:spacing w:line="251" w:lineRule="exact"/>
              <w:rPr>
                <w:sz w:val="24"/>
              </w:rPr>
            </w:pPr>
            <w:r>
              <w:rPr>
                <w:sz w:val="24"/>
              </w:rPr>
              <w:t>81-</w:t>
            </w:r>
            <w:r>
              <w:rPr>
                <w:spacing w:val="-5"/>
                <w:sz w:val="24"/>
              </w:rPr>
              <w:t>100</w:t>
            </w:r>
          </w:p>
        </w:tc>
        <w:tc>
          <w:tcPr>
            <w:tcW w:w="2241" w:type="dxa"/>
          </w:tcPr>
          <w:p>
            <w:pPr>
              <w:pStyle w:val="TableParagraph"/>
              <w:spacing w:line="251" w:lineRule="exact"/>
              <w:ind w:left="843"/>
              <w:rPr>
                <w:sz w:val="24"/>
              </w:rPr>
            </w:pPr>
            <w:r>
              <w:rPr>
                <w:spacing w:val="-4"/>
                <w:sz w:val="24"/>
              </w:rPr>
              <w:t>29.9</w:t>
            </w:r>
          </w:p>
        </w:tc>
        <w:tc>
          <w:tcPr>
            <w:tcW w:w="1742" w:type="dxa"/>
          </w:tcPr>
          <w:p>
            <w:pPr>
              <w:pStyle w:val="TableParagraph"/>
              <w:spacing w:line="251" w:lineRule="exact"/>
              <w:ind w:left="434"/>
              <w:rPr>
                <w:sz w:val="24"/>
              </w:rPr>
            </w:pPr>
            <w:r>
              <w:rPr>
                <w:spacing w:val="-4"/>
                <w:sz w:val="24"/>
              </w:rPr>
              <w:t>14.1</w:t>
            </w:r>
          </w:p>
        </w:tc>
        <w:tc>
          <w:tcPr>
            <w:tcW w:w="2752" w:type="dxa"/>
          </w:tcPr>
          <w:p>
            <w:pPr>
              <w:pStyle w:val="TableParagraph"/>
              <w:spacing w:line="251" w:lineRule="exact"/>
              <w:ind w:left="524"/>
              <w:rPr>
                <w:sz w:val="24"/>
              </w:rPr>
            </w:pPr>
            <w:r>
              <w:rPr>
                <w:spacing w:val="-4"/>
                <w:sz w:val="24"/>
              </w:rPr>
              <w:t>4.3*</w:t>
            </w:r>
          </w:p>
        </w:tc>
      </w:tr>
      <w:tr>
        <w:trPr>
          <w:trHeight w:val="275" w:hRule="atLeast"/>
        </w:trPr>
        <w:tc>
          <w:tcPr>
            <w:tcW w:w="1904" w:type="dxa"/>
          </w:tcPr>
          <w:p>
            <w:pPr>
              <w:pStyle w:val="TableParagraph"/>
              <w:spacing w:line="256" w:lineRule="exact"/>
              <w:rPr>
                <w:sz w:val="24"/>
              </w:rPr>
            </w:pPr>
            <w:r>
              <w:rPr>
                <w:sz w:val="24"/>
              </w:rPr>
              <w:t>101-</w:t>
            </w:r>
            <w:r>
              <w:rPr>
                <w:spacing w:val="-5"/>
                <w:sz w:val="24"/>
              </w:rPr>
              <w:t>120</w:t>
            </w:r>
          </w:p>
        </w:tc>
        <w:tc>
          <w:tcPr>
            <w:tcW w:w="2241" w:type="dxa"/>
          </w:tcPr>
          <w:p>
            <w:pPr>
              <w:pStyle w:val="TableParagraph"/>
              <w:spacing w:line="256" w:lineRule="exact"/>
              <w:ind w:left="843"/>
              <w:rPr>
                <w:sz w:val="24"/>
              </w:rPr>
            </w:pPr>
            <w:r>
              <w:rPr>
                <w:spacing w:val="-4"/>
                <w:sz w:val="24"/>
              </w:rPr>
              <w:t>25.4</w:t>
            </w:r>
          </w:p>
        </w:tc>
        <w:tc>
          <w:tcPr>
            <w:tcW w:w="1742" w:type="dxa"/>
          </w:tcPr>
          <w:p>
            <w:pPr>
              <w:pStyle w:val="TableParagraph"/>
              <w:spacing w:line="256" w:lineRule="exact"/>
              <w:ind w:left="434"/>
              <w:rPr>
                <w:sz w:val="24"/>
              </w:rPr>
            </w:pPr>
            <w:r>
              <w:rPr>
                <w:spacing w:val="-4"/>
                <w:sz w:val="24"/>
              </w:rPr>
              <w:t>19.3</w:t>
            </w:r>
          </w:p>
        </w:tc>
        <w:tc>
          <w:tcPr>
            <w:tcW w:w="2752" w:type="dxa"/>
          </w:tcPr>
          <w:p>
            <w:pPr>
              <w:pStyle w:val="TableParagraph"/>
              <w:spacing w:line="256" w:lineRule="exact"/>
              <w:ind w:left="524"/>
              <w:rPr>
                <w:sz w:val="24"/>
              </w:rPr>
            </w:pPr>
            <w:r>
              <w:rPr>
                <w:spacing w:val="-5"/>
                <w:sz w:val="24"/>
              </w:rPr>
              <w:t>9.1</w:t>
            </w:r>
          </w:p>
        </w:tc>
      </w:tr>
      <w:tr>
        <w:trPr>
          <w:trHeight w:val="275" w:hRule="atLeast"/>
        </w:trPr>
        <w:tc>
          <w:tcPr>
            <w:tcW w:w="1904" w:type="dxa"/>
          </w:tcPr>
          <w:p>
            <w:pPr>
              <w:pStyle w:val="TableParagraph"/>
              <w:spacing w:line="256" w:lineRule="exact"/>
              <w:rPr>
                <w:sz w:val="24"/>
              </w:rPr>
            </w:pPr>
            <w:r>
              <w:rPr>
                <w:sz w:val="24"/>
              </w:rPr>
              <w:t>121-</w:t>
            </w:r>
            <w:r>
              <w:rPr>
                <w:spacing w:val="-5"/>
                <w:sz w:val="24"/>
              </w:rPr>
              <w:t>140</w:t>
            </w:r>
          </w:p>
        </w:tc>
        <w:tc>
          <w:tcPr>
            <w:tcW w:w="2241" w:type="dxa"/>
          </w:tcPr>
          <w:p>
            <w:pPr>
              <w:pStyle w:val="TableParagraph"/>
              <w:spacing w:line="256" w:lineRule="exact"/>
              <w:ind w:left="843"/>
              <w:rPr>
                <w:sz w:val="24"/>
              </w:rPr>
            </w:pPr>
            <w:r>
              <w:rPr>
                <w:spacing w:val="-4"/>
                <w:sz w:val="24"/>
              </w:rPr>
              <w:t>22.1</w:t>
            </w:r>
          </w:p>
        </w:tc>
        <w:tc>
          <w:tcPr>
            <w:tcW w:w="1742" w:type="dxa"/>
          </w:tcPr>
          <w:p>
            <w:pPr>
              <w:pStyle w:val="TableParagraph"/>
              <w:spacing w:line="256" w:lineRule="exact"/>
              <w:ind w:left="434"/>
              <w:rPr>
                <w:sz w:val="24"/>
              </w:rPr>
            </w:pPr>
            <w:r>
              <w:rPr>
                <w:spacing w:val="-4"/>
                <w:sz w:val="24"/>
              </w:rPr>
              <w:t>31.1</w:t>
            </w:r>
          </w:p>
        </w:tc>
        <w:tc>
          <w:tcPr>
            <w:tcW w:w="2752" w:type="dxa"/>
          </w:tcPr>
          <w:p>
            <w:pPr>
              <w:pStyle w:val="TableParagraph"/>
              <w:spacing w:line="256" w:lineRule="exact"/>
              <w:ind w:left="524"/>
              <w:rPr>
                <w:sz w:val="24"/>
              </w:rPr>
            </w:pPr>
            <w:r>
              <w:rPr>
                <w:spacing w:val="-4"/>
                <w:sz w:val="24"/>
              </w:rPr>
              <w:t>13.2</w:t>
            </w:r>
          </w:p>
        </w:tc>
      </w:tr>
      <w:tr>
        <w:trPr>
          <w:trHeight w:val="275" w:hRule="atLeast"/>
        </w:trPr>
        <w:tc>
          <w:tcPr>
            <w:tcW w:w="1904" w:type="dxa"/>
          </w:tcPr>
          <w:p>
            <w:pPr>
              <w:pStyle w:val="TableParagraph"/>
              <w:spacing w:line="256" w:lineRule="exact"/>
              <w:rPr>
                <w:sz w:val="24"/>
              </w:rPr>
            </w:pPr>
            <w:r>
              <w:rPr>
                <w:sz w:val="24"/>
              </w:rPr>
              <w:t>141-</w:t>
            </w:r>
            <w:r>
              <w:rPr>
                <w:spacing w:val="-5"/>
                <w:sz w:val="24"/>
              </w:rPr>
              <w:t>160</w:t>
            </w:r>
          </w:p>
        </w:tc>
        <w:tc>
          <w:tcPr>
            <w:tcW w:w="2241" w:type="dxa"/>
          </w:tcPr>
          <w:p>
            <w:pPr>
              <w:pStyle w:val="TableParagraph"/>
              <w:spacing w:line="256" w:lineRule="exact"/>
              <w:ind w:left="843"/>
              <w:rPr>
                <w:sz w:val="24"/>
              </w:rPr>
            </w:pPr>
            <w:r>
              <w:rPr>
                <w:spacing w:val="-5"/>
                <w:sz w:val="24"/>
              </w:rPr>
              <w:t>2.9</w:t>
            </w:r>
          </w:p>
        </w:tc>
        <w:tc>
          <w:tcPr>
            <w:tcW w:w="1742" w:type="dxa"/>
          </w:tcPr>
          <w:p>
            <w:pPr>
              <w:pStyle w:val="TableParagraph"/>
              <w:spacing w:line="256" w:lineRule="exact"/>
              <w:ind w:left="434"/>
              <w:rPr>
                <w:sz w:val="24"/>
              </w:rPr>
            </w:pPr>
            <w:r>
              <w:rPr>
                <w:spacing w:val="-4"/>
                <w:sz w:val="24"/>
              </w:rPr>
              <w:t>13.0</w:t>
            </w:r>
          </w:p>
        </w:tc>
        <w:tc>
          <w:tcPr>
            <w:tcW w:w="2752" w:type="dxa"/>
          </w:tcPr>
          <w:p>
            <w:pPr>
              <w:pStyle w:val="TableParagraph"/>
              <w:spacing w:line="256" w:lineRule="exact"/>
              <w:ind w:left="524"/>
              <w:rPr>
                <w:sz w:val="24"/>
              </w:rPr>
            </w:pPr>
            <w:r>
              <w:rPr>
                <w:spacing w:val="-4"/>
                <w:sz w:val="24"/>
              </w:rPr>
              <w:t>17.6</w:t>
            </w:r>
          </w:p>
        </w:tc>
      </w:tr>
      <w:tr>
        <w:trPr>
          <w:trHeight w:val="275" w:hRule="atLeast"/>
        </w:trPr>
        <w:tc>
          <w:tcPr>
            <w:tcW w:w="1904" w:type="dxa"/>
          </w:tcPr>
          <w:p>
            <w:pPr>
              <w:pStyle w:val="TableParagraph"/>
              <w:spacing w:line="256" w:lineRule="exact"/>
              <w:rPr>
                <w:sz w:val="24"/>
              </w:rPr>
            </w:pPr>
            <w:r>
              <w:rPr>
                <w:sz w:val="24"/>
              </w:rPr>
              <w:t>161-</w:t>
            </w:r>
            <w:r>
              <w:rPr>
                <w:spacing w:val="-5"/>
                <w:sz w:val="24"/>
              </w:rPr>
              <w:t>180</w:t>
            </w:r>
          </w:p>
        </w:tc>
        <w:tc>
          <w:tcPr>
            <w:tcW w:w="2241" w:type="dxa"/>
          </w:tcPr>
          <w:p>
            <w:pPr>
              <w:pStyle w:val="TableParagraph"/>
              <w:spacing w:line="256" w:lineRule="exact"/>
              <w:ind w:left="843"/>
              <w:rPr>
                <w:sz w:val="24"/>
              </w:rPr>
            </w:pPr>
            <w:r>
              <w:rPr>
                <w:spacing w:val="-5"/>
                <w:sz w:val="24"/>
              </w:rPr>
              <w:t>1.2</w:t>
            </w:r>
          </w:p>
        </w:tc>
        <w:tc>
          <w:tcPr>
            <w:tcW w:w="1742" w:type="dxa"/>
          </w:tcPr>
          <w:p>
            <w:pPr>
              <w:pStyle w:val="TableParagraph"/>
              <w:spacing w:line="256" w:lineRule="exact"/>
              <w:ind w:left="434"/>
              <w:rPr>
                <w:sz w:val="24"/>
              </w:rPr>
            </w:pPr>
            <w:r>
              <w:rPr>
                <w:spacing w:val="-5"/>
                <w:sz w:val="24"/>
              </w:rPr>
              <w:t>6.0</w:t>
            </w:r>
          </w:p>
        </w:tc>
        <w:tc>
          <w:tcPr>
            <w:tcW w:w="2752" w:type="dxa"/>
          </w:tcPr>
          <w:p>
            <w:pPr>
              <w:pStyle w:val="TableParagraph"/>
              <w:spacing w:line="256" w:lineRule="exact"/>
              <w:ind w:left="524"/>
              <w:rPr>
                <w:sz w:val="24"/>
              </w:rPr>
            </w:pPr>
            <w:r>
              <w:rPr>
                <w:spacing w:val="-4"/>
                <w:sz w:val="24"/>
              </w:rPr>
              <w:t>11.7</w:t>
            </w:r>
          </w:p>
        </w:tc>
      </w:tr>
      <w:tr>
        <w:trPr>
          <w:trHeight w:val="275" w:hRule="atLeast"/>
        </w:trPr>
        <w:tc>
          <w:tcPr>
            <w:tcW w:w="1904" w:type="dxa"/>
          </w:tcPr>
          <w:p>
            <w:pPr>
              <w:pStyle w:val="TableParagraph"/>
              <w:spacing w:line="256" w:lineRule="exact"/>
              <w:rPr>
                <w:sz w:val="24"/>
              </w:rPr>
            </w:pPr>
            <w:r>
              <w:rPr>
                <w:sz w:val="24"/>
              </w:rPr>
              <w:t>181-</w:t>
            </w:r>
            <w:r>
              <w:rPr>
                <w:spacing w:val="-5"/>
                <w:sz w:val="24"/>
              </w:rPr>
              <w:t>200</w:t>
            </w:r>
          </w:p>
        </w:tc>
        <w:tc>
          <w:tcPr>
            <w:tcW w:w="2241" w:type="dxa"/>
          </w:tcPr>
          <w:p>
            <w:pPr>
              <w:pStyle w:val="TableParagraph"/>
              <w:spacing w:line="256" w:lineRule="exact"/>
              <w:ind w:left="843"/>
              <w:rPr>
                <w:sz w:val="24"/>
              </w:rPr>
            </w:pPr>
            <w:r>
              <w:rPr>
                <w:spacing w:val="-5"/>
                <w:sz w:val="24"/>
              </w:rPr>
              <w:t>0.3</w:t>
            </w:r>
          </w:p>
        </w:tc>
        <w:tc>
          <w:tcPr>
            <w:tcW w:w="1742" w:type="dxa"/>
          </w:tcPr>
          <w:p>
            <w:pPr>
              <w:pStyle w:val="TableParagraph"/>
              <w:spacing w:line="256" w:lineRule="exact"/>
              <w:ind w:left="434"/>
              <w:rPr>
                <w:sz w:val="24"/>
              </w:rPr>
            </w:pPr>
            <w:r>
              <w:rPr>
                <w:spacing w:val="-5"/>
                <w:sz w:val="24"/>
              </w:rPr>
              <w:t>6.5</w:t>
            </w:r>
          </w:p>
        </w:tc>
        <w:tc>
          <w:tcPr>
            <w:tcW w:w="2752" w:type="dxa"/>
          </w:tcPr>
          <w:p>
            <w:pPr>
              <w:pStyle w:val="TableParagraph"/>
              <w:spacing w:line="256" w:lineRule="exact"/>
              <w:ind w:left="524"/>
              <w:rPr>
                <w:sz w:val="24"/>
              </w:rPr>
            </w:pPr>
            <w:r>
              <w:rPr>
                <w:spacing w:val="-5"/>
                <w:sz w:val="24"/>
              </w:rPr>
              <w:t>9.7</w:t>
            </w:r>
          </w:p>
        </w:tc>
      </w:tr>
      <w:tr>
        <w:trPr>
          <w:trHeight w:val="275" w:hRule="atLeast"/>
        </w:trPr>
        <w:tc>
          <w:tcPr>
            <w:tcW w:w="1904" w:type="dxa"/>
          </w:tcPr>
          <w:p>
            <w:pPr>
              <w:pStyle w:val="TableParagraph"/>
              <w:spacing w:line="256" w:lineRule="exact"/>
              <w:rPr>
                <w:sz w:val="24"/>
              </w:rPr>
            </w:pPr>
            <w:r>
              <w:rPr>
                <w:sz w:val="24"/>
              </w:rPr>
              <w:t>201-</w:t>
            </w:r>
            <w:r>
              <w:rPr>
                <w:spacing w:val="-5"/>
                <w:sz w:val="24"/>
              </w:rPr>
              <w:t>220</w:t>
            </w:r>
          </w:p>
        </w:tc>
        <w:tc>
          <w:tcPr>
            <w:tcW w:w="2241" w:type="dxa"/>
          </w:tcPr>
          <w:p>
            <w:pPr>
              <w:pStyle w:val="TableParagraph"/>
              <w:spacing w:line="256" w:lineRule="exact"/>
              <w:ind w:left="843"/>
              <w:rPr>
                <w:sz w:val="24"/>
              </w:rPr>
            </w:pPr>
            <w:r>
              <w:rPr>
                <w:spacing w:val="-4"/>
                <w:sz w:val="24"/>
              </w:rPr>
              <w:t>0.3*</w:t>
            </w:r>
          </w:p>
        </w:tc>
        <w:tc>
          <w:tcPr>
            <w:tcW w:w="1742" w:type="dxa"/>
          </w:tcPr>
          <w:p>
            <w:pPr>
              <w:pStyle w:val="TableParagraph"/>
              <w:spacing w:line="256" w:lineRule="exact"/>
              <w:ind w:left="434"/>
              <w:rPr>
                <w:sz w:val="24"/>
              </w:rPr>
            </w:pPr>
            <w:r>
              <w:rPr>
                <w:spacing w:val="-5"/>
                <w:sz w:val="24"/>
              </w:rPr>
              <w:t>1.2</w:t>
            </w:r>
          </w:p>
        </w:tc>
        <w:tc>
          <w:tcPr>
            <w:tcW w:w="2752" w:type="dxa"/>
          </w:tcPr>
          <w:p>
            <w:pPr>
              <w:pStyle w:val="TableParagraph"/>
              <w:spacing w:line="256" w:lineRule="exact"/>
              <w:ind w:left="524"/>
              <w:rPr>
                <w:sz w:val="24"/>
              </w:rPr>
            </w:pPr>
            <w:r>
              <w:rPr>
                <w:spacing w:val="-5"/>
                <w:sz w:val="24"/>
              </w:rPr>
              <w:t>6.5</w:t>
            </w:r>
          </w:p>
        </w:tc>
      </w:tr>
      <w:tr>
        <w:trPr>
          <w:trHeight w:val="275" w:hRule="atLeast"/>
        </w:trPr>
        <w:tc>
          <w:tcPr>
            <w:tcW w:w="1904" w:type="dxa"/>
          </w:tcPr>
          <w:p>
            <w:pPr>
              <w:pStyle w:val="TableParagraph"/>
              <w:spacing w:line="256" w:lineRule="exact"/>
              <w:rPr>
                <w:sz w:val="24"/>
              </w:rPr>
            </w:pPr>
            <w:r>
              <w:rPr>
                <w:sz w:val="24"/>
              </w:rPr>
              <w:t>221-</w:t>
            </w:r>
            <w:r>
              <w:rPr>
                <w:spacing w:val="-5"/>
                <w:sz w:val="24"/>
              </w:rPr>
              <w:t>240</w:t>
            </w:r>
          </w:p>
        </w:tc>
        <w:tc>
          <w:tcPr>
            <w:tcW w:w="2241" w:type="dxa"/>
          </w:tcPr>
          <w:p>
            <w:pPr>
              <w:pStyle w:val="TableParagraph"/>
              <w:rPr>
                <w:sz w:val="20"/>
              </w:rPr>
            </w:pPr>
          </w:p>
        </w:tc>
        <w:tc>
          <w:tcPr>
            <w:tcW w:w="1742" w:type="dxa"/>
          </w:tcPr>
          <w:p>
            <w:pPr>
              <w:pStyle w:val="TableParagraph"/>
              <w:spacing w:line="256" w:lineRule="exact"/>
              <w:ind w:left="434"/>
              <w:rPr>
                <w:sz w:val="24"/>
              </w:rPr>
            </w:pPr>
            <w:r>
              <w:rPr>
                <w:spacing w:val="-5"/>
                <w:sz w:val="24"/>
              </w:rPr>
              <w:t>1.0</w:t>
            </w:r>
          </w:p>
        </w:tc>
        <w:tc>
          <w:tcPr>
            <w:tcW w:w="2752" w:type="dxa"/>
          </w:tcPr>
          <w:p>
            <w:pPr>
              <w:pStyle w:val="TableParagraph"/>
              <w:spacing w:line="256" w:lineRule="exact"/>
              <w:ind w:left="524"/>
              <w:rPr>
                <w:sz w:val="24"/>
              </w:rPr>
            </w:pPr>
            <w:r>
              <w:rPr>
                <w:spacing w:val="-5"/>
                <w:sz w:val="24"/>
              </w:rPr>
              <w:t>6.3</w:t>
            </w:r>
          </w:p>
        </w:tc>
      </w:tr>
      <w:tr>
        <w:trPr>
          <w:trHeight w:val="275" w:hRule="atLeast"/>
        </w:trPr>
        <w:tc>
          <w:tcPr>
            <w:tcW w:w="1904" w:type="dxa"/>
          </w:tcPr>
          <w:p>
            <w:pPr>
              <w:pStyle w:val="TableParagraph"/>
              <w:spacing w:line="256" w:lineRule="exact"/>
              <w:rPr>
                <w:sz w:val="24"/>
              </w:rPr>
            </w:pPr>
            <w:r>
              <w:rPr>
                <w:sz w:val="24"/>
              </w:rPr>
              <w:t>241-</w:t>
            </w:r>
            <w:r>
              <w:rPr>
                <w:spacing w:val="-5"/>
                <w:sz w:val="24"/>
              </w:rPr>
              <w:t>260</w:t>
            </w:r>
          </w:p>
        </w:tc>
        <w:tc>
          <w:tcPr>
            <w:tcW w:w="2241" w:type="dxa"/>
          </w:tcPr>
          <w:p>
            <w:pPr>
              <w:pStyle w:val="TableParagraph"/>
              <w:rPr>
                <w:sz w:val="20"/>
              </w:rPr>
            </w:pPr>
          </w:p>
        </w:tc>
        <w:tc>
          <w:tcPr>
            <w:tcW w:w="1742" w:type="dxa"/>
          </w:tcPr>
          <w:p>
            <w:pPr>
              <w:pStyle w:val="TableParagraph"/>
              <w:spacing w:line="256" w:lineRule="exact"/>
              <w:ind w:left="434"/>
              <w:rPr>
                <w:sz w:val="24"/>
              </w:rPr>
            </w:pPr>
            <w:r>
              <w:rPr>
                <w:spacing w:val="-5"/>
                <w:sz w:val="24"/>
              </w:rPr>
              <w:t>0.5</w:t>
            </w:r>
          </w:p>
        </w:tc>
        <w:tc>
          <w:tcPr>
            <w:tcW w:w="2752" w:type="dxa"/>
          </w:tcPr>
          <w:p>
            <w:pPr>
              <w:pStyle w:val="TableParagraph"/>
              <w:spacing w:line="256" w:lineRule="exact"/>
              <w:ind w:left="524"/>
              <w:rPr>
                <w:sz w:val="24"/>
              </w:rPr>
            </w:pPr>
            <w:r>
              <w:rPr>
                <w:spacing w:val="-5"/>
                <w:sz w:val="24"/>
              </w:rPr>
              <w:t>5.2</w:t>
            </w:r>
          </w:p>
        </w:tc>
      </w:tr>
      <w:tr>
        <w:trPr>
          <w:trHeight w:val="275" w:hRule="atLeast"/>
        </w:trPr>
        <w:tc>
          <w:tcPr>
            <w:tcW w:w="1904" w:type="dxa"/>
          </w:tcPr>
          <w:p>
            <w:pPr>
              <w:pStyle w:val="TableParagraph"/>
              <w:spacing w:line="256" w:lineRule="exact"/>
              <w:rPr>
                <w:sz w:val="24"/>
              </w:rPr>
            </w:pPr>
            <w:r>
              <w:rPr>
                <w:sz w:val="24"/>
              </w:rPr>
              <w:t>261-</w:t>
            </w:r>
            <w:r>
              <w:rPr>
                <w:spacing w:val="-5"/>
                <w:sz w:val="24"/>
              </w:rPr>
              <w:t>280</w:t>
            </w:r>
          </w:p>
        </w:tc>
        <w:tc>
          <w:tcPr>
            <w:tcW w:w="2241" w:type="dxa"/>
          </w:tcPr>
          <w:p>
            <w:pPr>
              <w:pStyle w:val="TableParagraph"/>
              <w:rPr>
                <w:sz w:val="20"/>
              </w:rPr>
            </w:pPr>
          </w:p>
        </w:tc>
        <w:tc>
          <w:tcPr>
            <w:tcW w:w="1742" w:type="dxa"/>
          </w:tcPr>
          <w:p>
            <w:pPr>
              <w:pStyle w:val="TableParagraph"/>
              <w:spacing w:line="256" w:lineRule="exact"/>
              <w:ind w:left="434"/>
              <w:rPr>
                <w:sz w:val="24"/>
              </w:rPr>
            </w:pPr>
            <w:r>
              <w:rPr>
                <w:spacing w:val="-5"/>
                <w:sz w:val="24"/>
              </w:rPr>
              <w:t>0.2</w:t>
            </w:r>
          </w:p>
        </w:tc>
        <w:tc>
          <w:tcPr>
            <w:tcW w:w="2752" w:type="dxa"/>
          </w:tcPr>
          <w:p>
            <w:pPr>
              <w:pStyle w:val="TableParagraph"/>
              <w:spacing w:line="256" w:lineRule="exact"/>
              <w:ind w:left="524"/>
              <w:rPr>
                <w:sz w:val="24"/>
              </w:rPr>
            </w:pPr>
            <w:r>
              <w:rPr>
                <w:spacing w:val="-5"/>
                <w:sz w:val="24"/>
              </w:rPr>
              <w:t>4.7</w:t>
            </w:r>
          </w:p>
        </w:tc>
      </w:tr>
      <w:tr>
        <w:trPr>
          <w:trHeight w:val="275" w:hRule="atLeast"/>
        </w:trPr>
        <w:tc>
          <w:tcPr>
            <w:tcW w:w="1904" w:type="dxa"/>
          </w:tcPr>
          <w:p>
            <w:pPr>
              <w:pStyle w:val="TableParagraph"/>
              <w:spacing w:line="256" w:lineRule="exact"/>
              <w:rPr>
                <w:sz w:val="24"/>
              </w:rPr>
            </w:pPr>
            <w:r>
              <w:rPr>
                <w:sz w:val="24"/>
              </w:rPr>
              <w:t>281-</w:t>
            </w:r>
            <w:r>
              <w:rPr>
                <w:spacing w:val="-5"/>
                <w:sz w:val="24"/>
              </w:rPr>
              <w:t>300</w:t>
            </w:r>
          </w:p>
        </w:tc>
        <w:tc>
          <w:tcPr>
            <w:tcW w:w="2241" w:type="dxa"/>
          </w:tcPr>
          <w:p>
            <w:pPr>
              <w:pStyle w:val="TableParagraph"/>
              <w:rPr>
                <w:sz w:val="20"/>
              </w:rPr>
            </w:pPr>
          </w:p>
        </w:tc>
        <w:tc>
          <w:tcPr>
            <w:tcW w:w="1742" w:type="dxa"/>
          </w:tcPr>
          <w:p>
            <w:pPr>
              <w:pStyle w:val="TableParagraph"/>
              <w:spacing w:line="256" w:lineRule="exact"/>
              <w:ind w:left="434"/>
              <w:rPr>
                <w:sz w:val="24"/>
              </w:rPr>
            </w:pPr>
            <w:r>
              <w:rPr>
                <w:spacing w:val="-5"/>
                <w:sz w:val="24"/>
              </w:rPr>
              <w:t>0.1</w:t>
            </w:r>
          </w:p>
        </w:tc>
        <w:tc>
          <w:tcPr>
            <w:tcW w:w="2752" w:type="dxa"/>
          </w:tcPr>
          <w:p>
            <w:pPr>
              <w:pStyle w:val="TableParagraph"/>
              <w:spacing w:line="256" w:lineRule="exact"/>
              <w:ind w:left="524"/>
              <w:rPr>
                <w:sz w:val="24"/>
              </w:rPr>
            </w:pPr>
            <w:r>
              <w:rPr>
                <w:spacing w:val="-5"/>
                <w:sz w:val="24"/>
              </w:rPr>
              <w:t>4.4</w:t>
            </w:r>
          </w:p>
        </w:tc>
      </w:tr>
      <w:tr>
        <w:trPr>
          <w:trHeight w:val="275" w:hRule="atLeast"/>
        </w:trPr>
        <w:tc>
          <w:tcPr>
            <w:tcW w:w="1904" w:type="dxa"/>
          </w:tcPr>
          <w:p>
            <w:pPr>
              <w:pStyle w:val="TableParagraph"/>
              <w:spacing w:line="256" w:lineRule="exact"/>
              <w:rPr>
                <w:sz w:val="24"/>
              </w:rPr>
            </w:pPr>
            <w:r>
              <w:rPr>
                <w:sz w:val="24"/>
              </w:rPr>
              <w:t>301-</w:t>
            </w:r>
            <w:r>
              <w:rPr>
                <w:spacing w:val="-5"/>
                <w:sz w:val="24"/>
              </w:rPr>
              <w:t>320</w:t>
            </w:r>
          </w:p>
        </w:tc>
        <w:tc>
          <w:tcPr>
            <w:tcW w:w="2241" w:type="dxa"/>
          </w:tcPr>
          <w:p>
            <w:pPr>
              <w:pStyle w:val="TableParagraph"/>
              <w:rPr>
                <w:sz w:val="20"/>
              </w:rPr>
            </w:pPr>
          </w:p>
        </w:tc>
        <w:tc>
          <w:tcPr>
            <w:tcW w:w="1742" w:type="dxa"/>
          </w:tcPr>
          <w:p>
            <w:pPr>
              <w:pStyle w:val="TableParagraph"/>
              <w:spacing w:line="256" w:lineRule="exact"/>
              <w:ind w:left="434"/>
              <w:rPr>
                <w:sz w:val="24"/>
              </w:rPr>
            </w:pPr>
            <w:r>
              <w:rPr>
                <w:spacing w:val="-4"/>
                <w:sz w:val="24"/>
              </w:rPr>
              <w:t>0.1*</w:t>
            </w:r>
          </w:p>
        </w:tc>
        <w:tc>
          <w:tcPr>
            <w:tcW w:w="2752" w:type="dxa"/>
          </w:tcPr>
          <w:p>
            <w:pPr>
              <w:pStyle w:val="TableParagraph"/>
              <w:spacing w:line="256" w:lineRule="exact"/>
              <w:ind w:left="524"/>
              <w:rPr>
                <w:sz w:val="24"/>
              </w:rPr>
            </w:pPr>
            <w:r>
              <w:rPr>
                <w:spacing w:val="-5"/>
                <w:sz w:val="24"/>
              </w:rPr>
              <w:t>1.9</w:t>
            </w:r>
          </w:p>
        </w:tc>
      </w:tr>
      <w:tr>
        <w:trPr>
          <w:trHeight w:val="275" w:hRule="atLeast"/>
        </w:trPr>
        <w:tc>
          <w:tcPr>
            <w:tcW w:w="1904" w:type="dxa"/>
          </w:tcPr>
          <w:p>
            <w:pPr>
              <w:pStyle w:val="TableParagraph"/>
              <w:spacing w:line="256" w:lineRule="exact"/>
              <w:rPr>
                <w:sz w:val="24"/>
              </w:rPr>
            </w:pPr>
            <w:r>
              <w:rPr>
                <w:sz w:val="24"/>
              </w:rPr>
              <w:t>321-</w:t>
            </w:r>
            <w:r>
              <w:rPr>
                <w:spacing w:val="-5"/>
                <w:sz w:val="24"/>
              </w:rPr>
              <w:t>340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1.7</w:t>
            </w:r>
          </w:p>
        </w:tc>
      </w:tr>
      <w:tr>
        <w:trPr>
          <w:trHeight w:val="275" w:hRule="atLeast"/>
        </w:trPr>
        <w:tc>
          <w:tcPr>
            <w:tcW w:w="1904" w:type="dxa"/>
          </w:tcPr>
          <w:p>
            <w:pPr>
              <w:pStyle w:val="TableParagraph"/>
              <w:spacing w:line="256" w:lineRule="exact"/>
              <w:rPr>
                <w:sz w:val="24"/>
              </w:rPr>
            </w:pPr>
            <w:r>
              <w:rPr>
                <w:sz w:val="24"/>
              </w:rPr>
              <w:t>341-</w:t>
            </w:r>
            <w:r>
              <w:rPr>
                <w:spacing w:val="-5"/>
                <w:sz w:val="24"/>
              </w:rPr>
              <w:t>360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1.1</w:t>
            </w:r>
          </w:p>
        </w:tc>
      </w:tr>
      <w:tr>
        <w:trPr>
          <w:trHeight w:val="275" w:hRule="atLeast"/>
        </w:trPr>
        <w:tc>
          <w:tcPr>
            <w:tcW w:w="1904" w:type="dxa"/>
          </w:tcPr>
          <w:p>
            <w:pPr>
              <w:pStyle w:val="TableParagraph"/>
              <w:spacing w:line="256" w:lineRule="exact"/>
              <w:rPr>
                <w:sz w:val="24"/>
              </w:rPr>
            </w:pPr>
            <w:r>
              <w:rPr>
                <w:sz w:val="24"/>
              </w:rPr>
              <w:t>361-</w:t>
            </w:r>
            <w:r>
              <w:rPr>
                <w:spacing w:val="-5"/>
                <w:sz w:val="24"/>
              </w:rPr>
              <w:t>380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0.7</w:t>
            </w:r>
          </w:p>
        </w:tc>
      </w:tr>
      <w:tr>
        <w:trPr>
          <w:trHeight w:val="276" w:hRule="atLeast"/>
        </w:trPr>
        <w:tc>
          <w:tcPr>
            <w:tcW w:w="1904" w:type="dxa"/>
          </w:tcPr>
          <w:p>
            <w:pPr>
              <w:pStyle w:val="TableParagraph"/>
              <w:spacing w:line="256" w:lineRule="exact"/>
              <w:rPr>
                <w:sz w:val="24"/>
              </w:rPr>
            </w:pPr>
            <w:r>
              <w:rPr>
                <w:sz w:val="24"/>
              </w:rPr>
              <w:t>381-</w:t>
            </w:r>
            <w:r>
              <w:rPr>
                <w:spacing w:val="-5"/>
                <w:sz w:val="24"/>
              </w:rPr>
              <w:t>400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0.5</w:t>
            </w:r>
          </w:p>
        </w:tc>
      </w:tr>
      <w:tr>
        <w:trPr>
          <w:trHeight w:val="275" w:hRule="atLeast"/>
        </w:trPr>
        <w:tc>
          <w:tcPr>
            <w:tcW w:w="1904" w:type="dxa"/>
          </w:tcPr>
          <w:p>
            <w:pPr>
              <w:pStyle w:val="TableParagraph"/>
              <w:spacing w:line="256" w:lineRule="exact"/>
              <w:rPr>
                <w:sz w:val="24"/>
              </w:rPr>
            </w:pPr>
            <w:r>
              <w:rPr>
                <w:sz w:val="24"/>
              </w:rPr>
              <w:t>401-</w:t>
            </w:r>
            <w:r>
              <w:rPr>
                <w:spacing w:val="-5"/>
                <w:sz w:val="24"/>
              </w:rPr>
              <w:t>420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0.8</w:t>
            </w:r>
          </w:p>
        </w:tc>
      </w:tr>
      <w:tr>
        <w:trPr>
          <w:trHeight w:val="276" w:hRule="atLeast"/>
        </w:trPr>
        <w:tc>
          <w:tcPr>
            <w:tcW w:w="1904" w:type="dxa"/>
          </w:tcPr>
          <w:p>
            <w:pPr>
              <w:pStyle w:val="TableParagraph"/>
              <w:spacing w:line="256" w:lineRule="exact"/>
              <w:rPr>
                <w:sz w:val="24"/>
              </w:rPr>
            </w:pPr>
            <w:r>
              <w:rPr>
                <w:sz w:val="24"/>
              </w:rPr>
              <w:t>421-</w:t>
            </w:r>
            <w:r>
              <w:rPr>
                <w:spacing w:val="-5"/>
                <w:sz w:val="24"/>
              </w:rPr>
              <w:t>440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0.2</w:t>
            </w:r>
          </w:p>
        </w:tc>
      </w:tr>
      <w:tr>
        <w:trPr>
          <w:trHeight w:val="275" w:hRule="atLeast"/>
        </w:trPr>
        <w:tc>
          <w:tcPr>
            <w:tcW w:w="1904" w:type="dxa"/>
          </w:tcPr>
          <w:p>
            <w:pPr>
              <w:pStyle w:val="TableParagraph"/>
              <w:spacing w:line="256" w:lineRule="exact"/>
              <w:rPr>
                <w:sz w:val="24"/>
              </w:rPr>
            </w:pPr>
            <w:r>
              <w:rPr>
                <w:sz w:val="24"/>
              </w:rPr>
              <w:t>441-</w:t>
            </w:r>
            <w:r>
              <w:rPr>
                <w:spacing w:val="-5"/>
                <w:sz w:val="24"/>
              </w:rPr>
              <w:t>460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0.2</w:t>
            </w:r>
          </w:p>
        </w:tc>
      </w:tr>
      <w:tr>
        <w:trPr>
          <w:trHeight w:val="276" w:hRule="atLeast"/>
        </w:trPr>
        <w:tc>
          <w:tcPr>
            <w:tcW w:w="1904" w:type="dxa"/>
          </w:tcPr>
          <w:p>
            <w:pPr>
              <w:pStyle w:val="TableParagraph"/>
              <w:spacing w:line="256" w:lineRule="exact"/>
              <w:rPr>
                <w:sz w:val="24"/>
              </w:rPr>
            </w:pPr>
            <w:r>
              <w:rPr>
                <w:sz w:val="24"/>
              </w:rPr>
              <w:t>461-</w:t>
            </w:r>
            <w:r>
              <w:rPr>
                <w:spacing w:val="-5"/>
                <w:sz w:val="24"/>
              </w:rPr>
              <w:t>480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0.0</w:t>
            </w:r>
          </w:p>
        </w:tc>
      </w:tr>
      <w:tr>
        <w:trPr>
          <w:trHeight w:val="275" w:hRule="atLeast"/>
        </w:trPr>
        <w:tc>
          <w:tcPr>
            <w:tcW w:w="1904" w:type="dxa"/>
          </w:tcPr>
          <w:p>
            <w:pPr>
              <w:pStyle w:val="TableParagraph"/>
              <w:spacing w:line="256" w:lineRule="exact"/>
              <w:rPr>
                <w:sz w:val="24"/>
              </w:rPr>
            </w:pPr>
            <w:r>
              <w:rPr>
                <w:sz w:val="24"/>
              </w:rPr>
              <w:t>481-</w:t>
            </w:r>
            <w:r>
              <w:rPr>
                <w:spacing w:val="-5"/>
                <w:sz w:val="24"/>
              </w:rPr>
              <w:t>500</w:t>
            </w:r>
          </w:p>
        </w:tc>
        <w:tc>
          <w:tcPr>
            <w:tcW w:w="2241" w:type="dxa"/>
          </w:tcPr>
          <w:p>
            <w:pPr>
              <w:pStyle w:val="TableParagraph"/>
              <w:rPr>
                <w:sz w:val="20"/>
              </w:rPr>
            </w:pPr>
          </w:p>
        </w:tc>
        <w:tc>
          <w:tcPr>
            <w:tcW w:w="1742" w:type="dxa"/>
          </w:tcPr>
          <w:p>
            <w:pPr>
              <w:pStyle w:val="TableParagraph"/>
              <w:rPr>
                <w:sz w:val="20"/>
              </w:rPr>
            </w:pPr>
          </w:p>
        </w:tc>
        <w:tc>
          <w:tcPr>
            <w:tcW w:w="2752" w:type="dxa"/>
          </w:tcPr>
          <w:p>
            <w:pPr>
              <w:pStyle w:val="TableParagraph"/>
              <w:spacing w:line="256" w:lineRule="exact"/>
              <w:ind w:left="524"/>
              <w:rPr>
                <w:sz w:val="24"/>
              </w:rPr>
            </w:pPr>
            <w:r>
              <w:rPr>
                <w:spacing w:val="-5"/>
                <w:sz w:val="24"/>
              </w:rPr>
              <w:t>0.1</w:t>
            </w:r>
          </w:p>
        </w:tc>
      </w:tr>
      <w:tr>
        <w:trPr>
          <w:trHeight w:val="468" w:hRule="atLeast"/>
        </w:trPr>
        <w:tc>
          <w:tcPr>
            <w:tcW w:w="1904" w:type="dxa"/>
            <w:tcBorders>
              <w:bottom w:val="single" w:sz="12" w:space="0" w:color="808080"/>
            </w:tcBorders>
          </w:tcPr>
          <w:p>
            <w:pPr>
              <w:pStyle w:val="TableParagraph"/>
              <w:spacing w:line="271" w:lineRule="exact"/>
              <w:rPr>
                <w:sz w:val="24"/>
              </w:rPr>
            </w:pPr>
            <w:r>
              <w:rPr>
                <w:sz w:val="24"/>
              </w:rPr>
              <w:t>Above </w:t>
            </w:r>
            <w:r>
              <w:rPr>
                <w:spacing w:val="-5"/>
                <w:sz w:val="24"/>
              </w:rPr>
              <w:t>500</w:t>
            </w:r>
          </w:p>
        </w:tc>
        <w:tc>
          <w:tcPr>
            <w:tcW w:w="2241" w:type="dxa"/>
            <w:tcBorders>
              <w:bottom w:val="single" w:sz="12" w:space="0" w:color="808080"/>
            </w:tcBorders>
          </w:tcPr>
          <w:p>
            <w:pPr>
              <w:pStyle w:val="TableParagraph"/>
              <w:rPr>
                <w:sz w:val="24"/>
              </w:rPr>
            </w:pPr>
          </w:p>
        </w:tc>
        <w:tc>
          <w:tcPr>
            <w:tcW w:w="1742" w:type="dxa"/>
            <w:tcBorders>
              <w:bottom w:val="single" w:sz="12" w:space="0" w:color="808080"/>
            </w:tcBorders>
          </w:tcPr>
          <w:p>
            <w:pPr>
              <w:pStyle w:val="TableParagraph"/>
              <w:rPr>
                <w:sz w:val="24"/>
              </w:rPr>
            </w:pPr>
          </w:p>
        </w:tc>
        <w:tc>
          <w:tcPr>
            <w:tcW w:w="2752" w:type="dxa"/>
            <w:tcBorders>
              <w:bottom w:val="single" w:sz="12" w:space="0" w:color="808080"/>
            </w:tcBorders>
          </w:tcPr>
          <w:p>
            <w:pPr>
              <w:pStyle w:val="TableParagraph"/>
              <w:spacing w:line="271" w:lineRule="exact"/>
              <w:ind w:left="524"/>
              <w:rPr>
                <w:sz w:val="24"/>
              </w:rPr>
            </w:pPr>
            <w:r>
              <w:rPr>
                <w:spacing w:val="-5"/>
                <w:sz w:val="24"/>
              </w:rPr>
              <w:t>0.1</w:t>
            </w:r>
          </w:p>
        </w:tc>
      </w:tr>
      <w:tr>
        <w:trPr>
          <w:trHeight w:val="329" w:hRule="atLeast"/>
        </w:trPr>
        <w:tc>
          <w:tcPr>
            <w:tcW w:w="1904" w:type="dxa"/>
            <w:tcBorders>
              <w:top w:val="single" w:sz="12" w:space="0" w:color="808080"/>
            </w:tcBorders>
          </w:tcPr>
          <w:p>
            <w:pPr>
              <w:pStyle w:val="TableParagraph"/>
              <w:rPr>
                <w:sz w:val="24"/>
              </w:rPr>
            </w:pPr>
          </w:p>
        </w:tc>
        <w:tc>
          <w:tcPr>
            <w:tcW w:w="2241" w:type="dxa"/>
            <w:tcBorders>
              <w:top w:val="single" w:sz="12" w:space="0" w:color="808080"/>
            </w:tcBorders>
          </w:tcPr>
          <w:p>
            <w:pPr>
              <w:pStyle w:val="TableParagraph"/>
              <w:spacing w:line="261" w:lineRule="exact" w:before="48"/>
              <w:ind w:left="843"/>
              <w:rPr>
                <w:sz w:val="24"/>
              </w:rPr>
            </w:pPr>
            <w:r>
              <w:rPr>
                <w:spacing w:val="-2"/>
                <w:sz w:val="24"/>
              </w:rPr>
              <w:t>100.0)</w:t>
            </w:r>
          </w:p>
        </w:tc>
        <w:tc>
          <w:tcPr>
            <w:tcW w:w="1742" w:type="dxa"/>
            <w:tcBorders>
              <w:top w:val="single" w:sz="12" w:space="0" w:color="808080"/>
            </w:tcBorders>
          </w:tcPr>
          <w:p>
            <w:pPr>
              <w:pStyle w:val="TableParagraph"/>
              <w:spacing w:line="261" w:lineRule="exact" w:before="48"/>
              <w:ind w:left="434"/>
              <w:rPr>
                <w:sz w:val="24"/>
              </w:rPr>
            </w:pPr>
            <w:r>
              <w:rPr>
                <w:spacing w:val="-2"/>
                <w:sz w:val="24"/>
              </w:rPr>
              <w:t>(100.0)</w:t>
            </w:r>
          </w:p>
        </w:tc>
        <w:tc>
          <w:tcPr>
            <w:tcW w:w="2752" w:type="dxa"/>
            <w:tcBorders>
              <w:top w:val="single" w:sz="12" w:space="0" w:color="808080"/>
            </w:tcBorders>
          </w:tcPr>
          <w:p>
            <w:pPr>
              <w:pStyle w:val="TableParagraph"/>
              <w:spacing w:line="261" w:lineRule="exact" w:before="48"/>
              <w:ind w:left="523"/>
              <w:rPr>
                <w:sz w:val="24"/>
              </w:rPr>
            </w:pPr>
            <w:r>
              <w:rPr>
                <w:spacing w:val="-2"/>
                <w:sz w:val="24"/>
              </w:rPr>
              <w:t>(100.0)</w:t>
            </w:r>
          </w:p>
        </w:tc>
      </w:tr>
      <w:tr>
        <w:trPr>
          <w:trHeight w:val="275" w:hRule="atLeast"/>
        </w:trPr>
        <w:tc>
          <w:tcPr>
            <w:tcW w:w="1904" w:type="dxa"/>
          </w:tcPr>
          <w:p>
            <w:pPr>
              <w:pStyle w:val="TableParagraph"/>
              <w:spacing w:line="256" w:lineRule="exact"/>
              <w:ind w:left="-1"/>
              <w:rPr>
                <w:sz w:val="24"/>
              </w:rPr>
            </w:pPr>
            <w:r>
              <w:rPr>
                <w:spacing w:val="-10"/>
                <w:sz w:val="24"/>
              </w:rPr>
              <w:t>n</w:t>
            </w:r>
          </w:p>
        </w:tc>
        <w:tc>
          <w:tcPr>
            <w:tcW w:w="2241" w:type="dxa"/>
          </w:tcPr>
          <w:p>
            <w:pPr>
              <w:pStyle w:val="TableParagraph"/>
              <w:spacing w:line="256" w:lineRule="exact"/>
              <w:ind w:left="843"/>
              <w:rPr>
                <w:sz w:val="24"/>
              </w:rPr>
            </w:pPr>
            <w:r>
              <w:rPr>
                <w:spacing w:val="-2"/>
                <w:sz w:val="24"/>
              </w:rPr>
              <w:t>94,434</w:t>
            </w:r>
          </w:p>
        </w:tc>
        <w:tc>
          <w:tcPr>
            <w:tcW w:w="1742" w:type="dxa"/>
          </w:tcPr>
          <w:p>
            <w:pPr>
              <w:pStyle w:val="TableParagraph"/>
              <w:spacing w:line="256" w:lineRule="exact"/>
              <w:ind w:left="435"/>
              <w:rPr>
                <w:sz w:val="24"/>
              </w:rPr>
            </w:pPr>
            <w:r>
              <w:rPr>
                <w:spacing w:val="-2"/>
                <w:sz w:val="24"/>
              </w:rPr>
              <w:t>30,624</w:t>
            </w:r>
          </w:p>
        </w:tc>
        <w:tc>
          <w:tcPr>
            <w:tcW w:w="2752" w:type="dxa"/>
          </w:tcPr>
          <w:p>
            <w:pPr>
              <w:pStyle w:val="TableParagraph"/>
              <w:spacing w:line="256" w:lineRule="exact"/>
              <w:ind w:left="524"/>
              <w:rPr>
                <w:sz w:val="24"/>
              </w:rPr>
            </w:pPr>
            <w:r>
              <w:rPr>
                <w:spacing w:val="-2"/>
                <w:sz w:val="24"/>
              </w:rPr>
              <w:t>17,707</w:t>
            </w:r>
          </w:p>
        </w:tc>
      </w:tr>
      <w:tr>
        <w:trPr>
          <w:trHeight w:val="270" w:hRule="atLeast"/>
        </w:trPr>
        <w:tc>
          <w:tcPr>
            <w:tcW w:w="1904" w:type="dxa"/>
          </w:tcPr>
          <w:p>
            <w:pPr>
              <w:pStyle w:val="TableParagraph"/>
              <w:spacing w:line="251" w:lineRule="exact"/>
              <w:ind w:left="-1"/>
              <w:rPr>
                <w:sz w:val="24"/>
              </w:rPr>
            </w:pPr>
            <w:r>
              <w:rPr>
                <w:spacing w:val="-10"/>
                <w:sz w:val="24"/>
              </w:rPr>
              <w:t>N</w:t>
            </w:r>
          </w:p>
        </w:tc>
        <w:tc>
          <w:tcPr>
            <w:tcW w:w="2241" w:type="dxa"/>
          </w:tcPr>
          <w:p>
            <w:pPr>
              <w:pStyle w:val="TableParagraph"/>
              <w:spacing w:line="251" w:lineRule="exact"/>
              <w:ind w:left="844"/>
              <w:rPr>
                <w:sz w:val="24"/>
              </w:rPr>
            </w:pPr>
            <w:r>
              <w:rPr>
                <w:spacing w:val="-2"/>
                <w:sz w:val="24"/>
              </w:rPr>
              <w:t>1,329,544</w:t>
            </w:r>
          </w:p>
        </w:tc>
        <w:tc>
          <w:tcPr>
            <w:tcW w:w="1742" w:type="dxa"/>
          </w:tcPr>
          <w:p>
            <w:pPr>
              <w:pStyle w:val="TableParagraph"/>
              <w:spacing w:line="251" w:lineRule="exact"/>
              <w:ind w:left="435"/>
              <w:rPr>
                <w:sz w:val="24"/>
              </w:rPr>
            </w:pPr>
            <w:r>
              <w:rPr>
                <w:spacing w:val="-2"/>
                <w:sz w:val="24"/>
              </w:rPr>
              <w:t>431,158</w:t>
            </w:r>
          </w:p>
        </w:tc>
        <w:tc>
          <w:tcPr>
            <w:tcW w:w="2752" w:type="dxa"/>
          </w:tcPr>
          <w:p>
            <w:pPr>
              <w:pStyle w:val="TableParagraph"/>
              <w:spacing w:line="251" w:lineRule="exact"/>
              <w:ind w:left="524"/>
              <w:rPr>
                <w:sz w:val="24"/>
              </w:rPr>
            </w:pPr>
            <w:r>
              <w:rPr>
                <w:spacing w:val="-2"/>
                <w:sz w:val="24"/>
              </w:rPr>
              <w:t>249,298</w:t>
            </w:r>
          </w:p>
        </w:tc>
      </w:tr>
    </w:tbl>
    <w:p>
      <w:pPr>
        <w:pStyle w:val="BodyText"/>
        <w:spacing w:before="10"/>
        <w:rPr>
          <w:sz w:val="16"/>
        </w:rPr>
      </w:pPr>
      <w:r>
        <w:rPr/>
        <mc:AlternateContent>
          <mc:Choice Requires="wps">
            <w:drawing>
              <wp:anchor distT="0" distB="0" distL="0" distR="0" allowOverlap="1" layoutInCell="1" locked="0" behindDoc="1" simplePos="0" relativeHeight="487596544">
                <wp:simplePos x="0" y="0"/>
                <wp:positionH relativeFrom="page">
                  <wp:posOffset>1143000</wp:posOffset>
                </wp:positionH>
                <wp:positionV relativeFrom="paragraph">
                  <wp:posOffset>138557</wp:posOffset>
                </wp:positionV>
                <wp:extent cx="5486400" cy="19050"/>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5486400" cy="19050"/>
                          <a:chExt cx="5486400" cy="19050"/>
                        </a:xfrm>
                      </wpg:grpSpPr>
                      <wps:wsp>
                        <wps:cNvPr id="110" name="Graphic 11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11" name="Graphic 11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12" name="Graphic 11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13" name="Graphic 113"/>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14" name="Graphic 11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15" name="Graphic 11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16" name="Graphic 11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910078pt;width:432pt;height:1.5pt;mso-position-horizontal-relative:page;mso-position-vertical-relative:paragraph;z-index:-15719936;mso-wrap-distance-left:0;mso-wrap-distance-right:0" id="docshapegroup104" coordorigin="1800,218" coordsize="8640,30">
                <v:rect style="position:absolute;left:1800;top:218;width:8640;height:30" id="docshape105" filled="true" fillcolor="#808080" stroked="false">
                  <v:fill type="solid"/>
                </v:rect>
                <v:shape style="position:absolute;left:1800;top:218;width:8636;height:5" id="docshape106" coordorigin="1800,218" coordsize="8636,5" path="m10435,218l1805,218,1800,218,1800,223,1805,223,10435,223,10435,218xe" filled="true" fillcolor="#aca89a" stroked="false">
                  <v:path arrowok="t"/>
                  <v:fill type="solid"/>
                </v:shape>
                <v:rect style="position:absolute;left:10435;top:218;width:5;height:5" id="docshape107" filled="true" fillcolor="#f1efe2" stroked="false">
                  <v:fill type="solid"/>
                </v:rect>
                <v:shape style="position:absolute;left:1800;top:218;width:8640;height:26" id="docshape108" coordorigin="1800,218" coordsize="8640,26" path="m1805,223l1800,223,1800,243,1805,243,1805,223xm10440,218l10435,218,10435,223,10440,223,10440,218xe" filled="true" fillcolor="#aca89a" stroked="false">
                  <v:path arrowok="t"/>
                  <v:fill type="solid"/>
                </v:shape>
                <v:rect style="position:absolute;left:10435;top:223;width:5;height:21" id="docshape109" filled="true" fillcolor="#f1efe2" stroked="false">
                  <v:fill type="solid"/>
                </v:rect>
                <v:rect style="position:absolute;left:1800;top:243;width:5;height:5" id="docshape110" filled="true" fillcolor="#aca89a" stroked="false">
                  <v:fill type="solid"/>
                </v:rect>
                <v:shape style="position:absolute;left:1800;top:243;width:8640;height:5" id="docshape111" coordorigin="1800,243" coordsize="8640,5" path="m10440,243l10435,243,1800,243,1800,248,10435,248,10440,248,10440,243xe" filled="true" fillcolor="#f1efe2" stroked="false">
                  <v:path arrowok="t"/>
                  <v:fill type="solid"/>
                </v:shape>
                <w10:wrap type="topAndBottom"/>
              </v:group>
            </w:pict>
          </mc:Fallback>
        </mc:AlternateContent>
      </w:r>
    </w:p>
    <w:p>
      <w:pPr>
        <w:pStyle w:val="BodyText"/>
        <w:spacing w:before="54"/>
      </w:pPr>
    </w:p>
    <w:p>
      <w:pPr>
        <w:spacing w:before="0"/>
        <w:ind w:left="159" w:right="497" w:firstLine="0"/>
        <w:jc w:val="both"/>
        <w:rPr>
          <w:i/>
          <w:sz w:val="24"/>
        </w:rPr>
      </w:pPr>
      <w:r>
        <w:rPr>
          <w:i/>
          <w:sz w:val="24"/>
        </w:rPr>
        <w:t>*The figures represent 'Rs. 201 and above' in the case of lower primary teachers; 'Rs.</w:t>
      </w:r>
      <w:r>
        <w:rPr>
          <w:i/>
          <w:spacing w:val="40"/>
          <w:sz w:val="24"/>
        </w:rPr>
        <w:t> </w:t>
      </w:r>
      <w:r>
        <w:rPr>
          <w:i/>
          <w:sz w:val="24"/>
        </w:rPr>
        <w:t>301 and above' in the case of higher primary teachers; and 'Rs. 100 and less' in the case of secondary teachers.</w:t>
      </w:r>
    </w:p>
    <w:p>
      <w:pPr>
        <w:pStyle w:val="BodyText"/>
        <w:spacing w:before="4"/>
        <w:rPr>
          <w:i/>
        </w:rPr>
      </w:pPr>
    </w:p>
    <w:p>
      <w:pPr>
        <w:spacing w:before="0"/>
        <w:ind w:left="159" w:right="497" w:firstLine="0"/>
        <w:jc w:val="both"/>
        <w:rPr>
          <w:i/>
          <w:sz w:val="24"/>
        </w:rPr>
      </w:pPr>
      <w:r>
        <w:rPr>
          <w:i/>
          <w:sz w:val="24"/>
        </w:rPr>
        <w:t>'n'</w:t>
      </w:r>
      <w:r>
        <w:rPr>
          <w:i/>
          <w:spacing w:val="-1"/>
          <w:sz w:val="24"/>
        </w:rPr>
        <w:t> </w:t>
      </w:r>
      <w:r>
        <w:rPr>
          <w:i/>
          <w:sz w:val="24"/>
        </w:rPr>
        <w:t>indicates</w:t>
      </w:r>
      <w:r>
        <w:rPr>
          <w:i/>
          <w:spacing w:val="-1"/>
          <w:sz w:val="24"/>
        </w:rPr>
        <w:t> </w:t>
      </w:r>
      <w:r>
        <w:rPr>
          <w:i/>
          <w:sz w:val="24"/>
        </w:rPr>
        <w:t>the</w:t>
      </w:r>
      <w:r>
        <w:rPr>
          <w:i/>
          <w:spacing w:val="-1"/>
          <w:sz w:val="24"/>
        </w:rPr>
        <w:t> </w:t>
      </w:r>
      <w:r>
        <w:rPr>
          <w:i/>
          <w:sz w:val="24"/>
        </w:rPr>
        <w:t>number</w:t>
      </w:r>
      <w:r>
        <w:rPr>
          <w:i/>
          <w:spacing w:val="-1"/>
          <w:sz w:val="24"/>
        </w:rPr>
        <w:t> </w:t>
      </w:r>
      <w:r>
        <w:rPr>
          <w:i/>
          <w:sz w:val="24"/>
        </w:rPr>
        <w:t>of</w:t>
      </w:r>
      <w:r>
        <w:rPr>
          <w:i/>
          <w:spacing w:val="-1"/>
          <w:sz w:val="24"/>
        </w:rPr>
        <w:t> </w:t>
      </w:r>
      <w:r>
        <w:rPr>
          <w:i/>
          <w:sz w:val="24"/>
        </w:rPr>
        <w:t>teachers</w:t>
      </w:r>
      <w:r>
        <w:rPr>
          <w:i/>
          <w:spacing w:val="-1"/>
          <w:sz w:val="24"/>
        </w:rPr>
        <w:t> </w:t>
      </w:r>
      <w:r>
        <w:rPr>
          <w:i/>
          <w:sz w:val="24"/>
        </w:rPr>
        <w:t>included</w:t>
      </w:r>
      <w:r>
        <w:rPr>
          <w:i/>
          <w:spacing w:val="-1"/>
          <w:sz w:val="24"/>
        </w:rPr>
        <w:t> </w:t>
      </w:r>
      <w:r>
        <w:rPr>
          <w:i/>
          <w:sz w:val="24"/>
        </w:rPr>
        <w:t>in this study. 'N' represents</w:t>
      </w:r>
      <w:r>
        <w:rPr>
          <w:i/>
          <w:spacing w:val="-1"/>
          <w:sz w:val="24"/>
        </w:rPr>
        <w:t> </w:t>
      </w:r>
      <w:r>
        <w:rPr>
          <w:i/>
          <w:sz w:val="24"/>
        </w:rPr>
        <w:t>the total number of teachers in the category concerned.</w:t>
      </w:r>
    </w:p>
    <w:p>
      <w:pPr>
        <w:pStyle w:val="BodyText"/>
        <w:spacing w:before="2"/>
        <w:rPr>
          <w:i/>
        </w:rPr>
      </w:pPr>
    </w:p>
    <w:p>
      <w:pPr>
        <w:pStyle w:val="BodyText"/>
        <w:ind w:left="159" w:right="495"/>
        <w:jc w:val="both"/>
      </w:pPr>
      <w:r>
        <w:rPr/>
        <w:t>be</w:t>
      </w:r>
      <w:r>
        <w:rPr>
          <w:spacing w:val="-3"/>
        </w:rPr>
        <w:t> </w:t>
      </w:r>
      <w:r>
        <w:rPr/>
        <w:t>required</w:t>
      </w:r>
      <w:r>
        <w:rPr>
          <w:spacing w:val="-3"/>
        </w:rPr>
        <w:t> </w:t>
      </w:r>
      <w:r>
        <w:rPr/>
        <w:t>to</w:t>
      </w:r>
      <w:r>
        <w:rPr>
          <w:spacing w:val="-3"/>
        </w:rPr>
        <w:t> </w:t>
      </w:r>
      <w:r>
        <w:rPr/>
        <w:t>have</w:t>
      </w:r>
      <w:r>
        <w:rPr>
          <w:spacing w:val="-3"/>
        </w:rPr>
        <w:t> </w:t>
      </w:r>
      <w:r>
        <w:rPr/>
        <w:t>a</w:t>
      </w:r>
      <w:r>
        <w:rPr>
          <w:spacing w:val="-3"/>
        </w:rPr>
        <w:t> </w:t>
      </w:r>
      <w:r>
        <w:rPr/>
        <w:t>managing</w:t>
      </w:r>
      <w:r>
        <w:rPr>
          <w:spacing w:val="-3"/>
        </w:rPr>
        <w:t> </w:t>
      </w:r>
      <w:r>
        <w:rPr/>
        <w:t>committee</w:t>
      </w:r>
      <w:r>
        <w:rPr>
          <w:spacing w:val="-3"/>
        </w:rPr>
        <w:t> </w:t>
      </w:r>
      <w:r>
        <w:rPr/>
        <w:t>on</w:t>
      </w:r>
      <w:r>
        <w:rPr>
          <w:spacing w:val="-3"/>
        </w:rPr>
        <w:t> </w:t>
      </w:r>
      <w:r>
        <w:rPr/>
        <w:t>which</w:t>
      </w:r>
      <w:r>
        <w:rPr>
          <w:spacing w:val="-3"/>
        </w:rPr>
        <w:t> </w:t>
      </w:r>
      <w:r>
        <w:rPr/>
        <w:t>there</w:t>
      </w:r>
      <w:r>
        <w:rPr>
          <w:spacing w:val="-3"/>
        </w:rPr>
        <w:t> </w:t>
      </w:r>
      <w:r>
        <w:rPr/>
        <w:t>would</w:t>
      </w:r>
      <w:r>
        <w:rPr>
          <w:spacing w:val="-3"/>
        </w:rPr>
        <w:t> </w:t>
      </w:r>
      <w:r>
        <w:rPr/>
        <w:t>be</w:t>
      </w:r>
      <w:r>
        <w:rPr>
          <w:spacing w:val="-3"/>
        </w:rPr>
        <w:t> </w:t>
      </w:r>
      <w:r>
        <w:rPr/>
        <w:t>representatives</w:t>
      </w:r>
      <w:r>
        <w:rPr>
          <w:spacing w:val="-3"/>
        </w:rPr>
        <w:t> </w:t>
      </w:r>
      <w:r>
        <w:rPr/>
        <w:t>of</w:t>
      </w:r>
      <w:r>
        <w:rPr>
          <w:spacing w:val="-3"/>
        </w:rPr>
        <w:t> </w:t>
      </w:r>
      <w:r>
        <w:rPr/>
        <w:t>the Department. The Department should also prescribe the qualifications for teachers which should e similar to those in government institutions. Every post to be filled should be filled should be adequately advertised and interviews should be held by a selection committee duly constituted by the managing committee and having on it one or more experts, depending upon the importance of the post. A report on the applications</w:t>
      </w:r>
      <w:r>
        <w:rPr>
          <w:spacing w:val="40"/>
        </w:rPr>
        <w:t> </w:t>
      </w:r>
      <w:r>
        <w:rPr/>
        <w:t>received, interviews held and final selection made should be submitted to the Department for approval. As in the case of private affiliated colleges, it will be necessary to leave the authority to appoint teachers with the managing committees of the schools. But unless a teachers is appointed after the procedure prescribed above is followed and approval is obtained, no grant-in--aid should be paid on his salary, and there should be no hesitation</w:t>
      </w:r>
    </w:p>
    <w:p>
      <w:pPr>
        <w:spacing w:after="0"/>
        <w:jc w:val="both"/>
        <w:sectPr>
          <w:pgSz w:w="12240" w:h="15840"/>
          <w:pgMar w:header="0" w:footer="743" w:top="1420" w:bottom="940" w:left="1640" w:right="1300"/>
        </w:sectPr>
      </w:pPr>
    </w:p>
    <w:p>
      <w:pPr>
        <w:pStyle w:val="BodyText"/>
        <w:spacing w:before="76"/>
        <w:ind w:left="160" w:right="498"/>
        <w:jc w:val="both"/>
      </w:pPr>
      <w:r>
        <w:rPr/>
        <w:t>in withholding such approval. A discriminating approach will have to be adopted </w:t>
      </w:r>
      <w:r>
        <w:rPr/>
        <w:t>and greater freedom in these matters should be allowed to good and efficient managements while those which fail to maintain standards or leave room for malpractice should be controlled more rigorously.</w:t>
      </w:r>
    </w:p>
    <w:p>
      <w:pPr>
        <w:pStyle w:val="BodyText"/>
        <w:spacing w:before="4"/>
      </w:pPr>
    </w:p>
    <w:p>
      <w:pPr>
        <w:pStyle w:val="ListParagraph"/>
        <w:numPr>
          <w:ilvl w:val="1"/>
          <w:numId w:val="47"/>
        </w:numPr>
        <w:tabs>
          <w:tab w:pos="646" w:val="left" w:leader="none"/>
        </w:tabs>
        <w:spacing w:line="240" w:lineRule="auto" w:before="0" w:after="0"/>
        <w:ind w:left="159" w:right="497" w:firstLine="0"/>
        <w:jc w:val="both"/>
        <w:rPr>
          <w:b/>
          <w:sz w:val="24"/>
        </w:rPr>
      </w:pPr>
      <w:r>
        <w:rPr>
          <w:b/>
          <w:sz w:val="24"/>
        </w:rPr>
        <w:t>Promotional Prospects. </w:t>
      </w:r>
      <w:r>
        <w:rPr>
          <w:sz w:val="24"/>
        </w:rPr>
        <w:t>Unfortunately, promotional prospects for teachers are poor at almost all stages, and it is this aspect, rather than the scales of pay as such, that often deters</w:t>
      </w:r>
      <w:r>
        <w:rPr>
          <w:spacing w:val="-1"/>
          <w:sz w:val="24"/>
        </w:rPr>
        <w:t> </w:t>
      </w:r>
      <w:r>
        <w:rPr>
          <w:sz w:val="24"/>
        </w:rPr>
        <w:t>talented</w:t>
      </w:r>
      <w:r>
        <w:rPr>
          <w:spacing w:val="-1"/>
          <w:sz w:val="24"/>
        </w:rPr>
        <w:t> </w:t>
      </w:r>
      <w:r>
        <w:rPr>
          <w:sz w:val="24"/>
        </w:rPr>
        <w:t>persons</w:t>
      </w:r>
      <w:r>
        <w:rPr>
          <w:spacing w:val="-1"/>
          <w:sz w:val="24"/>
        </w:rPr>
        <w:t> </w:t>
      </w:r>
      <w:r>
        <w:rPr>
          <w:sz w:val="24"/>
        </w:rPr>
        <w:t>from</w:t>
      </w:r>
      <w:r>
        <w:rPr>
          <w:spacing w:val="-3"/>
          <w:sz w:val="24"/>
        </w:rPr>
        <w:t> </w:t>
      </w:r>
      <w:r>
        <w:rPr>
          <w:sz w:val="24"/>
        </w:rPr>
        <w:t>joining</w:t>
      </w:r>
      <w:r>
        <w:rPr>
          <w:spacing w:val="-1"/>
          <w:sz w:val="24"/>
        </w:rPr>
        <w:t> </w:t>
      </w:r>
      <w:r>
        <w:rPr>
          <w:sz w:val="24"/>
        </w:rPr>
        <w:t>the</w:t>
      </w:r>
      <w:r>
        <w:rPr>
          <w:spacing w:val="-1"/>
          <w:sz w:val="24"/>
        </w:rPr>
        <w:t> </w:t>
      </w:r>
      <w:r>
        <w:rPr>
          <w:sz w:val="24"/>
        </w:rPr>
        <w:t>profession.</w:t>
      </w:r>
      <w:r>
        <w:rPr>
          <w:spacing w:val="-1"/>
          <w:sz w:val="24"/>
        </w:rPr>
        <w:t> </w:t>
      </w:r>
      <w:r>
        <w:rPr>
          <w:sz w:val="24"/>
        </w:rPr>
        <w:t>Steps</w:t>
      </w:r>
      <w:r>
        <w:rPr>
          <w:spacing w:val="-1"/>
          <w:sz w:val="24"/>
        </w:rPr>
        <w:t> </w:t>
      </w:r>
      <w:r>
        <w:rPr>
          <w:sz w:val="24"/>
        </w:rPr>
        <w:t>should</w:t>
      </w:r>
      <w:r>
        <w:rPr>
          <w:spacing w:val="-1"/>
          <w:sz w:val="24"/>
        </w:rPr>
        <w:t> </w:t>
      </w:r>
      <w:r>
        <w:rPr>
          <w:sz w:val="24"/>
        </w:rPr>
        <w:t>therefore</w:t>
      </w:r>
      <w:r>
        <w:rPr>
          <w:spacing w:val="-2"/>
          <w:sz w:val="24"/>
        </w:rPr>
        <w:t> </w:t>
      </w:r>
      <w:r>
        <w:rPr>
          <w:sz w:val="24"/>
        </w:rPr>
        <w:t>be</w:t>
      </w:r>
      <w:r>
        <w:rPr>
          <w:spacing w:val="-2"/>
          <w:sz w:val="24"/>
        </w:rPr>
        <w:t> </w:t>
      </w:r>
      <w:r>
        <w:rPr>
          <w:sz w:val="24"/>
        </w:rPr>
        <w:t>taken</w:t>
      </w:r>
      <w:r>
        <w:rPr>
          <w:spacing w:val="-2"/>
          <w:sz w:val="24"/>
        </w:rPr>
        <w:t> </w:t>
      </w:r>
      <w:r>
        <w:rPr>
          <w:sz w:val="24"/>
        </w:rPr>
        <w:t>to</w:t>
      </w:r>
      <w:r>
        <w:rPr>
          <w:spacing w:val="-2"/>
          <w:sz w:val="24"/>
        </w:rPr>
        <w:t> </w:t>
      </w:r>
      <w:r>
        <w:rPr>
          <w:sz w:val="24"/>
        </w:rPr>
        <w:t>see that good promotional prospects are provided at all stages of education, not only for improving qualifications, but for rewarding good teaching. For this, we make the following proposals:</w:t>
      </w:r>
    </w:p>
    <w:p>
      <w:pPr>
        <w:pStyle w:val="BodyText"/>
        <w:spacing w:before="4"/>
      </w:pPr>
    </w:p>
    <w:p>
      <w:pPr>
        <w:pStyle w:val="ListParagraph"/>
        <w:numPr>
          <w:ilvl w:val="0"/>
          <w:numId w:val="56"/>
        </w:numPr>
        <w:tabs>
          <w:tab w:pos="571" w:val="left" w:leader="none"/>
        </w:tabs>
        <w:spacing w:line="240" w:lineRule="auto" w:before="0" w:after="0"/>
        <w:ind w:left="160" w:right="497" w:firstLine="0"/>
        <w:jc w:val="both"/>
        <w:rPr>
          <w:sz w:val="24"/>
        </w:rPr>
      </w:pPr>
      <w:r>
        <w:rPr>
          <w:sz w:val="24"/>
        </w:rPr>
        <w:t>School Stage. (a) Qualified and trained teachers in primary schools should be considered for promotions to higher posts as headmasters or inspectors of </w:t>
      </w:r>
      <w:r>
        <w:rPr>
          <w:sz w:val="24"/>
        </w:rPr>
        <w:t>schools, ordinarily meant for trained graduate teachers. About ten to fifteen per cent of these posts should be reserved for such promotions.</w:t>
      </w:r>
    </w:p>
    <w:p>
      <w:pPr>
        <w:pStyle w:val="BodyText"/>
        <w:spacing w:before="5"/>
      </w:pPr>
    </w:p>
    <w:p>
      <w:pPr>
        <w:pStyle w:val="ListParagraph"/>
        <w:numPr>
          <w:ilvl w:val="0"/>
          <w:numId w:val="57"/>
        </w:numPr>
        <w:tabs>
          <w:tab w:pos="546" w:val="left" w:leader="none"/>
        </w:tabs>
        <w:spacing w:line="240" w:lineRule="auto" w:before="0" w:after="0"/>
        <w:ind w:left="160" w:right="495" w:firstLine="0"/>
        <w:jc w:val="both"/>
        <w:rPr>
          <w:sz w:val="24"/>
        </w:rPr>
      </w:pPr>
      <w:r>
        <w:rPr>
          <w:sz w:val="24"/>
        </w:rPr>
        <w:t>Similarly, trained graduate teachers who have done outstanding work as teachers should be eligible for promotion to ten to fifteen per cent of the posts carrying salaries of teachers with postgraduate qualifications.</w:t>
      </w:r>
    </w:p>
    <w:p>
      <w:pPr>
        <w:pStyle w:val="BodyText"/>
        <w:spacing w:before="3"/>
      </w:pPr>
    </w:p>
    <w:p>
      <w:pPr>
        <w:pStyle w:val="ListParagraph"/>
        <w:numPr>
          <w:ilvl w:val="0"/>
          <w:numId w:val="57"/>
        </w:numPr>
        <w:tabs>
          <w:tab w:pos="505" w:val="left" w:leader="none"/>
        </w:tabs>
        <w:spacing w:line="240" w:lineRule="auto" w:before="1" w:after="0"/>
        <w:ind w:left="160" w:right="498" w:firstLine="0"/>
        <w:jc w:val="both"/>
        <w:rPr>
          <w:sz w:val="24"/>
        </w:rPr>
      </w:pPr>
      <w:r>
        <w:rPr>
          <w:sz w:val="24"/>
        </w:rPr>
        <w:t>it should be made possible for school teachers who show the necessary aptitude </w:t>
      </w:r>
      <w:r>
        <w:rPr>
          <w:sz w:val="24"/>
        </w:rPr>
        <w:t>and competence to be appointed as university teachers. To help in this, the UGC should give ad hoc grants to out- standing school teachers to do research into problems of 'interest to them and incidentally to qualify themselves for work at the universities.</w:t>
      </w:r>
    </w:p>
    <w:p>
      <w:pPr>
        <w:pStyle w:val="BodyText"/>
        <w:spacing w:before="3"/>
      </w:pPr>
    </w:p>
    <w:p>
      <w:pPr>
        <w:pStyle w:val="ListParagraph"/>
        <w:numPr>
          <w:ilvl w:val="0"/>
          <w:numId w:val="57"/>
        </w:numPr>
        <w:tabs>
          <w:tab w:pos="506" w:val="left" w:leader="none"/>
        </w:tabs>
        <w:spacing w:line="240" w:lineRule="auto" w:before="0" w:after="0"/>
        <w:ind w:left="159" w:right="498" w:firstLine="0"/>
        <w:jc w:val="both"/>
        <w:rPr>
          <w:sz w:val="24"/>
        </w:rPr>
      </w:pPr>
      <w:r>
        <w:rPr>
          <w:sz w:val="24"/>
        </w:rPr>
        <w:t>Scales of pay spread over twenty years cover too long a period. It would be desirable to introduce a system under which teachers obtain advance increments for outstanding work. About 5 per cent of teachers should be able to reach the top of the scale in about</w:t>
      </w:r>
      <w:r>
        <w:rPr>
          <w:spacing w:val="40"/>
          <w:sz w:val="24"/>
        </w:rPr>
        <w:t> </w:t>
      </w:r>
      <w:r>
        <w:rPr>
          <w:sz w:val="24"/>
        </w:rPr>
        <w:t>ten years, and another 5 per cent in about 15 years.</w:t>
      </w:r>
    </w:p>
    <w:p>
      <w:pPr>
        <w:pStyle w:val="BodyText"/>
        <w:spacing w:before="6"/>
      </w:pPr>
    </w:p>
    <w:p>
      <w:pPr>
        <w:pStyle w:val="ListParagraph"/>
        <w:numPr>
          <w:ilvl w:val="0"/>
          <w:numId w:val="56"/>
        </w:numPr>
        <w:tabs>
          <w:tab w:pos="498" w:val="left" w:leader="none"/>
        </w:tabs>
        <w:spacing w:line="240" w:lineRule="auto" w:before="0" w:after="0"/>
        <w:ind w:left="498" w:right="0" w:hanging="339"/>
        <w:jc w:val="both"/>
        <w:rPr>
          <w:sz w:val="24"/>
        </w:rPr>
      </w:pPr>
      <w:r>
        <w:rPr>
          <w:sz w:val="24"/>
        </w:rPr>
        <w:t>University</w:t>
      </w:r>
      <w:r>
        <w:rPr>
          <w:spacing w:val="-1"/>
          <w:sz w:val="24"/>
        </w:rPr>
        <w:t> </w:t>
      </w:r>
      <w:r>
        <w:rPr>
          <w:sz w:val="24"/>
        </w:rPr>
        <w:t>Stage.</w:t>
      </w:r>
      <w:r>
        <w:rPr>
          <w:spacing w:val="-1"/>
          <w:sz w:val="24"/>
        </w:rPr>
        <w:t> </w:t>
      </w:r>
      <w:r>
        <w:rPr>
          <w:sz w:val="24"/>
        </w:rPr>
        <w:t>The following</w:t>
      </w:r>
      <w:r>
        <w:rPr>
          <w:spacing w:val="-1"/>
          <w:sz w:val="24"/>
        </w:rPr>
        <w:t> </w:t>
      </w:r>
      <w:r>
        <w:rPr>
          <w:sz w:val="24"/>
        </w:rPr>
        <w:t>measures may</w:t>
      </w:r>
      <w:r>
        <w:rPr>
          <w:spacing w:val="-1"/>
          <w:sz w:val="24"/>
        </w:rPr>
        <w:t> </w:t>
      </w:r>
      <w:r>
        <w:rPr>
          <w:sz w:val="24"/>
        </w:rPr>
        <w:t>be </w:t>
      </w:r>
      <w:r>
        <w:rPr>
          <w:spacing w:val="-2"/>
          <w:sz w:val="24"/>
        </w:rPr>
        <w:t>considered:</w:t>
      </w:r>
    </w:p>
    <w:p>
      <w:pPr>
        <w:pStyle w:val="BodyText"/>
        <w:spacing w:before="3"/>
      </w:pPr>
    </w:p>
    <w:p>
      <w:pPr>
        <w:pStyle w:val="ListParagraph"/>
        <w:numPr>
          <w:ilvl w:val="1"/>
          <w:numId w:val="56"/>
        </w:numPr>
        <w:tabs>
          <w:tab w:pos="514" w:val="left" w:leader="none"/>
        </w:tabs>
        <w:spacing w:line="240" w:lineRule="auto" w:before="0" w:after="0"/>
        <w:ind w:left="160" w:right="499" w:firstLine="0"/>
        <w:jc w:val="both"/>
        <w:rPr>
          <w:sz w:val="24"/>
        </w:rPr>
      </w:pPr>
      <w:r>
        <w:rPr>
          <w:sz w:val="24"/>
        </w:rPr>
        <w:t>An ad hoc temporary post in the higher grade should be created for a lecturer or a reader who has done outstanding work and who cannot be given his well-earned promotion because no suitable posts are vacant. He should then be absorbed' against an appropriate permanent post as soon as it becomes available. Before such promotions are Made, the work of the persons concerned should be evaluated by a specially constituted expert committee and the approval of the UGC obtained. An arrangement of this type already exists in the CSIR and ICAR.</w:t>
      </w:r>
    </w:p>
    <w:p>
      <w:pPr>
        <w:pStyle w:val="BodyText"/>
        <w:spacing w:before="3"/>
      </w:pPr>
    </w:p>
    <w:p>
      <w:pPr>
        <w:pStyle w:val="ListParagraph"/>
        <w:numPr>
          <w:ilvl w:val="1"/>
          <w:numId w:val="56"/>
        </w:numPr>
        <w:tabs>
          <w:tab w:pos="595" w:val="left" w:leader="none"/>
        </w:tabs>
        <w:spacing w:line="240" w:lineRule="auto" w:before="1" w:after="0"/>
        <w:ind w:left="160" w:right="497" w:firstLine="60"/>
        <w:jc w:val="both"/>
        <w:rPr>
          <w:sz w:val="24"/>
        </w:rPr>
      </w:pPr>
      <w:r>
        <w:rPr>
          <w:sz w:val="24"/>
        </w:rPr>
        <w:t>In some departments where outstanding work is done, the number of posts at the professor's level should be determined on the requirements of the department and should not be arbitrarily restricted to one.</w:t>
      </w:r>
    </w:p>
    <w:p>
      <w:pPr>
        <w:spacing w:after="0" w:line="240" w:lineRule="auto"/>
        <w:jc w:val="both"/>
        <w:rPr>
          <w:sz w:val="24"/>
        </w:rPr>
        <w:sectPr>
          <w:pgSz w:w="12240" w:h="15840"/>
          <w:pgMar w:header="0" w:footer="743" w:top="1360" w:bottom="940" w:left="1640" w:right="1300"/>
        </w:sectPr>
      </w:pPr>
    </w:p>
    <w:p>
      <w:pPr>
        <w:pStyle w:val="ListParagraph"/>
        <w:numPr>
          <w:ilvl w:val="1"/>
          <w:numId w:val="56"/>
        </w:numPr>
        <w:tabs>
          <w:tab w:pos="555" w:val="left" w:leader="none"/>
        </w:tabs>
        <w:spacing w:line="240" w:lineRule="auto" w:before="76" w:after="0"/>
        <w:ind w:left="159" w:right="497" w:firstLine="0"/>
        <w:jc w:val="both"/>
        <w:rPr>
          <w:sz w:val="24"/>
        </w:rPr>
      </w:pPr>
      <w:r>
        <w:rPr>
          <w:sz w:val="24"/>
        </w:rPr>
        <w:t>If the services of an outstanding person are to be retained or obtained at the professorial level, it should be open to the university concerned, in consultation with the UGC, to offer a suitable remuneration even beyond the special scale of Rs. 1,600- 1,800. Each case should be considered on its merits and considerable elasticity should be permitted in fixing salaries.</w:t>
      </w:r>
    </w:p>
    <w:p>
      <w:pPr>
        <w:pStyle w:val="BodyText"/>
        <w:spacing w:before="4"/>
      </w:pPr>
    </w:p>
    <w:p>
      <w:pPr>
        <w:pStyle w:val="ListParagraph"/>
        <w:numPr>
          <w:ilvl w:val="1"/>
          <w:numId w:val="47"/>
        </w:numPr>
        <w:tabs>
          <w:tab w:pos="682" w:val="left" w:leader="none"/>
        </w:tabs>
        <w:spacing w:line="240" w:lineRule="auto" w:before="0" w:after="0"/>
        <w:ind w:left="159" w:right="495" w:firstLine="0"/>
        <w:jc w:val="both"/>
        <w:rPr>
          <w:b/>
          <w:sz w:val="24"/>
        </w:rPr>
      </w:pPr>
      <w:r>
        <w:rPr>
          <w:b/>
          <w:sz w:val="24"/>
        </w:rPr>
        <w:t>Relating Salaries to Costs of Living. </w:t>
      </w:r>
      <w:r>
        <w:rPr>
          <w:sz w:val="24"/>
        </w:rPr>
        <w:t>Two other points which have often been raised in the discussions with us, deserve notice. The first of these relates to the adjustment in salaries consequent upon a rise in prices. It has been suggested that, after salaries have been revised adequately in line with present price- levels, a mechanical formula should be adopted to adjust them to future movements in the cost of living, as</w:t>
      </w:r>
      <w:r>
        <w:rPr>
          <w:spacing w:val="40"/>
          <w:sz w:val="24"/>
        </w:rPr>
        <w:t> </w:t>
      </w:r>
      <w:r>
        <w:rPr>
          <w:sz w:val="24"/>
        </w:rPr>
        <w:t>has been done, for instance, in the case of industrial workers. While we realize the need</w:t>
      </w:r>
      <w:r>
        <w:rPr>
          <w:spacing w:val="40"/>
          <w:sz w:val="24"/>
        </w:rPr>
        <w:t> </w:t>
      </w:r>
      <w:r>
        <w:rPr>
          <w:sz w:val="24"/>
        </w:rPr>
        <w:t>to link salaries with the cost of living we think that this can be better done through the principle of parity. We have recommended that all salaries of teachers should be</w:t>
      </w:r>
      <w:r>
        <w:rPr>
          <w:spacing w:val="40"/>
          <w:sz w:val="24"/>
        </w:rPr>
        <w:t> </w:t>
      </w:r>
      <w:r>
        <w:rPr>
          <w:sz w:val="24"/>
        </w:rPr>
        <w:t>reviewed every five years; and we have also recommended the principle of parity under which the dearness allowance to be paid to all teachers should be related to that of government servants. This will ensure adequate adjustments of salaries and allowances to movements in cost of living.</w:t>
      </w:r>
    </w:p>
    <w:p>
      <w:pPr>
        <w:pStyle w:val="BodyText"/>
        <w:spacing w:before="4"/>
      </w:pPr>
    </w:p>
    <w:p>
      <w:pPr>
        <w:pStyle w:val="ListParagraph"/>
        <w:numPr>
          <w:ilvl w:val="1"/>
          <w:numId w:val="47"/>
        </w:numPr>
        <w:tabs>
          <w:tab w:pos="677" w:val="left" w:leader="none"/>
        </w:tabs>
        <w:spacing w:line="240" w:lineRule="auto" w:before="0" w:after="0"/>
        <w:ind w:left="159" w:right="496" w:firstLine="0"/>
        <w:jc w:val="both"/>
        <w:rPr>
          <w:b/>
          <w:sz w:val="24"/>
        </w:rPr>
      </w:pPr>
      <w:r>
        <w:rPr>
          <w:b/>
          <w:sz w:val="24"/>
        </w:rPr>
        <w:t>Welfare Services. </w:t>
      </w:r>
      <w:r>
        <w:rPr>
          <w:sz w:val="24"/>
        </w:rPr>
        <w:t>A large number of suggestions have been put forward with a view to providing certain welfare services to teachers such as grant of free housing, free education</w:t>
      </w:r>
      <w:r>
        <w:rPr>
          <w:spacing w:val="-1"/>
          <w:sz w:val="24"/>
        </w:rPr>
        <w:t> </w:t>
      </w:r>
      <w:r>
        <w:rPr>
          <w:sz w:val="24"/>
        </w:rPr>
        <w:t>for</w:t>
      </w:r>
      <w:r>
        <w:rPr>
          <w:spacing w:val="-1"/>
          <w:sz w:val="24"/>
        </w:rPr>
        <w:t> </w:t>
      </w:r>
      <w:r>
        <w:rPr>
          <w:sz w:val="24"/>
        </w:rPr>
        <w:t>children,</w:t>
      </w:r>
      <w:r>
        <w:rPr>
          <w:spacing w:val="-1"/>
          <w:sz w:val="24"/>
        </w:rPr>
        <w:t> </w:t>
      </w:r>
      <w:r>
        <w:rPr>
          <w:sz w:val="24"/>
        </w:rPr>
        <w:t>and</w:t>
      </w:r>
      <w:r>
        <w:rPr>
          <w:spacing w:val="-1"/>
          <w:sz w:val="24"/>
        </w:rPr>
        <w:t> </w:t>
      </w:r>
      <w:r>
        <w:rPr>
          <w:sz w:val="24"/>
        </w:rPr>
        <w:t>free</w:t>
      </w:r>
      <w:r>
        <w:rPr>
          <w:spacing w:val="-1"/>
          <w:sz w:val="24"/>
        </w:rPr>
        <w:t> </w:t>
      </w:r>
      <w:r>
        <w:rPr>
          <w:sz w:val="24"/>
        </w:rPr>
        <w:t>or</w:t>
      </w:r>
      <w:r>
        <w:rPr>
          <w:spacing w:val="-1"/>
          <w:sz w:val="24"/>
        </w:rPr>
        <w:t> </w:t>
      </w:r>
      <w:r>
        <w:rPr>
          <w:sz w:val="24"/>
        </w:rPr>
        <w:t>subsidized</w:t>
      </w:r>
      <w:r>
        <w:rPr>
          <w:spacing w:val="-1"/>
          <w:sz w:val="24"/>
        </w:rPr>
        <w:t> </w:t>
      </w:r>
      <w:r>
        <w:rPr>
          <w:sz w:val="24"/>
        </w:rPr>
        <w:t>medical</w:t>
      </w:r>
      <w:r>
        <w:rPr>
          <w:spacing w:val="-1"/>
          <w:sz w:val="24"/>
        </w:rPr>
        <w:t> </w:t>
      </w:r>
      <w:r>
        <w:rPr>
          <w:sz w:val="24"/>
        </w:rPr>
        <w:t>facilities.</w:t>
      </w:r>
      <w:r>
        <w:rPr>
          <w:spacing w:val="-1"/>
          <w:sz w:val="24"/>
        </w:rPr>
        <w:t> </w:t>
      </w:r>
      <w:r>
        <w:rPr>
          <w:sz w:val="24"/>
        </w:rPr>
        <w:t>While</w:t>
      </w:r>
      <w:r>
        <w:rPr>
          <w:spacing w:val="-1"/>
          <w:sz w:val="24"/>
        </w:rPr>
        <w:t> </w:t>
      </w:r>
      <w:r>
        <w:rPr>
          <w:sz w:val="24"/>
        </w:rPr>
        <w:t>suggestions</w:t>
      </w:r>
      <w:r>
        <w:rPr>
          <w:spacing w:val="-1"/>
          <w:sz w:val="24"/>
        </w:rPr>
        <w:t> </w:t>
      </w:r>
      <w:r>
        <w:rPr>
          <w:sz w:val="24"/>
        </w:rPr>
        <w:t>of</w:t>
      </w:r>
      <w:r>
        <w:rPr>
          <w:spacing w:val="-3"/>
          <w:sz w:val="24"/>
        </w:rPr>
        <w:t> </w:t>
      </w:r>
      <w:r>
        <w:rPr>
          <w:sz w:val="24"/>
        </w:rPr>
        <w:t>this kind may serve as transitional measures until adequate salary scales are adopted, we do not think that an emphasis on such marginal benefits is the right approach to an equitable solution of the problem. The best course would be to pay the teachers adequately so that no special benefits of this type need be offered.</w:t>
      </w:r>
    </w:p>
    <w:p>
      <w:pPr>
        <w:pStyle w:val="BodyText"/>
        <w:spacing w:before="5"/>
      </w:pPr>
    </w:p>
    <w:p>
      <w:pPr>
        <w:pStyle w:val="ListParagraph"/>
        <w:numPr>
          <w:ilvl w:val="1"/>
          <w:numId w:val="47"/>
        </w:numPr>
        <w:tabs>
          <w:tab w:pos="665" w:val="left" w:leader="none"/>
        </w:tabs>
        <w:spacing w:line="240" w:lineRule="auto" w:before="0" w:after="0"/>
        <w:ind w:left="159" w:right="495" w:firstLine="0"/>
        <w:jc w:val="both"/>
        <w:rPr>
          <w:sz w:val="24"/>
        </w:rPr>
      </w:pPr>
      <w:r>
        <w:rPr>
          <w:sz w:val="24"/>
        </w:rPr>
        <w:t>One important proposal, however, needs consideration. This relates to the need to organize a general programme of welfare services for all school teachers in' each State or Union Territory. The funds for this programme should be jointly raised, teachers contributing 1 1/2 per cent of their salaries and the State contributing an equal amount. The entire amount thus raised should be administered by committees consisting of representatives of teachers and Government. There should be a State level committee to decide a broad policy, and district level committees to operate the fund in accordance</w:t>
      </w:r>
      <w:r>
        <w:rPr>
          <w:spacing w:val="40"/>
          <w:sz w:val="24"/>
        </w:rPr>
        <w:t> </w:t>
      </w:r>
      <w:r>
        <w:rPr>
          <w:sz w:val="24"/>
        </w:rPr>
        <w:t>with the general policies laid down. The fund could be utilized for grants for purchase of books and equipment, travel grants, scholarships for education of children, suitable assistance in case of serious sickness or disaster, and such other unforeseen calamities. When such a general welfare fund is created for each State or Union Territory, the existing teachers welfare fund set up by the Government of India may be </w:t>
      </w:r>
      <w:r>
        <w:rPr>
          <w:sz w:val="24"/>
        </w:rPr>
        <w:t>advantageously merged with it.</w:t>
      </w:r>
      <w:r>
        <w:rPr>
          <w:b/>
          <w:sz w:val="24"/>
          <w:vertAlign w:val="superscript"/>
        </w:rPr>
        <w:t>33</w:t>
      </w:r>
    </w:p>
    <w:p>
      <w:pPr>
        <w:spacing w:line="242" w:lineRule="auto" w:before="247"/>
        <w:ind w:left="160" w:right="497" w:firstLine="0"/>
        <w:jc w:val="both"/>
        <w:rPr>
          <w:sz w:val="20"/>
        </w:rPr>
      </w:pPr>
      <w:r>
        <w:rPr>
          <w:b/>
          <w:position w:val="11"/>
          <w:sz w:val="16"/>
        </w:rPr>
        <w:t>33</w:t>
      </w:r>
      <w:r>
        <w:rPr>
          <w:sz w:val="20"/>
        </w:rPr>
        <w:t>We recommend that these services should also be extended to university teachers. From this point of view, they should be permitted to join a common programme to be organized for all teachers on a State basis. In the alternative, each university may organize a welfare fund for its teachers on the above lines.</w:t>
      </w:r>
    </w:p>
    <w:p>
      <w:pPr>
        <w:spacing w:after="0" w:line="242" w:lineRule="auto"/>
        <w:jc w:val="both"/>
        <w:rPr>
          <w:sz w:val="20"/>
        </w:rPr>
        <w:sectPr>
          <w:pgSz w:w="12240" w:h="15840"/>
          <w:pgMar w:header="0" w:footer="743" w:top="1360" w:bottom="940" w:left="1640" w:right="1300"/>
        </w:sectPr>
      </w:pPr>
    </w:p>
    <w:p>
      <w:pPr>
        <w:pStyle w:val="ListParagraph"/>
        <w:numPr>
          <w:ilvl w:val="1"/>
          <w:numId w:val="47"/>
        </w:numPr>
        <w:tabs>
          <w:tab w:pos="661" w:val="left" w:leader="none"/>
        </w:tabs>
        <w:spacing w:line="240" w:lineRule="auto" w:before="76" w:after="0"/>
        <w:ind w:left="160" w:right="495" w:firstLine="0"/>
        <w:jc w:val="both"/>
        <w:rPr>
          <w:b/>
          <w:sz w:val="24"/>
        </w:rPr>
      </w:pPr>
      <w:r>
        <w:rPr>
          <w:b/>
          <w:sz w:val="24"/>
        </w:rPr>
        <w:t>Financial Implications. </w:t>
      </w:r>
      <w:r>
        <w:rPr>
          <w:sz w:val="24"/>
        </w:rPr>
        <w:t>An obvious objection to these proposals for improvement of remuneration can be taken on financial grounds. It may be argued that, at the present and proposed levels of expansion of education, the country does not have the resources to adopt these scales of pay. We realize that the increase recommended by us will lead to a substantial increase in educational expenditure. But unless the salaries are upgraded to these or even better levels and unless a feed-back process is properly initiated and maintained, it will not be possible to improve standards, and education would be unable</w:t>
      </w:r>
      <w:r>
        <w:rPr>
          <w:spacing w:val="40"/>
          <w:sz w:val="24"/>
        </w:rPr>
        <w:t> </w:t>
      </w:r>
      <w:r>
        <w:rPr>
          <w:sz w:val="24"/>
        </w:rPr>
        <w:t>to make a significant contribution to national development. The future of education and consequently of the nation is at stake and the price must be paid. We believe that we can and should find the funds needed.</w:t>
      </w:r>
    </w:p>
    <w:p>
      <w:pPr>
        <w:pStyle w:val="BodyText"/>
        <w:spacing w:before="4"/>
      </w:pPr>
    </w:p>
    <w:p>
      <w:pPr>
        <w:pStyle w:val="ListParagraph"/>
        <w:numPr>
          <w:ilvl w:val="1"/>
          <w:numId w:val="47"/>
        </w:numPr>
        <w:tabs>
          <w:tab w:pos="676" w:val="left" w:leader="none"/>
        </w:tabs>
        <w:spacing w:line="240" w:lineRule="auto" w:before="0" w:after="0"/>
        <w:ind w:left="159" w:right="496" w:firstLine="0"/>
        <w:jc w:val="both"/>
        <w:rPr>
          <w:sz w:val="24"/>
        </w:rPr>
      </w:pPr>
      <w:r>
        <w:rPr>
          <w:sz w:val="24"/>
        </w:rPr>
        <w:t>A study of the salary structure in educationally advanced countries reveals some interesting points. In some countries, e.g., the USSR, teaching is among the best professions. In most of them, a wage comparable with other professions is assured. Salaries at the University level are generally high enough to attract a reasonable proportion</w:t>
      </w:r>
      <w:r>
        <w:rPr>
          <w:spacing w:val="-2"/>
          <w:sz w:val="24"/>
        </w:rPr>
        <w:t> </w:t>
      </w:r>
      <w:r>
        <w:rPr>
          <w:sz w:val="24"/>
        </w:rPr>
        <w:t>of</w:t>
      </w:r>
      <w:r>
        <w:rPr>
          <w:spacing w:val="-2"/>
          <w:sz w:val="24"/>
        </w:rPr>
        <w:t> </w:t>
      </w:r>
      <w:r>
        <w:rPr>
          <w:sz w:val="24"/>
        </w:rPr>
        <w:t>the</w:t>
      </w:r>
      <w:r>
        <w:rPr>
          <w:spacing w:val="-2"/>
          <w:sz w:val="24"/>
        </w:rPr>
        <w:t> </w:t>
      </w:r>
      <w:r>
        <w:rPr>
          <w:sz w:val="24"/>
        </w:rPr>
        <w:t>best</w:t>
      </w:r>
      <w:r>
        <w:rPr>
          <w:spacing w:val="-2"/>
          <w:sz w:val="24"/>
        </w:rPr>
        <w:t> </w:t>
      </w:r>
      <w:r>
        <w:rPr>
          <w:sz w:val="24"/>
        </w:rPr>
        <w:t>talent</w:t>
      </w:r>
      <w:r>
        <w:rPr>
          <w:spacing w:val="-2"/>
          <w:sz w:val="24"/>
        </w:rPr>
        <w:t> </w:t>
      </w:r>
      <w:r>
        <w:rPr>
          <w:sz w:val="24"/>
        </w:rPr>
        <w:t>in</w:t>
      </w:r>
      <w:r>
        <w:rPr>
          <w:spacing w:val="-2"/>
          <w:sz w:val="24"/>
        </w:rPr>
        <w:t> </w:t>
      </w:r>
      <w:r>
        <w:rPr>
          <w:sz w:val="24"/>
        </w:rPr>
        <w:t>the</w:t>
      </w:r>
      <w:r>
        <w:rPr>
          <w:spacing w:val="-2"/>
          <w:sz w:val="24"/>
        </w:rPr>
        <w:t> </w:t>
      </w:r>
      <w:r>
        <w:rPr>
          <w:sz w:val="24"/>
        </w:rPr>
        <w:t>country.</w:t>
      </w:r>
      <w:r>
        <w:rPr>
          <w:spacing w:val="-2"/>
          <w:sz w:val="24"/>
        </w:rPr>
        <w:t> </w:t>
      </w:r>
      <w:r>
        <w:rPr>
          <w:sz w:val="24"/>
        </w:rPr>
        <w:t>The</w:t>
      </w:r>
      <w:r>
        <w:rPr>
          <w:spacing w:val="-3"/>
          <w:sz w:val="24"/>
        </w:rPr>
        <w:t> </w:t>
      </w:r>
      <w:r>
        <w:rPr>
          <w:sz w:val="24"/>
        </w:rPr>
        <w:t>gap</w:t>
      </w:r>
      <w:r>
        <w:rPr>
          <w:spacing w:val="-3"/>
          <w:sz w:val="24"/>
        </w:rPr>
        <w:t> </w:t>
      </w:r>
      <w:r>
        <w:rPr>
          <w:sz w:val="24"/>
        </w:rPr>
        <w:t>between</w:t>
      </w:r>
      <w:r>
        <w:rPr>
          <w:spacing w:val="-3"/>
          <w:sz w:val="24"/>
        </w:rPr>
        <w:t> </w:t>
      </w:r>
      <w:r>
        <w:rPr>
          <w:sz w:val="24"/>
        </w:rPr>
        <w:t>the</w:t>
      </w:r>
      <w:r>
        <w:rPr>
          <w:spacing w:val="-3"/>
          <w:sz w:val="24"/>
        </w:rPr>
        <w:t> </w:t>
      </w:r>
      <w:r>
        <w:rPr>
          <w:sz w:val="24"/>
        </w:rPr>
        <w:t>salaries</w:t>
      </w:r>
      <w:r>
        <w:rPr>
          <w:spacing w:val="-3"/>
          <w:sz w:val="24"/>
        </w:rPr>
        <w:t> </w:t>
      </w:r>
      <w:r>
        <w:rPr>
          <w:sz w:val="24"/>
        </w:rPr>
        <w:t>of</w:t>
      </w:r>
      <w:r>
        <w:rPr>
          <w:spacing w:val="-3"/>
          <w:sz w:val="24"/>
        </w:rPr>
        <w:t> </w:t>
      </w:r>
      <w:r>
        <w:rPr>
          <w:sz w:val="24"/>
        </w:rPr>
        <w:t>university</w:t>
      </w:r>
      <w:r>
        <w:rPr>
          <w:spacing w:val="-3"/>
          <w:sz w:val="24"/>
        </w:rPr>
        <w:t> </w:t>
      </w:r>
      <w:r>
        <w:rPr>
          <w:sz w:val="24"/>
        </w:rPr>
        <w:t>and school teachers is narrow. Even the highest salaries show a reasonable relationship to the national dividend; and the salary is related, not so much to the institution in which the teacher works, as to his qualifications. It is because of these factors that these countries call support a large expansion of education and also attract a fair proportion of talented persons to the teaching profession.</w:t>
      </w:r>
    </w:p>
    <w:p>
      <w:pPr>
        <w:pStyle w:val="BodyText"/>
        <w:spacing w:before="4"/>
      </w:pPr>
    </w:p>
    <w:p>
      <w:pPr>
        <w:pStyle w:val="ListParagraph"/>
        <w:numPr>
          <w:ilvl w:val="1"/>
          <w:numId w:val="47"/>
        </w:numPr>
        <w:tabs>
          <w:tab w:pos="647" w:val="left" w:leader="none"/>
        </w:tabs>
        <w:spacing w:line="240" w:lineRule="auto" w:before="0" w:after="0"/>
        <w:ind w:left="160" w:right="496" w:firstLine="0"/>
        <w:jc w:val="both"/>
        <w:rPr>
          <w:sz w:val="24"/>
        </w:rPr>
      </w:pPr>
      <w:r>
        <w:rPr>
          <w:sz w:val="24"/>
        </w:rPr>
        <w:t>The reorganization of the salary structure for teachers on these lines is not generally feasible in a developing country where the general situation is exactly the opposite. For </w:t>
      </w:r>
      <w:r>
        <w:rPr>
          <w:spacing w:val="-2"/>
          <w:sz w:val="24"/>
        </w:rPr>
        <w:t>instance,</w:t>
      </w:r>
    </w:p>
    <w:p>
      <w:pPr>
        <w:pStyle w:val="BodyText"/>
        <w:spacing w:before="6"/>
      </w:pPr>
    </w:p>
    <w:p>
      <w:pPr>
        <w:pStyle w:val="ListParagraph"/>
        <w:numPr>
          <w:ilvl w:val="2"/>
          <w:numId w:val="47"/>
        </w:numPr>
        <w:tabs>
          <w:tab w:pos="298" w:val="left" w:leader="none"/>
        </w:tabs>
        <w:spacing w:line="240" w:lineRule="auto" w:before="0" w:after="0"/>
        <w:ind w:left="298" w:right="0" w:hanging="138"/>
        <w:jc w:val="both"/>
        <w:rPr>
          <w:sz w:val="24"/>
        </w:rPr>
      </w:pPr>
      <w:r>
        <w:rPr>
          <w:sz w:val="24"/>
        </w:rPr>
        <w:t>the</w:t>
      </w:r>
      <w:r>
        <w:rPr>
          <w:spacing w:val="-4"/>
          <w:sz w:val="24"/>
        </w:rPr>
        <w:t> </w:t>
      </w:r>
      <w:r>
        <w:rPr>
          <w:sz w:val="24"/>
        </w:rPr>
        <w:t>salaries</w:t>
      </w:r>
      <w:r>
        <w:rPr>
          <w:spacing w:val="-2"/>
          <w:sz w:val="24"/>
        </w:rPr>
        <w:t> </w:t>
      </w:r>
      <w:r>
        <w:rPr>
          <w:sz w:val="24"/>
        </w:rPr>
        <w:t>of</w:t>
      </w:r>
      <w:r>
        <w:rPr>
          <w:spacing w:val="-1"/>
          <w:sz w:val="24"/>
        </w:rPr>
        <w:t> </w:t>
      </w:r>
      <w:r>
        <w:rPr>
          <w:sz w:val="24"/>
        </w:rPr>
        <w:t>teachers</w:t>
      </w:r>
      <w:r>
        <w:rPr>
          <w:spacing w:val="-1"/>
          <w:sz w:val="24"/>
        </w:rPr>
        <w:t> </w:t>
      </w:r>
      <w:r>
        <w:rPr>
          <w:sz w:val="24"/>
        </w:rPr>
        <w:t>are</w:t>
      </w:r>
      <w:r>
        <w:rPr>
          <w:spacing w:val="-1"/>
          <w:sz w:val="24"/>
        </w:rPr>
        <w:t> </w:t>
      </w:r>
      <w:r>
        <w:rPr>
          <w:sz w:val="24"/>
        </w:rPr>
        <w:t>high</w:t>
      </w:r>
      <w:r>
        <w:rPr>
          <w:spacing w:val="-2"/>
          <w:sz w:val="24"/>
        </w:rPr>
        <w:t> </w:t>
      </w:r>
      <w:r>
        <w:rPr>
          <w:sz w:val="24"/>
        </w:rPr>
        <w:t>with</w:t>
      </w:r>
      <w:r>
        <w:rPr>
          <w:spacing w:val="-1"/>
          <w:sz w:val="24"/>
        </w:rPr>
        <w:t> </w:t>
      </w:r>
      <w:r>
        <w:rPr>
          <w:sz w:val="24"/>
        </w:rPr>
        <w:t>reference</w:t>
      </w:r>
      <w:r>
        <w:rPr>
          <w:spacing w:val="-1"/>
          <w:sz w:val="24"/>
        </w:rPr>
        <w:t> </w:t>
      </w:r>
      <w:r>
        <w:rPr>
          <w:sz w:val="24"/>
        </w:rPr>
        <w:t>to</w:t>
      </w:r>
      <w:r>
        <w:rPr>
          <w:spacing w:val="-1"/>
          <w:sz w:val="24"/>
        </w:rPr>
        <w:t> </w:t>
      </w:r>
      <w:r>
        <w:rPr>
          <w:sz w:val="24"/>
        </w:rPr>
        <w:t>the</w:t>
      </w:r>
      <w:r>
        <w:rPr>
          <w:spacing w:val="-1"/>
          <w:sz w:val="24"/>
        </w:rPr>
        <w:t> </w:t>
      </w:r>
      <w:r>
        <w:rPr>
          <w:sz w:val="24"/>
        </w:rPr>
        <w:t>national</w:t>
      </w:r>
      <w:r>
        <w:rPr>
          <w:spacing w:val="-1"/>
          <w:sz w:val="24"/>
        </w:rPr>
        <w:t> </w:t>
      </w:r>
      <w:r>
        <w:rPr>
          <w:spacing w:val="-2"/>
          <w:sz w:val="24"/>
        </w:rPr>
        <w:t>dividend;</w:t>
      </w:r>
    </w:p>
    <w:p>
      <w:pPr>
        <w:pStyle w:val="BodyText"/>
        <w:spacing w:before="3"/>
      </w:pPr>
    </w:p>
    <w:p>
      <w:pPr>
        <w:pStyle w:val="ListParagraph"/>
        <w:numPr>
          <w:ilvl w:val="2"/>
          <w:numId w:val="47"/>
        </w:numPr>
        <w:tabs>
          <w:tab w:pos="303" w:val="left" w:leader="none"/>
        </w:tabs>
        <w:spacing w:line="240" w:lineRule="auto" w:before="0" w:after="0"/>
        <w:ind w:left="159" w:right="498" w:firstLine="0"/>
        <w:jc w:val="both"/>
        <w:rPr>
          <w:sz w:val="24"/>
        </w:rPr>
      </w:pPr>
      <w:r>
        <w:rPr>
          <w:sz w:val="24"/>
        </w:rPr>
        <w:t>the salaries of teachers compare unfavourably with those of other public servants which are even higher; and</w:t>
      </w:r>
    </w:p>
    <w:p>
      <w:pPr>
        <w:pStyle w:val="BodyText"/>
        <w:spacing w:before="4"/>
      </w:pPr>
    </w:p>
    <w:p>
      <w:pPr>
        <w:pStyle w:val="ListParagraph"/>
        <w:numPr>
          <w:ilvl w:val="2"/>
          <w:numId w:val="47"/>
        </w:numPr>
        <w:tabs>
          <w:tab w:pos="298" w:val="left" w:leader="none"/>
        </w:tabs>
        <w:spacing w:line="240" w:lineRule="auto" w:before="1" w:after="0"/>
        <w:ind w:left="298" w:right="0" w:hanging="139"/>
        <w:jc w:val="both"/>
        <w:rPr>
          <w:sz w:val="24"/>
        </w:rPr>
      </w:pPr>
      <w:r>
        <w:rPr>
          <w:sz w:val="24"/>
        </w:rPr>
        <w:t>there</w:t>
      </w:r>
      <w:r>
        <w:rPr>
          <w:spacing w:val="-1"/>
          <w:sz w:val="24"/>
        </w:rPr>
        <w:t> </w:t>
      </w:r>
      <w:r>
        <w:rPr>
          <w:sz w:val="24"/>
        </w:rPr>
        <w:t>are wide</w:t>
      </w:r>
      <w:r>
        <w:rPr>
          <w:spacing w:val="-1"/>
          <w:sz w:val="24"/>
        </w:rPr>
        <w:t> </w:t>
      </w:r>
      <w:r>
        <w:rPr>
          <w:sz w:val="24"/>
        </w:rPr>
        <w:t>difference, between the</w:t>
      </w:r>
      <w:r>
        <w:rPr>
          <w:spacing w:val="-1"/>
          <w:sz w:val="24"/>
        </w:rPr>
        <w:t> </w:t>
      </w:r>
      <w:r>
        <w:rPr>
          <w:sz w:val="24"/>
        </w:rPr>
        <w:t>salaries</w:t>
      </w:r>
      <w:r>
        <w:rPr>
          <w:spacing w:val="-1"/>
          <w:sz w:val="24"/>
        </w:rPr>
        <w:t> </w:t>
      </w:r>
      <w:r>
        <w:rPr>
          <w:sz w:val="24"/>
        </w:rPr>
        <w:t>of</w:t>
      </w:r>
      <w:r>
        <w:rPr>
          <w:spacing w:val="-2"/>
          <w:sz w:val="24"/>
        </w:rPr>
        <w:t> </w:t>
      </w:r>
      <w:r>
        <w:rPr>
          <w:sz w:val="24"/>
        </w:rPr>
        <w:t>teachers</w:t>
      </w:r>
      <w:r>
        <w:rPr>
          <w:spacing w:val="-2"/>
          <w:sz w:val="24"/>
        </w:rPr>
        <w:t> </w:t>
      </w:r>
      <w:r>
        <w:rPr>
          <w:sz w:val="24"/>
        </w:rPr>
        <w:t>at</w:t>
      </w:r>
      <w:r>
        <w:rPr>
          <w:spacing w:val="-1"/>
          <w:sz w:val="24"/>
        </w:rPr>
        <w:t> </w:t>
      </w:r>
      <w:r>
        <w:rPr>
          <w:sz w:val="24"/>
        </w:rPr>
        <w:t>different</w:t>
      </w:r>
      <w:r>
        <w:rPr>
          <w:spacing w:val="-1"/>
          <w:sz w:val="24"/>
        </w:rPr>
        <w:t> </w:t>
      </w:r>
      <w:r>
        <w:rPr>
          <w:spacing w:val="-2"/>
          <w:sz w:val="24"/>
        </w:rPr>
        <w:t>levels.</w:t>
      </w:r>
    </w:p>
    <w:p>
      <w:pPr>
        <w:pStyle w:val="BodyText"/>
        <w:spacing w:before="2"/>
      </w:pPr>
    </w:p>
    <w:p>
      <w:pPr>
        <w:pStyle w:val="BodyText"/>
        <w:ind w:left="159" w:right="496"/>
        <w:jc w:val="both"/>
      </w:pPr>
      <w:r>
        <w:rPr/>
        <w:t>The basic reason for this situation is that the salaries of the superior ranks in government service are fixed very high and without any reference to the economic capacity of the people. The origin of this is often purely historical, as in our own country. Under the imperial regime, the salaries of the superior government servants were fixed, not in relation to the national dividend of the Indian people, but with reference to salaries prevailing in England. Consequently, salaries of the superior government servants (who were mostly Englishmen) came to be far above the economic capacity of the Indian people.</w:t>
      </w:r>
      <w:r>
        <w:rPr>
          <w:spacing w:val="-1"/>
        </w:rPr>
        <w:t> </w:t>
      </w:r>
      <w:r>
        <w:rPr/>
        <w:t>Even</w:t>
      </w:r>
      <w:r>
        <w:rPr>
          <w:spacing w:val="-1"/>
        </w:rPr>
        <w:t> </w:t>
      </w:r>
      <w:r>
        <w:rPr/>
        <w:t>when</w:t>
      </w:r>
      <w:r>
        <w:rPr>
          <w:spacing w:val="-1"/>
        </w:rPr>
        <w:t> </w:t>
      </w:r>
      <w:r>
        <w:rPr/>
        <w:t>Indians</w:t>
      </w:r>
      <w:r>
        <w:rPr>
          <w:spacing w:val="-1"/>
        </w:rPr>
        <w:t> </w:t>
      </w:r>
      <w:r>
        <w:rPr/>
        <w:t>were</w:t>
      </w:r>
      <w:r>
        <w:rPr>
          <w:spacing w:val="-1"/>
        </w:rPr>
        <w:t> </w:t>
      </w:r>
      <w:r>
        <w:rPr/>
        <w:t>recruited</w:t>
      </w:r>
      <w:r>
        <w:rPr>
          <w:spacing w:val="-1"/>
        </w:rPr>
        <w:t> </w:t>
      </w:r>
      <w:r>
        <w:rPr/>
        <w:t>to</w:t>
      </w:r>
      <w:r>
        <w:rPr>
          <w:spacing w:val="-1"/>
        </w:rPr>
        <w:t> </w:t>
      </w:r>
      <w:r>
        <w:rPr/>
        <w:t>government</w:t>
      </w:r>
      <w:r>
        <w:rPr>
          <w:spacing w:val="-1"/>
        </w:rPr>
        <w:t> </w:t>
      </w:r>
      <w:r>
        <w:rPr/>
        <w:t>services,</w:t>
      </w:r>
      <w:r>
        <w:rPr>
          <w:spacing w:val="-1"/>
        </w:rPr>
        <w:t> </w:t>
      </w:r>
      <w:r>
        <w:rPr/>
        <w:t>these</w:t>
      </w:r>
      <w:r>
        <w:rPr>
          <w:spacing w:val="-1"/>
        </w:rPr>
        <w:t> </w:t>
      </w:r>
      <w:r>
        <w:rPr/>
        <w:t>salaries</w:t>
      </w:r>
      <w:r>
        <w:rPr>
          <w:spacing w:val="-1"/>
        </w:rPr>
        <w:t> </w:t>
      </w:r>
      <w:r>
        <w:rPr/>
        <w:t>were</w:t>
      </w:r>
      <w:r>
        <w:rPr>
          <w:spacing w:val="-1"/>
        </w:rPr>
        <w:t> </w:t>
      </w:r>
      <w:r>
        <w:rPr/>
        <w:t>not reduced because it was not politically expedient to make any marked distinction between them and the expatriate officers. Hence the salaries of government servants as a class came to be fixed at a much higher level than what the country could afford. This position did not create any difficulties so long as the total volume of governmental services was limited.</w:t>
      </w:r>
      <w:r>
        <w:rPr>
          <w:spacing w:val="3"/>
        </w:rPr>
        <w:t> </w:t>
      </w:r>
      <w:r>
        <w:rPr/>
        <w:t>But</w:t>
      </w:r>
      <w:r>
        <w:rPr>
          <w:spacing w:val="3"/>
        </w:rPr>
        <w:t> </w:t>
      </w:r>
      <w:r>
        <w:rPr/>
        <w:t>it</w:t>
      </w:r>
      <w:r>
        <w:rPr>
          <w:spacing w:val="3"/>
        </w:rPr>
        <w:t> </w:t>
      </w:r>
      <w:r>
        <w:rPr/>
        <w:t>soon</w:t>
      </w:r>
      <w:r>
        <w:rPr>
          <w:spacing w:val="2"/>
        </w:rPr>
        <w:t> </w:t>
      </w:r>
      <w:r>
        <w:rPr/>
        <w:t>became</w:t>
      </w:r>
      <w:r>
        <w:rPr>
          <w:spacing w:val="4"/>
        </w:rPr>
        <w:t> </w:t>
      </w:r>
      <w:r>
        <w:rPr/>
        <w:t>the</w:t>
      </w:r>
      <w:r>
        <w:rPr>
          <w:spacing w:val="3"/>
        </w:rPr>
        <w:t> </w:t>
      </w:r>
      <w:r>
        <w:rPr/>
        <w:t>main</w:t>
      </w:r>
      <w:r>
        <w:rPr>
          <w:spacing w:val="3"/>
        </w:rPr>
        <w:t> </w:t>
      </w:r>
      <w:r>
        <w:rPr/>
        <w:t>bottleneck</w:t>
      </w:r>
      <w:r>
        <w:rPr>
          <w:spacing w:val="1"/>
        </w:rPr>
        <w:t> </w:t>
      </w:r>
      <w:r>
        <w:rPr/>
        <w:t>preventing</w:t>
      </w:r>
      <w:r>
        <w:rPr>
          <w:spacing w:val="4"/>
        </w:rPr>
        <w:t> </w:t>
      </w:r>
      <w:r>
        <w:rPr/>
        <w:t>the</w:t>
      </w:r>
      <w:r>
        <w:rPr>
          <w:spacing w:val="3"/>
        </w:rPr>
        <w:t> </w:t>
      </w:r>
      <w:r>
        <w:rPr/>
        <w:t>proper</w:t>
      </w:r>
      <w:r>
        <w:rPr>
          <w:spacing w:val="3"/>
        </w:rPr>
        <w:t> </w:t>
      </w:r>
      <w:r>
        <w:rPr/>
        <w:t>development</w:t>
      </w:r>
      <w:r>
        <w:rPr>
          <w:spacing w:val="3"/>
        </w:rPr>
        <w:t> </w:t>
      </w:r>
      <w:r>
        <w:rPr/>
        <w:t>of</w:t>
      </w:r>
      <w:r>
        <w:rPr>
          <w:spacing w:val="4"/>
        </w:rPr>
        <w:t> </w:t>
      </w:r>
      <w:r>
        <w:rPr>
          <w:spacing w:val="-5"/>
        </w:rPr>
        <w:t>all</w:t>
      </w:r>
    </w:p>
    <w:p>
      <w:pPr>
        <w:spacing w:after="0"/>
        <w:jc w:val="both"/>
        <w:sectPr>
          <w:pgSz w:w="12240" w:h="15840"/>
          <w:pgMar w:header="0" w:footer="743" w:top="1360" w:bottom="940" w:left="1640" w:right="1300"/>
        </w:sectPr>
      </w:pPr>
    </w:p>
    <w:p>
      <w:pPr>
        <w:pStyle w:val="BodyText"/>
        <w:spacing w:before="76"/>
        <w:ind w:left="160" w:right="498"/>
        <w:jc w:val="both"/>
      </w:pPr>
      <w:r>
        <w:rPr/>
        <w:t>social services in general and of education in particular. A solution was, therefore, attempted by the adoption of three questionable devices:</w:t>
      </w:r>
    </w:p>
    <w:p>
      <w:pPr>
        <w:pStyle w:val="BodyText"/>
        <w:spacing w:before="4"/>
      </w:pPr>
    </w:p>
    <w:p>
      <w:pPr>
        <w:pStyle w:val="ListParagraph"/>
        <w:numPr>
          <w:ilvl w:val="2"/>
          <w:numId w:val="47"/>
        </w:numPr>
        <w:tabs>
          <w:tab w:pos="346" w:val="left" w:leader="none"/>
        </w:tabs>
        <w:spacing w:line="240" w:lineRule="auto" w:before="0" w:after="0"/>
        <w:ind w:left="159" w:right="498" w:firstLine="0"/>
        <w:jc w:val="both"/>
        <w:rPr>
          <w:sz w:val="24"/>
        </w:rPr>
      </w:pPr>
      <w:r>
        <w:rPr>
          <w:sz w:val="24"/>
        </w:rPr>
        <w:t>Even in government service, the teachers were paid lower than other categories of employees who had the same (or even inferior) qualifications and responsibilities;</w:t>
      </w:r>
    </w:p>
    <w:p>
      <w:pPr>
        <w:pStyle w:val="BodyText"/>
        <w:spacing w:before="5"/>
      </w:pPr>
    </w:p>
    <w:p>
      <w:pPr>
        <w:pStyle w:val="ListParagraph"/>
        <w:numPr>
          <w:ilvl w:val="2"/>
          <w:numId w:val="47"/>
        </w:numPr>
        <w:tabs>
          <w:tab w:pos="310" w:val="left" w:leader="none"/>
        </w:tabs>
        <w:spacing w:line="240" w:lineRule="auto" w:before="0" w:after="0"/>
        <w:ind w:left="160" w:right="498" w:firstLine="0"/>
        <w:jc w:val="both"/>
        <w:rPr>
          <w:sz w:val="24"/>
        </w:rPr>
      </w:pPr>
      <w:r>
        <w:rPr>
          <w:sz w:val="24"/>
        </w:rPr>
        <w:t>The bulk of the educational enterprise was placed, not in the public or State sector, but under local bodies-and in the private sector;</w:t>
      </w:r>
    </w:p>
    <w:p>
      <w:pPr>
        <w:pStyle w:val="BodyText"/>
        <w:spacing w:before="3"/>
      </w:pPr>
    </w:p>
    <w:p>
      <w:pPr>
        <w:pStyle w:val="ListParagraph"/>
        <w:numPr>
          <w:ilvl w:val="2"/>
          <w:numId w:val="47"/>
        </w:numPr>
        <w:tabs>
          <w:tab w:pos="314" w:val="left" w:leader="none"/>
        </w:tabs>
        <w:spacing w:line="240" w:lineRule="auto" w:before="1" w:after="0"/>
        <w:ind w:left="160" w:right="498" w:firstLine="0"/>
        <w:jc w:val="both"/>
        <w:rPr>
          <w:sz w:val="24"/>
        </w:rPr>
      </w:pPr>
      <w:r>
        <w:rPr>
          <w:sz w:val="24"/>
        </w:rPr>
        <w:t>The principle of parity was rejected and teachers in local authority and private schools were paid at lower rates.</w:t>
      </w:r>
    </w:p>
    <w:p>
      <w:pPr>
        <w:pStyle w:val="BodyText"/>
        <w:spacing w:before="3"/>
      </w:pPr>
    </w:p>
    <w:p>
      <w:pPr>
        <w:pStyle w:val="BodyText"/>
        <w:ind w:left="160" w:right="496"/>
        <w:jc w:val="both"/>
      </w:pPr>
      <w:r>
        <w:rPr/>
        <w:t>We have recommended that these devious methods should be given UP forthwith. If this is</w:t>
      </w:r>
      <w:r>
        <w:rPr>
          <w:spacing w:val="-1"/>
        </w:rPr>
        <w:t> </w:t>
      </w:r>
      <w:r>
        <w:rPr/>
        <w:t>done</w:t>
      </w:r>
      <w:r>
        <w:rPr>
          <w:spacing w:val="-1"/>
        </w:rPr>
        <w:t> </w:t>
      </w:r>
      <w:r>
        <w:rPr/>
        <w:t>and</w:t>
      </w:r>
      <w:r>
        <w:rPr>
          <w:spacing w:val="-1"/>
        </w:rPr>
        <w:t> </w:t>
      </w:r>
      <w:r>
        <w:rPr/>
        <w:t>all</w:t>
      </w:r>
      <w:r>
        <w:rPr>
          <w:spacing w:val="-1"/>
        </w:rPr>
        <w:t> </w:t>
      </w:r>
      <w:r>
        <w:rPr/>
        <w:t>teachers</w:t>
      </w:r>
      <w:r>
        <w:rPr>
          <w:spacing w:val="-1"/>
        </w:rPr>
        <w:t> </w:t>
      </w:r>
      <w:r>
        <w:rPr/>
        <w:t>are</w:t>
      </w:r>
      <w:r>
        <w:rPr>
          <w:spacing w:val="-1"/>
        </w:rPr>
        <w:t> </w:t>
      </w:r>
      <w:r>
        <w:rPr/>
        <w:t>to</w:t>
      </w:r>
      <w:r>
        <w:rPr>
          <w:spacing w:val="-1"/>
        </w:rPr>
        <w:t> </w:t>
      </w:r>
      <w:r>
        <w:rPr/>
        <w:t>be</w:t>
      </w:r>
      <w:r>
        <w:rPr>
          <w:spacing w:val="-1"/>
        </w:rPr>
        <w:t> </w:t>
      </w:r>
      <w:r>
        <w:rPr/>
        <w:t>paid</w:t>
      </w:r>
      <w:r>
        <w:rPr>
          <w:spacing w:val="-1"/>
        </w:rPr>
        <w:t> </w:t>
      </w:r>
      <w:r>
        <w:rPr/>
        <w:t>adequately</w:t>
      </w:r>
      <w:r>
        <w:rPr>
          <w:spacing w:val="-3"/>
        </w:rPr>
        <w:t> </w:t>
      </w:r>
      <w:r>
        <w:rPr/>
        <w:t>and</w:t>
      </w:r>
      <w:r>
        <w:rPr>
          <w:spacing w:val="-1"/>
        </w:rPr>
        <w:t> </w:t>
      </w:r>
      <w:r>
        <w:rPr/>
        <w:t>on</w:t>
      </w:r>
      <w:r>
        <w:rPr>
          <w:spacing w:val="-1"/>
        </w:rPr>
        <w:t> </w:t>
      </w:r>
      <w:r>
        <w:rPr/>
        <w:t>the</w:t>
      </w:r>
      <w:r>
        <w:rPr>
          <w:spacing w:val="-1"/>
        </w:rPr>
        <w:t> </w:t>
      </w:r>
      <w:r>
        <w:rPr/>
        <w:t>basis</w:t>
      </w:r>
      <w:r>
        <w:rPr>
          <w:spacing w:val="-1"/>
        </w:rPr>
        <w:t> </w:t>
      </w:r>
      <w:r>
        <w:rPr/>
        <w:t>of</w:t>
      </w:r>
      <w:r>
        <w:rPr>
          <w:spacing w:val="-3"/>
        </w:rPr>
        <w:t> </w:t>
      </w:r>
      <w:r>
        <w:rPr/>
        <w:t>parity,</w:t>
      </w:r>
      <w:r>
        <w:rPr>
          <w:spacing w:val="-1"/>
        </w:rPr>
        <w:t> </w:t>
      </w:r>
      <w:r>
        <w:rPr/>
        <w:t>there</w:t>
      </w:r>
      <w:r>
        <w:rPr>
          <w:spacing w:val="-1"/>
        </w:rPr>
        <w:t> </w:t>
      </w:r>
      <w:r>
        <w:rPr/>
        <w:t>are</w:t>
      </w:r>
      <w:r>
        <w:rPr>
          <w:spacing w:val="-1"/>
        </w:rPr>
        <w:t> </w:t>
      </w:r>
      <w:r>
        <w:rPr/>
        <w:t>only two ways in which the problem can be solved: either the salaries of all government servants</w:t>
      </w:r>
      <w:r>
        <w:rPr>
          <w:spacing w:val="-1"/>
        </w:rPr>
        <w:t> </w:t>
      </w:r>
      <w:r>
        <w:rPr/>
        <w:t>should</w:t>
      </w:r>
      <w:r>
        <w:rPr>
          <w:spacing w:val="-1"/>
        </w:rPr>
        <w:t> </w:t>
      </w:r>
      <w:r>
        <w:rPr/>
        <w:t>be</w:t>
      </w:r>
      <w:r>
        <w:rPr>
          <w:spacing w:val="-1"/>
        </w:rPr>
        <w:t> </w:t>
      </w:r>
      <w:r>
        <w:rPr/>
        <w:t>reduced-which</w:t>
      </w:r>
      <w:r>
        <w:rPr>
          <w:spacing w:val="-1"/>
        </w:rPr>
        <w:t> </w:t>
      </w:r>
      <w:r>
        <w:rPr/>
        <w:t>cannot</w:t>
      </w:r>
      <w:r>
        <w:rPr>
          <w:spacing w:val="-1"/>
        </w:rPr>
        <w:t> </w:t>
      </w:r>
      <w:r>
        <w:rPr/>
        <w:t>be</w:t>
      </w:r>
      <w:r>
        <w:rPr>
          <w:spacing w:val="-1"/>
        </w:rPr>
        <w:t> </w:t>
      </w:r>
      <w:r>
        <w:rPr/>
        <w:t>done</w:t>
      </w:r>
      <w:r>
        <w:rPr>
          <w:spacing w:val="-1"/>
        </w:rPr>
        <w:t> </w:t>
      </w:r>
      <w:r>
        <w:rPr/>
        <w:t>unless</w:t>
      </w:r>
      <w:r>
        <w:rPr>
          <w:spacing w:val="-1"/>
        </w:rPr>
        <w:t> </w:t>
      </w:r>
      <w:r>
        <w:rPr/>
        <w:t>all</w:t>
      </w:r>
      <w:r>
        <w:rPr>
          <w:spacing w:val="-1"/>
        </w:rPr>
        <w:t> </w:t>
      </w:r>
      <w:r>
        <w:rPr/>
        <w:t>incomes</w:t>
      </w:r>
      <w:r>
        <w:rPr>
          <w:spacing w:val="-1"/>
        </w:rPr>
        <w:t> </w:t>
      </w:r>
      <w:r>
        <w:rPr/>
        <w:t>are</w:t>
      </w:r>
      <w:r>
        <w:rPr>
          <w:spacing w:val="-1"/>
        </w:rPr>
        <w:t> </w:t>
      </w:r>
      <w:r>
        <w:rPr/>
        <w:t>regulated--or</w:t>
      </w:r>
      <w:r>
        <w:rPr>
          <w:spacing w:val="-1"/>
        </w:rPr>
        <w:t> </w:t>
      </w:r>
      <w:r>
        <w:rPr/>
        <w:t>the expansion of education will have to be restricted. Since the latter is neither desirable nor possible, the basic dilemma be- comes clear: the State is not able to regulate all incomes and reduce the salaries of other public servants, and it does not have the money to give Justice to teachers by raising their salaries to a level comparable to that of other Government servants.</w:t>
      </w:r>
    </w:p>
    <w:p>
      <w:pPr>
        <w:pStyle w:val="BodyText"/>
        <w:spacing w:before="4"/>
      </w:pPr>
    </w:p>
    <w:p>
      <w:pPr>
        <w:pStyle w:val="ListParagraph"/>
        <w:numPr>
          <w:ilvl w:val="1"/>
          <w:numId w:val="47"/>
        </w:numPr>
        <w:tabs>
          <w:tab w:pos="664" w:val="left" w:leader="none"/>
        </w:tabs>
        <w:spacing w:line="240" w:lineRule="auto" w:before="0" w:after="0"/>
        <w:ind w:left="160" w:right="497" w:firstLine="0"/>
        <w:jc w:val="both"/>
        <w:rPr>
          <w:sz w:val="24"/>
        </w:rPr>
      </w:pPr>
      <w:r>
        <w:rPr>
          <w:sz w:val="24"/>
        </w:rPr>
        <w:t>The only rational way out of the situation would be to revise ad salaries and base them, not on the historical legacies of the past, but on our needs for services and the economic capacity of our society to bear the financial burden. This would imply a substantial</w:t>
      </w:r>
      <w:r>
        <w:rPr>
          <w:spacing w:val="-2"/>
          <w:sz w:val="24"/>
        </w:rPr>
        <w:t> </w:t>
      </w:r>
      <w:r>
        <w:rPr>
          <w:sz w:val="24"/>
        </w:rPr>
        <w:t>down-</w:t>
      </w:r>
      <w:r>
        <w:rPr>
          <w:spacing w:val="-2"/>
          <w:sz w:val="24"/>
        </w:rPr>
        <w:t> </w:t>
      </w:r>
      <w:r>
        <w:rPr>
          <w:sz w:val="24"/>
        </w:rPr>
        <w:t>grading</w:t>
      </w:r>
      <w:r>
        <w:rPr>
          <w:spacing w:val="-2"/>
          <w:sz w:val="24"/>
        </w:rPr>
        <w:t> </w:t>
      </w:r>
      <w:r>
        <w:rPr>
          <w:sz w:val="24"/>
        </w:rPr>
        <w:t>of</w:t>
      </w:r>
      <w:r>
        <w:rPr>
          <w:spacing w:val="-2"/>
          <w:sz w:val="24"/>
        </w:rPr>
        <w:t> </w:t>
      </w:r>
      <w:r>
        <w:rPr>
          <w:sz w:val="24"/>
        </w:rPr>
        <w:t>many</w:t>
      </w:r>
      <w:r>
        <w:rPr>
          <w:spacing w:val="-2"/>
          <w:sz w:val="24"/>
        </w:rPr>
        <w:t> </w:t>
      </w:r>
      <w:r>
        <w:rPr>
          <w:sz w:val="24"/>
        </w:rPr>
        <w:t>salaries</w:t>
      </w:r>
      <w:r>
        <w:rPr>
          <w:spacing w:val="-2"/>
          <w:sz w:val="24"/>
        </w:rPr>
        <w:t> </w:t>
      </w:r>
      <w:r>
        <w:rPr>
          <w:sz w:val="24"/>
        </w:rPr>
        <w:t>and</w:t>
      </w:r>
      <w:r>
        <w:rPr>
          <w:spacing w:val="-2"/>
          <w:sz w:val="24"/>
        </w:rPr>
        <w:t> </w:t>
      </w:r>
      <w:r>
        <w:rPr>
          <w:sz w:val="24"/>
        </w:rPr>
        <w:t>a</w:t>
      </w:r>
      <w:r>
        <w:rPr>
          <w:spacing w:val="-2"/>
          <w:sz w:val="24"/>
        </w:rPr>
        <w:t> </w:t>
      </w:r>
      <w:r>
        <w:rPr>
          <w:sz w:val="24"/>
        </w:rPr>
        <w:t>drastic</w:t>
      </w:r>
      <w:r>
        <w:rPr>
          <w:spacing w:val="-2"/>
          <w:sz w:val="24"/>
        </w:rPr>
        <w:t> </w:t>
      </w:r>
      <w:r>
        <w:rPr>
          <w:sz w:val="24"/>
        </w:rPr>
        <w:t>levelling</w:t>
      </w:r>
      <w:r>
        <w:rPr>
          <w:spacing w:val="-2"/>
          <w:sz w:val="24"/>
        </w:rPr>
        <w:t> </w:t>
      </w:r>
      <w:r>
        <w:rPr>
          <w:sz w:val="24"/>
        </w:rPr>
        <w:t>down</w:t>
      </w:r>
      <w:r>
        <w:rPr>
          <w:spacing w:val="-2"/>
          <w:sz w:val="24"/>
        </w:rPr>
        <w:t> </w:t>
      </w:r>
      <w:r>
        <w:rPr>
          <w:sz w:val="24"/>
        </w:rPr>
        <w:t>of</w:t>
      </w:r>
      <w:r>
        <w:rPr>
          <w:spacing w:val="-2"/>
          <w:sz w:val="24"/>
        </w:rPr>
        <w:t> </w:t>
      </w:r>
      <w:r>
        <w:rPr>
          <w:sz w:val="24"/>
        </w:rPr>
        <w:t>other</w:t>
      </w:r>
      <w:r>
        <w:rPr>
          <w:spacing w:val="-2"/>
          <w:sz w:val="24"/>
        </w:rPr>
        <w:t> </w:t>
      </w:r>
      <w:r>
        <w:rPr>
          <w:sz w:val="24"/>
        </w:rPr>
        <w:t>incomes. if such attempts were made, teachers would be ready to play their part, although they resist, and rightly so, any attempt to keep their salaries only at a lower level.</w:t>
      </w:r>
    </w:p>
    <w:p>
      <w:pPr>
        <w:pStyle w:val="BodyText"/>
        <w:spacing w:before="5"/>
      </w:pPr>
    </w:p>
    <w:p>
      <w:pPr>
        <w:pStyle w:val="ListParagraph"/>
        <w:numPr>
          <w:ilvl w:val="1"/>
          <w:numId w:val="47"/>
        </w:numPr>
        <w:tabs>
          <w:tab w:pos="661" w:val="left" w:leader="none"/>
        </w:tabs>
        <w:spacing w:line="240" w:lineRule="auto" w:before="0" w:after="0"/>
        <w:ind w:left="159" w:right="496" w:firstLine="0"/>
        <w:jc w:val="both"/>
        <w:rPr>
          <w:b/>
          <w:sz w:val="24"/>
        </w:rPr>
      </w:pPr>
      <w:r>
        <w:rPr>
          <w:b/>
          <w:sz w:val="24"/>
        </w:rPr>
        <w:t>Need for Central Assistance. </w:t>
      </w:r>
      <w:r>
        <w:rPr>
          <w:sz w:val="24"/>
        </w:rPr>
        <w:t>Before leaving this subject, we would like to stress two</w:t>
      </w:r>
      <w:r>
        <w:rPr>
          <w:spacing w:val="-2"/>
          <w:sz w:val="24"/>
        </w:rPr>
        <w:t> </w:t>
      </w:r>
      <w:r>
        <w:rPr>
          <w:sz w:val="24"/>
        </w:rPr>
        <w:t>points.</w:t>
      </w:r>
      <w:r>
        <w:rPr>
          <w:spacing w:val="-2"/>
          <w:sz w:val="24"/>
        </w:rPr>
        <w:t> </w:t>
      </w:r>
      <w:r>
        <w:rPr>
          <w:sz w:val="24"/>
        </w:rPr>
        <w:t>The</w:t>
      </w:r>
      <w:r>
        <w:rPr>
          <w:spacing w:val="-2"/>
          <w:sz w:val="24"/>
        </w:rPr>
        <w:t> </w:t>
      </w:r>
      <w:r>
        <w:rPr>
          <w:sz w:val="24"/>
        </w:rPr>
        <w:t>first</w:t>
      </w:r>
      <w:r>
        <w:rPr>
          <w:spacing w:val="-2"/>
          <w:sz w:val="24"/>
        </w:rPr>
        <w:t> </w:t>
      </w:r>
      <w:r>
        <w:rPr>
          <w:sz w:val="24"/>
        </w:rPr>
        <w:t>is</w:t>
      </w:r>
      <w:r>
        <w:rPr>
          <w:spacing w:val="-2"/>
          <w:sz w:val="24"/>
        </w:rPr>
        <w:t> </w:t>
      </w:r>
      <w:r>
        <w:rPr>
          <w:sz w:val="24"/>
        </w:rPr>
        <w:t>the</w:t>
      </w:r>
      <w:r>
        <w:rPr>
          <w:spacing w:val="-2"/>
          <w:sz w:val="24"/>
        </w:rPr>
        <w:t> </w:t>
      </w:r>
      <w:r>
        <w:rPr>
          <w:sz w:val="24"/>
        </w:rPr>
        <w:t>urgency</w:t>
      </w:r>
      <w:r>
        <w:rPr>
          <w:spacing w:val="-2"/>
          <w:sz w:val="24"/>
        </w:rPr>
        <w:t> </w:t>
      </w:r>
      <w:r>
        <w:rPr>
          <w:sz w:val="24"/>
        </w:rPr>
        <w:t>of</w:t>
      </w:r>
      <w:r>
        <w:rPr>
          <w:spacing w:val="-2"/>
          <w:sz w:val="24"/>
        </w:rPr>
        <w:t> </w:t>
      </w:r>
      <w:r>
        <w:rPr>
          <w:sz w:val="24"/>
        </w:rPr>
        <w:t>the</w:t>
      </w:r>
      <w:r>
        <w:rPr>
          <w:spacing w:val="-2"/>
          <w:sz w:val="24"/>
        </w:rPr>
        <w:t> </w:t>
      </w:r>
      <w:r>
        <w:rPr>
          <w:sz w:val="24"/>
        </w:rPr>
        <w:t>problem.</w:t>
      </w:r>
      <w:r>
        <w:rPr>
          <w:spacing w:val="-1"/>
          <w:sz w:val="24"/>
        </w:rPr>
        <w:t> </w:t>
      </w:r>
      <w:r>
        <w:rPr>
          <w:sz w:val="24"/>
        </w:rPr>
        <w:t>The</w:t>
      </w:r>
      <w:r>
        <w:rPr>
          <w:spacing w:val="-1"/>
          <w:sz w:val="24"/>
        </w:rPr>
        <w:t> </w:t>
      </w:r>
      <w:r>
        <w:rPr>
          <w:sz w:val="24"/>
        </w:rPr>
        <w:t>need</w:t>
      </w:r>
      <w:r>
        <w:rPr>
          <w:spacing w:val="-1"/>
          <w:sz w:val="24"/>
        </w:rPr>
        <w:t> </w:t>
      </w:r>
      <w:r>
        <w:rPr>
          <w:sz w:val="24"/>
        </w:rPr>
        <w:t>for</w:t>
      </w:r>
      <w:r>
        <w:rPr>
          <w:spacing w:val="-1"/>
          <w:sz w:val="24"/>
        </w:rPr>
        <w:t> </w:t>
      </w:r>
      <w:r>
        <w:rPr>
          <w:sz w:val="24"/>
        </w:rPr>
        <w:t>improving</w:t>
      </w:r>
      <w:r>
        <w:rPr>
          <w:spacing w:val="-1"/>
          <w:sz w:val="24"/>
        </w:rPr>
        <w:t> </w:t>
      </w:r>
      <w:r>
        <w:rPr>
          <w:sz w:val="24"/>
        </w:rPr>
        <w:t>the</w:t>
      </w:r>
      <w:r>
        <w:rPr>
          <w:spacing w:val="-1"/>
          <w:sz w:val="24"/>
        </w:rPr>
        <w:t> </w:t>
      </w:r>
      <w:r>
        <w:rPr>
          <w:sz w:val="24"/>
        </w:rPr>
        <w:t>salaries</w:t>
      </w:r>
      <w:r>
        <w:rPr>
          <w:spacing w:val="-1"/>
          <w:sz w:val="24"/>
        </w:rPr>
        <w:t> </w:t>
      </w:r>
      <w:r>
        <w:rPr>
          <w:sz w:val="24"/>
        </w:rPr>
        <w:t>of the school teachers in a big way is justified fully on its own merits and has schools teachers in a big way is justified fully on its own merits and has become urgent, partly because of the rise in the cost of living. This urgency has been heightened by the recent revision of the salaries of university teachers which has widened the existing disparities even further. We, therefore, recommend that the proposals made by us regarding the improvement of salaries of schools teachers should be given effect to immediately. The second point relates to Central assistance. During the first three Plans, almost every State Government revised the salaries of teachers more than once and the assistance of the Central Government was made available, n some form or other, for most of these revisions because the expenditure on these programmes was always treated as a 'plan outlay'. The salaries of teachers are very much on the low side at present and the effort needed to raise them to satisfactory levels in huge, partly because of the size of the increment and partly because of the numbers involved. We are afraid that the State Governments will not be able to deal with this very significant problem quickly and adequately</w:t>
      </w:r>
      <w:r>
        <w:rPr>
          <w:spacing w:val="56"/>
          <w:w w:val="150"/>
          <w:sz w:val="24"/>
        </w:rPr>
        <w:t> </w:t>
      </w:r>
      <w:r>
        <w:rPr>
          <w:sz w:val="24"/>
        </w:rPr>
        <w:t>unless</w:t>
      </w:r>
      <w:r>
        <w:rPr>
          <w:spacing w:val="58"/>
          <w:w w:val="150"/>
          <w:sz w:val="24"/>
        </w:rPr>
        <w:t> </w:t>
      </w:r>
      <w:r>
        <w:rPr>
          <w:sz w:val="24"/>
        </w:rPr>
        <w:t>Central</w:t>
      </w:r>
      <w:r>
        <w:rPr>
          <w:spacing w:val="59"/>
          <w:w w:val="150"/>
          <w:sz w:val="24"/>
        </w:rPr>
        <w:t> </w:t>
      </w:r>
      <w:r>
        <w:rPr>
          <w:sz w:val="24"/>
        </w:rPr>
        <w:t>assistance</w:t>
      </w:r>
      <w:r>
        <w:rPr>
          <w:spacing w:val="58"/>
          <w:w w:val="150"/>
          <w:sz w:val="24"/>
        </w:rPr>
        <w:t> </w:t>
      </w:r>
      <w:r>
        <w:rPr>
          <w:sz w:val="24"/>
        </w:rPr>
        <w:t>is</w:t>
      </w:r>
      <w:r>
        <w:rPr>
          <w:spacing w:val="59"/>
          <w:w w:val="150"/>
          <w:sz w:val="24"/>
        </w:rPr>
        <w:t> </w:t>
      </w:r>
      <w:r>
        <w:rPr>
          <w:sz w:val="24"/>
        </w:rPr>
        <w:t>made</w:t>
      </w:r>
      <w:r>
        <w:rPr>
          <w:spacing w:val="59"/>
          <w:w w:val="150"/>
          <w:sz w:val="24"/>
        </w:rPr>
        <w:t> </w:t>
      </w:r>
      <w:r>
        <w:rPr>
          <w:sz w:val="24"/>
        </w:rPr>
        <w:t>available</w:t>
      </w:r>
      <w:r>
        <w:rPr>
          <w:spacing w:val="58"/>
          <w:w w:val="150"/>
          <w:sz w:val="24"/>
        </w:rPr>
        <w:t> </w:t>
      </w:r>
      <w:r>
        <w:rPr>
          <w:sz w:val="24"/>
        </w:rPr>
        <w:t>on</w:t>
      </w:r>
      <w:r>
        <w:rPr>
          <w:spacing w:val="57"/>
          <w:w w:val="150"/>
          <w:sz w:val="24"/>
        </w:rPr>
        <w:t> </w:t>
      </w:r>
      <w:r>
        <w:rPr>
          <w:sz w:val="24"/>
        </w:rPr>
        <w:t>a</w:t>
      </w:r>
      <w:r>
        <w:rPr>
          <w:spacing w:val="58"/>
          <w:w w:val="150"/>
          <w:sz w:val="24"/>
        </w:rPr>
        <w:t> </w:t>
      </w:r>
      <w:r>
        <w:rPr>
          <w:sz w:val="24"/>
        </w:rPr>
        <w:t>generous</w:t>
      </w:r>
      <w:r>
        <w:rPr>
          <w:spacing w:val="57"/>
          <w:w w:val="150"/>
          <w:sz w:val="24"/>
        </w:rPr>
        <w:t> </w:t>
      </w:r>
      <w:r>
        <w:rPr>
          <w:sz w:val="24"/>
        </w:rPr>
        <w:t>basis.</w:t>
      </w:r>
      <w:r>
        <w:rPr>
          <w:spacing w:val="58"/>
          <w:w w:val="150"/>
          <w:sz w:val="24"/>
        </w:rPr>
        <w:t> </w:t>
      </w:r>
      <w:r>
        <w:rPr>
          <w:spacing w:val="-5"/>
          <w:sz w:val="24"/>
        </w:rPr>
        <w:t>We,</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therefore, recommend that liberal Central assistance should be given to State Governments for improving the salaries of school teachers as recommended by us. Whether this assistance is given to them through the Plans or outside the Plans is not really an important issue, although we are of the view that the existing practice of including this expenditure within the Plan should preferably be continued.</w:t>
      </w:r>
    </w:p>
    <w:p>
      <w:pPr>
        <w:pStyle w:val="BodyText"/>
        <w:spacing w:before="6"/>
      </w:pPr>
    </w:p>
    <w:p>
      <w:pPr>
        <w:pStyle w:val="Heading1"/>
        <w:spacing w:before="1"/>
        <w:ind w:left="291"/>
      </w:pPr>
      <w:bookmarkStart w:name="_TOC_250006" w:id="23"/>
      <w:r>
        <w:rPr/>
        <w:t>RETIREMENT</w:t>
      </w:r>
      <w:r>
        <w:rPr>
          <w:spacing w:val="-8"/>
        </w:rPr>
        <w:t> </w:t>
      </w:r>
      <w:bookmarkEnd w:id="23"/>
      <w:r>
        <w:rPr>
          <w:spacing w:val="-2"/>
        </w:rPr>
        <w:t>BENEFITS</w:t>
      </w:r>
    </w:p>
    <w:p>
      <w:pPr>
        <w:pStyle w:val="BodyText"/>
        <w:spacing w:before="2"/>
        <w:rPr>
          <w:b/>
        </w:rPr>
      </w:pPr>
    </w:p>
    <w:p>
      <w:pPr>
        <w:pStyle w:val="ListParagraph"/>
        <w:numPr>
          <w:ilvl w:val="1"/>
          <w:numId w:val="47"/>
        </w:numPr>
        <w:tabs>
          <w:tab w:pos="675" w:val="left" w:leader="none"/>
        </w:tabs>
        <w:spacing w:line="240" w:lineRule="auto" w:before="0" w:after="0"/>
        <w:ind w:left="159" w:right="495" w:firstLine="0"/>
        <w:jc w:val="both"/>
        <w:rPr>
          <w:b/>
          <w:sz w:val="24"/>
        </w:rPr>
      </w:pPr>
      <w:r>
        <w:rPr>
          <w:b/>
          <w:sz w:val="24"/>
        </w:rPr>
        <w:t>Principle of Uniformity. </w:t>
      </w:r>
      <w:r>
        <w:rPr>
          <w:sz w:val="24"/>
        </w:rPr>
        <w:t>Of the various schemes for retirement benefits now in force, probably the best is that provided by the Government of India for its employees. This includes a death-cum- retirement gratuity, pension or gratuity, depending upon the length of service performed, and a family pension. State Governments are now adopting</w:t>
      </w:r>
      <w:r>
        <w:rPr>
          <w:spacing w:val="40"/>
          <w:sz w:val="24"/>
        </w:rPr>
        <w:t> </w:t>
      </w:r>
      <w:r>
        <w:rPr>
          <w:sz w:val="24"/>
        </w:rPr>
        <w:t>it with certain modifications for their own employees but there are various differences between the benefits given to employees of the Central Government and those given to the employees of the State Governments. Similarly, no attempt is being made to extend the scheme to teachers in local authority and private schools. We see no justification for these variations and recommend that the system of retirement benefits to teachers should be based on the principles of uniformity and parity. The principle of uniformity implies that retirement benefits should be uniform</w:t>
      </w:r>
      <w:r>
        <w:rPr>
          <w:spacing w:val="-1"/>
          <w:sz w:val="24"/>
        </w:rPr>
        <w:t> </w:t>
      </w:r>
      <w:r>
        <w:rPr>
          <w:sz w:val="24"/>
        </w:rPr>
        <w:t>for all government servants- Central and State; and the principle of parity implies that retirement benefits given to teachers in</w:t>
      </w:r>
      <w:r>
        <w:rPr>
          <w:spacing w:val="40"/>
          <w:sz w:val="24"/>
        </w:rPr>
        <w:t> </w:t>
      </w:r>
      <w:r>
        <w:rPr>
          <w:sz w:val="24"/>
        </w:rPr>
        <w:t>government service should, also be extended to teachers working in educational institutions conducted by local authorities and private organizations. The introduction of such uniformity and parity would not involve any large increase in expenditure and</w:t>
      </w:r>
      <w:r>
        <w:rPr>
          <w:spacing w:val="40"/>
          <w:sz w:val="24"/>
        </w:rPr>
        <w:t> </w:t>
      </w:r>
      <w:r>
        <w:rPr>
          <w:sz w:val="24"/>
        </w:rPr>
        <w:t>would be easier to adopt than even parity in remuneration.</w:t>
      </w:r>
    </w:p>
    <w:p>
      <w:pPr>
        <w:pStyle w:val="BodyText"/>
        <w:spacing w:before="4"/>
      </w:pPr>
    </w:p>
    <w:p>
      <w:pPr>
        <w:pStyle w:val="ListParagraph"/>
        <w:numPr>
          <w:ilvl w:val="1"/>
          <w:numId w:val="47"/>
        </w:numPr>
        <w:tabs>
          <w:tab w:pos="671" w:val="left" w:leader="none"/>
        </w:tabs>
        <w:spacing w:line="240" w:lineRule="auto" w:before="0" w:after="0"/>
        <w:ind w:left="159" w:right="497" w:firstLine="0"/>
        <w:jc w:val="both"/>
        <w:rPr>
          <w:b/>
          <w:sz w:val="24"/>
        </w:rPr>
      </w:pPr>
      <w:r>
        <w:rPr>
          <w:b/>
          <w:sz w:val="24"/>
        </w:rPr>
        <w:t>Retirement Benefits for School Teachers. Interim Measures: </w:t>
      </w:r>
      <w:r>
        <w:rPr>
          <w:sz w:val="24"/>
        </w:rPr>
        <w:t>While this is the ideal towards which administrations should move, some alternative transitional solutions to the problem may have to be adopted. With regard to school teachers, we make the following recommendations:</w:t>
      </w:r>
    </w:p>
    <w:p>
      <w:pPr>
        <w:pStyle w:val="BodyText"/>
        <w:spacing w:before="4"/>
      </w:pPr>
    </w:p>
    <w:p>
      <w:pPr>
        <w:pStyle w:val="ListParagraph"/>
        <w:numPr>
          <w:ilvl w:val="0"/>
          <w:numId w:val="58"/>
        </w:numPr>
        <w:tabs>
          <w:tab w:pos="538" w:val="left" w:leader="none"/>
        </w:tabs>
        <w:spacing w:line="240" w:lineRule="auto" w:before="0" w:after="0"/>
        <w:ind w:left="159" w:right="496" w:firstLine="0"/>
        <w:jc w:val="both"/>
        <w:rPr>
          <w:sz w:val="24"/>
        </w:rPr>
      </w:pPr>
      <w:r>
        <w:rPr>
          <w:sz w:val="24"/>
        </w:rPr>
        <w:t>Age of Retirement. For government teachers, the age of retirement is 58 years in</w:t>
      </w:r>
      <w:r>
        <w:rPr>
          <w:spacing w:val="40"/>
          <w:sz w:val="24"/>
        </w:rPr>
        <w:t> </w:t>
      </w:r>
      <w:r>
        <w:rPr>
          <w:sz w:val="24"/>
        </w:rPr>
        <w:t>some cases, 55 years (with provision for extension up to 58) in others and in one State (West Bengal), 60 years. The same rules generally apply to teachers in local authority schools. For private school teachers, the age of retirement varies, from area to area, from 55 to 58 years and even to 60 years. In Bihar it is 62 years. In</w:t>
      </w:r>
      <w:r>
        <w:rPr>
          <w:spacing w:val="-2"/>
          <w:sz w:val="24"/>
        </w:rPr>
        <w:t> </w:t>
      </w:r>
      <w:r>
        <w:rPr>
          <w:sz w:val="24"/>
        </w:rPr>
        <w:t>Orissa, there</w:t>
      </w:r>
      <w:r>
        <w:rPr>
          <w:spacing w:val="-2"/>
          <w:sz w:val="24"/>
        </w:rPr>
        <w:t> </w:t>
      </w:r>
      <w:r>
        <w:rPr>
          <w:sz w:val="24"/>
        </w:rPr>
        <w:t>is no</w:t>
      </w:r>
      <w:r>
        <w:rPr>
          <w:spacing w:val="-2"/>
          <w:sz w:val="24"/>
        </w:rPr>
        <w:t> </w:t>
      </w:r>
      <w:r>
        <w:rPr>
          <w:sz w:val="24"/>
        </w:rPr>
        <w:t>age limit for retirement and a person can work as long as he is physically fit. Until provision for adequate pension is made, it is desirable to provide for a higher age limit for retirement. We recommend that the normal retirement age for teachers should be 60 years; and there should be provision for extension up to 65 years provided the person is physically fit and mentally alert to discharge his duties efficiently.</w:t>
      </w:r>
    </w:p>
    <w:p>
      <w:pPr>
        <w:pStyle w:val="BodyText"/>
        <w:spacing w:before="3"/>
      </w:pPr>
    </w:p>
    <w:p>
      <w:pPr>
        <w:pStyle w:val="ListParagraph"/>
        <w:numPr>
          <w:ilvl w:val="0"/>
          <w:numId w:val="58"/>
        </w:numPr>
        <w:tabs>
          <w:tab w:pos="509" w:val="left" w:leader="none"/>
        </w:tabs>
        <w:spacing w:line="240" w:lineRule="auto" w:before="1" w:after="0"/>
        <w:ind w:left="160" w:right="497" w:firstLine="0"/>
        <w:jc w:val="both"/>
        <w:rPr>
          <w:sz w:val="24"/>
        </w:rPr>
      </w:pPr>
      <w:r>
        <w:rPr>
          <w:sz w:val="24"/>
        </w:rPr>
        <w:t>Retirement Benefits. The teachers in government schools Are provided with pension, gratuity and family pension in most States. In others, provision is made for provident</w:t>
      </w:r>
      <w:r>
        <w:rPr>
          <w:spacing w:val="40"/>
          <w:sz w:val="24"/>
        </w:rPr>
        <w:t> </w:t>
      </w:r>
      <w:r>
        <w:rPr>
          <w:sz w:val="24"/>
        </w:rPr>
        <w:t>fund and insurance. The Union Territories generally offer the same benefits as are given to the employees of the Central Government.</w:t>
      </w:r>
    </w:p>
    <w:p>
      <w:pPr>
        <w:spacing w:after="0" w:line="240" w:lineRule="auto"/>
        <w:jc w:val="both"/>
        <w:rPr>
          <w:sz w:val="24"/>
        </w:rPr>
        <w:sectPr>
          <w:pgSz w:w="12240" w:h="15840"/>
          <w:pgMar w:header="0" w:footer="743" w:top="1360" w:bottom="940" w:left="1640" w:right="1300"/>
        </w:sectPr>
      </w:pPr>
    </w:p>
    <w:p>
      <w:pPr>
        <w:pStyle w:val="BodyText"/>
        <w:spacing w:before="76"/>
        <w:ind w:left="159" w:right="497"/>
        <w:jc w:val="both"/>
      </w:pPr>
      <w:r>
        <w:rPr/>
        <w:t>With regard to teachers working in non-government schools, most of the States provide a contributory provident fund only. Recently, however, the Triple-Benefit Scheme, which provides for provident fund, pension and insurance, is becoming popular. Originally introduced in Madras, it has now been adopted in Andhra Pradesh (without insurance), Assam, Bihar, Kerala, Mysore and Uttar Pradesh. In addition, Kerala offers the same retirement benefits for teachers in non-government schools as are given to teachers in government schools, provided the former opt for the conduct and discipline rules applicable to government servants and renounce the right to participate in elections. West Bengal provides only provident fund and gratuity. The Ministry of Education has drawn up a Triple-Benefit Scheme for teachers in non-government schools which is now being adopted in the Union Territories. In view of the progress already made, we recommend that, as an interim measure, the Triple-Benefit Scheme should be adopted for all teachers in non-government schools in all States and Union Territories.</w:t>
      </w:r>
    </w:p>
    <w:p>
      <w:pPr>
        <w:pStyle w:val="BodyText"/>
        <w:spacing w:before="4"/>
      </w:pPr>
    </w:p>
    <w:p>
      <w:pPr>
        <w:pStyle w:val="BodyText"/>
        <w:ind w:left="160" w:right="495"/>
        <w:jc w:val="both"/>
      </w:pPr>
      <w:r>
        <w:rPr/>
        <w:t>The interest on the provident fund amounts of school teachers is now generally paid at 4 per cent per year. it should be much higher. There are also sonic other problems connected with its administration. We shall discuss these in some detail in the next</w:t>
      </w:r>
      <w:r>
        <w:rPr>
          <w:spacing w:val="40"/>
        </w:rPr>
        <w:t> </w:t>
      </w:r>
      <w:r>
        <w:rPr/>
        <w:t>section</w:t>
      </w:r>
      <w:r>
        <w:rPr>
          <w:spacing w:val="-4"/>
        </w:rPr>
        <w:t> </w:t>
      </w:r>
      <w:r>
        <w:rPr/>
        <w:t>with</w:t>
      </w:r>
      <w:r>
        <w:rPr>
          <w:spacing w:val="-4"/>
        </w:rPr>
        <w:t> </w:t>
      </w:r>
      <w:r>
        <w:rPr/>
        <w:t>reference</w:t>
      </w:r>
      <w:r>
        <w:rPr>
          <w:spacing w:val="-4"/>
        </w:rPr>
        <w:t> </w:t>
      </w:r>
      <w:r>
        <w:rPr/>
        <w:t>to</w:t>
      </w:r>
      <w:r>
        <w:rPr>
          <w:spacing w:val="-4"/>
        </w:rPr>
        <w:t> </w:t>
      </w:r>
      <w:r>
        <w:rPr/>
        <w:t>teachers</w:t>
      </w:r>
      <w:r>
        <w:rPr>
          <w:spacing w:val="-4"/>
        </w:rPr>
        <w:t> </w:t>
      </w:r>
      <w:r>
        <w:rPr/>
        <w:t>in</w:t>
      </w:r>
      <w:r>
        <w:rPr>
          <w:spacing w:val="-4"/>
        </w:rPr>
        <w:t> </w:t>
      </w:r>
      <w:r>
        <w:rPr/>
        <w:t>higher</w:t>
      </w:r>
      <w:r>
        <w:rPr>
          <w:spacing w:val="-3"/>
        </w:rPr>
        <w:t> </w:t>
      </w:r>
      <w:r>
        <w:rPr/>
        <w:t>education.</w:t>
      </w:r>
      <w:r>
        <w:rPr>
          <w:spacing w:val="-3"/>
        </w:rPr>
        <w:t> </w:t>
      </w:r>
      <w:r>
        <w:rPr/>
        <w:t>The</w:t>
      </w:r>
      <w:r>
        <w:rPr>
          <w:spacing w:val="-3"/>
        </w:rPr>
        <w:t> </w:t>
      </w:r>
      <w:r>
        <w:rPr/>
        <w:t>same</w:t>
      </w:r>
      <w:r>
        <w:rPr>
          <w:spacing w:val="-2"/>
        </w:rPr>
        <w:t> </w:t>
      </w:r>
      <w:r>
        <w:rPr/>
        <w:t>recommendations</w:t>
      </w:r>
      <w:r>
        <w:rPr>
          <w:spacing w:val="-3"/>
        </w:rPr>
        <w:t> </w:t>
      </w:r>
      <w:r>
        <w:rPr/>
        <w:t>should be extended, mutatis mutandis, to the provident fund of the school teachers also.</w:t>
      </w:r>
    </w:p>
    <w:p>
      <w:pPr>
        <w:pStyle w:val="BodyText"/>
        <w:spacing w:before="4"/>
      </w:pPr>
    </w:p>
    <w:p>
      <w:pPr>
        <w:pStyle w:val="ListParagraph"/>
        <w:numPr>
          <w:ilvl w:val="1"/>
          <w:numId w:val="47"/>
        </w:numPr>
        <w:tabs>
          <w:tab w:pos="667" w:val="left" w:leader="none"/>
        </w:tabs>
        <w:spacing w:line="240" w:lineRule="auto" w:before="0" w:after="0"/>
        <w:ind w:left="160" w:right="497" w:firstLine="0"/>
        <w:jc w:val="both"/>
        <w:rPr>
          <w:b/>
          <w:sz w:val="24"/>
        </w:rPr>
      </w:pPr>
      <w:r>
        <w:rPr>
          <w:b/>
          <w:sz w:val="24"/>
        </w:rPr>
        <w:t>Retirement Benefits for Teachers in Higher Education: </w:t>
      </w:r>
      <w:r>
        <w:rPr>
          <w:sz w:val="24"/>
        </w:rPr>
        <w:t>Interim Measures. The retirement age for teachers in higher education is ordinarily 60 years, with provision for extension generally up, to 65 years, and in a few cases, even up to 70 years. Most of the universities offer a contributory provident fund only. The rate of contribution is generally 8 1/3 per cent of the basic pay some universities permit the teacher to contribute up to 15 per cent of his pay and their own contribution is credited, depending upon the salary, at 8 to 12 per cent. Some provide for gratuity in addition to contributory provident fund Madras, the Triple-Benefit Scheme has been extended to university and college teachers. A decision to the same effect has also been taken by the Central universities and the details of the proposal are being worked out. We recommend that it would be desirable to adopt the Triple-Benefit Scheme for all university and college teachers.</w:t>
      </w:r>
    </w:p>
    <w:p>
      <w:pPr>
        <w:pStyle w:val="BodyText"/>
        <w:spacing w:before="4"/>
      </w:pPr>
    </w:p>
    <w:p>
      <w:pPr>
        <w:pStyle w:val="ListParagraph"/>
        <w:numPr>
          <w:ilvl w:val="1"/>
          <w:numId w:val="47"/>
        </w:numPr>
        <w:tabs>
          <w:tab w:pos="679" w:val="left" w:leader="none"/>
        </w:tabs>
        <w:spacing w:line="240" w:lineRule="auto" w:before="0" w:after="0"/>
        <w:ind w:left="160" w:right="498" w:firstLine="0"/>
        <w:jc w:val="both"/>
        <w:rPr>
          <w:sz w:val="24"/>
        </w:rPr>
      </w:pPr>
      <w:r>
        <w:rPr>
          <w:sz w:val="24"/>
        </w:rPr>
        <w:t>Where a scheme of provident fund is in operation-whether for school or college teachers,-we suggest the following changes:</w:t>
      </w:r>
    </w:p>
    <w:p>
      <w:pPr>
        <w:pStyle w:val="BodyText"/>
        <w:spacing w:before="5"/>
      </w:pPr>
    </w:p>
    <w:p>
      <w:pPr>
        <w:pStyle w:val="ListParagraph"/>
        <w:numPr>
          <w:ilvl w:val="0"/>
          <w:numId w:val="59"/>
        </w:numPr>
        <w:tabs>
          <w:tab w:pos="506" w:val="left" w:leader="none"/>
        </w:tabs>
        <w:spacing w:line="240" w:lineRule="auto" w:before="0" w:after="0"/>
        <w:ind w:left="160" w:right="497" w:firstLine="0"/>
        <w:jc w:val="both"/>
        <w:rPr>
          <w:sz w:val="24"/>
        </w:rPr>
      </w:pPr>
      <w:r>
        <w:rPr>
          <w:sz w:val="24"/>
        </w:rPr>
        <w:t>At present, a teacher begins to contribute to the provident fund only after he becomes permanent. In our opinion, the contribution to the provident fund, which is a compulsory form of saving, should begin right from the first day of a teacher's career. We therefore, recommend that all teachers whether temporary or permanent, should be required to contribute to the provident fund.</w:t>
      </w:r>
    </w:p>
    <w:p>
      <w:pPr>
        <w:pStyle w:val="BodyText"/>
        <w:spacing w:before="3"/>
      </w:pPr>
    </w:p>
    <w:p>
      <w:pPr>
        <w:pStyle w:val="ListParagraph"/>
        <w:numPr>
          <w:ilvl w:val="0"/>
          <w:numId w:val="59"/>
        </w:numPr>
        <w:tabs>
          <w:tab w:pos="519" w:val="left" w:leader="none"/>
        </w:tabs>
        <w:spacing w:line="240" w:lineRule="auto" w:before="1" w:after="0"/>
        <w:ind w:left="160" w:right="495" w:firstLine="0"/>
        <w:jc w:val="both"/>
        <w:rPr>
          <w:sz w:val="24"/>
        </w:rPr>
      </w:pPr>
      <w:r>
        <w:rPr>
          <w:sz w:val="24"/>
        </w:rPr>
        <w:t>The contribution of the employers to the provident fund of a teacher should be paid from</w:t>
      </w:r>
      <w:r>
        <w:rPr>
          <w:spacing w:val="-2"/>
          <w:sz w:val="24"/>
        </w:rPr>
        <w:t> </w:t>
      </w:r>
      <w:r>
        <w:rPr>
          <w:sz w:val="24"/>
        </w:rPr>
        <w:t>month to month and the present rule that</w:t>
      </w:r>
      <w:r>
        <w:rPr>
          <w:spacing w:val="-1"/>
          <w:sz w:val="24"/>
        </w:rPr>
        <w:t> </w:t>
      </w:r>
      <w:r>
        <w:rPr>
          <w:sz w:val="24"/>
        </w:rPr>
        <w:t>the teacher is not entitled to get employer's contribution if he leaves the service within five years, should be rescinded. It serves no useful purpose and is patently unfair to the teachers. (3) At present, the amounts of the contributory</w:t>
      </w:r>
      <w:r>
        <w:rPr>
          <w:spacing w:val="45"/>
          <w:sz w:val="24"/>
        </w:rPr>
        <w:t> </w:t>
      </w:r>
      <w:r>
        <w:rPr>
          <w:sz w:val="24"/>
        </w:rPr>
        <w:t>provident</w:t>
      </w:r>
      <w:r>
        <w:rPr>
          <w:spacing w:val="48"/>
          <w:sz w:val="24"/>
        </w:rPr>
        <w:t> </w:t>
      </w:r>
      <w:r>
        <w:rPr>
          <w:sz w:val="24"/>
        </w:rPr>
        <w:t>funds</w:t>
      </w:r>
      <w:r>
        <w:rPr>
          <w:spacing w:val="49"/>
          <w:sz w:val="24"/>
        </w:rPr>
        <w:t> </w:t>
      </w:r>
      <w:r>
        <w:rPr>
          <w:sz w:val="24"/>
        </w:rPr>
        <w:t>of</w:t>
      </w:r>
      <w:r>
        <w:rPr>
          <w:spacing w:val="48"/>
          <w:sz w:val="24"/>
        </w:rPr>
        <w:t> </w:t>
      </w:r>
      <w:r>
        <w:rPr>
          <w:sz w:val="24"/>
        </w:rPr>
        <w:t>teachers</w:t>
      </w:r>
      <w:r>
        <w:rPr>
          <w:spacing w:val="49"/>
          <w:sz w:val="24"/>
        </w:rPr>
        <w:t> </w:t>
      </w:r>
      <w:r>
        <w:rPr>
          <w:sz w:val="24"/>
        </w:rPr>
        <w:t>are</w:t>
      </w:r>
      <w:r>
        <w:rPr>
          <w:spacing w:val="48"/>
          <w:sz w:val="24"/>
        </w:rPr>
        <w:t> </w:t>
      </w:r>
      <w:r>
        <w:rPr>
          <w:sz w:val="24"/>
        </w:rPr>
        <w:t>generally</w:t>
      </w:r>
      <w:r>
        <w:rPr>
          <w:spacing w:val="49"/>
          <w:sz w:val="24"/>
        </w:rPr>
        <w:t> </w:t>
      </w:r>
      <w:r>
        <w:rPr>
          <w:sz w:val="24"/>
        </w:rPr>
        <w:t>invested</w:t>
      </w:r>
      <w:r>
        <w:rPr>
          <w:spacing w:val="48"/>
          <w:sz w:val="24"/>
        </w:rPr>
        <w:t> </w:t>
      </w:r>
      <w:r>
        <w:rPr>
          <w:sz w:val="24"/>
        </w:rPr>
        <w:t>in</w:t>
      </w:r>
      <w:r>
        <w:rPr>
          <w:spacing w:val="49"/>
          <w:sz w:val="24"/>
        </w:rPr>
        <w:t> </w:t>
      </w:r>
      <w:r>
        <w:rPr>
          <w:sz w:val="24"/>
        </w:rPr>
        <w:t>the</w:t>
      </w:r>
      <w:r>
        <w:rPr>
          <w:spacing w:val="48"/>
          <w:sz w:val="24"/>
        </w:rPr>
        <w:t> </w:t>
      </w:r>
      <w:r>
        <w:rPr>
          <w:sz w:val="24"/>
        </w:rPr>
        <w:t>Postal</w:t>
      </w:r>
      <w:r>
        <w:rPr>
          <w:spacing w:val="49"/>
          <w:sz w:val="24"/>
        </w:rPr>
        <w:t> </w:t>
      </w:r>
      <w:r>
        <w:rPr>
          <w:spacing w:val="-2"/>
          <w:sz w:val="24"/>
        </w:rPr>
        <w:t>Savings</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Bank where a separate account is maintained for each teacher. This has obvious administrative advantages. But financially, it is a very disadvantageous procedure. The rate of interest on deposits in Postal Savings Bank is only four per cent, though for long- term deposits like provident funds the rate of interest should be six per cent or more. There is thus a considerable loss to teachers and we recommend that a more equitable system of investing provident fund amounts should be devised.</w:t>
      </w:r>
    </w:p>
    <w:p>
      <w:pPr>
        <w:pStyle w:val="BodyText"/>
        <w:spacing w:before="6"/>
      </w:pPr>
    </w:p>
    <w:p>
      <w:pPr>
        <w:pStyle w:val="Heading1"/>
        <w:spacing w:before="1"/>
        <w:ind w:left="291"/>
      </w:pPr>
      <w:bookmarkStart w:name="_TOC_250005" w:id="24"/>
      <w:r>
        <w:rPr/>
        <w:t>CONDITIONS</w:t>
      </w:r>
      <w:r>
        <w:rPr>
          <w:spacing w:val="-4"/>
        </w:rPr>
        <w:t> </w:t>
      </w:r>
      <w:r>
        <w:rPr/>
        <w:t>OF</w:t>
      </w:r>
      <w:r>
        <w:rPr>
          <w:spacing w:val="-3"/>
        </w:rPr>
        <w:t> </w:t>
      </w:r>
      <w:r>
        <w:rPr/>
        <w:t>WORK</w:t>
      </w:r>
      <w:r>
        <w:rPr>
          <w:spacing w:val="-3"/>
        </w:rPr>
        <w:t> </w:t>
      </w:r>
      <w:r>
        <w:rPr/>
        <w:t>AND</w:t>
      </w:r>
      <w:r>
        <w:rPr>
          <w:spacing w:val="-3"/>
        </w:rPr>
        <w:t> </w:t>
      </w:r>
      <w:bookmarkEnd w:id="24"/>
      <w:r>
        <w:rPr>
          <w:spacing w:val="-2"/>
        </w:rPr>
        <w:t>SERVICE</w:t>
      </w:r>
    </w:p>
    <w:p>
      <w:pPr>
        <w:pStyle w:val="BodyText"/>
        <w:spacing w:before="2"/>
        <w:rPr>
          <w:b/>
        </w:rPr>
      </w:pPr>
    </w:p>
    <w:p>
      <w:pPr>
        <w:pStyle w:val="ListParagraph"/>
        <w:numPr>
          <w:ilvl w:val="1"/>
          <w:numId w:val="47"/>
        </w:numPr>
        <w:tabs>
          <w:tab w:pos="667" w:val="left" w:leader="none"/>
        </w:tabs>
        <w:spacing w:line="240" w:lineRule="auto" w:before="0" w:after="0"/>
        <w:ind w:left="159" w:right="494" w:firstLine="0"/>
        <w:jc w:val="both"/>
        <w:rPr>
          <w:b/>
          <w:sz w:val="24"/>
        </w:rPr>
      </w:pPr>
      <w:r>
        <w:rPr>
          <w:b/>
          <w:sz w:val="24"/>
        </w:rPr>
        <w:t>Conditions of Work. </w:t>
      </w:r>
      <w:r>
        <w:rPr>
          <w:sz w:val="24"/>
        </w:rPr>
        <w:t>In creative work like teaching or research, the provision of stimulating conditions of work and adequate opportunities for professional advancement are</w:t>
      </w:r>
      <w:r>
        <w:rPr>
          <w:spacing w:val="-1"/>
          <w:sz w:val="24"/>
        </w:rPr>
        <w:t> </w:t>
      </w:r>
      <w:r>
        <w:rPr>
          <w:sz w:val="24"/>
        </w:rPr>
        <w:t>extremely</w:t>
      </w:r>
      <w:r>
        <w:rPr>
          <w:spacing w:val="-1"/>
          <w:sz w:val="24"/>
        </w:rPr>
        <w:t> </w:t>
      </w:r>
      <w:r>
        <w:rPr>
          <w:sz w:val="24"/>
        </w:rPr>
        <w:t>important</w:t>
      </w:r>
      <w:r>
        <w:rPr>
          <w:spacing w:val="-1"/>
          <w:sz w:val="24"/>
        </w:rPr>
        <w:t> </w:t>
      </w:r>
      <w:r>
        <w:rPr>
          <w:sz w:val="24"/>
        </w:rPr>
        <w:t>and</w:t>
      </w:r>
      <w:r>
        <w:rPr>
          <w:spacing w:val="-1"/>
          <w:sz w:val="24"/>
        </w:rPr>
        <w:t> </w:t>
      </w:r>
      <w:r>
        <w:rPr>
          <w:sz w:val="24"/>
        </w:rPr>
        <w:t>can</w:t>
      </w:r>
      <w:r>
        <w:rPr>
          <w:spacing w:val="-1"/>
          <w:sz w:val="24"/>
        </w:rPr>
        <w:t> </w:t>
      </w:r>
      <w:r>
        <w:rPr>
          <w:sz w:val="24"/>
        </w:rPr>
        <w:t>play</w:t>
      </w:r>
      <w:r>
        <w:rPr>
          <w:spacing w:val="-2"/>
          <w:sz w:val="24"/>
        </w:rPr>
        <w:t> </w:t>
      </w:r>
      <w:r>
        <w:rPr>
          <w:sz w:val="24"/>
        </w:rPr>
        <w:t>a</w:t>
      </w:r>
      <w:r>
        <w:rPr>
          <w:spacing w:val="-1"/>
          <w:sz w:val="24"/>
        </w:rPr>
        <w:t> </w:t>
      </w:r>
      <w:r>
        <w:rPr>
          <w:sz w:val="24"/>
        </w:rPr>
        <w:t>very</w:t>
      </w:r>
      <w:r>
        <w:rPr>
          <w:spacing w:val="-1"/>
          <w:sz w:val="24"/>
        </w:rPr>
        <w:t> </w:t>
      </w:r>
      <w:r>
        <w:rPr>
          <w:sz w:val="24"/>
        </w:rPr>
        <w:t>significant</w:t>
      </w:r>
      <w:r>
        <w:rPr>
          <w:spacing w:val="-1"/>
          <w:sz w:val="24"/>
        </w:rPr>
        <w:t> </w:t>
      </w:r>
      <w:r>
        <w:rPr>
          <w:sz w:val="24"/>
        </w:rPr>
        <w:t>role</w:t>
      </w:r>
      <w:r>
        <w:rPr>
          <w:spacing w:val="-1"/>
          <w:sz w:val="24"/>
        </w:rPr>
        <w:t> </w:t>
      </w:r>
      <w:r>
        <w:rPr>
          <w:sz w:val="24"/>
        </w:rPr>
        <w:t>in</w:t>
      </w:r>
      <w:r>
        <w:rPr>
          <w:spacing w:val="-1"/>
          <w:sz w:val="24"/>
        </w:rPr>
        <w:t> </w:t>
      </w:r>
      <w:r>
        <w:rPr>
          <w:sz w:val="24"/>
        </w:rPr>
        <w:t>attracting</w:t>
      </w:r>
      <w:r>
        <w:rPr>
          <w:spacing w:val="-2"/>
          <w:sz w:val="24"/>
        </w:rPr>
        <w:t> </w:t>
      </w:r>
      <w:r>
        <w:rPr>
          <w:sz w:val="24"/>
        </w:rPr>
        <w:t>and</w:t>
      </w:r>
      <w:r>
        <w:rPr>
          <w:spacing w:val="-2"/>
          <w:sz w:val="24"/>
        </w:rPr>
        <w:t> </w:t>
      </w:r>
      <w:r>
        <w:rPr>
          <w:sz w:val="24"/>
        </w:rPr>
        <w:t>retaining</w:t>
      </w:r>
      <w:r>
        <w:rPr>
          <w:spacing w:val="-2"/>
          <w:sz w:val="24"/>
        </w:rPr>
        <w:t> </w:t>
      </w:r>
      <w:r>
        <w:rPr>
          <w:sz w:val="24"/>
        </w:rPr>
        <w:t>the right type of persons in the profession. The conditions of work in educational institutions should be such as to enable teachers to function at their highest level of efficiency. This would imply the provision of certain minimum facilities in the classroom, essential teaching aids, library and laboratory facilities, and the maintenance of a manageable pupil-teacher ratio. it will also imply a system which encourages initiative, experimentation</w:t>
      </w:r>
      <w:r>
        <w:rPr>
          <w:spacing w:val="-2"/>
          <w:sz w:val="24"/>
        </w:rPr>
        <w:t> </w:t>
      </w:r>
      <w:r>
        <w:rPr>
          <w:sz w:val="24"/>
        </w:rPr>
        <w:t>and</w:t>
      </w:r>
      <w:r>
        <w:rPr>
          <w:spacing w:val="-3"/>
          <w:sz w:val="24"/>
        </w:rPr>
        <w:t> </w:t>
      </w:r>
      <w:r>
        <w:rPr>
          <w:sz w:val="24"/>
        </w:rPr>
        <w:t>creativity</w:t>
      </w:r>
      <w:r>
        <w:rPr>
          <w:spacing w:val="-2"/>
          <w:sz w:val="24"/>
        </w:rPr>
        <w:t> </w:t>
      </w:r>
      <w:r>
        <w:rPr>
          <w:sz w:val="24"/>
        </w:rPr>
        <w:t>and</w:t>
      </w:r>
      <w:r>
        <w:rPr>
          <w:spacing w:val="-3"/>
          <w:sz w:val="24"/>
        </w:rPr>
        <w:t> </w:t>
      </w:r>
      <w:r>
        <w:rPr>
          <w:sz w:val="24"/>
        </w:rPr>
        <w:t>gives</w:t>
      </w:r>
      <w:r>
        <w:rPr>
          <w:spacing w:val="-2"/>
          <w:sz w:val="24"/>
        </w:rPr>
        <w:t> </w:t>
      </w:r>
      <w:r>
        <w:rPr>
          <w:sz w:val="24"/>
        </w:rPr>
        <w:t>adequate</w:t>
      </w:r>
      <w:r>
        <w:rPr>
          <w:spacing w:val="-2"/>
          <w:sz w:val="24"/>
        </w:rPr>
        <w:t> </w:t>
      </w:r>
      <w:r>
        <w:rPr>
          <w:sz w:val="24"/>
        </w:rPr>
        <w:t>freedom</w:t>
      </w:r>
      <w:r>
        <w:rPr>
          <w:spacing w:val="-5"/>
          <w:sz w:val="24"/>
        </w:rPr>
        <w:t> </w:t>
      </w:r>
      <w:r>
        <w:rPr>
          <w:sz w:val="24"/>
        </w:rPr>
        <w:t>to</w:t>
      </w:r>
      <w:r>
        <w:rPr>
          <w:spacing w:val="-2"/>
          <w:sz w:val="24"/>
        </w:rPr>
        <w:t> </w:t>
      </w:r>
      <w:r>
        <w:rPr>
          <w:sz w:val="24"/>
        </w:rPr>
        <w:t>teachers</w:t>
      </w:r>
      <w:r>
        <w:rPr>
          <w:spacing w:val="-2"/>
          <w:sz w:val="24"/>
        </w:rPr>
        <w:t> </w:t>
      </w:r>
      <w:r>
        <w:rPr>
          <w:sz w:val="24"/>
        </w:rPr>
        <w:t>in</w:t>
      </w:r>
      <w:r>
        <w:rPr>
          <w:spacing w:val="-2"/>
          <w:sz w:val="24"/>
        </w:rPr>
        <w:t> </w:t>
      </w:r>
      <w:r>
        <w:rPr>
          <w:sz w:val="24"/>
        </w:rPr>
        <w:t>the</w:t>
      </w:r>
      <w:r>
        <w:rPr>
          <w:spacing w:val="-2"/>
          <w:sz w:val="24"/>
        </w:rPr>
        <w:t> </w:t>
      </w:r>
      <w:r>
        <w:rPr>
          <w:sz w:val="24"/>
        </w:rPr>
        <w:t>organization of their courses and in the use of methods and techniques they consider most suitable.</w:t>
      </w:r>
      <w:r>
        <w:rPr>
          <w:spacing w:val="40"/>
          <w:sz w:val="24"/>
        </w:rPr>
        <w:t> </w:t>
      </w:r>
      <w:r>
        <w:rPr>
          <w:sz w:val="24"/>
        </w:rPr>
        <w:t>The hours, of work should be similar to those of other public servants, account being taken, not only of actual classroom teaching, but also of other work connected with it, such as study and preparation, correction of exercises, evaluation, organization of co- curricular and extra-curricular activities, tutorials, seminars and other programmes of student guidance. Adequate facilities should also be provided for professional growth through seminars, summer institutes, grants for the purchase of books or conduct of research, liberal facilities for study and sabbatical leave for self-renewal, and adequate prospects for promotion to higher cadres. We also recommend that a scheme should be drawn up under which every teacher should get a concessional railway pass to any part of India once in five years on payment of a reasonable contribution related to his salary.</w:t>
      </w:r>
    </w:p>
    <w:p>
      <w:pPr>
        <w:pStyle w:val="BodyText"/>
        <w:spacing w:before="3"/>
      </w:pPr>
    </w:p>
    <w:p>
      <w:pPr>
        <w:pStyle w:val="ListParagraph"/>
        <w:numPr>
          <w:ilvl w:val="1"/>
          <w:numId w:val="47"/>
        </w:numPr>
        <w:tabs>
          <w:tab w:pos="653" w:val="left" w:leader="none"/>
        </w:tabs>
        <w:spacing w:line="240" w:lineRule="auto" w:before="0" w:after="0"/>
        <w:ind w:left="159" w:right="496" w:firstLine="0"/>
        <w:jc w:val="both"/>
        <w:rPr>
          <w:sz w:val="24"/>
        </w:rPr>
      </w:pPr>
      <w:r>
        <w:rPr>
          <w:sz w:val="24"/>
        </w:rPr>
        <w:t>Parity in the Terms and Conditions of Service. The terms and conditions of service of teachers in government and local authority service are fairly satisfactory, except in one major particular: that the academic and civic freedom of these teachers is often severely restricted. The conduct and discipline rules applicable to teachers in government service (and these are generally extended to teachers in local authority service as well) are the same as for all other government employees. There is no reason why this should be so. Each profession should have separate conditions of service; and the conduct </w:t>
      </w:r>
      <w:r>
        <w:rPr>
          <w:sz w:val="24"/>
        </w:rPr>
        <w:t>and discipline rules for teachers should provide academic freedom which is essential to</w:t>
      </w:r>
      <w:r>
        <w:rPr>
          <w:spacing w:val="40"/>
          <w:sz w:val="24"/>
        </w:rPr>
        <w:t> </w:t>
      </w:r>
      <w:r>
        <w:rPr>
          <w:sz w:val="24"/>
        </w:rPr>
        <w:t>enable them to function efficiently. Moreover, existing conduct and discipline rules were mainly framed under a foreign regime when control of the political views of teachers was a major objective of official policy. Unfortunately, these rules, which have long become obsolete, are</w:t>
      </w:r>
      <w:r>
        <w:rPr>
          <w:spacing w:val="-1"/>
          <w:sz w:val="24"/>
        </w:rPr>
        <w:t> </w:t>
      </w:r>
      <w:r>
        <w:rPr>
          <w:sz w:val="24"/>
        </w:rPr>
        <w:t>still substantially in force. It would, therefore, be desirable to frame separate and new conduct and discipline rules for teachers in government service, which would ensure them the freedom required for professional efficiency and advancement.</w:t>
      </w:r>
    </w:p>
    <w:p>
      <w:pPr>
        <w:spacing w:after="0" w:line="240" w:lineRule="auto"/>
        <w:jc w:val="both"/>
        <w:rPr>
          <w:sz w:val="24"/>
        </w:rPr>
        <w:sectPr>
          <w:pgSz w:w="12240" w:h="15840"/>
          <w:pgMar w:header="0" w:footer="743" w:top="1360" w:bottom="940" w:left="1640" w:right="1300"/>
        </w:sectPr>
      </w:pPr>
    </w:p>
    <w:p>
      <w:pPr>
        <w:pStyle w:val="ListParagraph"/>
        <w:numPr>
          <w:ilvl w:val="1"/>
          <w:numId w:val="47"/>
        </w:numPr>
        <w:tabs>
          <w:tab w:pos="654" w:val="left" w:leader="none"/>
        </w:tabs>
        <w:spacing w:line="240" w:lineRule="auto" w:before="76" w:after="0"/>
        <w:ind w:left="160" w:right="496" w:firstLine="0"/>
        <w:jc w:val="both"/>
        <w:rPr>
          <w:sz w:val="24"/>
        </w:rPr>
      </w:pPr>
      <w:r>
        <w:rPr>
          <w:sz w:val="24"/>
        </w:rPr>
        <w:t>In so far as private schools are concerned, the difficulties are of two kinds: several private managements have not framed proper terms and conditions of service; and not infrequently, the services of teachers are terminated on inadequate grounds and without regard to fairness and justice. To meet the first of these difficulties, we recommend the adoption of the principle of parity and suggest that the terms and conditions of service of teachers in government and private schools should be the same. This will confer some material benefits on the teachers in private schools and give greater academic freedom to teachers in government schools. We feel that, as a general practice, the services of a teacher should be terminated only after the prescribed procedure is followed and he is, given adequate opportunity to defend himself in all cases, there should be an appeal to an arbitration tribunal consisting of a representative of the teacher, a representative of' the management and a representative of the Department.</w:t>
      </w:r>
    </w:p>
    <w:p>
      <w:pPr>
        <w:pStyle w:val="BodyText"/>
        <w:spacing w:before="4"/>
      </w:pPr>
    </w:p>
    <w:p>
      <w:pPr>
        <w:pStyle w:val="ListParagraph"/>
        <w:numPr>
          <w:ilvl w:val="1"/>
          <w:numId w:val="47"/>
        </w:numPr>
        <w:tabs>
          <w:tab w:pos="698" w:val="left" w:leader="none"/>
        </w:tabs>
        <w:spacing w:line="240" w:lineRule="auto" w:before="0" w:after="0"/>
        <w:ind w:left="160" w:right="494" w:firstLine="0"/>
        <w:jc w:val="both"/>
        <w:rPr>
          <w:b/>
          <w:sz w:val="24"/>
        </w:rPr>
      </w:pPr>
      <w:r>
        <w:rPr>
          <w:b/>
          <w:sz w:val="24"/>
        </w:rPr>
        <w:t>Residential Accommodation. </w:t>
      </w:r>
      <w:r>
        <w:rPr>
          <w:sz w:val="24"/>
        </w:rPr>
        <w:t>The problem of residential accommodation is of great importance. Difficulties often arise in the rural areas when no residential accommodation is available locally and the teacher is compelled to stay in another locality. This interferes with the efficiency of his work and prevents him from building</w:t>
      </w:r>
      <w:r>
        <w:rPr>
          <w:spacing w:val="80"/>
          <w:sz w:val="24"/>
        </w:rPr>
        <w:t> </w:t>
      </w:r>
      <w:r>
        <w:rPr>
          <w:sz w:val="24"/>
        </w:rPr>
        <w:t>up</w:t>
      </w:r>
      <w:r>
        <w:rPr>
          <w:spacing w:val="-2"/>
          <w:sz w:val="24"/>
        </w:rPr>
        <w:t> </w:t>
      </w:r>
      <w:r>
        <w:rPr>
          <w:sz w:val="24"/>
        </w:rPr>
        <w:t>proper</w:t>
      </w:r>
      <w:r>
        <w:rPr>
          <w:spacing w:val="-2"/>
          <w:sz w:val="24"/>
        </w:rPr>
        <w:t> </w:t>
      </w:r>
      <w:r>
        <w:rPr>
          <w:sz w:val="24"/>
        </w:rPr>
        <w:t>contacts</w:t>
      </w:r>
      <w:r>
        <w:rPr>
          <w:spacing w:val="-2"/>
          <w:sz w:val="24"/>
        </w:rPr>
        <w:t> </w:t>
      </w:r>
      <w:r>
        <w:rPr>
          <w:sz w:val="24"/>
        </w:rPr>
        <w:t>with</w:t>
      </w:r>
      <w:r>
        <w:rPr>
          <w:spacing w:val="-2"/>
          <w:sz w:val="24"/>
        </w:rPr>
        <w:t> </w:t>
      </w:r>
      <w:r>
        <w:rPr>
          <w:sz w:val="24"/>
        </w:rPr>
        <w:t>parents</w:t>
      </w:r>
      <w:r>
        <w:rPr>
          <w:spacing w:val="-3"/>
          <w:sz w:val="24"/>
        </w:rPr>
        <w:t> </w:t>
      </w:r>
      <w:r>
        <w:rPr>
          <w:sz w:val="24"/>
        </w:rPr>
        <w:t>or</w:t>
      </w:r>
      <w:r>
        <w:rPr>
          <w:spacing w:val="-2"/>
          <w:sz w:val="24"/>
        </w:rPr>
        <w:t> </w:t>
      </w:r>
      <w:r>
        <w:rPr>
          <w:sz w:val="24"/>
        </w:rPr>
        <w:t>undertaking</w:t>
      </w:r>
      <w:r>
        <w:rPr>
          <w:spacing w:val="-2"/>
          <w:sz w:val="24"/>
        </w:rPr>
        <w:t> </w:t>
      </w:r>
      <w:r>
        <w:rPr>
          <w:sz w:val="24"/>
        </w:rPr>
        <w:t>programmes</w:t>
      </w:r>
      <w:r>
        <w:rPr>
          <w:spacing w:val="-2"/>
          <w:sz w:val="24"/>
        </w:rPr>
        <w:t> </w:t>
      </w:r>
      <w:r>
        <w:rPr>
          <w:sz w:val="24"/>
        </w:rPr>
        <w:t>of</w:t>
      </w:r>
      <w:r>
        <w:rPr>
          <w:spacing w:val="-6"/>
          <w:sz w:val="24"/>
        </w:rPr>
        <w:t> </w:t>
      </w:r>
      <w:r>
        <w:rPr>
          <w:sz w:val="24"/>
        </w:rPr>
        <w:t>adult</w:t>
      </w:r>
      <w:r>
        <w:rPr>
          <w:spacing w:val="-2"/>
          <w:sz w:val="24"/>
        </w:rPr>
        <w:t> </w:t>
      </w:r>
      <w:r>
        <w:rPr>
          <w:sz w:val="24"/>
        </w:rPr>
        <w:t>education.</w:t>
      </w:r>
      <w:r>
        <w:rPr>
          <w:spacing w:val="-2"/>
          <w:sz w:val="24"/>
        </w:rPr>
        <w:t> </w:t>
      </w:r>
      <w:r>
        <w:rPr>
          <w:sz w:val="24"/>
        </w:rPr>
        <w:t>These</w:t>
      </w:r>
      <w:r>
        <w:rPr>
          <w:spacing w:val="-2"/>
          <w:sz w:val="24"/>
        </w:rPr>
        <w:t> </w:t>
      </w:r>
      <w:r>
        <w:rPr>
          <w:sz w:val="24"/>
        </w:rPr>
        <w:t>and such other problems would be eliminated if it were possible to provide reasonable residential accommodation for teachers in the locality itself. We recommend, therefore, that every effort should be made to increase residential accommodation for teachers in rural areas. it should be regarded as a responsibility of the local community to provide such accommodation. Wherever necessary and possible, State subsidies should be made available for the programme. In urban areas, and particularly in big cities, the problem is sometimes</w:t>
      </w:r>
      <w:r>
        <w:rPr>
          <w:spacing w:val="-2"/>
          <w:sz w:val="24"/>
        </w:rPr>
        <w:t> </w:t>
      </w:r>
      <w:r>
        <w:rPr>
          <w:sz w:val="24"/>
        </w:rPr>
        <w:t>easier</w:t>
      </w:r>
      <w:r>
        <w:rPr>
          <w:spacing w:val="-3"/>
          <w:sz w:val="24"/>
        </w:rPr>
        <w:t> </w:t>
      </w:r>
      <w:r>
        <w:rPr>
          <w:sz w:val="24"/>
        </w:rPr>
        <w:t>and</w:t>
      </w:r>
      <w:r>
        <w:rPr>
          <w:spacing w:val="-3"/>
          <w:sz w:val="24"/>
        </w:rPr>
        <w:t> </w:t>
      </w:r>
      <w:r>
        <w:rPr>
          <w:sz w:val="24"/>
        </w:rPr>
        <w:t>sometimes</w:t>
      </w:r>
      <w:r>
        <w:rPr>
          <w:spacing w:val="-2"/>
          <w:sz w:val="24"/>
        </w:rPr>
        <w:t> </w:t>
      </w:r>
      <w:r>
        <w:rPr>
          <w:sz w:val="24"/>
        </w:rPr>
        <w:t>more</w:t>
      </w:r>
      <w:r>
        <w:rPr>
          <w:spacing w:val="-2"/>
          <w:sz w:val="24"/>
        </w:rPr>
        <w:t> </w:t>
      </w:r>
      <w:r>
        <w:rPr>
          <w:sz w:val="24"/>
        </w:rPr>
        <w:t>difficult</w:t>
      </w:r>
      <w:r>
        <w:rPr>
          <w:spacing w:val="-3"/>
          <w:sz w:val="24"/>
        </w:rPr>
        <w:t> </w:t>
      </w:r>
      <w:r>
        <w:rPr>
          <w:sz w:val="24"/>
        </w:rPr>
        <w:t>than</w:t>
      </w:r>
      <w:r>
        <w:rPr>
          <w:spacing w:val="-2"/>
          <w:sz w:val="24"/>
        </w:rPr>
        <w:t> </w:t>
      </w:r>
      <w:r>
        <w:rPr>
          <w:sz w:val="24"/>
        </w:rPr>
        <w:t>in</w:t>
      </w:r>
      <w:r>
        <w:rPr>
          <w:spacing w:val="-2"/>
          <w:sz w:val="24"/>
        </w:rPr>
        <w:t> </w:t>
      </w:r>
      <w:r>
        <w:rPr>
          <w:sz w:val="24"/>
        </w:rPr>
        <w:t>villages.</w:t>
      </w:r>
      <w:r>
        <w:rPr>
          <w:spacing w:val="-2"/>
          <w:sz w:val="24"/>
        </w:rPr>
        <w:t> </w:t>
      </w:r>
      <w:r>
        <w:rPr>
          <w:sz w:val="24"/>
        </w:rPr>
        <w:t>A</w:t>
      </w:r>
      <w:r>
        <w:rPr>
          <w:spacing w:val="-2"/>
          <w:sz w:val="24"/>
        </w:rPr>
        <w:t> </w:t>
      </w:r>
      <w:r>
        <w:rPr>
          <w:sz w:val="24"/>
        </w:rPr>
        <w:t>programme</w:t>
      </w:r>
      <w:r>
        <w:rPr>
          <w:spacing w:val="-2"/>
          <w:sz w:val="24"/>
        </w:rPr>
        <w:t> </w:t>
      </w:r>
      <w:r>
        <w:rPr>
          <w:sz w:val="24"/>
        </w:rPr>
        <w:t>of</w:t>
      </w:r>
      <w:r>
        <w:rPr>
          <w:spacing w:val="-2"/>
          <w:sz w:val="24"/>
        </w:rPr>
        <w:t> </w:t>
      </w:r>
      <w:r>
        <w:rPr>
          <w:sz w:val="24"/>
        </w:rPr>
        <w:t>building construction and grant of adequate house-rent allowances in all big cities to enable teachers to obtain decent housing facilities is needed. Cooperative housing schemes for teachers should be encouraged and loans for construction of houses should be made available on favourable terms.</w:t>
      </w:r>
    </w:p>
    <w:p>
      <w:pPr>
        <w:pStyle w:val="BodyText"/>
        <w:spacing w:before="4"/>
      </w:pPr>
    </w:p>
    <w:p>
      <w:pPr>
        <w:pStyle w:val="ListParagraph"/>
        <w:numPr>
          <w:ilvl w:val="1"/>
          <w:numId w:val="47"/>
        </w:numPr>
        <w:tabs>
          <w:tab w:pos="697" w:val="left" w:leader="none"/>
        </w:tabs>
        <w:spacing w:line="240" w:lineRule="auto" w:before="0" w:after="0"/>
        <w:ind w:left="160" w:right="495" w:firstLine="0"/>
        <w:jc w:val="both"/>
        <w:rPr>
          <w:sz w:val="24"/>
        </w:rPr>
      </w:pPr>
      <w:r>
        <w:rPr>
          <w:sz w:val="24"/>
        </w:rPr>
        <w:t>In the universities and affiliated colleges, it is necessary to provide residential accommodation. General experience has been that universities which provide residential accommodation to teachers have been able to obtain the services of eminent teachers and to retain them. The target to be reached over the next 20 years should be to provide residential accommodation to about 50 per cent of the teachers in the universities and to 20 per cent in affiliated colleges.</w:t>
      </w:r>
    </w:p>
    <w:p>
      <w:pPr>
        <w:pStyle w:val="BodyText"/>
        <w:spacing w:before="4"/>
      </w:pPr>
    </w:p>
    <w:p>
      <w:pPr>
        <w:pStyle w:val="ListParagraph"/>
        <w:numPr>
          <w:ilvl w:val="1"/>
          <w:numId w:val="47"/>
        </w:numPr>
        <w:tabs>
          <w:tab w:pos="685" w:val="left" w:leader="none"/>
        </w:tabs>
        <w:spacing w:line="240" w:lineRule="auto" w:before="0" w:after="0"/>
        <w:ind w:left="160" w:right="497" w:firstLine="0"/>
        <w:jc w:val="both"/>
        <w:rPr>
          <w:b/>
          <w:sz w:val="24"/>
        </w:rPr>
      </w:pPr>
      <w:r>
        <w:rPr>
          <w:b/>
          <w:sz w:val="24"/>
        </w:rPr>
        <w:t>Additional Earnings. </w:t>
      </w:r>
      <w:r>
        <w:rPr>
          <w:sz w:val="24"/>
        </w:rPr>
        <w:t>The problem of additional earnings of teachers, over and above their salaries, deserves consideration. At the school stage, the chief source of additional earnings to teachers is private tuitions. This practice prevails largely in urban areas and, in many places, complaints are made that it has become almost a scandal. We realize that some children (these may be gifted children preparing to excel in examinations or backward ones who may need special aid to come up to the ordinary level) will need extra assistance from the teachers. In our opinion, such assistance should be provided, on an institutional basis, by the school itself The teachers concerned should be adequately</w:t>
      </w:r>
      <w:r>
        <w:rPr>
          <w:spacing w:val="2"/>
          <w:sz w:val="24"/>
        </w:rPr>
        <w:t> </w:t>
      </w:r>
      <w:r>
        <w:rPr>
          <w:sz w:val="24"/>
        </w:rPr>
        <w:t>remunerated</w:t>
      </w:r>
      <w:r>
        <w:rPr>
          <w:spacing w:val="3"/>
          <w:sz w:val="24"/>
        </w:rPr>
        <w:t> </w:t>
      </w:r>
      <w:r>
        <w:rPr>
          <w:sz w:val="24"/>
        </w:rPr>
        <w:t>and</w:t>
      </w:r>
      <w:r>
        <w:rPr>
          <w:spacing w:val="2"/>
          <w:sz w:val="24"/>
        </w:rPr>
        <w:t> </w:t>
      </w:r>
      <w:r>
        <w:rPr>
          <w:sz w:val="24"/>
        </w:rPr>
        <w:t>the</w:t>
      </w:r>
      <w:r>
        <w:rPr>
          <w:spacing w:val="3"/>
          <w:sz w:val="24"/>
        </w:rPr>
        <w:t> </w:t>
      </w:r>
      <w:r>
        <w:rPr>
          <w:sz w:val="24"/>
        </w:rPr>
        <w:t>cost</w:t>
      </w:r>
      <w:r>
        <w:rPr>
          <w:spacing w:val="2"/>
          <w:sz w:val="24"/>
        </w:rPr>
        <w:t> </w:t>
      </w:r>
      <w:r>
        <w:rPr>
          <w:sz w:val="24"/>
        </w:rPr>
        <w:t>should</w:t>
      </w:r>
      <w:r>
        <w:rPr>
          <w:spacing w:val="2"/>
          <w:sz w:val="24"/>
        </w:rPr>
        <w:t> </w:t>
      </w:r>
      <w:r>
        <w:rPr>
          <w:sz w:val="24"/>
        </w:rPr>
        <w:t>be</w:t>
      </w:r>
      <w:r>
        <w:rPr>
          <w:spacing w:val="2"/>
          <w:sz w:val="24"/>
        </w:rPr>
        <w:t> </w:t>
      </w:r>
      <w:r>
        <w:rPr>
          <w:sz w:val="24"/>
        </w:rPr>
        <w:t>met</w:t>
      </w:r>
      <w:r>
        <w:rPr>
          <w:spacing w:val="2"/>
          <w:sz w:val="24"/>
        </w:rPr>
        <w:t> </w:t>
      </w:r>
      <w:r>
        <w:rPr>
          <w:sz w:val="24"/>
        </w:rPr>
        <w:t>partly</w:t>
      </w:r>
      <w:r>
        <w:rPr>
          <w:spacing w:val="3"/>
          <w:sz w:val="24"/>
        </w:rPr>
        <w:t> </w:t>
      </w:r>
      <w:r>
        <w:rPr>
          <w:sz w:val="24"/>
        </w:rPr>
        <w:t>by</w:t>
      </w:r>
      <w:r>
        <w:rPr>
          <w:spacing w:val="2"/>
          <w:sz w:val="24"/>
        </w:rPr>
        <w:t> </w:t>
      </w:r>
      <w:r>
        <w:rPr>
          <w:sz w:val="24"/>
        </w:rPr>
        <w:t>charging</w:t>
      </w:r>
      <w:r>
        <w:rPr>
          <w:spacing w:val="3"/>
          <w:sz w:val="24"/>
        </w:rPr>
        <w:t> </w:t>
      </w:r>
      <w:r>
        <w:rPr>
          <w:sz w:val="24"/>
        </w:rPr>
        <w:t>special</w:t>
      </w:r>
      <w:r>
        <w:rPr>
          <w:spacing w:val="2"/>
          <w:sz w:val="24"/>
        </w:rPr>
        <w:t> </w:t>
      </w:r>
      <w:r>
        <w:rPr>
          <w:sz w:val="24"/>
        </w:rPr>
        <w:t>fees</w:t>
      </w:r>
      <w:r>
        <w:rPr>
          <w:spacing w:val="2"/>
          <w:sz w:val="24"/>
        </w:rPr>
        <w:t> </w:t>
      </w:r>
      <w:r>
        <w:rPr>
          <w:spacing w:val="-5"/>
          <w:sz w:val="24"/>
        </w:rPr>
        <w:t>and</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partly from school funds. At the university stage, the chief source of additional remuneration is part-time consultancy to government or industry, or remuneration from additional work, such as research carried out by the department, or fees for evaluating examination scripts. Such additional earnings should be permitted, though care should be exercised to see that the concession is not abused and that the work of the department does not suffer. The existing practice under which a teacher is required to pay a part of</w:t>
      </w:r>
      <w:r>
        <w:rPr>
          <w:spacing w:val="40"/>
        </w:rPr>
        <w:t> </w:t>
      </w:r>
      <w:r>
        <w:rPr/>
        <w:t>his earnings to the employing authority is in our opinion, unfair. We think that such payment should not be required where the earnings do not exceed 50 per cent of the salary. If they exceed this amount, a progressive reduction may be made.</w:t>
      </w:r>
    </w:p>
    <w:p>
      <w:pPr>
        <w:pStyle w:val="BodyText"/>
        <w:spacing w:before="4"/>
      </w:pPr>
    </w:p>
    <w:p>
      <w:pPr>
        <w:pStyle w:val="ListParagraph"/>
        <w:numPr>
          <w:ilvl w:val="1"/>
          <w:numId w:val="47"/>
        </w:numPr>
        <w:tabs>
          <w:tab w:pos="685" w:val="left" w:leader="none"/>
        </w:tabs>
        <w:spacing w:line="240" w:lineRule="auto" w:before="0" w:after="0"/>
        <w:ind w:left="160" w:right="496" w:firstLine="0"/>
        <w:jc w:val="both"/>
        <w:rPr>
          <w:b/>
          <w:sz w:val="24"/>
        </w:rPr>
      </w:pPr>
      <w:r>
        <w:rPr>
          <w:b/>
          <w:sz w:val="24"/>
        </w:rPr>
        <w:t>Civic Rights. </w:t>
      </w:r>
      <w:r>
        <w:rPr>
          <w:sz w:val="24"/>
        </w:rPr>
        <w:t>We attach great importance to the civic freedom of teachers. We consider the participation of teachers in social and public life to be highly desirable in the interest of the profession and the educational service as a whole, and that such participation will enrich the social and political life of the country. Teachers should be free to exercise all civic rights enjoyed by citizens and should be eligible for public offices at the local, district, State or national levels. No legal restriction should be placed on their participation in elections. When they do so, they should be expected to proceed on leave during the election campaign and to relinquish temporarily their teaching duties if the requirements of public office interfere with their proper discharge. Such participation should be in a purely personal capacity and care should be taken to see that the institution which the teacher serves or his students are not involved in it.</w:t>
      </w:r>
    </w:p>
    <w:p>
      <w:pPr>
        <w:pStyle w:val="BodyText"/>
        <w:spacing w:before="4"/>
      </w:pPr>
    </w:p>
    <w:p>
      <w:pPr>
        <w:pStyle w:val="ListParagraph"/>
        <w:numPr>
          <w:ilvl w:val="1"/>
          <w:numId w:val="47"/>
        </w:numPr>
        <w:tabs>
          <w:tab w:pos="665" w:val="left" w:leader="none"/>
        </w:tabs>
        <w:spacing w:line="240" w:lineRule="auto" w:before="0" w:after="0"/>
        <w:ind w:left="160" w:right="495" w:firstLine="0"/>
        <w:jc w:val="both"/>
        <w:rPr>
          <w:b/>
          <w:sz w:val="24"/>
        </w:rPr>
      </w:pPr>
      <w:r>
        <w:rPr>
          <w:b/>
          <w:sz w:val="24"/>
        </w:rPr>
        <w:t>Women Teachers. </w:t>
      </w:r>
      <w:r>
        <w:rPr>
          <w:sz w:val="24"/>
        </w:rPr>
        <w:t>Some discussion is needed regarding two important categories</w:t>
      </w:r>
      <w:r>
        <w:rPr>
          <w:spacing w:val="40"/>
          <w:sz w:val="24"/>
        </w:rPr>
        <w:t> </w:t>
      </w:r>
      <w:r>
        <w:rPr>
          <w:sz w:val="24"/>
        </w:rPr>
        <w:t>of teachers with special problems-women teachers, especially for rural areas, and</w:t>
      </w:r>
      <w:r>
        <w:rPr>
          <w:spacing w:val="80"/>
          <w:sz w:val="24"/>
        </w:rPr>
        <w:t> </w:t>
      </w:r>
      <w:r>
        <w:rPr>
          <w:sz w:val="24"/>
        </w:rPr>
        <w:t>teachers for tribal localities. At present, women teachers form the majority at the pre- primary stage. At other stages, the proportion of women teachers has been continually increasing in the post-Independence period as the statistics in Table 3.5 will show.</w:t>
      </w:r>
    </w:p>
    <w:p>
      <w:pPr>
        <w:pStyle w:val="BodyText"/>
        <w:spacing w:before="5"/>
      </w:pPr>
    </w:p>
    <w:p>
      <w:pPr>
        <w:pStyle w:val="BodyText"/>
        <w:ind w:left="160" w:right="495"/>
        <w:jc w:val="both"/>
      </w:pPr>
      <w:r>
        <w:rPr/>
        <w:t>It will be seen that the number of women teachers in lower primary schools has increased from 82,000 to 200,000 or from 18 to 24 per 100 men teachers. In the higher primary schools, where the demand for women teachers is great, especially in rural areas, their number has increased from 13,000 to 140,000 or from 18 to 37 per 100 men teachers in secondary schools and colleges of arts and science, the increase is not so large, but shows steady progress. It is only in vocational schools and colleges-and this is not unexpected- that their number is still very limited.</w:t>
      </w:r>
    </w:p>
    <w:p>
      <w:pPr>
        <w:pStyle w:val="BodyText"/>
        <w:spacing w:before="4"/>
      </w:pPr>
    </w:p>
    <w:p>
      <w:pPr>
        <w:pStyle w:val="ListParagraph"/>
        <w:numPr>
          <w:ilvl w:val="1"/>
          <w:numId w:val="47"/>
        </w:numPr>
        <w:tabs>
          <w:tab w:pos="678" w:val="left" w:leader="none"/>
        </w:tabs>
        <w:spacing w:line="240" w:lineRule="auto" w:before="0" w:after="0"/>
        <w:ind w:left="160" w:right="490" w:firstLine="0"/>
        <w:jc w:val="both"/>
        <w:rPr>
          <w:sz w:val="24"/>
        </w:rPr>
      </w:pPr>
      <w:r>
        <w:rPr>
          <w:sz w:val="24"/>
        </w:rPr>
        <w:t>It is necessary to emphasize the need for the employment of women teachers in increasing proportions. At the lower primary stage, they make good teachers; and in</w:t>
      </w:r>
      <w:r>
        <w:rPr>
          <w:spacing w:val="40"/>
          <w:sz w:val="24"/>
        </w:rPr>
        <w:t> </w:t>
      </w:r>
      <w:r>
        <w:rPr>
          <w:sz w:val="24"/>
        </w:rPr>
        <w:t>many</w:t>
      </w:r>
      <w:r>
        <w:rPr>
          <w:spacing w:val="-2"/>
          <w:sz w:val="24"/>
        </w:rPr>
        <w:t> </w:t>
      </w:r>
      <w:r>
        <w:rPr>
          <w:sz w:val="24"/>
        </w:rPr>
        <w:t>rural</w:t>
      </w:r>
      <w:r>
        <w:rPr>
          <w:spacing w:val="-2"/>
          <w:sz w:val="24"/>
        </w:rPr>
        <w:t> </w:t>
      </w:r>
      <w:r>
        <w:rPr>
          <w:sz w:val="24"/>
        </w:rPr>
        <w:t>areas,</w:t>
      </w:r>
      <w:r>
        <w:rPr>
          <w:spacing w:val="-2"/>
          <w:sz w:val="24"/>
        </w:rPr>
        <w:t> </w:t>
      </w:r>
      <w:r>
        <w:rPr>
          <w:sz w:val="24"/>
        </w:rPr>
        <w:t>the</w:t>
      </w:r>
      <w:r>
        <w:rPr>
          <w:spacing w:val="-2"/>
          <w:sz w:val="24"/>
        </w:rPr>
        <w:t> </w:t>
      </w:r>
      <w:r>
        <w:rPr>
          <w:sz w:val="24"/>
        </w:rPr>
        <w:t>presence</w:t>
      </w:r>
      <w:r>
        <w:rPr>
          <w:spacing w:val="-2"/>
          <w:sz w:val="24"/>
        </w:rPr>
        <w:t> </w:t>
      </w:r>
      <w:r>
        <w:rPr>
          <w:sz w:val="24"/>
        </w:rPr>
        <w:t>of</w:t>
      </w:r>
      <w:r>
        <w:rPr>
          <w:spacing w:val="-2"/>
          <w:sz w:val="24"/>
        </w:rPr>
        <w:t> </w:t>
      </w:r>
      <w:r>
        <w:rPr>
          <w:sz w:val="24"/>
        </w:rPr>
        <w:t>a</w:t>
      </w:r>
      <w:r>
        <w:rPr>
          <w:spacing w:val="-2"/>
          <w:sz w:val="24"/>
        </w:rPr>
        <w:t> </w:t>
      </w:r>
      <w:r>
        <w:rPr>
          <w:sz w:val="24"/>
        </w:rPr>
        <w:t>woman</w:t>
      </w:r>
      <w:r>
        <w:rPr>
          <w:spacing w:val="-2"/>
          <w:sz w:val="24"/>
        </w:rPr>
        <w:t> </w:t>
      </w:r>
      <w:r>
        <w:rPr>
          <w:sz w:val="24"/>
        </w:rPr>
        <w:t>teacher</w:t>
      </w:r>
      <w:r>
        <w:rPr>
          <w:spacing w:val="-2"/>
          <w:sz w:val="24"/>
        </w:rPr>
        <w:t> </w:t>
      </w:r>
      <w:r>
        <w:rPr>
          <w:sz w:val="24"/>
        </w:rPr>
        <w:t>will</w:t>
      </w:r>
      <w:r>
        <w:rPr>
          <w:spacing w:val="-3"/>
          <w:sz w:val="24"/>
        </w:rPr>
        <w:t> </w:t>
      </w:r>
      <w:r>
        <w:rPr>
          <w:sz w:val="24"/>
        </w:rPr>
        <w:t>bring</w:t>
      </w:r>
      <w:r>
        <w:rPr>
          <w:spacing w:val="-3"/>
          <w:sz w:val="24"/>
        </w:rPr>
        <w:t> </w:t>
      </w:r>
      <w:r>
        <w:rPr>
          <w:sz w:val="24"/>
        </w:rPr>
        <w:t>more</w:t>
      </w:r>
      <w:r>
        <w:rPr>
          <w:spacing w:val="-3"/>
          <w:sz w:val="24"/>
        </w:rPr>
        <w:t> </w:t>
      </w:r>
      <w:r>
        <w:rPr>
          <w:sz w:val="24"/>
        </w:rPr>
        <w:t>girls</w:t>
      </w:r>
      <w:r>
        <w:rPr>
          <w:spacing w:val="-3"/>
          <w:sz w:val="24"/>
        </w:rPr>
        <w:t> </w:t>
      </w:r>
      <w:r>
        <w:rPr>
          <w:sz w:val="24"/>
        </w:rPr>
        <w:t>to</w:t>
      </w:r>
      <w:r>
        <w:rPr>
          <w:spacing w:val="-4"/>
          <w:sz w:val="24"/>
        </w:rPr>
        <w:t> </w:t>
      </w:r>
      <w:r>
        <w:rPr>
          <w:sz w:val="24"/>
        </w:rPr>
        <w:t>schools.</w:t>
      </w:r>
      <w:r>
        <w:rPr>
          <w:spacing w:val="-3"/>
          <w:sz w:val="24"/>
        </w:rPr>
        <w:t> </w:t>
      </w:r>
      <w:r>
        <w:rPr>
          <w:sz w:val="24"/>
        </w:rPr>
        <w:t>At</w:t>
      </w:r>
      <w:r>
        <w:rPr>
          <w:spacing w:val="-3"/>
          <w:sz w:val="24"/>
        </w:rPr>
        <w:t> </w:t>
      </w:r>
      <w:r>
        <w:rPr>
          <w:sz w:val="24"/>
        </w:rPr>
        <w:t>the higher primary stage, the employment of women teachers and the conduct of special schools for girls will be necessary for some years to come in most of our rural areas. In secondary schools and colleges of arts and science, the proportion of institutions for girls is continually increasing. These are mostly staffed by women teachers. Even in the remaining</w:t>
      </w:r>
      <w:r>
        <w:rPr>
          <w:spacing w:val="-1"/>
          <w:sz w:val="24"/>
        </w:rPr>
        <w:t> </w:t>
      </w:r>
      <w:r>
        <w:rPr>
          <w:sz w:val="24"/>
        </w:rPr>
        <w:t>institutions,</w:t>
      </w:r>
      <w:r>
        <w:rPr>
          <w:spacing w:val="-1"/>
          <w:sz w:val="24"/>
        </w:rPr>
        <w:t> </w:t>
      </w:r>
      <w:r>
        <w:rPr>
          <w:sz w:val="24"/>
        </w:rPr>
        <w:t>a</w:t>
      </w:r>
      <w:r>
        <w:rPr>
          <w:spacing w:val="-1"/>
          <w:sz w:val="24"/>
        </w:rPr>
        <w:t> </w:t>
      </w:r>
      <w:r>
        <w:rPr>
          <w:sz w:val="24"/>
        </w:rPr>
        <w:t>large</w:t>
      </w:r>
      <w:r>
        <w:rPr>
          <w:spacing w:val="-1"/>
          <w:sz w:val="24"/>
        </w:rPr>
        <w:t> </w:t>
      </w:r>
      <w:r>
        <w:rPr>
          <w:sz w:val="24"/>
        </w:rPr>
        <w:t>majority</w:t>
      </w:r>
      <w:r>
        <w:rPr>
          <w:spacing w:val="-1"/>
          <w:sz w:val="24"/>
        </w:rPr>
        <w:t> </w:t>
      </w:r>
      <w:r>
        <w:rPr>
          <w:sz w:val="24"/>
        </w:rPr>
        <w:t>are</w:t>
      </w:r>
      <w:r>
        <w:rPr>
          <w:spacing w:val="-1"/>
          <w:sz w:val="24"/>
        </w:rPr>
        <w:t> </w:t>
      </w:r>
      <w:r>
        <w:rPr>
          <w:sz w:val="24"/>
        </w:rPr>
        <w:t>really</w:t>
      </w:r>
      <w:r>
        <w:rPr>
          <w:spacing w:val="-1"/>
          <w:sz w:val="24"/>
        </w:rPr>
        <w:t> </w:t>
      </w:r>
      <w:r>
        <w:rPr>
          <w:sz w:val="24"/>
        </w:rPr>
        <w:t>mixed</w:t>
      </w:r>
      <w:r>
        <w:rPr>
          <w:spacing w:val="-1"/>
          <w:sz w:val="24"/>
        </w:rPr>
        <w:t> </w:t>
      </w:r>
      <w:r>
        <w:rPr>
          <w:sz w:val="24"/>
        </w:rPr>
        <w:t>institutions</w:t>
      </w:r>
      <w:r>
        <w:rPr>
          <w:spacing w:val="-2"/>
          <w:sz w:val="24"/>
        </w:rPr>
        <w:t> </w:t>
      </w:r>
      <w:r>
        <w:rPr>
          <w:sz w:val="24"/>
        </w:rPr>
        <w:t>with</w:t>
      </w:r>
      <w:r>
        <w:rPr>
          <w:spacing w:val="-1"/>
          <w:sz w:val="24"/>
        </w:rPr>
        <w:t> </w:t>
      </w:r>
      <w:r>
        <w:rPr>
          <w:sz w:val="24"/>
        </w:rPr>
        <w:t>some</w:t>
      </w:r>
      <w:r>
        <w:rPr>
          <w:spacing w:val="-1"/>
          <w:sz w:val="24"/>
        </w:rPr>
        <w:t> </w:t>
      </w:r>
      <w:r>
        <w:rPr>
          <w:sz w:val="24"/>
        </w:rPr>
        <w:t>proportion of</w:t>
      </w:r>
      <w:r>
        <w:rPr>
          <w:spacing w:val="-1"/>
          <w:sz w:val="24"/>
        </w:rPr>
        <w:t> </w:t>
      </w:r>
      <w:r>
        <w:rPr>
          <w:sz w:val="24"/>
        </w:rPr>
        <w:t>girls</w:t>
      </w:r>
      <w:r>
        <w:rPr>
          <w:spacing w:val="-1"/>
          <w:sz w:val="24"/>
        </w:rPr>
        <w:t> </w:t>
      </w:r>
      <w:r>
        <w:rPr>
          <w:sz w:val="24"/>
        </w:rPr>
        <w:t>attending.</w:t>
      </w:r>
      <w:r>
        <w:rPr>
          <w:spacing w:val="-1"/>
          <w:sz w:val="24"/>
        </w:rPr>
        <w:t> </w:t>
      </w:r>
      <w:r>
        <w:rPr>
          <w:sz w:val="24"/>
        </w:rPr>
        <w:t>In</w:t>
      </w:r>
      <w:r>
        <w:rPr>
          <w:spacing w:val="-1"/>
          <w:sz w:val="24"/>
        </w:rPr>
        <w:t> </w:t>
      </w:r>
      <w:r>
        <w:rPr>
          <w:sz w:val="24"/>
        </w:rPr>
        <w:t>all</w:t>
      </w:r>
      <w:r>
        <w:rPr>
          <w:spacing w:val="-1"/>
          <w:sz w:val="24"/>
        </w:rPr>
        <w:t> </w:t>
      </w:r>
      <w:r>
        <w:rPr>
          <w:sz w:val="24"/>
        </w:rPr>
        <w:t>of</w:t>
      </w:r>
      <w:r>
        <w:rPr>
          <w:spacing w:val="-1"/>
          <w:sz w:val="24"/>
        </w:rPr>
        <w:t> </w:t>
      </w:r>
      <w:r>
        <w:rPr>
          <w:sz w:val="24"/>
        </w:rPr>
        <w:t>them,</w:t>
      </w:r>
      <w:r>
        <w:rPr>
          <w:spacing w:val="-1"/>
          <w:sz w:val="24"/>
        </w:rPr>
        <w:t> </w:t>
      </w:r>
      <w:r>
        <w:rPr>
          <w:sz w:val="24"/>
        </w:rPr>
        <w:t>it</w:t>
      </w:r>
      <w:r>
        <w:rPr>
          <w:spacing w:val="-1"/>
          <w:sz w:val="24"/>
        </w:rPr>
        <w:t> </w:t>
      </w:r>
      <w:r>
        <w:rPr>
          <w:sz w:val="24"/>
        </w:rPr>
        <w:t>should</w:t>
      </w:r>
      <w:r>
        <w:rPr>
          <w:spacing w:val="-1"/>
          <w:sz w:val="24"/>
        </w:rPr>
        <w:t> </w:t>
      </w:r>
      <w:r>
        <w:rPr>
          <w:sz w:val="24"/>
        </w:rPr>
        <w:t>be</w:t>
      </w:r>
      <w:r>
        <w:rPr>
          <w:spacing w:val="-1"/>
          <w:sz w:val="24"/>
        </w:rPr>
        <w:t> </w:t>
      </w:r>
      <w:r>
        <w:rPr>
          <w:sz w:val="24"/>
        </w:rPr>
        <w:t>a</w:t>
      </w:r>
      <w:r>
        <w:rPr>
          <w:spacing w:val="-1"/>
          <w:sz w:val="24"/>
        </w:rPr>
        <w:t> </w:t>
      </w:r>
      <w:r>
        <w:rPr>
          <w:sz w:val="24"/>
        </w:rPr>
        <w:t>rule</w:t>
      </w:r>
      <w:r>
        <w:rPr>
          <w:spacing w:val="-1"/>
          <w:sz w:val="24"/>
        </w:rPr>
        <w:t> </w:t>
      </w:r>
      <w:r>
        <w:rPr>
          <w:sz w:val="24"/>
        </w:rPr>
        <w:t>to</w:t>
      </w:r>
      <w:r>
        <w:rPr>
          <w:spacing w:val="-1"/>
          <w:sz w:val="24"/>
        </w:rPr>
        <w:t> </w:t>
      </w:r>
      <w:r>
        <w:rPr>
          <w:sz w:val="24"/>
        </w:rPr>
        <w:t>have</w:t>
      </w:r>
      <w:r>
        <w:rPr>
          <w:spacing w:val="-1"/>
          <w:sz w:val="24"/>
        </w:rPr>
        <w:t> </w:t>
      </w:r>
      <w:r>
        <w:rPr>
          <w:sz w:val="24"/>
        </w:rPr>
        <w:t>at</w:t>
      </w:r>
      <w:r>
        <w:rPr>
          <w:spacing w:val="-1"/>
          <w:sz w:val="24"/>
        </w:rPr>
        <w:t> </w:t>
      </w:r>
      <w:r>
        <w:rPr>
          <w:sz w:val="24"/>
        </w:rPr>
        <w:t>least</w:t>
      </w:r>
      <w:r>
        <w:rPr>
          <w:spacing w:val="-1"/>
          <w:sz w:val="24"/>
        </w:rPr>
        <w:t> </w:t>
      </w:r>
      <w:r>
        <w:rPr>
          <w:sz w:val="24"/>
        </w:rPr>
        <w:t>one</w:t>
      </w:r>
      <w:r>
        <w:rPr>
          <w:spacing w:val="-1"/>
          <w:sz w:val="24"/>
        </w:rPr>
        <w:t> </w:t>
      </w:r>
      <w:r>
        <w:rPr>
          <w:sz w:val="24"/>
        </w:rPr>
        <w:t>woman</w:t>
      </w:r>
      <w:r>
        <w:rPr>
          <w:spacing w:val="-1"/>
          <w:sz w:val="24"/>
        </w:rPr>
        <w:t> </w:t>
      </w:r>
      <w:r>
        <w:rPr>
          <w:sz w:val="24"/>
        </w:rPr>
        <w:t>teacher</w:t>
      </w:r>
      <w:r>
        <w:rPr>
          <w:spacing w:val="-1"/>
          <w:sz w:val="24"/>
        </w:rPr>
        <w:t> </w:t>
      </w:r>
      <w:r>
        <w:rPr>
          <w:sz w:val="24"/>
        </w:rPr>
        <w:t>on the</w:t>
      </w:r>
      <w:r>
        <w:rPr>
          <w:spacing w:val="10"/>
          <w:sz w:val="24"/>
        </w:rPr>
        <w:t> </w:t>
      </w:r>
      <w:r>
        <w:rPr>
          <w:sz w:val="24"/>
        </w:rPr>
        <w:t>staff</w:t>
      </w:r>
      <w:r>
        <w:rPr>
          <w:spacing w:val="11"/>
          <w:sz w:val="24"/>
        </w:rPr>
        <w:t> </w:t>
      </w:r>
      <w:r>
        <w:rPr>
          <w:sz w:val="24"/>
        </w:rPr>
        <w:t>and</w:t>
      </w:r>
      <w:r>
        <w:rPr>
          <w:spacing w:val="10"/>
          <w:sz w:val="24"/>
        </w:rPr>
        <w:t> </w:t>
      </w:r>
      <w:r>
        <w:rPr>
          <w:sz w:val="24"/>
        </w:rPr>
        <w:t>where</w:t>
      </w:r>
      <w:r>
        <w:rPr>
          <w:spacing w:val="11"/>
          <w:sz w:val="24"/>
        </w:rPr>
        <w:t> </w:t>
      </w:r>
      <w:r>
        <w:rPr>
          <w:sz w:val="24"/>
        </w:rPr>
        <w:t>the</w:t>
      </w:r>
      <w:r>
        <w:rPr>
          <w:spacing w:val="10"/>
          <w:sz w:val="24"/>
        </w:rPr>
        <w:t> </w:t>
      </w:r>
      <w:r>
        <w:rPr>
          <w:sz w:val="24"/>
        </w:rPr>
        <w:t>number</w:t>
      </w:r>
      <w:r>
        <w:rPr>
          <w:spacing w:val="11"/>
          <w:sz w:val="24"/>
        </w:rPr>
        <w:t> </w:t>
      </w:r>
      <w:r>
        <w:rPr>
          <w:sz w:val="24"/>
        </w:rPr>
        <w:t>of</w:t>
      </w:r>
      <w:r>
        <w:rPr>
          <w:spacing w:val="11"/>
          <w:sz w:val="24"/>
        </w:rPr>
        <w:t> </w:t>
      </w:r>
      <w:r>
        <w:rPr>
          <w:sz w:val="24"/>
        </w:rPr>
        <w:t>girls</w:t>
      </w:r>
      <w:r>
        <w:rPr>
          <w:spacing w:val="10"/>
          <w:sz w:val="24"/>
        </w:rPr>
        <w:t> </w:t>
      </w:r>
      <w:r>
        <w:rPr>
          <w:sz w:val="24"/>
        </w:rPr>
        <w:t>is</w:t>
      </w:r>
      <w:r>
        <w:rPr>
          <w:spacing w:val="11"/>
          <w:sz w:val="24"/>
        </w:rPr>
        <w:t> </w:t>
      </w:r>
      <w:r>
        <w:rPr>
          <w:sz w:val="24"/>
        </w:rPr>
        <w:t>large,</w:t>
      </w:r>
      <w:r>
        <w:rPr>
          <w:spacing w:val="10"/>
          <w:sz w:val="24"/>
        </w:rPr>
        <w:t> </w:t>
      </w:r>
      <w:r>
        <w:rPr>
          <w:sz w:val="24"/>
        </w:rPr>
        <w:t>at</w:t>
      </w:r>
      <w:r>
        <w:rPr>
          <w:spacing w:val="11"/>
          <w:sz w:val="24"/>
        </w:rPr>
        <w:t> </w:t>
      </w:r>
      <w:r>
        <w:rPr>
          <w:sz w:val="24"/>
        </w:rPr>
        <w:t>least</w:t>
      </w:r>
      <w:r>
        <w:rPr>
          <w:spacing w:val="11"/>
          <w:sz w:val="24"/>
        </w:rPr>
        <w:t> </w:t>
      </w:r>
      <w:r>
        <w:rPr>
          <w:sz w:val="24"/>
        </w:rPr>
        <w:t>one</w:t>
      </w:r>
      <w:r>
        <w:rPr>
          <w:spacing w:val="10"/>
          <w:sz w:val="24"/>
        </w:rPr>
        <w:t> </w:t>
      </w:r>
      <w:r>
        <w:rPr>
          <w:sz w:val="24"/>
        </w:rPr>
        <w:t>woman</w:t>
      </w:r>
      <w:r>
        <w:rPr>
          <w:spacing w:val="11"/>
          <w:sz w:val="24"/>
        </w:rPr>
        <w:t> </w:t>
      </w:r>
      <w:r>
        <w:rPr>
          <w:sz w:val="24"/>
        </w:rPr>
        <w:t>teacher</w:t>
      </w:r>
      <w:r>
        <w:rPr>
          <w:spacing w:val="10"/>
          <w:sz w:val="24"/>
        </w:rPr>
        <w:t> </w:t>
      </w:r>
      <w:r>
        <w:rPr>
          <w:sz w:val="24"/>
        </w:rPr>
        <w:t>for</w:t>
      </w:r>
      <w:r>
        <w:rPr>
          <w:spacing w:val="11"/>
          <w:sz w:val="24"/>
        </w:rPr>
        <w:t> </w:t>
      </w:r>
      <w:r>
        <w:rPr>
          <w:sz w:val="24"/>
        </w:rPr>
        <w:t>every</w:t>
      </w:r>
      <w:r>
        <w:rPr>
          <w:spacing w:val="11"/>
          <w:sz w:val="24"/>
        </w:rPr>
        <w:t> </w:t>
      </w:r>
      <w:r>
        <w:rPr>
          <w:spacing w:val="-5"/>
          <w:sz w:val="24"/>
        </w:rPr>
        <w:t>30</w:t>
      </w:r>
    </w:p>
    <w:p>
      <w:pPr>
        <w:spacing w:after="0" w:line="240" w:lineRule="auto"/>
        <w:jc w:val="both"/>
        <w:rPr>
          <w:sz w:val="24"/>
        </w:rPr>
        <w:sectPr>
          <w:pgSz w:w="12240" w:h="15840"/>
          <w:pgMar w:header="0" w:footer="743" w:top="1360" w:bottom="940" w:left="1640" w:right="1300"/>
        </w:sectPr>
      </w:pPr>
    </w:p>
    <w:p>
      <w:pPr>
        <w:pStyle w:val="BodyText"/>
        <w:spacing w:before="76"/>
        <w:ind w:left="159" w:right="498"/>
      </w:pPr>
      <w:r>
        <w:rPr/>
        <w:t>girls.</w:t>
      </w:r>
      <w:r>
        <w:rPr>
          <w:spacing w:val="38"/>
        </w:rPr>
        <w:t> </w:t>
      </w:r>
      <w:r>
        <w:rPr/>
        <w:t>Girls</w:t>
      </w:r>
      <w:r>
        <w:rPr>
          <w:spacing w:val="38"/>
        </w:rPr>
        <w:t> </w:t>
      </w:r>
      <w:r>
        <w:rPr/>
        <w:t>are</w:t>
      </w:r>
      <w:r>
        <w:rPr>
          <w:spacing w:val="38"/>
        </w:rPr>
        <w:t> </w:t>
      </w:r>
      <w:r>
        <w:rPr/>
        <w:t>also</w:t>
      </w:r>
      <w:r>
        <w:rPr>
          <w:spacing w:val="38"/>
        </w:rPr>
        <w:t> </w:t>
      </w:r>
      <w:r>
        <w:rPr/>
        <w:t>increasingly</w:t>
      </w:r>
      <w:r>
        <w:rPr>
          <w:spacing w:val="38"/>
        </w:rPr>
        <w:t> </w:t>
      </w:r>
      <w:r>
        <w:rPr/>
        <w:t>attending</w:t>
      </w:r>
      <w:r>
        <w:rPr>
          <w:spacing w:val="38"/>
        </w:rPr>
        <w:t> </w:t>
      </w:r>
      <w:r>
        <w:rPr/>
        <w:t>vocational</w:t>
      </w:r>
      <w:r>
        <w:rPr>
          <w:spacing w:val="38"/>
        </w:rPr>
        <w:t> </w:t>
      </w:r>
      <w:r>
        <w:rPr/>
        <w:t>schools</w:t>
      </w:r>
      <w:r>
        <w:rPr>
          <w:spacing w:val="38"/>
        </w:rPr>
        <w:t> </w:t>
      </w:r>
      <w:r>
        <w:rPr/>
        <w:t>and</w:t>
      </w:r>
      <w:r>
        <w:rPr>
          <w:spacing w:val="38"/>
        </w:rPr>
        <w:t> </w:t>
      </w:r>
      <w:r>
        <w:rPr/>
        <w:t>this</w:t>
      </w:r>
      <w:r>
        <w:rPr>
          <w:spacing w:val="38"/>
        </w:rPr>
        <w:t> </w:t>
      </w:r>
      <w:r>
        <w:rPr/>
        <w:t>emphasizes</w:t>
      </w:r>
      <w:r>
        <w:rPr>
          <w:spacing w:val="38"/>
        </w:rPr>
        <w:t> </w:t>
      </w:r>
      <w:r>
        <w:rPr/>
        <w:t>the need for the employment of more women teachers in them.</w:t>
      </w:r>
    </w:p>
    <w:p>
      <w:pPr>
        <w:pStyle w:val="BodyText"/>
        <w:spacing w:before="4"/>
      </w:pPr>
    </w:p>
    <w:p>
      <w:pPr>
        <w:spacing w:before="0"/>
        <w:ind w:left="292" w:right="629" w:firstLine="0"/>
        <w:jc w:val="center"/>
        <w:rPr>
          <w:sz w:val="20"/>
        </w:rPr>
      </w:pPr>
      <w:r>
        <w:rPr/>
        <mc:AlternateContent>
          <mc:Choice Requires="wps">
            <w:drawing>
              <wp:anchor distT="0" distB="0" distL="0" distR="0" allowOverlap="1" layoutInCell="1" locked="0" behindDoc="0" simplePos="0" relativeHeight="15738368">
                <wp:simplePos x="0" y="0"/>
                <wp:positionH relativeFrom="page">
                  <wp:posOffset>6626352</wp:posOffset>
                </wp:positionH>
                <wp:positionV relativeFrom="paragraph">
                  <wp:posOffset>272090</wp:posOffset>
                </wp:positionV>
                <wp:extent cx="3175" cy="1651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3175" cy="16510"/>
                        </a:xfrm>
                        <a:custGeom>
                          <a:avLst/>
                          <a:gdLst/>
                          <a:ahLst/>
                          <a:cxnLst/>
                          <a:rect l="l" t="t" r="r" b="b"/>
                          <a:pathLst>
                            <a:path w="3175" h="16510">
                              <a:moveTo>
                                <a:pt x="3035" y="3048"/>
                              </a:moveTo>
                              <a:lnTo>
                                <a:pt x="0" y="3048"/>
                              </a:lnTo>
                              <a:lnTo>
                                <a:pt x="0" y="15989"/>
                              </a:lnTo>
                              <a:lnTo>
                                <a:pt x="3035" y="15989"/>
                              </a:lnTo>
                              <a:lnTo>
                                <a:pt x="3035" y="3048"/>
                              </a:lnTo>
                              <a:close/>
                            </a:path>
                            <a:path w="3175" h="16510">
                              <a:moveTo>
                                <a:pt x="3035" y="0"/>
                              </a:moveTo>
                              <a:lnTo>
                                <a:pt x="0" y="0"/>
                              </a:lnTo>
                              <a:lnTo>
                                <a:pt x="0" y="3035"/>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21.424484pt;width:.25pt;height:1.3pt;mso-position-horizontal-relative:page;mso-position-vertical-relative:paragraph;z-index:15738368" id="docshape112" coordorigin="10435,428" coordsize="5,26" path="m10440,433l10435,433,10435,454,10440,454,10440,433xm10440,428l10435,428,10435,433,10440,433,10440,428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1143000</wp:posOffset>
                </wp:positionH>
                <wp:positionV relativeFrom="paragraph">
                  <wp:posOffset>275126</wp:posOffset>
                </wp:positionV>
                <wp:extent cx="3175" cy="1333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21.663515pt;width:.24001pt;height:1.02pt;mso-position-horizontal-relative:page;mso-position-vertical-relative:paragraph;z-index:15738880" id="docshape113" filled="true" fillcolor="#aca89a" stroked="false">
                <v:fill type="solid"/>
                <w10:wrap type="none"/>
              </v:rect>
            </w:pict>
          </mc:Fallback>
        </mc:AlternateContent>
      </w:r>
      <w:r>
        <w:rPr>
          <w:sz w:val="20"/>
        </w:rPr>
        <w:t>TABLE</w:t>
      </w:r>
      <w:r>
        <w:rPr>
          <w:spacing w:val="-8"/>
          <w:sz w:val="20"/>
        </w:rPr>
        <w:t> </w:t>
      </w:r>
      <w:r>
        <w:rPr>
          <w:sz w:val="20"/>
        </w:rPr>
        <w:t>3.5.</w:t>
      </w:r>
      <w:r>
        <w:rPr>
          <w:spacing w:val="-7"/>
          <w:sz w:val="20"/>
        </w:rPr>
        <w:t> </w:t>
      </w:r>
      <w:r>
        <w:rPr>
          <w:sz w:val="20"/>
        </w:rPr>
        <w:t>WOMEN</w:t>
      </w:r>
      <w:r>
        <w:rPr>
          <w:spacing w:val="-7"/>
          <w:sz w:val="20"/>
        </w:rPr>
        <w:t> </w:t>
      </w:r>
      <w:r>
        <w:rPr>
          <w:sz w:val="20"/>
        </w:rPr>
        <w:t>TEACHERS</w:t>
      </w:r>
      <w:r>
        <w:rPr>
          <w:spacing w:val="-7"/>
          <w:sz w:val="20"/>
        </w:rPr>
        <w:t> </w:t>
      </w:r>
      <w:r>
        <w:rPr>
          <w:sz w:val="20"/>
        </w:rPr>
        <w:t>(1950-</w:t>
      </w:r>
      <w:r>
        <w:rPr>
          <w:spacing w:val="-5"/>
          <w:sz w:val="20"/>
        </w:rPr>
        <w:t>65)</w:t>
      </w:r>
    </w:p>
    <w:p>
      <w:pPr>
        <w:pStyle w:val="BodyText"/>
        <w:spacing w:before="6"/>
        <w:rPr>
          <w:sz w:val="18"/>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3"/>
        <w:gridCol w:w="1361"/>
        <w:gridCol w:w="1832"/>
        <w:gridCol w:w="1366"/>
        <w:gridCol w:w="1379"/>
      </w:tblGrid>
      <w:tr>
        <w:trPr>
          <w:trHeight w:val="329" w:hRule="atLeast"/>
        </w:trPr>
        <w:tc>
          <w:tcPr>
            <w:tcW w:w="2753" w:type="dxa"/>
            <w:tcBorders>
              <w:top w:val="single" w:sz="12" w:space="0" w:color="808080"/>
            </w:tcBorders>
          </w:tcPr>
          <w:p>
            <w:pPr>
              <w:pStyle w:val="TableParagraph"/>
              <w:spacing w:line="261" w:lineRule="exact" w:before="48"/>
              <w:ind w:left="320" w:right="699"/>
              <w:jc w:val="center"/>
              <w:rPr>
                <w:sz w:val="24"/>
              </w:rPr>
            </w:pPr>
            <w:r>
              <w:rPr>
                <w:spacing w:val="-4"/>
                <w:sz w:val="24"/>
              </w:rPr>
              <w:t>Item</w:t>
            </w:r>
          </w:p>
        </w:tc>
        <w:tc>
          <w:tcPr>
            <w:tcW w:w="1361" w:type="dxa"/>
            <w:tcBorders>
              <w:top w:val="single" w:sz="12" w:space="0" w:color="808080"/>
            </w:tcBorders>
          </w:tcPr>
          <w:p>
            <w:pPr>
              <w:pStyle w:val="TableParagraph"/>
              <w:spacing w:line="261" w:lineRule="exact" w:before="48"/>
              <w:ind w:left="44"/>
              <w:rPr>
                <w:sz w:val="24"/>
              </w:rPr>
            </w:pPr>
            <w:r>
              <w:rPr>
                <w:sz w:val="24"/>
              </w:rPr>
              <w:t>1950-</w:t>
            </w:r>
            <w:r>
              <w:rPr>
                <w:spacing w:val="-5"/>
                <w:sz w:val="24"/>
              </w:rPr>
              <w:t>51</w:t>
            </w:r>
          </w:p>
        </w:tc>
        <w:tc>
          <w:tcPr>
            <w:tcW w:w="1832" w:type="dxa"/>
            <w:tcBorders>
              <w:top w:val="single" w:sz="12" w:space="0" w:color="808080"/>
            </w:tcBorders>
          </w:tcPr>
          <w:p>
            <w:pPr>
              <w:pStyle w:val="TableParagraph"/>
              <w:spacing w:line="261" w:lineRule="exact" w:before="48"/>
              <w:ind w:left="515"/>
              <w:rPr>
                <w:sz w:val="24"/>
              </w:rPr>
            </w:pPr>
            <w:r>
              <w:rPr>
                <w:sz w:val="24"/>
              </w:rPr>
              <w:t>1955-</w:t>
            </w:r>
            <w:r>
              <w:rPr>
                <w:spacing w:val="-5"/>
                <w:sz w:val="24"/>
              </w:rPr>
              <w:t>56</w:t>
            </w:r>
          </w:p>
        </w:tc>
        <w:tc>
          <w:tcPr>
            <w:tcW w:w="1366" w:type="dxa"/>
            <w:tcBorders>
              <w:top w:val="single" w:sz="12" w:space="0" w:color="808080"/>
            </w:tcBorders>
          </w:tcPr>
          <w:p>
            <w:pPr>
              <w:pStyle w:val="TableParagraph"/>
              <w:spacing w:line="261" w:lineRule="exact" w:before="48"/>
              <w:ind w:left="515"/>
              <w:rPr>
                <w:sz w:val="24"/>
              </w:rPr>
            </w:pPr>
            <w:r>
              <w:rPr>
                <w:sz w:val="24"/>
              </w:rPr>
              <w:t>1960-</w:t>
            </w:r>
            <w:r>
              <w:rPr>
                <w:spacing w:val="-5"/>
                <w:sz w:val="24"/>
              </w:rPr>
              <w:t>61</w:t>
            </w:r>
          </w:p>
        </w:tc>
        <w:tc>
          <w:tcPr>
            <w:tcW w:w="1379" w:type="dxa"/>
            <w:tcBorders>
              <w:top w:val="single" w:sz="12" w:space="0" w:color="808080"/>
            </w:tcBorders>
          </w:tcPr>
          <w:p>
            <w:pPr>
              <w:pStyle w:val="TableParagraph"/>
              <w:spacing w:line="261" w:lineRule="exact" w:before="48"/>
              <w:ind w:right="386"/>
              <w:jc w:val="right"/>
              <w:rPr>
                <w:sz w:val="24"/>
              </w:rPr>
            </w:pPr>
            <w:r>
              <w:rPr>
                <w:sz w:val="24"/>
              </w:rPr>
              <w:t>1965-</w:t>
            </w:r>
            <w:r>
              <w:rPr>
                <w:spacing w:val="-5"/>
                <w:sz w:val="24"/>
              </w:rPr>
              <w:t>66</w:t>
            </w:r>
          </w:p>
        </w:tc>
      </w:tr>
      <w:tr>
        <w:trPr>
          <w:trHeight w:val="744" w:hRule="atLeast"/>
        </w:trPr>
        <w:tc>
          <w:tcPr>
            <w:tcW w:w="2753" w:type="dxa"/>
          </w:tcPr>
          <w:p>
            <w:pPr>
              <w:pStyle w:val="TableParagraph"/>
              <w:spacing w:before="271"/>
              <w:ind w:right="699"/>
              <w:jc w:val="center"/>
              <w:rPr>
                <w:sz w:val="24"/>
              </w:rPr>
            </w:pPr>
            <w:r>
              <w:rPr>
                <w:spacing w:val="-10"/>
                <w:sz w:val="24"/>
              </w:rPr>
              <w:t>1</w:t>
            </w:r>
          </w:p>
        </w:tc>
        <w:tc>
          <w:tcPr>
            <w:tcW w:w="1361" w:type="dxa"/>
          </w:tcPr>
          <w:p>
            <w:pPr>
              <w:pStyle w:val="TableParagraph"/>
              <w:spacing w:before="271"/>
              <w:ind w:left="45"/>
              <w:rPr>
                <w:sz w:val="24"/>
              </w:rPr>
            </w:pPr>
            <w:r>
              <w:rPr>
                <w:spacing w:val="-10"/>
                <w:sz w:val="24"/>
              </w:rPr>
              <w:t>2</w:t>
            </w:r>
          </w:p>
        </w:tc>
        <w:tc>
          <w:tcPr>
            <w:tcW w:w="1832" w:type="dxa"/>
          </w:tcPr>
          <w:p>
            <w:pPr>
              <w:pStyle w:val="TableParagraph"/>
              <w:spacing w:before="271"/>
              <w:ind w:left="516"/>
              <w:rPr>
                <w:sz w:val="24"/>
              </w:rPr>
            </w:pPr>
            <w:r>
              <w:rPr>
                <w:spacing w:val="-10"/>
                <w:sz w:val="24"/>
              </w:rPr>
              <w:t>3</w:t>
            </w:r>
          </w:p>
        </w:tc>
        <w:tc>
          <w:tcPr>
            <w:tcW w:w="1366" w:type="dxa"/>
          </w:tcPr>
          <w:p>
            <w:pPr>
              <w:pStyle w:val="TableParagraph"/>
              <w:spacing w:before="271"/>
              <w:ind w:left="515"/>
              <w:rPr>
                <w:sz w:val="24"/>
              </w:rPr>
            </w:pPr>
            <w:r>
              <w:rPr>
                <w:spacing w:val="-10"/>
                <w:sz w:val="24"/>
              </w:rPr>
              <w:t>4</w:t>
            </w:r>
          </w:p>
        </w:tc>
        <w:tc>
          <w:tcPr>
            <w:tcW w:w="1379" w:type="dxa"/>
          </w:tcPr>
          <w:p>
            <w:pPr>
              <w:pStyle w:val="TableParagraph"/>
              <w:ind w:left="486" w:right="112" w:hanging="300"/>
              <w:rPr>
                <w:sz w:val="24"/>
              </w:rPr>
            </w:pPr>
            <w:r>
              <w:rPr>
                <w:spacing w:val="-2"/>
                <w:sz w:val="24"/>
              </w:rPr>
              <w:t>(estimated) </w:t>
            </w:r>
            <w:r>
              <w:rPr>
                <w:spacing w:val="-10"/>
                <w:sz w:val="24"/>
              </w:rPr>
              <w:t>5</w:t>
            </w:r>
          </w:p>
        </w:tc>
      </w:tr>
      <w:tr>
        <w:trPr>
          <w:trHeight w:val="1157" w:hRule="atLeast"/>
        </w:trPr>
        <w:tc>
          <w:tcPr>
            <w:tcW w:w="2753" w:type="dxa"/>
            <w:tcBorders>
              <w:top w:val="single" w:sz="12" w:space="0" w:color="808080"/>
            </w:tcBorders>
          </w:tcPr>
          <w:p>
            <w:pPr>
              <w:pStyle w:val="TableParagraph"/>
              <w:spacing w:line="270" w:lineRule="atLeast" w:before="33"/>
              <w:ind w:left="50" w:right="70"/>
              <w:rPr>
                <w:sz w:val="24"/>
              </w:rPr>
            </w:pPr>
            <w:r>
              <w:rPr>
                <w:sz w:val="24"/>
              </w:rPr>
              <w:t>1</w:t>
            </w:r>
            <w:r>
              <w:rPr>
                <w:spacing w:val="-8"/>
                <w:sz w:val="24"/>
              </w:rPr>
              <w:t> </w:t>
            </w:r>
            <w:r>
              <w:rPr>
                <w:sz w:val="24"/>
              </w:rPr>
              <w:t>.</w:t>
            </w:r>
            <w:r>
              <w:rPr>
                <w:spacing w:val="40"/>
                <w:sz w:val="24"/>
              </w:rPr>
              <w:t> </w:t>
            </w:r>
            <w:r>
              <w:rPr>
                <w:sz w:val="24"/>
              </w:rPr>
              <w:t>Women</w:t>
            </w:r>
            <w:r>
              <w:rPr>
                <w:spacing w:val="-8"/>
                <w:sz w:val="24"/>
              </w:rPr>
              <w:t> </w:t>
            </w:r>
            <w:r>
              <w:rPr>
                <w:sz w:val="24"/>
              </w:rPr>
              <w:t>teachers</w:t>
            </w:r>
            <w:r>
              <w:rPr>
                <w:spacing w:val="-8"/>
                <w:sz w:val="24"/>
              </w:rPr>
              <w:t> </w:t>
            </w:r>
            <w:r>
              <w:rPr>
                <w:sz w:val="24"/>
              </w:rPr>
              <w:t>in lower primary schools Total No. of women </w:t>
            </w:r>
            <w:r>
              <w:rPr>
                <w:spacing w:val="-2"/>
                <w:sz w:val="24"/>
              </w:rPr>
              <w:t>teachers</w:t>
            </w:r>
          </w:p>
        </w:tc>
        <w:tc>
          <w:tcPr>
            <w:tcW w:w="1361" w:type="dxa"/>
            <w:tcBorders>
              <w:top w:val="single" w:sz="12" w:space="0" w:color="808080"/>
            </w:tcBorders>
          </w:tcPr>
          <w:p>
            <w:pPr>
              <w:pStyle w:val="TableParagraph"/>
              <w:rPr>
                <w:sz w:val="24"/>
              </w:rPr>
            </w:pPr>
          </w:p>
          <w:p>
            <w:pPr>
              <w:pStyle w:val="TableParagraph"/>
              <w:rPr>
                <w:sz w:val="24"/>
              </w:rPr>
            </w:pPr>
          </w:p>
          <w:p>
            <w:pPr>
              <w:pStyle w:val="TableParagraph"/>
              <w:spacing w:before="48"/>
              <w:rPr>
                <w:sz w:val="24"/>
              </w:rPr>
            </w:pPr>
          </w:p>
          <w:p>
            <w:pPr>
              <w:pStyle w:val="TableParagraph"/>
              <w:spacing w:line="261" w:lineRule="exact"/>
              <w:ind w:left="45"/>
              <w:rPr>
                <w:sz w:val="24"/>
              </w:rPr>
            </w:pPr>
            <w:r>
              <w:rPr>
                <w:spacing w:val="-2"/>
                <w:sz w:val="24"/>
              </w:rPr>
              <w:t>82,281</w:t>
            </w:r>
          </w:p>
        </w:tc>
        <w:tc>
          <w:tcPr>
            <w:tcW w:w="1832" w:type="dxa"/>
            <w:tcBorders>
              <w:top w:val="single" w:sz="12" w:space="0" w:color="808080"/>
            </w:tcBorders>
          </w:tcPr>
          <w:p>
            <w:pPr>
              <w:pStyle w:val="TableParagraph"/>
              <w:rPr>
                <w:sz w:val="24"/>
              </w:rPr>
            </w:pPr>
          </w:p>
          <w:p>
            <w:pPr>
              <w:pStyle w:val="TableParagraph"/>
              <w:rPr>
                <w:sz w:val="24"/>
              </w:rPr>
            </w:pPr>
          </w:p>
          <w:p>
            <w:pPr>
              <w:pStyle w:val="TableParagraph"/>
              <w:spacing w:before="48"/>
              <w:rPr>
                <w:sz w:val="24"/>
              </w:rPr>
            </w:pPr>
          </w:p>
          <w:p>
            <w:pPr>
              <w:pStyle w:val="TableParagraph"/>
              <w:spacing w:line="261" w:lineRule="exact"/>
              <w:ind w:left="516"/>
              <w:rPr>
                <w:sz w:val="24"/>
              </w:rPr>
            </w:pPr>
            <w:r>
              <w:rPr>
                <w:spacing w:val="-2"/>
                <w:sz w:val="24"/>
              </w:rPr>
              <w:t>117,067</w:t>
            </w:r>
          </w:p>
        </w:tc>
        <w:tc>
          <w:tcPr>
            <w:tcW w:w="1366" w:type="dxa"/>
            <w:tcBorders>
              <w:top w:val="single" w:sz="12" w:space="0" w:color="808080"/>
            </w:tcBorders>
          </w:tcPr>
          <w:p>
            <w:pPr>
              <w:pStyle w:val="TableParagraph"/>
              <w:rPr>
                <w:sz w:val="24"/>
              </w:rPr>
            </w:pPr>
          </w:p>
          <w:p>
            <w:pPr>
              <w:pStyle w:val="TableParagraph"/>
              <w:rPr>
                <w:sz w:val="24"/>
              </w:rPr>
            </w:pPr>
          </w:p>
          <w:p>
            <w:pPr>
              <w:pStyle w:val="TableParagraph"/>
              <w:spacing w:before="48"/>
              <w:rPr>
                <w:sz w:val="24"/>
              </w:rPr>
            </w:pPr>
          </w:p>
          <w:p>
            <w:pPr>
              <w:pStyle w:val="TableParagraph"/>
              <w:spacing w:line="261" w:lineRule="exact"/>
              <w:ind w:left="515"/>
              <w:rPr>
                <w:sz w:val="24"/>
              </w:rPr>
            </w:pPr>
            <w:r>
              <w:rPr>
                <w:spacing w:val="-2"/>
                <w:sz w:val="24"/>
              </w:rPr>
              <w:t>126,788</w:t>
            </w:r>
          </w:p>
        </w:tc>
        <w:tc>
          <w:tcPr>
            <w:tcW w:w="1379" w:type="dxa"/>
            <w:tcBorders>
              <w:top w:val="single" w:sz="12" w:space="0" w:color="808080"/>
            </w:tcBorders>
          </w:tcPr>
          <w:p>
            <w:pPr>
              <w:pStyle w:val="TableParagraph"/>
              <w:rPr>
                <w:sz w:val="24"/>
              </w:rPr>
            </w:pPr>
          </w:p>
          <w:p>
            <w:pPr>
              <w:pStyle w:val="TableParagraph"/>
              <w:rPr>
                <w:sz w:val="24"/>
              </w:rPr>
            </w:pPr>
          </w:p>
          <w:p>
            <w:pPr>
              <w:pStyle w:val="TableParagraph"/>
              <w:spacing w:before="48"/>
              <w:rPr>
                <w:sz w:val="24"/>
              </w:rPr>
            </w:pPr>
          </w:p>
          <w:p>
            <w:pPr>
              <w:pStyle w:val="TableParagraph"/>
              <w:spacing w:line="261" w:lineRule="exact"/>
              <w:ind w:right="368"/>
              <w:jc w:val="right"/>
              <w:rPr>
                <w:sz w:val="24"/>
              </w:rPr>
            </w:pPr>
            <w:r>
              <w:rPr>
                <w:spacing w:val="-2"/>
                <w:sz w:val="24"/>
              </w:rPr>
              <w:t>200,000</w:t>
            </w:r>
          </w:p>
        </w:tc>
      </w:tr>
      <w:tr>
        <w:trPr>
          <w:trHeight w:val="551" w:hRule="atLeast"/>
        </w:trPr>
        <w:tc>
          <w:tcPr>
            <w:tcW w:w="2753" w:type="dxa"/>
          </w:tcPr>
          <w:p>
            <w:pPr>
              <w:pStyle w:val="TableParagraph"/>
              <w:spacing w:line="261" w:lineRule="exact" w:before="271"/>
              <w:ind w:left="50" w:right="-15"/>
              <w:rPr>
                <w:sz w:val="24"/>
              </w:rPr>
            </w:pPr>
            <w:r>
              <w:rPr>
                <w:sz w:val="24"/>
              </w:rPr>
              <w:t>2.Women</w:t>
            </w:r>
            <w:r>
              <w:rPr>
                <w:spacing w:val="-3"/>
                <w:sz w:val="24"/>
              </w:rPr>
              <w:t> </w:t>
            </w:r>
            <w:r>
              <w:rPr>
                <w:sz w:val="24"/>
              </w:rPr>
              <w:t>teachers</w:t>
            </w:r>
            <w:r>
              <w:rPr>
                <w:spacing w:val="-2"/>
                <w:sz w:val="24"/>
              </w:rPr>
              <w:t> </w:t>
            </w:r>
            <w:r>
              <w:rPr>
                <w:sz w:val="24"/>
              </w:rPr>
              <w:t>in</w:t>
            </w:r>
            <w:r>
              <w:rPr>
                <w:spacing w:val="-2"/>
                <w:sz w:val="24"/>
              </w:rPr>
              <w:t> higher</w:t>
            </w:r>
          </w:p>
        </w:tc>
        <w:tc>
          <w:tcPr>
            <w:tcW w:w="1361" w:type="dxa"/>
          </w:tcPr>
          <w:p>
            <w:pPr>
              <w:pStyle w:val="TableParagraph"/>
              <w:spacing w:line="271" w:lineRule="exact"/>
              <w:ind w:left="56"/>
              <w:rPr>
                <w:sz w:val="24"/>
              </w:rPr>
            </w:pPr>
            <w:r>
              <w:rPr>
                <w:spacing w:val="-4"/>
                <w:sz w:val="24"/>
              </w:rPr>
              <w:t>(18)</w:t>
            </w:r>
          </w:p>
        </w:tc>
        <w:tc>
          <w:tcPr>
            <w:tcW w:w="1832" w:type="dxa"/>
          </w:tcPr>
          <w:p>
            <w:pPr>
              <w:pStyle w:val="TableParagraph"/>
              <w:spacing w:line="271" w:lineRule="exact"/>
              <w:ind w:left="516"/>
              <w:rPr>
                <w:sz w:val="24"/>
              </w:rPr>
            </w:pPr>
            <w:r>
              <w:rPr>
                <w:spacing w:val="-4"/>
                <w:sz w:val="24"/>
              </w:rPr>
              <w:t>(20)</w:t>
            </w:r>
          </w:p>
        </w:tc>
        <w:tc>
          <w:tcPr>
            <w:tcW w:w="1366" w:type="dxa"/>
          </w:tcPr>
          <w:p>
            <w:pPr>
              <w:pStyle w:val="TableParagraph"/>
              <w:spacing w:line="271" w:lineRule="exact"/>
              <w:ind w:left="516"/>
              <w:rPr>
                <w:sz w:val="24"/>
              </w:rPr>
            </w:pPr>
            <w:r>
              <w:rPr>
                <w:spacing w:val="-4"/>
                <w:sz w:val="24"/>
              </w:rPr>
              <w:t>(21)</w:t>
            </w:r>
          </w:p>
        </w:tc>
        <w:tc>
          <w:tcPr>
            <w:tcW w:w="1379" w:type="dxa"/>
          </w:tcPr>
          <w:p>
            <w:pPr>
              <w:pStyle w:val="TableParagraph"/>
              <w:spacing w:line="271" w:lineRule="exact"/>
              <w:ind w:left="269"/>
              <w:rPr>
                <w:sz w:val="24"/>
              </w:rPr>
            </w:pPr>
            <w:r>
              <w:rPr>
                <w:spacing w:val="-4"/>
                <w:sz w:val="24"/>
              </w:rPr>
              <w:t>(24)</w:t>
            </w:r>
          </w:p>
        </w:tc>
      </w:tr>
      <w:tr>
        <w:trPr>
          <w:trHeight w:val="822" w:hRule="atLeast"/>
        </w:trPr>
        <w:tc>
          <w:tcPr>
            <w:tcW w:w="2753" w:type="dxa"/>
          </w:tcPr>
          <w:p>
            <w:pPr>
              <w:pStyle w:val="TableParagraph"/>
              <w:ind w:left="50" w:right="676"/>
              <w:rPr>
                <w:sz w:val="24"/>
              </w:rPr>
            </w:pPr>
            <w:r>
              <w:rPr>
                <w:sz w:val="24"/>
              </w:rPr>
              <w:t>primary schools Total</w:t>
            </w:r>
            <w:r>
              <w:rPr>
                <w:spacing w:val="-13"/>
                <w:sz w:val="24"/>
              </w:rPr>
              <w:t> </w:t>
            </w:r>
            <w:r>
              <w:rPr>
                <w:sz w:val="24"/>
              </w:rPr>
              <w:t>No.</w:t>
            </w:r>
            <w:r>
              <w:rPr>
                <w:spacing w:val="-13"/>
                <w:sz w:val="24"/>
              </w:rPr>
              <w:t> </w:t>
            </w:r>
            <w:r>
              <w:rPr>
                <w:sz w:val="24"/>
              </w:rPr>
              <w:t>of</w:t>
            </w:r>
            <w:r>
              <w:rPr>
                <w:spacing w:val="-13"/>
                <w:sz w:val="24"/>
              </w:rPr>
              <w:t> </w:t>
            </w:r>
            <w:r>
              <w:rPr>
                <w:sz w:val="24"/>
              </w:rPr>
              <w:t>women</w:t>
            </w:r>
          </w:p>
          <w:p>
            <w:pPr>
              <w:pStyle w:val="TableParagraph"/>
              <w:spacing w:line="256" w:lineRule="exact"/>
              <w:ind w:left="50"/>
              <w:rPr>
                <w:sz w:val="24"/>
              </w:rPr>
            </w:pPr>
            <w:r>
              <w:rPr>
                <w:spacing w:val="-2"/>
                <w:sz w:val="24"/>
              </w:rPr>
              <w:t>teachers</w:t>
            </w:r>
          </w:p>
        </w:tc>
        <w:tc>
          <w:tcPr>
            <w:tcW w:w="1361" w:type="dxa"/>
          </w:tcPr>
          <w:p>
            <w:pPr>
              <w:pStyle w:val="TableParagraph"/>
              <w:spacing w:before="270"/>
              <w:rPr>
                <w:sz w:val="24"/>
              </w:rPr>
            </w:pPr>
          </w:p>
          <w:p>
            <w:pPr>
              <w:pStyle w:val="TableParagraph"/>
              <w:spacing w:line="256" w:lineRule="exact" w:before="1"/>
              <w:ind w:left="45"/>
              <w:rPr>
                <w:sz w:val="24"/>
              </w:rPr>
            </w:pPr>
            <w:r>
              <w:rPr>
                <w:spacing w:val="-2"/>
                <w:sz w:val="24"/>
              </w:rPr>
              <w:t>12,887</w:t>
            </w:r>
          </w:p>
        </w:tc>
        <w:tc>
          <w:tcPr>
            <w:tcW w:w="1832" w:type="dxa"/>
          </w:tcPr>
          <w:p>
            <w:pPr>
              <w:pStyle w:val="TableParagraph"/>
              <w:spacing w:before="270"/>
              <w:rPr>
                <w:sz w:val="24"/>
              </w:rPr>
            </w:pPr>
          </w:p>
          <w:p>
            <w:pPr>
              <w:pStyle w:val="TableParagraph"/>
              <w:spacing w:line="256" w:lineRule="exact" w:before="1"/>
              <w:ind w:left="516"/>
              <w:rPr>
                <w:sz w:val="24"/>
              </w:rPr>
            </w:pPr>
            <w:r>
              <w:rPr>
                <w:spacing w:val="-2"/>
                <w:sz w:val="24"/>
              </w:rPr>
              <w:t>23,844</w:t>
            </w:r>
          </w:p>
        </w:tc>
        <w:tc>
          <w:tcPr>
            <w:tcW w:w="1366" w:type="dxa"/>
          </w:tcPr>
          <w:p>
            <w:pPr>
              <w:pStyle w:val="TableParagraph"/>
              <w:spacing w:before="270"/>
              <w:rPr>
                <w:sz w:val="24"/>
              </w:rPr>
            </w:pPr>
          </w:p>
          <w:p>
            <w:pPr>
              <w:pStyle w:val="TableParagraph"/>
              <w:spacing w:line="256" w:lineRule="exact" w:before="1"/>
              <w:ind w:left="515"/>
              <w:rPr>
                <w:sz w:val="24"/>
              </w:rPr>
            </w:pPr>
            <w:r>
              <w:rPr>
                <w:spacing w:val="-2"/>
                <w:sz w:val="24"/>
              </w:rPr>
              <w:t>83,532</w:t>
            </w:r>
          </w:p>
        </w:tc>
        <w:tc>
          <w:tcPr>
            <w:tcW w:w="1379" w:type="dxa"/>
          </w:tcPr>
          <w:p>
            <w:pPr>
              <w:pStyle w:val="TableParagraph"/>
              <w:spacing w:before="270"/>
              <w:rPr>
                <w:sz w:val="24"/>
              </w:rPr>
            </w:pPr>
          </w:p>
          <w:p>
            <w:pPr>
              <w:pStyle w:val="TableParagraph"/>
              <w:spacing w:line="256" w:lineRule="exact" w:before="1"/>
              <w:ind w:left="109"/>
              <w:rPr>
                <w:sz w:val="24"/>
              </w:rPr>
            </w:pPr>
            <w:r>
              <w:rPr>
                <w:spacing w:val="-2"/>
                <w:sz w:val="24"/>
              </w:rPr>
              <w:t>140,000</w:t>
            </w:r>
          </w:p>
        </w:tc>
      </w:tr>
      <w:tr>
        <w:trPr>
          <w:trHeight w:val="1104" w:hRule="atLeast"/>
        </w:trPr>
        <w:tc>
          <w:tcPr>
            <w:tcW w:w="4114" w:type="dxa"/>
            <w:gridSpan w:val="2"/>
          </w:tcPr>
          <w:p>
            <w:pPr>
              <w:pStyle w:val="TableParagraph"/>
              <w:spacing w:line="266" w:lineRule="exact"/>
              <w:ind w:left="2749"/>
              <w:rPr>
                <w:sz w:val="24"/>
              </w:rPr>
            </w:pPr>
            <w:r>
              <w:rPr>
                <w:spacing w:val="-4"/>
                <w:sz w:val="24"/>
              </w:rPr>
              <w:t>(18)</w:t>
            </w:r>
          </w:p>
          <w:p>
            <w:pPr>
              <w:pStyle w:val="TableParagraph"/>
              <w:ind w:left="50" w:right="977"/>
              <w:rPr>
                <w:sz w:val="24"/>
              </w:rPr>
            </w:pPr>
            <w:r>
              <w:rPr>
                <w:sz w:val="24"/>
              </w:rPr>
              <w:t>3.Women</w:t>
            </w:r>
            <w:r>
              <w:rPr>
                <w:spacing w:val="-13"/>
                <w:sz w:val="24"/>
              </w:rPr>
              <w:t> </w:t>
            </w:r>
            <w:r>
              <w:rPr>
                <w:sz w:val="24"/>
              </w:rPr>
              <w:t>teachers</w:t>
            </w:r>
            <w:r>
              <w:rPr>
                <w:spacing w:val="-13"/>
                <w:sz w:val="24"/>
              </w:rPr>
              <w:t> </w:t>
            </w:r>
            <w:r>
              <w:rPr>
                <w:sz w:val="24"/>
              </w:rPr>
              <w:t>in</w:t>
            </w:r>
            <w:r>
              <w:rPr>
                <w:spacing w:val="-13"/>
                <w:sz w:val="24"/>
              </w:rPr>
              <w:t> </w:t>
            </w:r>
            <w:r>
              <w:rPr>
                <w:sz w:val="24"/>
              </w:rPr>
              <w:t>secon- dary schools</w:t>
            </w:r>
          </w:p>
          <w:p>
            <w:pPr>
              <w:pStyle w:val="TableParagraph"/>
              <w:spacing w:line="256" w:lineRule="exact"/>
              <w:ind w:left="50"/>
              <w:rPr>
                <w:sz w:val="24"/>
              </w:rPr>
            </w:pPr>
            <w:r>
              <w:rPr>
                <w:sz w:val="24"/>
              </w:rPr>
              <w:t>Total No. of </w:t>
            </w:r>
            <w:r>
              <w:rPr>
                <w:spacing w:val="-2"/>
                <w:sz w:val="24"/>
              </w:rPr>
              <w:t>women</w:t>
            </w:r>
          </w:p>
        </w:tc>
        <w:tc>
          <w:tcPr>
            <w:tcW w:w="1832" w:type="dxa"/>
          </w:tcPr>
          <w:p>
            <w:pPr>
              <w:pStyle w:val="TableParagraph"/>
              <w:spacing w:line="266" w:lineRule="exact"/>
              <w:ind w:left="516"/>
              <w:rPr>
                <w:sz w:val="24"/>
              </w:rPr>
            </w:pPr>
            <w:r>
              <w:rPr>
                <w:spacing w:val="-4"/>
                <w:sz w:val="24"/>
              </w:rPr>
              <w:t>(19)</w:t>
            </w:r>
          </w:p>
        </w:tc>
        <w:tc>
          <w:tcPr>
            <w:tcW w:w="1366" w:type="dxa"/>
          </w:tcPr>
          <w:p>
            <w:pPr>
              <w:pStyle w:val="TableParagraph"/>
              <w:spacing w:line="266" w:lineRule="exact"/>
              <w:ind w:left="516"/>
              <w:rPr>
                <w:sz w:val="24"/>
              </w:rPr>
            </w:pPr>
            <w:r>
              <w:rPr>
                <w:spacing w:val="-4"/>
                <w:sz w:val="24"/>
              </w:rPr>
              <w:t>(32)</w:t>
            </w:r>
          </w:p>
        </w:tc>
        <w:tc>
          <w:tcPr>
            <w:tcW w:w="1379" w:type="dxa"/>
          </w:tcPr>
          <w:p>
            <w:pPr>
              <w:pStyle w:val="TableParagraph"/>
              <w:spacing w:line="266" w:lineRule="exact"/>
              <w:ind w:left="209"/>
              <w:rPr>
                <w:sz w:val="24"/>
              </w:rPr>
            </w:pPr>
            <w:r>
              <w:rPr>
                <w:spacing w:val="-4"/>
                <w:sz w:val="24"/>
              </w:rPr>
              <w:t>(37)</w:t>
            </w:r>
          </w:p>
        </w:tc>
      </w:tr>
      <w:tr>
        <w:trPr>
          <w:trHeight w:val="281" w:hRule="atLeast"/>
        </w:trPr>
        <w:tc>
          <w:tcPr>
            <w:tcW w:w="2753" w:type="dxa"/>
          </w:tcPr>
          <w:p>
            <w:pPr>
              <w:pStyle w:val="TableParagraph"/>
              <w:spacing w:line="251" w:lineRule="exact"/>
              <w:ind w:left="50"/>
              <w:rPr>
                <w:sz w:val="24"/>
              </w:rPr>
            </w:pPr>
            <w:r>
              <w:rPr>
                <w:spacing w:val="-2"/>
                <w:sz w:val="24"/>
              </w:rPr>
              <w:t>teachers</w:t>
            </w:r>
          </w:p>
        </w:tc>
        <w:tc>
          <w:tcPr>
            <w:tcW w:w="1361" w:type="dxa"/>
          </w:tcPr>
          <w:p>
            <w:pPr>
              <w:pStyle w:val="TableParagraph"/>
              <w:spacing w:line="251" w:lineRule="exact"/>
              <w:ind w:left="45"/>
              <w:rPr>
                <w:sz w:val="24"/>
              </w:rPr>
            </w:pPr>
            <w:r>
              <w:rPr>
                <w:spacing w:val="-2"/>
                <w:sz w:val="24"/>
              </w:rPr>
              <w:t>19,982</w:t>
            </w:r>
          </w:p>
        </w:tc>
        <w:tc>
          <w:tcPr>
            <w:tcW w:w="1832" w:type="dxa"/>
          </w:tcPr>
          <w:p>
            <w:pPr>
              <w:pStyle w:val="TableParagraph"/>
              <w:spacing w:line="251" w:lineRule="exact"/>
              <w:ind w:left="516"/>
              <w:rPr>
                <w:sz w:val="24"/>
              </w:rPr>
            </w:pPr>
            <w:r>
              <w:rPr>
                <w:spacing w:val="-2"/>
                <w:sz w:val="24"/>
              </w:rPr>
              <w:t>35,0856</w:t>
            </w:r>
          </w:p>
        </w:tc>
        <w:tc>
          <w:tcPr>
            <w:tcW w:w="1366" w:type="dxa"/>
          </w:tcPr>
          <w:p>
            <w:pPr>
              <w:pStyle w:val="TableParagraph"/>
              <w:spacing w:line="251" w:lineRule="exact"/>
              <w:ind w:left="515"/>
              <w:rPr>
                <w:sz w:val="24"/>
              </w:rPr>
            </w:pPr>
            <w:r>
              <w:rPr>
                <w:spacing w:val="-2"/>
                <w:sz w:val="24"/>
              </w:rPr>
              <w:t>2,347</w:t>
            </w:r>
          </w:p>
        </w:tc>
        <w:tc>
          <w:tcPr>
            <w:tcW w:w="1379" w:type="dxa"/>
          </w:tcPr>
          <w:p>
            <w:pPr>
              <w:pStyle w:val="TableParagraph"/>
              <w:spacing w:line="251" w:lineRule="exact"/>
              <w:ind w:left="49"/>
              <w:rPr>
                <w:sz w:val="24"/>
              </w:rPr>
            </w:pPr>
            <w:r>
              <w:rPr>
                <w:spacing w:val="-2"/>
                <w:sz w:val="24"/>
              </w:rPr>
              <w:t>95,000</w:t>
            </w:r>
          </w:p>
        </w:tc>
      </w:tr>
      <w:tr>
        <w:trPr>
          <w:trHeight w:val="270" w:hRule="atLeast"/>
        </w:trPr>
        <w:tc>
          <w:tcPr>
            <w:tcW w:w="2753" w:type="dxa"/>
          </w:tcPr>
          <w:p>
            <w:pPr>
              <w:pStyle w:val="TableParagraph"/>
              <w:rPr>
                <w:sz w:val="20"/>
              </w:rPr>
            </w:pPr>
          </w:p>
        </w:tc>
        <w:tc>
          <w:tcPr>
            <w:tcW w:w="1361" w:type="dxa"/>
          </w:tcPr>
          <w:p>
            <w:pPr>
              <w:pStyle w:val="TableParagraph"/>
              <w:spacing w:line="251" w:lineRule="exact"/>
              <w:ind w:left="-4"/>
              <w:rPr>
                <w:sz w:val="24"/>
              </w:rPr>
            </w:pPr>
            <w:r>
              <w:rPr>
                <w:spacing w:val="-4"/>
                <w:sz w:val="24"/>
              </w:rPr>
              <w:t>(19)</w:t>
            </w:r>
          </w:p>
        </w:tc>
        <w:tc>
          <w:tcPr>
            <w:tcW w:w="1832" w:type="dxa"/>
          </w:tcPr>
          <w:p>
            <w:pPr>
              <w:pStyle w:val="TableParagraph"/>
              <w:spacing w:line="251" w:lineRule="exact"/>
              <w:ind w:left="515"/>
              <w:rPr>
                <w:sz w:val="24"/>
              </w:rPr>
            </w:pPr>
            <w:r>
              <w:rPr>
                <w:spacing w:val="-4"/>
                <w:sz w:val="24"/>
              </w:rPr>
              <w:t>(23)</w:t>
            </w:r>
          </w:p>
        </w:tc>
        <w:tc>
          <w:tcPr>
            <w:tcW w:w="1366" w:type="dxa"/>
          </w:tcPr>
          <w:p>
            <w:pPr>
              <w:pStyle w:val="TableParagraph"/>
              <w:spacing w:line="251" w:lineRule="exact"/>
              <w:ind w:left="516"/>
              <w:rPr>
                <w:sz w:val="24"/>
              </w:rPr>
            </w:pPr>
            <w:r>
              <w:rPr>
                <w:spacing w:val="-4"/>
                <w:sz w:val="24"/>
              </w:rPr>
              <w:t>(27)</w:t>
            </w:r>
          </w:p>
        </w:tc>
        <w:tc>
          <w:tcPr>
            <w:tcW w:w="1379" w:type="dxa"/>
          </w:tcPr>
          <w:p>
            <w:pPr>
              <w:pStyle w:val="TableParagraph"/>
              <w:spacing w:line="251" w:lineRule="exact"/>
              <w:ind w:left="89"/>
              <w:rPr>
                <w:sz w:val="24"/>
              </w:rPr>
            </w:pPr>
            <w:r>
              <w:rPr>
                <w:spacing w:val="-4"/>
                <w:sz w:val="24"/>
              </w:rPr>
              <w:t>(28)</w:t>
            </w:r>
          </w:p>
        </w:tc>
      </w:tr>
    </w:tbl>
    <w:p>
      <w:pPr>
        <w:pStyle w:val="ListParagraph"/>
        <w:numPr>
          <w:ilvl w:val="0"/>
          <w:numId w:val="60"/>
        </w:numPr>
        <w:tabs>
          <w:tab w:pos="339" w:val="left" w:leader="none"/>
        </w:tabs>
        <w:spacing w:line="240" w:lineRule="auto" w:before="0" w:after="0"/>
        <w:ind w:left="159" w:right="6245" w:firstLine="0"/>
        <w:jc w:val="left"/>
        <w:rPr>
          <w:sz w:val="24"/>
        </w:rPr>
      </w:pPr>
      <w:r>
        <w:rPr>
          <w:sz w:val="24"/>
        </w:rPr>
        <w:t>Women</w:t>
      </w:r>
      <w:r>
        <w:rPr>
          <w:spacing w:val="-13"/>
          <w:sz w:val="24"/>
        </w:rPr>
        <w:t> </w:t>
      </w:r>
      <w:r>
        <w:rPr>
          <w:sz w:val="24"/>
        </w:rPr>
        <w:t>teachers</w:t>
      </w:r>
      <w:r>
        <w:rPr>
          <w:spacing w:val="-13"/>
          <w:sz w:val="24"/>
        </w:rPr>
        <w:t> </w:t>
      </w:r>
      <w:r>
        <w:rPr>
          <w:sz w:val="24"/>
        </w:rPr>
        <w:t>in</w:t>
      </w:r>
      <w:r>
        <w:rPr>
          <w:spacing w:val="-13"/>
          <w:sz w:val="24"/>
        </w:rPr>
        <w:t> </w:t>
      </w:r>
      <w:r>
        <w:rPr>
          <w:sz w:val="24"/>
        </w:rPr>
        <w:t>schools- for vocational education</w:t>
      </w:r>
      <w:r>
        <w:rPr>
          <w:spacing w:val="40"/>
          <w:sz w:val="24"/>
        </w:rPr>
        <w:t> </w:t>
      </w:r>
      <w:r>
        <w:rPr>
          <w:sz w:val="24"/>
        </w:rPr>
        <w:t>Total No. of women</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7"/>
        <w:gridCol w:w="2167"/>
        <w:gridCol w:w="1832"/>
        <w:gridCol w:w="1356"/>
        <w:gridCol w:w="840"/>
      </w:tblGrid>
      <w:tr>
        <w:trPr>
          <w:trHeight w:val="270" w:hRule="atLeast"/>
        </w:trPr>
        <w:tc>
          <w:tcPr>
            <w:tcW w:w="1817" w:type="dxa"/>
          </w:tcPr>
          <w:p>
            <w:pPr>
              <w:pStyle w:val="TableParagraph"/>
              <w:spacing w:line="251" w:lineRule="exact"/>
              <w:ind w:left="50"/>
              <w:rPr>
                <w:sz w:val="24"/>
              </w:rPr>
            </w:pPr>
            <w:r>
              <w:rPr>
                <w:spacing w:val="-2"/>
                <w:sz w:val="24"/>
              </w:rPr>
              <w:t>teachers</w:t>
            </w:r>
          </w:p>
        </w:tc>
        <w:tc>
          <w:tcPr>
            <w:tcW w:w="2167" w:type="dxa"/>
          </w:tcPr>
          <w:p>
            <w:pPr>
              <w:pStyle w:val="TableParagraph"/>
              <w:spacing w:line="251" w:lineRule="exact"/>
              <w:ind w:left="981"/>
              <w:rPr>
                <w:sz w:val="24"/>
              </w:rPr>
            </w:pPr>
            <w:r>
              <w:rPr>
                <w:spacing w:val="-2"/>
                <w:sz w:val="24"/>
              </w:rPr>
              <w:t>2,131</w:t>
            </w:r>
          </w:p>
        </w:tc>
        <w:tc>
          <w:tcPr>
            <w:tcW w:w="1832" w:type="dxa"/>
          </w:tcPr>
          <w:p>
            <w:pPr>
              <w:pStyle w:val="TableParagraph"/>
              <w:spacing w:line="251" w:lineRule="exact"/>
              <w:ind w:left="646"/>
              <w:rPr>
                <w:sz w:val="24"/>
              </w:rPr>
            </w:pPr>
            <w:r>
              <w:rPr>
                <w:spacing w:val="-2"/>
                <w:sz w:val="24"/>
              </w:rPr>
              <w:t>2,966</w:t>
            </w:r>
          </w:p>
        </w:tc>
        <w:tc>
          <w:tcPr>
            <w:tcW w:w="1356" w:type="dxa"/>
          </w:tcPr>
          <w:p>
            <w:pPr>
              <w:pStyle w:val="TableParagraph"/>
              <w:spacing w:line="251" w:lineRule="exact"/>
              <w:ind w:right="168"/>
              <w:jc w:val="right"/>
              <w:rPr>
                <w:sz w:val="24"/>
              </w:rPr>
            </w:pPr>
            <w:r>
              <w:rPr>
                <w:spacing w:val="-2"/>
                <w:sz w:val="24"/>
              </w:rPr>
              <w:t>3,948</w:t>
            </w:r>
          </w:p>
        </w:tc>
        <w:tc>
          <w:tcPr>
            <w:tcW w:w="840" w:type="dxa"/>
          </w:tcPr>
          <w:p>
            <w:pPr>
              <w:pStyle w:val="TableParagraph"/>
              <w:spacing w:line="251" w:lineRule="exact"/>
              <w:ind w:left="249"/>
              <w:rPr>
                <w:sz w:val="24"/>
              </w:rPr>
            </w:pPr>
            <w:r>
              <w:rPr>
                <w:spacing w:val="-2"/>
                <w:sz w:val="24"/>
              </w:rPr>
              <w:t>6,200</w:t>
            </w:r>
          </w:p>
        </w:tc>
      </w:tr>
      <w:tr>
        <w:trPr>
          <w:trHeight w:val="270" w:hRule="atLeast"/>
        </w:trPr>
        <w:tc>
          <w:tcPr>
            <w:tcW w:w="1817" w:type="dxa"/>
          </w:tcPr>
          <w:p>
            <w:pPr>
              <w:pStyle w:val="TableParagraph"/>
              <w:rPr>
                <w:sz w:val="20"/>
              </w:rPr>
            </w:pPr>
          </w:p>
        </w:tc>
        <w:tc>
          <w:tcPr>
            <w:tcW w:w="2167" w:type="dxa"/>
          </w:tcPr>
          <w:p>
            <w:pPr>
              <w:pStyle w:val="TableParagraph"/>
              <w:spacing w:line="251" w:lineRule="exact"/>
              <w:ind w:left="992"/>
              <w:rPr>
                <w:sz w:val="24"/>
              </w:rPr>
            </w:pPr>
            <w:r>
              <w:rPr>
                <w:spacing w:val="-4"/>
                <w:sz w:val="24"/>
              </w:rPr>
              <w:t>(23)</w:t>
            </w:r>
          </w:p>
        </w:tc>
        <w:tc>
          <w:tcPr>
            <w:tcW w:w="1832" w:type="dxa"/>
          </w:tcPr>
          <w:p>
            <w:pPr>
              <w:pStyle w:val="TableParagraph"/>
              <w:spacing w:line="251" w:lineRule="exact"/>
              <w:ind w:left="645"/>
              <w:rPr>
                <w:sz w:val="24"/>
              </w:rPr>
            </w:pPr>
            <w:r>
              <w:rPr>
                <w:spacing w:val="-4"/>
                <w:sz w:val="24"/>
              </w:rPr>
              <w:t>(22)</w:t>
            </w:r>
          </w:p>
        </w:tc>
        <w:tc>
          <w:tcPr>
            <w:tcW w:w="1356" w:type="dxa"/>
          </w:tcPr>
          <w:p>
            <w:pPr>
              <w:pStyle w:val="TableParagraph"/>
              <w:spacing w:line="251" w:lineRule="exact"/>
              <w:ind w:right="307"/>
              <w:jc w:val="right"/>
              <w:rPr>
                <w:sz w:val="24"/>
              </w:rPr>
            </w:pPr>
            <w:r>
              <w:rPr>
                <w:spacing w:val="-4"/>
                <w:sz w:val="24"/>
              </w:rPr>
              <w:t>(17)</w:t>
            </w:r>
          </w:p>
        </w:tc>
        <w:tc>
          <w:tcPr>
            <w:tcW w:w="840" w:type="dxa"/>
          </w:tcPr>
          <w:p>
            <w:pPr>
              <w:pStyle w:val="TableParagraph"/>
              <w:spacing w:line="251" w:lineRule="exact"/>
              <w:ind w:left="169"/>
              <w:rPr>
                <w:sz w:val="24"/>
              </w:rPr>
            </w:pPr>
            <w:r>
              <w:rPr>
                <w:spacing w:val="-4"/>
                <w:sz w:val="24"/>
              </w:rPr>
              <w:t>(17)</w:t>
            </w:r>
          </w:p>
        </w:tc>
      </w:tr>
    </w:tbl>
    <w:p>
      <w:pPr>
        <w:pStyle w:val="ListParagraph"/>
        <w:numPr>
          <w:ilvl w:val="0"/>
          <w:numId w:val="60"/>
        </w:numPr>
        <w:tabs>
          <w:tab w:pos="339" w:val="left" w:leader="none"/>
        </w:tabs>
        <w:spacing w:line="240" w:lineRule="auto" w:before="0" w:after="0"/>
        <w:ind w:left="159" w:right="5977" w:firstLine="0"/>
        <w:jc w:val="left"/>
        <w:rPr>
          <w:sz w:val="24"/>
        </w:rPr>
      </w:pPr>
      <w:r>
        <w:rPr>
          <w:sz w:val="24"/>
        </w:rPr>
        <w:t>Women</w:t>
      </w:r>
      <w:r>
        <w:rPr>
          <w:spacing w:val="-12"/>
          <w:sz w:val="24"/>
        </w:rPr>
        <w:t> </w:t>
      </w:r>
      <w:r>
        <w:rPr>
          <w:sz w:val="24"/>
        </w:rPr>
        <w:t>teachers</w:t>
      </w:r>
      <w:r>
        <w:rPr>
          <w:spacing w:val="-12"/>
          <w:sz w:val="24"/>
        </w:rPr>
        <w:t> </w:t>
      </w:r>
      <w:r>
        <w:rPr>
          <w:sz w:val="24"/>
        </w:rPr>
        <w:t>in</w:t>
      </w:r>
      <w:r>
        <w:rPr>
          <w:spacing w:val="-12"/>
          <w:sz w:val="24"/>
        </w:rPr>
        <w:t> </w:t>
      </w:r>
      <w:r>
        <w:rPr>
          <w:sz w:val="24"/>
        </w:rPr>
        <w:t>institutions for higher education (arts and </w:t>
      </w:r>
      <w:r>
        <w:rPr>
          <w:spacing w:val="-2"/>
          <w:sz w:val="24"/>
        </w:rPr>
        <w:t>science)</w:t>
      </w:r>
    </w:p>
    <w:p>
      <w:pPr>
        <w:pStyle w:val="BodyText"/>
        <w:spacing w:after="10"/>
        <w:ind w:left="159"/>
      </w:pPr>
      <w:r>
        <w:rPr/>
        <w:t>Total No. of </w:t>
      </w:r>
      <w:r>
        <w:rPr>
          <w:spacing w:val="-2"/>
        </w:rPr>
        <w:t>women</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7"/>
        <w:gridCol w:w="2167"/>
        <w:gridCol w:w="1832"/>
        <w:gridCol w:w="1356"/>
        <w:gridCol w:w="840"/>
      </w:tblGrid>
      <w:tr>
        <w:trPr>
          <w:trHeight w:val="270" w:hRule="atLeast"/>
        </w:trPr>
        <w:tc>
          <w:tcPr>
            <w:tcW w:w="1817" w:type="dxa"/>
          </w:tcPr>
          <w:p>
            <w:pPr>
              <w:pStyle w:val="TableParagraph"/>
              <w:spacing w:line="251" w:lineRule="exact"/>
              <w:ind w:left="50"/>
              <w:rPr>
                <w:sz w:val="24"/>
              </w:rPr>
            </w:pPr>
            <w:r>
              <w:rPr>
                <w:spacing w:val="-2"/>
                <w:sz w:val="24"/>
              </w:rPr>
              <w:t>teachers</w:t>
            </w:r>
          </w:p>
        </w:tc>
        <w:tc>
          <w:tcPr>
            <w:tcW w:w="2167" w:type="dxa"/>
          </w:tcPr>
          <w:p>
            <w:pPr>
              <w:pStyle w:val="TableParagraph"/>
              <w:spacing w:line="251" w:lineRule="exact"/>
              <w:ind w:left="981"/>
              <w:rPr>
                <w:sz w:val="24"/>
              </w:rPr>
            </w:pPr>
            <w:r>
              <w:rPr>
                <w:spacing w:val="-2"/>
                <w:sz w:val="24"/>
              </w:rPr>
              <w:t>1,716</w:t>
            </w:r>
          </w:p>
        </w:tc>
        <w:tc>
          <w:tcPr>
            <w:tcW w:w="1832" w:type="dxa"/>
          </w:tcPr>
          <w:p>
            <w:pPr>
              <w:pStyle w:val="TableParagraph"/>
              <w:spacing w:line="251" w:lineRule="exact"/>
              <w:ind w:left="646"/>
              <w:rPr>
                <w:sz w:val="24"/>
              </w:rPr>
            </w:pPr>
            <w:r>
              <w:rPr>
                <w:spacing w:val="-2"/>
                <w:sz w:val="24"/>
              </w:rPr>
              <w:t>3,136</w:t>
            </w:r>
          </w:p>
        </w:tc>
        <w:tc>
          <w:tcPr>
            <w:tcW w:w="1356" w:type="dxa"/>
          </w:tcPr>
          <w:p>
            <w:pPr>
              <w:pStyle w:val="TableParagraph"/>
              <w:spacing w:line="251" w:lineRule="exact"/>
              <w:ind w:right="168"/>
              <w:jc w:val="right"/>
              <w:rPr>
                <w:sz w:val="24"/>
              </w:rPr>
            </w:pPr>
            <w:r>
              <w:rPr>
                <w:spacing w:val="-2"/>
                <w:sz w:val="24"/>
              </w:rPr>
              <w:t>5,645</w:t>
            </w:r>
          </w:p>
        </w:tc>
        <w:tc>
          <w:tcPr>
            <w:tcW w:w="840" w:type="dxa"/>
          </w:tcPr>
          <w:p>
            <w:pPr>
              <w:pStyle w:val="TableParagraph"/>
              <w:spacing w:line="251" w:lineRule="exact"/>
              <w:ind w:left="249"/>
              <w:rPr>
                <w:sz w:val="24"/>
              </w:rPr>
            </w:pPr>
            <w:r>
              <w:rPr>
                <w:spacing w:val="-2"/>
                <w:sz w:val="24"/>
              </w:rPr>
              <w:t>8,512</w:t>
            </w:r>
          </w:p>
        </w:tc>
      </w:tr>
      <w:tr>
        <w:trPr>
          <w:trHeight w:val="270" w:hRule="atLeast"/>
        </w:trPr>
        <w:tc>
          <w:tcPr>
            <w:tcW w:w="1817" w:type="dxa"/>
          </w:tcPr>
          <w:p>
            <w:pPr>
              <w:pStyle w:val="TableParagraph"/>
              <w:rPr>
                <w:sz w:val="20"/>
              </w:rPr>
            </w:pPr>
          </w:p>
        </w:tc>
        <w:tc>
          <w:tcPr>
            <w:tcW w:w="2167" w:type="dxa"/>
          </w:tcPr>
          <w:p>
            <w:pPr>
              <w:pStyle w:val="TableParagraph"/>
              <w:spacing w:line="251" w:lineRule="exact"/>
              <w:ind w:left="992"/>
              <w:rPr>
                <w:sz w:val="24"/>
              </w:rPr>
            </w:pPr>
            <w:r>
              <w:rPr>
                <w:spacing w:val="-4"/>
                <w:sz w:val="24"/>
              </w:rPr>
              <w:t>(10)</w:t>
            </w:r>
          </w:p>
        </w:tc>
        <w:tc>
          <w:tcPr>
            <w:tcW w:w="1832" w:type="dxa"/>
          </w:tcPr>
          <w:p>
            <w:pPr>
              <w:pStyle w:val="TableParagraph"/>
              <w:spacing w:line="251" w:lineRule="exact"/>
              <w:ind w:left="645"/>
              <w:rPr>
                <w:sz w:val="24"/>
              </w:rPr>
            </w:pPr>
            <w:r>
              <w:rPr>
                <w:spacing w:val="-4"/>
                <w:sz w:val="24"/>
              </w:rPr>
              <w:t>(13)</w:t>
            </w:r>
          </w:p>
        </w:tc>
        <w:tc>
          <w:tcPr>
            <w:tcW w:w="1356" w:type="dxa"/>
          </w:tcPr>
          <w:p>
            <w:pPr>
              <w:pStyle w:val="TableParagraph"/>
              <w:spacing w:line="251" w:lineRule="exact"/>
              <w:ind w:right="307"/>
              <w:jc w:val="right"/>
              <w:rPr>
                <w:sz w:val="24"/>
              </w:rPr>
            </w:pPr>
            <w:r>
              <w:rPr>
                <w:spacing w:val="-4"/>
                <w:sz w:val="24"/>
              </w:rPr>
              <w:t>(16)</w:t>
            </w:r>
          </w:p>
        </w:tc>
        <w:tc>
          <w:tcPr>
            <w:tcW w:w="840" w:type="dxa"/>
          </w:tcPr>
          <w:p>
            <w:pPr>
              <w:pStyle w:val="TableParagraph"/>
              <w:spacing w:line="251" w:lineRule="exact"/>
              <w:ind w:left="169"/>
              <w:rPr>
                <w:sz w:val="24"/>
              </w:rPr>
            </w:pPr>
            <w:r>
              <w:rPr>
                <w:spacing w:val="-4"/>
                <w:sz w:val="24"/>
              </w:rPr>
              <w:t>(17)</w:t>
            </w:r>
          </w:p>
        </w:tc>
      </w:tr>
    </w:tbl>
    <w:p>
      <w:pPr>
        <w:pStyle w:val="ListParagraph"/>
        <w:numPr>
          <w:ilvl w:val="0"/>
          <w:numId w:val="60"/>
        </w:numPr>
        <w:tabs>
          <w:tab w:pos="399" w:val="left" w:leader="none"/>
        </w:tabs>
        <w:spacing w:line="240" w:lineRule="auto" w:before="2" w:after="10"/>
        <w:ind w:left="159" w:right="6197" w:firstLine="0"/>
        <w:jc w:val="left"/>
        <w:rPr>
          <w:sz w:val="24"/>
        </w:rPr>
      </w:pPr>
      <w:r>
        <w:rPr>
          <w:sz w:val="24"/>
        </w:rPr>
        <w:t>Women</w:t>
      </w:r>
      <w:r>
        <w:rPr>
          <w:spacing w:val="-12"/>
          <w:sz w:val="24"/>
        </w:rPr>
        <w:t> </w:t>
      </w:r>
      <w:r>
        <w:rPr>
          <w:sz w:val="24"/>
        </w:rPr>
        <w:t>teachers</w:t>
      </w:r>
      <w:r>
        <w:rPr>
          <w:spacing w:val="-12"/>
          <w:sz w:val="24"/>
        </w:rPr>
        <w:t> </w:t>
      </w:r>
      <w:r>
        <w:rPr>
          <w:sz w:val="24"/>
        </w:rPr>
        <w:t>in</w:t>
      </w:r>
      <w:r>
        <w:rPr>
          <w:spacing w:val="-12"/>
          <w:sz w:val="24"/>
        </w:rPr>
        <w:t> </w:t>
      </w:r>
      <w:r>
        <w:rPr>
          <w:sz w:val="24"/>
        </w:rPr>
        <w:t>colleges for professional education Total No. of women</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7"/>
        <w:gridCol w:w="2063"/>
        <w:gridCol w:w="1807"/>
        <w:gridCol w:w="1446"/>
        <w:gridCol w:w="841"/>
      </w:tblGrid>
      <w:tr>
        <w:trPr>
          <w:trHeight w:val="270" w:hRule="atLeast"/>
        </w:trPr>
        <w:tc>
          <w:tcPr>
            <w:tcW w:w="1857" w:type="dxa"/>
          </w:tcPr>
          <w:p>
            <w:pPr>
              <w:pStyle w:val="TableParagraph"/>
              <w:spacing w:line="251" w:lineRule="exact"/>
              <w:ind w:left="50"/>
              <w:rPr>
                <w:sz w:val="24"/>
              </w:rPr>
            </w:pPr>
            <w:r>
              <w:rPr>
                <w:spacing w:val="-2"/>
                <w:sz w:val="24"/>
              </w:rPr>
              <w:t>Teachers</w:t>
            </w:r>
          </w:p>
        </w:tc>
        <w:tc>
          <w:tcPr>
            <w:tcW w:w="2063" w:type="dxa"/>
          </w:tcPr>
          <w:p>
            <w:pPr>
              <w:pStyle w:val="TableParagraph"/>
              <w:spacing w:line="251" w:lineRule="exact"/>
              <w:ind w:right="760"/>
              <w:jc w:val="right"/>
              <w:rPr>
                <w:sz w:val="24"/>
              </w:rPr>
            </w:pPr>
            <w:r>
              <w:rPr>
                <w:spacing w:val="-5"/>
                <w:sz w:val="24"/>
              </w:rPr>
              <w:t>334</w:t>
            </w:r>
          </w:p>
        </w:tc>
        <w:tc>
          <w:tcPr>
            <w:tcW w:w="1807" w:type="dxa"/>
          </w:tcPr>
          <w:p>
            <w:pPr>
              <w:pStyle w:val="TableParagraph"/>
              <w:spacing w:line="251" w:lineRule="exact"/>
              <w:ind w:left="81" w:right="106"/>
              <w:jc w:val="center"/>
              <w:rPr>
                <w:sz w:val="24"/>
              </w:rPr>
            </w:pPr>
            <w:r>
              <w:rPr>
                <w:spacing w:val="-5"/>
                <w:sz w:val="24"/>
              </w:rPr>
              <w:t>666</w:t>
            </w:r>
          </w:p>
        </w:tc>
        <w:tc>
          <w:tcPr>
            <w:tcW w:w="1446" w:type="dxa"/>
          </w:tcPr>
          <w:p>
            <w:pPr>
              <w:pStyle w:val="TableParagraph"/>
              <w:spacing w:line="251" w:lineRule="exact"/>
              <w:ind w:right="170"/>
              <w:jc w:val="right"/>
              <w:rPr>
                <w:sz w:val="24"/>
              </w:rPr>
            </w:pPr>
            <w:r>
              <w:rPr>
                <w:spacing w:val="-2"/>
                <w:sz w:val="24"/>
              </w:rPr>
              <w:t>1,865</w:t>
            </w:r>
          </w:p>
        </w:tc>
        <w:tc>
          <w:tcPr>
            <w:tcW w:w="841" w:type="dxa"/>
          </w:tcPr>
          <w:p>
            <w:pPr>
              <w:pStyle w:val="TableParagraph"/>
              <w:spacing w:line="251" w:lineRule="exact"/>
              <w:ind w:left="247"/>
              <w:rPr>
                <w:sz w:val="24"/>
              </w:rPr>
            </w:pPr>
            <w:r>
              <w:rPr>
                <w:spacing w:val="-2"/>
                <w:sz w:val="24"/>
              </w:rPr>
              <w:t>2,750</w:t>
            </w:r>
          </w:p>
        </w:tc>
      </w:tr>
      <w:tr>
        <w:trPr>
          <w:trHeight w:val="270" w:hRule="atLeast"/>
        </w:trPr>
        <w:tc>
          <w:tcPr>
            <w:tcW w:w="1857" w:type="dxa"/>
          </w:tcPr>
          <w:p>
            <w:pPr>
              <w:pStyle w:val="TableParagraph"/>
              <w:rPr>
                <w:sz w:val="20"/>
              </w:rPr>
            </w:pPr>
          </w:p>
        </w:tc>
        <w:tc>
          <w:tcPr>
            <w:tcW w:w="2063" w:type="dxa"/>
          </w:tcPr>
          <w:p>
            <w:pPr>
              <w:pStyle w:val="TableParagraph"/>
              <w:spacing w:line="251" w:lineRule="exact"/>
              <w:ind w:right="709"/>
              <w:jc w:val="right"/>
              <w:rPr>
                <w:sz w:val="24"/>
              </w:rPr>
            </w:pPr>
            <w:r>
              <w:rPr>
                <w:spacing w:val="-5"/>
                <w:sz w:val="24"/>
              </w:rPr>
              <w:t>(7)</w:t>
            </w:r>
          </w:p>
        </w:tc>
        <w:tc>
          <w:tcPr>
            <w:tcW w:w="1807" w:type="dxa"/>
          </w:tcPr>
          <w:p>
            <w:pPr>
              <w:pStyle w:val="TableParagraph"/>
              <w:spacing w:line="251" w:lineRule="exact"/>
              <w:ind w:right="106"/>
              <w:jc w:val="center"/>
              <w:rPr>
                <w:sz w:val="24"/>
              </w:rPr>
            </w:pPr>
            <w:r>
              <w:rPr>
                <w:spacing w:val="-5"/>
                <w:sz w:val="24"/>
              </w:rPr>
              <w:t>(8)</w:t>
            </w:r>
          </w:p>
        </w:tc>
        <w:tc>
          <w:tcPr>
            <w:tcW w:w="1446" w:type="dxa"/>
          </w:tcPr>
          <w:p>
            <w:pPr>
              <w:pStyle w:val="TableParagraph"/>
              <w:spacing w:line="251" w:lineRule="exact"/>
              <w:ind w:right="310"/>
              <w:jc w:val="right"/>
              <w:rPr>
                <w:sz w:val="24"/>
              </w:rPr>
            </w:pPr>
            <w:r>
              <w:rPr>
                <w:spacing w:val="-4"/>
                <w:sz w:val="24"/>
              </w:rPr>
              <w:t>(12)</w:t>
            </w:r>
          </w:p>
        </w:tc>
        <w:tc>
          <w:tcPr>
            <w:tcW w:w="841" w:type="dxa"/>
          </w:tcPr>
          <w:p>
            <w:pPr>
              <w:pStyle w:val="TableParagraph"/>
              <w:spacing w:line="251" w:lineRule="exact"/>
              <w:ind w:left="167"/>
              <w:rPr>
                <w:sz w:val="24"/>
              </w:rPr>
            </w:pPr>
            <w:r>
              <w:rPr>
                <w:spacing w:val="-4"/>
                <w:sz w:val="24"/>
              </w:rPr>
              <w:t>(11)</w:t>
            </w:r>
          </w:p>
        </w:tc>
      </w:tr>
    </w:tbl>
    <w:p>
      <w:pPr>
        <w:pStyle w:val="BodyText"/>
        <w:spacing w:before="2"/>
        <w:rPr>
          <w:sz w:val="15"/>
        </w:rPr>
      </w:pPr>
      <w:r>
        <w:rPr/>
        <mc:AlternateContent>
          <mc:Choice Requires="wps">
            <w:drawing>
              <wp:anchor distT="0" distB="0" distL="0" distR="0" allowOverlap="1" layoutInCell="1" locked="0" behindDoc="1" simplePos="0" relativeHeight="487597056">
                <wp:simplePos x="0" y="0"/>
                <wp:positionH relativeFrom="page">
                  <wp:posOffset>1143000</wp:posOffset>
                </wp:positionH>
                <wp:positionV relativeFrom="paragraph">
                  <wp:posOffset>126661</wp:posOffset>
                </wp:positionV>
                <wp:extent cx="5486400" cy="19050"/>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5486400" cy="19050"/>
                          <a:chExt cx="5486400" cy="19050"/>
                        </a:xfrm>
                      </wpg:grpSpPr>
                      <wps:wsp>
                        <wps:cNvPr id="120" name="Graphic 12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21" name="Graphic 12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22" name="Graphic 12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23" name="Graphic 123"/>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24" name="Graphic 124"/>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125" name="Graphic 125"/>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126" name="Graphic 126"/>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7335pt;width:432pt;height:1.5pt;mso-position-horizontal-relative:page;mso-position-vertical-relative:paragraph;z-index:-15719424;mso-wrap-distance-left:0;mso-wrap-distance-right:0" id="docshapegroup114" coordorigin="1800,199" coordsize="8640,30">
                <v:rect style="position:absolute;left:1800;top:199;width:8640;height:30" id="docshape115" filled="true" fillcolor="#808080" stroked="false">
                  <v:fill type="solid"/>
                </v:rect>
                <v:shape style="position:absolute;left:1800;top:199;width:8636;height:5" id="docshape116" coordorigin="1800,199" coordsize="8636,5" path="m10435,199l1805,199,1800,199,1800,204,1805,204,10435,204,10435,199xe" filled="true" fillcolor="#aca89a" stroked="false">
                  <v:path arrowok="t"/>
                  <v:fill type="solid"/>
                </v:shape>
                <v:rect style="position:absolute;left:10435;top:199;width:5;height:5" id="docshape117" filled="true" fillcolor="#f1efe2" stroked="false">
                  <v:fill type="solid"/>
                </v:rect>
                <v:shape style="position:absolute;left:1800;top:199;width:8640;height:26" id="docshape118" coordorigin="1800,199" coordsize="8640,26" path="m1805,204l1800,204,1800,225,1805,225,1805,204xm10440,199l10435,199,10435,204,10440,204,10440,199xe" filled="true" fillcolor="#aca89a" stroked="false">
                  <v:path arrowok="t"/>
                  <v:fill type="solid"/>
                </v:shape>
                <v:rect style="position:absolute;left:10435;top:204;width:5;height:21" id="docshape119" filled="true" fillcolor="#f1efe2" stroked="false">
                  <v:fill type="solid"/>
                </v:rect>
                <v:rect style="position:absolute;left:1800;top:224;width:5;height:5" id="docshape120" filled="true" fillcolor="#aca89a" stroked="false">
                  <v:fill type="solid"/>
                </v:rect>
                <v:shape style="position:absolute;left:1800;top:224;width:8640;height:5" id="docshape121" coordorigin="1800,225" coordsize="8640,5" path="m10440,225l10435,225,1800,225,1800,229,10435,229,10440,229,10440,225xe" filled="true" fillcolor="#f1efe2" stroked="false">
                  <v:path arrowok="t"/>
                  <v:fill type="solid"/>
                </v:shape>
                <w10:wrap type="topAndBottom"/>
              </v:group>
            </w:pict>
          </mc:Fallback>
        </mc:AlternateContent>
      </w:r>
    </w:p>
    <w:p>
      <w:pPr>
        <w:pStyle w:val="BodyText"/>
        <w:spacing w:before="46"/>
      </w:pPr>
    </w:p>
    <w:p>
      <w:pPr>
        <w:spacing w:before="0"/>
        <w:ind w:left="159" w:right="510" w:firstLine="0"/>
        <w:jc w:val="left"/>
        <w:rPr>
          <w:sz w:val="18"/>
        </w:rPr>
      </w:pPr>
      <w:r>
        <w:rPr>
          <w:sz w:val="18"/>
        </w:rPr>
        <w:t>Source: Ministry of Education, Form A.</w:t>
      </w:r>
      <w:r>
        <w:rPr>
          <w:spacing w:val="40"/>
          <w:sz w:val="18"/>
        </w:rPr>
        <w:t> </w:t>
      </w:r>
      <w:r>
        <w:rPr>
          <w:sz w:val="18"/>
        </w:rPr>
        <w:t>N.B.</w:t>
      </w:r>
      <w:r>
        <w:rPr>
          <w:spacing w:val="80"/>
          <w:w w:val="150"/>
          <w:sz w:val="18"/>
        </w:rPr>
        <w:t> </w:t>
      </w:r>
      <w:r>
        <w:rPr>
          <w:sz w:val="18"/>
        </w:rPr>
        <w:t>Figures in parentheses show the number of women</w:t>
      </w:r>
      <w:r>
        <w:rPr>
          <w:spacing w:val="40"/>
          <w:sz w:val="18"/>
        </w:rPr>
        <w:t> </w:t>
      </w:r>
      <w:r>
        <w:rPr>
          <w:sz w:val="18"/>
        </w:rPr>
        <w:t>teachers for every 100 men teachers.</w:t>
      </w:r>
    </w:p>
    <w:p>
      <w:pPr>
        <w:spacing w:after="0"/>
        <w:jc w:val="left"/>
        <w:rPr>
          <w:sz w:val="18"/>
        </w:rPr>
        <w:sectPr>
          <w:pgSz w:w="12240" w:h="15840"/>
          <w:pgMar w:header="0" w:footer="743" w:top="1360" w:bottom="940" w:left="1640" w:right="1300"/>
        </w:sectPr>
      </w:pPr>
    </w:p>
    <w:p>
      <w:pPr>
        <w:pStyle w:val="ListParagraph"/>
        <w:numPr>
          <w:ilvl w:val="1"/>
          <w:numId w:val="47"/>
        </w:numPr>
        <w:tabs>
          <w:tab w:pos="697" w:val="left" w:leader="none"/>
        </w:tabs>
        <w:spacing w:line="240" w:lineRule="auto" w:before="78" w:after="0"/>
        <w:ind w:left="160" w:right="497" w:firstLine="0"/>
        <w:jc w:val="both"/>
        <w:rPr>
          <w:sz w:val="24"/>
        </w:rPr>
      </w:pPr>
      <w:r>
        <w:rPr>
          <w:sz w:val="24"/>
        </w:rPr>
        <w:t>This problem was examined in detail by the National Committee on Women's Education which has made a number of useful recommendations on the subject. We support them fully. For convenience of reference, however, we would highlight the following recommendations:</w:t>
      </w:r>
    </w:p>
    <w:p>
      <w:pPr>
        <w:pStyle w:val="BodyText"/>
        <w:spacing w:before="2"/>
      </w:pPr>
    </w:p>
    <w:p>
      <w:pPr>
        <w:pStyle w:val="ListParagraph"/>
        <w:numPr>
          <w:ilvl w:val="0"/>
          <w:numId w:val="61"/>
        </w:numPr>
        <w:tabs>
          <w:tab w:pos="535" w:val="left" w:leader="none"/>
        </w:tabs>
        <w:spacing w:line="240" w:lineRule="auto" w:before="0" w:after="0"/>
        <w:ind w:left="160" w:right="497" w:firstLine="0"/>
        <w:jc w:val="both"/>
        <w:rPr>
          <w:sz w:val="24"/>
        </w:rPr>
      </w:pPr>
      <w:r>
        <w:rPr>
          <w:sz w:val="24"/>
        </w:rPr>
        <w:t>The employment of women teachers should be encouraged at all stages and in all sectors of education.</w:t>
      </w:r>
    </w:p>
    <w:p>
      <w:pPr>
        <w:pStyle w:val="BodyText"/>
        <w:spacing w:before="5"/>
      </w:pPr>
    </w:p>
    <w:p>
      <w:pPr>
        <w:pStyle w:val="ListParagraph"/>
        <w:numPr>
          <w:ilvl w:val="0"/>
          <w:numId w:val="61"/>
        </w:numPr>
        <w:tabs>
          <w:tab w:pos="570" w:val="left" w:leader="none"/>
        </w:tabs>
        <w:spacing w:line="240" w:lineRule="auto" w:before="0" w:after="0"/>
        <w:ind w:left="159" w:right="498" w:firstLine="60"/>
        <w:jc w:val="both"/>
        <w:rPr>
          <w:sz w:val="24"/>
        </w:rPr>
      </w:pPr>
      <w:r>
        <w:rPr>
          <w:sz w:val="24"/>
        </w:rPr>
        <w:t>Opportunities for part-time employment of women teachers should be provided on a large scale in order to enable married women to look after their homes in addition to </w:t>
      </w:r>
      <w:r>
        <w:rPr>
          <w:spacing w:val="-2"/>
          <w:sz w:val="24"/>
        </w:rPr>
        <w:t>teaching,</w:t>
      </w:r>
    </w:p>
    <w:p>
      <w:pPr>
        <w:pStyle w:val="BodyText"/>
        <w:spacing w:before="4"/>
      </w:pPr>
    </w:p>
    <w:p>
      <w:pPr>
        <w:pStyle w:val="ListParagraph"/>
        <w:numPr>
          <w:ilvl w:val="0"/>
          <w:numId w:val="61"/>
        </w:numPr>
        <w:tabs>
          <w:tab w:pos="528" w:val="left" w:leader="none"/>
        </w:tabs>
        <w:spacing w:line="240" w:lineRule="auto" w:before="0" w:after="0"/>
        <w:ind w:left="159" w:right="495" w:firstLine="0"/>
        <w:jc w:val="both"/>
        <w:rPr>
          <w:sz w:val="24"/>
        </w:rPr>
      </w:pPr>
      <w:r>
        <w:rPr>
          <w:sz w:val="24"/>
        </w:rPr>
        <w:t>Residential accommodation should be provided for women teachers, particularly in rural areas, on a priority basis.</w:t>
      </w:r>
    </w:p>
    <w:p>
      <w:pPr>
        <w:pStyle w:val="BodyText"/>
        <w:spacing w:before="3"/>
      </w:pPr>
    </w:p>
    <w:p>
      <w:pPr>
        <w:pStyle w:val="ListParagraph"/>
        <w:numPr>
          <w:ilvl w:val="0"/>
          <w:numId w:val="61"/>
        </w:numPr>
        <w:tabs>
          <w:tab w:pos="548" w:val="left" w:leader="none"/>
        </w:tabs>
        <w:spacing w:line="240" w:lineRule="auto" w:before="0" w:after="0"/>
        <w:ind w:left="159" w:right="497" w:firstLine="0"/>
        <w:jc w:val="both"/>
        <w:rPr>
          <w:sz w:val="24"/>
        </w:rPr>
      </w:pPr>
      <w:r>
        <w:rPr>
          <w:sz w:val="24"/>
        </w:rPr>
        <w:t>In order to get women teachers to work in rural areas in adequate numbers, the scheme of condensed courses for adult women which is now being implemented by the CSWB should be expanded. Promising girls from rural areas should be given</w:t>
      </w:r>
      <w:r>
        <w:rPr>
          <w:spacing w:val="40"/>
          <w:sz w:val="24"/>
        </w:rPr>
        <w:t> </w:t>
      </w:r>
      <w:r>
        <w:rPr>
          <w:sz w:val="24"/>
        </w:rPr>
        <w:t>scholarships to educate and train themselves to become teachers.</w:t>
      </w:r>
    </w:p>
    <w:p>
      <w:pPr>
        <w:pStyle w:val="BodyText"/>
        <w:spacing w:before="4"/>
      </w:pPr>
    </w:p>
    <w:p>
      <w:pPr>
        <w:pStyle w:val="ListParagraph"/>
        <w:numPr>
          <w:ilvl w:val="0"/>
          <w:numId w:val="61"/>
        </w:numPr>
        <w:tabs>
          <w:tab w:pos="543" w:val="left" w:leader="none"/>
        </w:tabs>
        <w:spacing w:line="240" w:lineRule="auto" w:before="0" w:after="0"/>
        <w:ind w:left="159" w:right="497" w:firstLine="0"/>
        <w:jc w:val="both"/>
        <w:rPr>
          <w:sz w:val="24"/>
        </w:rPr>
      </w:pPr>
      <w:r>
        <w:rPr>
          <w:sz w:val="24"/>
        </w:rPr>
        <w:t>Many women cannot remain away from their homes for long periods as is often required in courses of professional training or of further general education. They will, however, be greatly benefited by private study and correspondence education. These facilities should be specially provided for them.</w:t>
      </w:r>
    </w:p>
    <w:p>
      <w:pPr>
        <w:pStyle w:val="BodyText"/>
        <w:spacing w:before="5"/>
      </w:pPr>
    </w:p>
    <w:p>
      <w:pPr>
        <w:pStyle w:val="ListParagraph"/>
        <w:numPr>
          <w:ilvl w:val="0"/>
          <w:numId w:val="61"/>
        </w:numPr>
        <w:tabs>
          <w:tab w:pos="508" w:val="left" w:leader="none"/>
        </w:tabs>
        <w:spacing w:line="240" w:lineRule="auto" w:before="0" w:after="0"/>
        <w:ind w:left="159" w:right="495" w:firstLine="0"/>
        <w:jc w:val="both"/>
        <w:rPr>
          <w:sz w:val="24"/>
        </w:rPr>
      </w:pPr>
      <w:r>
        <w:rPr>
          <w:sz w:val="24"/>
        </w:rPr>
        <w:t>Wherever necessary, special allowances may be given to women teachers working in rural areas.</w:t>
      </w:r>
    </w:p>
    <w:p>
      <w:pPr>
        <w:pStyle w:val="BodyText"/>
        <w:spacing w:before="4"/>
      </w:pPr>
    </w:p>
    <w:p>
      <w:pPr>
        <w:pStyle w:val="ListParagraph"/>
        <w:numPr>
          <w:ilvl w:val="1"/>
          <w:numId w:val="47"/>
        </w:numPr>
        <w:tabs>
          <w:tab w:pos="651" w:val="left" w:leader="none"/>
        </w:tabs>
        <w:spacing w:line="240" w:lineRule="auto" w:before="0" w:after="0"/>
        <w:ind w:left="159" w:right="495" w:firstLine="0"/>
        <w:jc w:val="both"/>
        <w:rPr>
          <w:b/>
          <w:sz w:val="24"/>
        </w:rPr>
      </w:pPr>
      <w:r>
        <w:rPr>
          <w:b/>
          <w:sz w:val="24"/>
        </w:rPr>
        <w:t>Teachers for Tribal Areas. </w:t>
      </w:r>
      <w:r>
        <w:rPr>
          <w:sz w:val="24"/>
        </w:rPr>
        <w:t>Equally important is the need to secure the services of good teachers for tribal areas. It will be necessary to give special allowances to such teachers</w:t>
      </w:r>
      <w:r>
        <w:rPr>
          <w:spacing w:val="-2"/>
          <w:sz w:val="24"/>
        </w:rPr>
        <w:t> </w:t>
      </w:r>
      <w:r>
        <w:rPr>
          <w:sz w:val="24"/>
        </w:rPr>
        <w:t>because</w:t>
      </w:r>
      <w:r>
        <w:rPr>
          <w:spacing w:val="-2"/>
          <w:sz w:val="24"/>
        </w:rPr>
        <w:t> </w:t>
      </w:r>
      <w:r>
        <w:rPr>
          <w:sz w:val="24"/>
        </w:rPr>
        <w:t>they</w:t>
      </w:r>
      <w:r>
        <w:rPr>
          <w:spacing w:val="-2"/>
          <w:sz w:val="24"/>
        </w:rPr>
        <w:t> </w:t>
      </w:r>
      <w:r>
        <w:rPr>
          <w:sz w:val="24"/>
        </w:rPr>
        <w:t>have</w:t>
      </w:r>
      <w:r>
        <w:rPr>
          <w:spacing w:val="-2"/>
          <w:sz w:val="24"/>
        </w:rPr>
        <w:t> </w:t>
      </w:r>
      <w:r>
        <w:rPr>
          <w:sz w:val="24"/>
        </w:rPr>
        <w:t>to</w:t>
      </w:r>
      <w:r>
        <w:rPr>
          <w:spacing w:val="-2"/>
          <w:sz w:val="24"/>
        </w:rPr>
        <w:t> </w:t>
      </w:r>
      <w:r>
        <w:rPr>
          <w:sz w:val="24"/>
        </w:rPr>
        <w:t>live</w:t>
      </w:r>
      <w:r>
        <w:rPr>
          <w:spacing w:val="-2"/>
          <w:sz w:val="24"/>
        </w:rPr>
        <w:t> </w:t>
      </w:r>
      <w:r>
        <w:rPr>
          <w:sz w:val="24"/>
        </w:rPr>
        <w:t>under</w:t>
      </w:r>
      <w:r>
        <w:rPr>
          <w:spacing w:val="-2"/>
          <w:sz w:val="24"/>
        </w:rPr>
        <w:t> </w:t>
      </w:r>
      <w:r>
        <w:rPr>
          <w:sz w:val="24"/>
        </w:rPr>
        <w:t>very</w:t>
      </w:r>
      <w:r>
        <w:rPr>
          <w:spacing w:val="-5"/>
          <w:sz w:val="24"/>
        </w:rPr>
        <w:t> </w:t>
      </w:r>
      <w:r>
        <w:rPr>
          <w:sz w:val="24"/>
        </w:rPr>
        <w:t>trying</w:t>
      </w:r>
      <w:r>
        <w:rPr>
          <w:spacing w:val="-2"/>
          <w:sz w:val="24"/>
        </w:rPr>
        <w:t> </w:t>
      </w:r>
      <w:r>
        <w:rPr>
          <w:sz w:val="24"/>
        </w:rPr>
        <w:t>conditions.</w:t>
      </w:r>
      <w:r>
        <w:rPr>
          <w:spacing w:val="-2"/>
          <w:sz w:val="24"/>
        </w:rPr>
        <w:t> </w:t>
      </w:r>
      <w:r>
        <w:rPr>
          <w:sz w:val="24"/>
        </w:rPr>
        <w:t>Assistance</w:t>
      </w:r>
      <w:r>
        <w:rPr>
          <w:spacing w:val="-2"/>
          <w:sz w:val="24"/>
        </w:rPr>
        <w:t> </w:t>
      </w:r>
      <w:r>
        <w:rPr>
          <w:sz w:val="24"/>
        </w:rPr>
        <w:t>may</w:t>
      </w:r>
      <w:r>
        <w:rPr>
          <w:spacing w:val="-2"/>
          <w:sz w:val="24"/>
        </w:rPr>
        <w:t> </w:t>
      </w:r>
      <w:r>
        <w:rPr>
          <w:sz w:val="24"/>
        </w:rPr>
        <w:t>also</w:t>
      </w:r>
      <w:r>
        <w:rPr>
          <w:spacing w:val="-2"/>
          <w:sz w:val="24"/>
        </w:rPr>
        <w:t> </w:t>
      </w:r>
      <w:r>
        <w:rPr>
          <w:sz w:val="24"/>
        </w:rPr>
        <w:t>have to be provided for the education of their grown-up children. Residential accommodation</w:t>
      </w:r>
      <w:r>
        <w:rPr>
          <w:spacing w:val="40"/>
          <w:sz w:val="24"/>
        </w:rPr>
        <w:t> </w:t>
      </w:r>
      <w:r>
        <w:rPr>
          <w:sz w:val="24"/>
        </w:rPr>
        <w:t>is very often a must as no rented buildings are available in places where the tribals live.</w:t>
      </w:r>
    </w:p>
    <w:p>
      <w:pPr>
        <w:pStyle w:val="BodyText"/>
        <w:spacing w:before="3"/>
      </w:pPr>
    </w:p>
    <w:p>
      <w:pPr>
        <w:pStyle w:val="BodyText"/>
        <w:ind w:left="159" w:right="495"/>
        <w:jc w:val="both"/>
      </w:pPr>
      <w:r>
        <w:rPr/>
        <w:t>It is also desirable to provide some special training to teachers who are going to work in tribal areas. This should include a study of the tribal language or languages and of tribal culture. In States where there is a large tribal population, special institutions will have to be set up to provide orientation courses to teachers posted to tribal localities. Encouragement should also be given to tribal young men and women to become teachers in the schools of these areas.</w:t>
      </w:r>
    </w:p>
    <w:p>
      <w:pPr>
        <w:pStyle w:val="BodyText"/>
        <w:spacing w:before="4"/>
      </w:pPr>
    </w:p>
    <w:p>
      <w:pPr>
        <w:pStyle w:val="ListParagraph"/>
        <w:numPr>
          <w:ilvl w:val="1"/>
          <w:numId w:val="47"/>
        </w:numPr>
        <w:tabs>
          <w:tab w:pos="679" w:val="left" w:leader="none"/>
        </w:tabs>
        <w:spacing w:line="240" w:lineRule="auto" w:before="0" w:after="0"/>
        <w:ind w:left="159" w:right="497" w:firstLine="0"/>
        <w:jc w:val="both"/>
        <w:rPr>
          <w:b/>
          <w:sz w:val="24"/>
        </w:rPr>
      </w:pPr>
      <w:r>
        <w:rPr>
          <w:b/>
          <w:sz w:val="24"/>
        </w:rPr>
        <w:t>Teachers' Organizations. </w:t>
      </w:r>
      <w:r>
        <w:rPr>
          <w:sz w:val="24"/>
        </w:rPr>
        <w:t>Teachers' organizations in all parts of the world have followed, or are following an almost identical pattern of growth: starting as 'trade unions' designed to fight for material benefits and gradually becoming bodies concerned with many aspects of their members' lives. The National Union of Teachers in the UK, for instance,</w:t>
      </w:r>
      <w:r>
        <w:rPr>
          <w:spacing w:val="51"/>
          <w:sz w:val="24"/>
        </w:rPr>
        <w:t> </w:t>
      </w:r>
      <w:r>
        <w:rPr>
          <w:sz w:val="24"/>
        </w:rPr>
        <w:t>was</w:t>
      </w:r>
      <w:r>
        <w:rPr>
          <w:spacing w:val="54"/>
          <w:sz w:val="24"/>
        </w:rPr>
        <w:t> </w:t>
      </w:r>
      <w:r>
        <w:rPr>
          <w:sz w:val="24"/>
        </w:rPr>
        <w:t>founded</w:t>
      </w:r>
      <w:r>
        <w:rPr>
          <w:spacing w:val="54"/>
          <w:sz w:val="24"/>
        </w:rPr>
        <w:t> </w:t>
      </w:r>
      <w:r>
        <w:rPr>
          <w:sz w:val="24"/>
        </w:rPr>
        <w:t>in</w:t>
      </w:r>
      <w:r>
        <w:rPr>
          <w:spacing w:val="53"/>
          <w:sz w:val="24"/>
        </w:rPr>
        <w:t> </w:t>
      </w:r>
      <w:r>
        <w:rPr>
          <w:sz w:val="24"/>
        </w:rPr>
        <w:t>1870</w:t>
      </w:r>
      <w:r>
        <w:rPr>
          <w:spacing w:val="54"/>
          <w:sz w:val="24"/>
        </w:rPr>
        <w:t> </w:t>
      </w:r>
      <w:r>
        <w:rPr>
          <w:sz w:val="24"/>
        </w:rPr>
        <w:t>because</w:t>
      </w:r>
      <w:r>
        <w:rPr>
          <w:spacing w:val="54"/>
          <w:sz w:val="24"/>
        </w:rPr>
        <w:t> </w:t>
      </w:r>
      <w:r>
        <w:rPr>
          <w:sz w:val="24"/>
        </w:rPr>
        <w:t>of</w:t>
      </w:r>
      <w:r>
        <w:rPr>
          <w:spacing w:val="53"/>
          <w:sz w:val="24"/>
        </w:rPr>
        <w:t> </w:t>
      </w:r>
      <w:r>
        <w:rPr>
          <w:sz w:val="24"/>
        </w:rPr>
        <w:t>a</w:t>
      </w:r>
      <w:r>
        <w:rPr>
          <w:spacing w:val="54"/>
          <w:sz w:val="24"/>
        </w:rPr>
        <w:t> </w:t>
      </w:r>
      <w:r>
        <w:rPr>
          <w:sz w:val="24"/>
        </w:rPr>
        <w:t>desperate</w:t>
      </w:r>
      <w:r>
        <w:rPr>
          <w:spacing w:val="54"/>
          <w:sz w:val="24"/>
        </w:rPr>
        <w:t> </w:t>
      </w:r>
      <w:r>
        <w:rPr>
          <w:sz w:val="24"/>
        </w:rPr>
        <w:t>need</w:t>
      </w:r>
      <w:r>
        <w:rPr>
          <w:spacing w:val="53"/>
          <w:sz w:val="24"/>
        </w:rPr>
        <w:t> </w:t>
      </w:r>
      <w:r>
        <w:rPr>
          <w:sz w:val="24"/>
        </w:rPr>
        <w:t>to</w:t>
      </w:r>
      <w:r>
        <w:rPr>
          <w:spacing w:val="54"/>
          <w:sz w:val="24"/>
        </w:rPr>
        <w:t> </w:t>
      </w:r>
      <w:r>
        <w:rPr>
          <w:sz w:val="24"/>
        </w:rPr>
        <w:t>improve</w:t>
      </w:r>
      <w:r>
        <w:rPr>
          <w:spacing w:val="54"/>
          <w:sz w:val="24"/>
        </w:rPr>
        <w:t> </w:t>
      </w:r>
      <w:r>
        <w:rPr>
          <w:sz w:val="24"/>
        </w:rPr>
        <w:t>salaries</w:t>
      </w:r>
      <w:r>
        <w:rPr>
          <w:spacing w:val="54"/>
          <w:sz w:val="24"/>
        </w:rPr>
        <w:t> </w:t>
      </w:r>
      <w:r>
        <w:rPr>
          <w:spacing w:val="-5"/>
          <w:sz w:val="24"/>
        </w:rPr>
        <w:t>and</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conditions of work. Since then it has broadened its functions enormously, though it still continues to be active and increasingly successful in negotiating material benefits for its members. In India also, teachers' organizations are developing on the same broad lines. Most of them are currently engaged, and rightly so, in securing better salaries and conditions</w:t>
      </w:r>
      <w:r>
        <w:rPr>
          <w:spacing w:val="-1"/>
        </w:rPr>
        <w:t> </w:t>
      </w:r>
      <w:r>
        <w:rPr/>
        <w:t>of</w:t>
      </w:r>
      <w:r>
        <w:rPr>
          <w:spacing w:val="-2"/>
        </w:rPr>
        <w:t> </w:t>
      </w:r>
      <w:r>
        <w:rPr/>
        <w:t>work</w:t>
      </w:r>
      <w:r>
        <w:rPr>
          <w:spacing w:val="-1"/>
        </w:rPr>
        <w:t> </w:t>
      </w:r>
      <w:r>
        <w:rPr/>
        <w:t>for</w:t>
      </w:r>
      <w:r>
        <w:rPr>
          <w:spacing w:val="-1"/>
        </w:rPr>
        <w:t> </w:t>
      </w:r>
      <w:r>
        <w:rPr/>
        <w:t>teachers.</w:t>
      </w:r>
      <w:r>
        <w:rPr>
          <w:spacing w:val="-1"/>
        </w:rPr>
        <w:t> </w:t>
      </w:r>
      <w:r>
        <w:rPr/>
        <w:t>But</w:t>
      </w:r>
      <w:r>
        <w:rPr>
          <w:spacing w:val="-1"/>
        </w:rPr>
        <w:t> </w:t>
      </w:r>
      <w:r>
        <w:rPr/>
        <w:t>some</w:t>
      </w:r>
      <w:r>
        <w:rPr>
          <w:spacing w:val="-1"/>
        </w:rPr>
        <w:t> </w:t>
      </w:r>
      <w:r>
        <w:rPr/>
        <w:t>of</w:t>
      </w:r>
      <w:r>
        <w:rPr>
          <w:spacing w:val="-8"/>
        </w:rPr>
        <w:t> </w:t>
      </w:r>
      <w:r>
        <w:rPr/>
        <w:t>them</w:t>
      </w:r>
      <w:r>
        <w:rPr>
          <w:spacing w:val="-1"/>
        </w:rPr>
        <w:t> </w:t>
      </w:r>
      <w:r>
        <w:rPr/>
        <w:t>have</w:t>
      </w:r>
      <w:r>
        <w:rPr>
          <w:spacing w:val="-1"/>
        </w:rPr>
        <w:t> </w:t>
      </w:r>
      <w:r>
        <w:rPr/>
        <w:t>already</w:t>
      </w:r>
      <w:r>
        <w:rPr>
          <w:spacing w:val="-1"/>
        </w:rPr>
        <w:t> </w:t>
      </w:r>
      <w:r>
        <w:rPr/>
        <w:t>started</w:t>
      </w:r>
      <w:r>
        <w:rPr>
          <w:spacing w:val="-2"/>
        </w:rPr>
        <w:t> </w:t>
      </w:r>
      <w:r>
        <w:rPr/>
        <w:t>other</w:t>
      </w:r>
      <w:r>
        <w:rPr>
          <w:spacing w:val="-2"/>
        </w:rPr>
        <w:t> </w:t>
      </w:r>
      <w:r>
        <w:rPr/>
        <w:t>programmes of academic work and are conducting research, organizing in service education and producing literature needed by teachers. On the whole, however, the teachers organizations have still a long way to go, especially in the development of their academic programmes. While the States can assist in this undertaking, it is essentially a task for the teachers themselves.</w:t>
      </w:r>
    </w:p>
    <w:p>
      <w:pPr>
        <w:pStyle w:val="BodyText"/>
        <w:spacing w:before="5"/>
      </w:pPr>
    </w:p>
    <w:p>
      <w:pPr>
        <w:pStyle w:val="ListParagraph"/>
        <w:numPr>
          <w:ilvl w:val="1"/>
          <w:numId w:val="47"/>
        </w:numPr>
        <w:tabs>
          <w:tab w:pos="640" w:val="left" w:leader="none"/>
        </w:tabs>
        <w:spacing w:line="240" w:lineRule="auto" w:before="0" w:after="0"/>
        <w:ind w:left="640" w:right="0" w:hanging="480"/>
        <w:jc w:val="both"/>
        <w:rPr>
          <w:sz w:val="24"/>
        </w:rPr>
      </w:pPr>
      <w:r>
        <w:rPr>
          <w:sz w:val="24"/>
        </w:rPr>
        <w:t>Some</w:t>
      </w:r>
      <w:r>
        <w:rPr>
          <w:spacing w:val="-1"/>
          <w:sz w:val="24"/>
        </w:rPr>
        <w:t> </w:t>
      </w:r>
      <w:r>
        <w:rPr>
          <w:sz w:val="24"/>
        </w:rPr>
        <w:t>of the</w:t>
      </w:r>
      <w:r>
        <w:rPr>
          <w:spacing w:val="-1"/>
          <w:sz w:val="24"/>
        </w:rPr>
        <w:t> </w:t>
      </w:r>
      <w:r>
        <w:rPr>
          <w:sz w:val="24"/>
        </w:rPr>
        <w:t>functions of</w:t>
      </w:r>
      <w:r>
        <w:rPr>
          <w:spacing w:val="-1"/>
          <w:sz w:val="24"/>
        </w:rPr>
        <w:t> </w:t>
      </w:r>
      <w:r>
        <w:rPr>
          <w:sz w:val="24"/>
        </w:rPr>
        <w:t>teachers'</w:t>
      </w:r>
      <w:r>
        <w:rPr>
          <w:spacing w:val="-2"/>
          <w:sz w:val="24"/>
        </w:rPr>
        <w:t> </w:t>
      </w:r>
      <w:r>
        <w:rPr>
          <w:sz w:val="24"/>
        </w:rPr>
        <w:t>organizations</w:t>
      </w:r>
      <w:r>
        <w:rPr>
          <w:spacing w:val="-1"/>
          <w:sz w:val="24"/>
        </w:rPr>
        <w:t> </w:t>
      </w:r>
      <w:r>
        <w:rPr>
          <w:sz w:val="24"/>
        </w:rPr>
        <w:t>will </w:t>
      </w:r>
      <w:r>
        <w:rPr>
          <w:spacing w:val="-5"/>
          <w:sz w:val="24"/>
        </w:rPr>
        <w:t>be</w:t>
      </w:r>
    </w:p>
    <w:p>
      <w:pPr>
        <w:pStyle w:val="BodyText"/>
        <w:spacing w:before="3"/>
      </w:pPr>
    </w:p>
    <w:p>
      <w:pPr>
        <w:pStyle w:val="ListParagraph"/>
        <w:numPr>
          <w:ilvl w:val="2"/>
          <w:numId w:val="47"/>
        </w:numPr>
        <w:tabs>
          <w:tab w:pos="330" w:val="left" w:leader="none"/>
        </w:tabs>
        <w:spacing w:line="240" w:lineRule="auto" w:before="0" w:after="0"/>
        <w:ind w:left="160" w:right="497" w:firstLine="0"/>
        <w:jc w:val="both"/>
        <w:rPr>
          <w:sz w:val="24"/>
        </w:rPr>
      </w:pPr>
      <w:r>
        <w:rPr>
          <w:sz w:val="24"/>
        </w:rPr>
        <w:t>to secure for their members, individually and collectively, their rightful status-social, economic and professional;</w:t>
      </w:r>
    </w:p>
    <w:p>
      <w:pPr>
        <w:pStyle w:val="BodyText"/>
        <w:spacing w:before="5"/>
      </w:pPr>
    </w:p>
    <w:p>
      <w:pPr>
        <w:pStyle w:val="ListParagraph"/>
        <w:numPr>
          <w:ilvl w:val="2"/>
          <w:numId w:val="47"/>
        </w:numPr>
        <w:tabs>
          <w:tab w:pos="329" w:val="left" w:leader="none"/>
        </w:tabs>
        <w:spacing w:line="240" w:lineRule="auto" w:before="0" w:after="0"/>
        <w:ind w:left="160" w:right="497" w:firstLine="0"/>
        <w:jc w:val="both"/>
        <w:rPr>
          <w:sz w:val="24"/>
        </w:rPr>
      </w:pPr>
      <w:r>
        <w:rPr>
          <w:sz w:val="24"/>
        </w:rPr>
        <w:t>to safeguard their professional interests and to secure satisfactory conditions of work and service;</w:t>
      </w:r>
    </w:p>
    <w:p>
      <w:pPr>
        <w:pStyle w:val="BodyText"/>
        <w:spacing w:before="3"/>
      </w:pPr>
    </w:p>
    <w:p>
      <w:pPr>
        <w:pStyle w:val="ListParagraph"/>
        <w:numPr>
          <w:ilvl w:val="2"/>
          <w:numId w:val="47"/>
        </w:numPr>
        <w:tabs>
          <w:tab w:pos="360" w:val="left" w:leader="none"/>
        </w:tabs>
        <w:spacing w:line="240" w:lineRule="auto" w:before="0" w:after="0"/>
        <w:ind w:left="160" w:right="496" w:firstLine="0"/>
        <w:jc w:val="both"/>
        <w:rPr>
          <w:sz w:val="24"/>
        </w:rPr>
      </w:pPr>
      <w:r>
        <w:rPr>
          <w:sz w:val="24"/>
        </w:rPr>
        <w:t>to secure the professional growth of teachers through refresher courses, seminars, publications, library service and research;</w:t>
      </w:r>
    </w:p>
    <w:p>
      <w:pPr>
        <w:pStyle w:val="BodyText"/>
        <w:spacing w:before="4"/>
      </w:pPr>
    </w:p>
    <w:p>
      <w:pPr>
        <w:pStyle w:val="ListParagraph"/>
        <w:numPr>
          <w:ilvl w:val="2"/>
          <w:numId w:val="47"/>
        </w:numPr>
        <w:tabs>
          <w:tab w:pos="337" w:val="left" w:leader="none"/>
        </w:tabs>
        <w:spacing w:line="240" w:lineRule="auto" w:before="0" w:after="0"/>
        <w:ind w:left="160" w:right="497" w:firstLine="0"/>
        <w:jc w:val="both"/>
        <w:rPr>
          <w:sz w:val="24"/>
        </w:rPr>
      </w:pPr>
      <w:r>
        <w:rPr>
          <w:sz w:val="24"/>
        </w:rPr>
        <w:t>to work for the improvement of education in response to the challenge of the ever- changing socio-economic situation;</w:t>
      </w:r>
    </w:p>
    <w:p>
      <w:pPr>
        <w:pStyle w:val="BodyText"/>
        <w:spacing w:before="5"/>
      </w:pPr>
    </w:p>
    <w:p>
      <w:pPr>
        <w:pStyle w:val="ListParagraph"/>
        <w:numPr>
          <w:ilvl w:val="2"/>
          <w:numId w:val="47"/>
        </w:numPr>
        <w:tabs>
          <w:tab w:pos="361" w:val="left" w:leader="none"/>
        </w:tabs>
        <w:spacing w:line="240" w:lineRule="auto" w:before="0" w:after="0"/>
        <w:ind w:left="160" w:right="498" w:firstLine="0"/>
        <w:jc w:val="both"/>
        <w:rPr>
          <w:sz w:val="24"/>
        </w:rPr>
      </w:pPr>
      <w:r>
        <w:rPr>
          <w:sz w:val="24"/>
        </w:rPr>
        <w:t>to improve the teaching of subjects through the establishment of subject-teachers' associations; and</w:t>
      </w:r>
    </w:p>
    <w:p>
      <w:pPr>
        <w:pStyle w:val="BodyText"/>
        <w:spacing w:before="4"/>
      </w:pPr>
    </w:p>
    <w:p>
      <w:pPr>
        <w:pStyle w:val="ListParagraph"/>
        <w:numPr>
          <w:ilvl w:val="2"/>
          <w:numId w:val="47"/>
        </w:numPr>
        <w:tabs>
          <w:tab w:pos="308" w:val="left" w:leader="none"/>
        </w:tabs>
        <w:spacing w:line="240" w:lineRule="auto" w:before="0" w:after="0"/>
        <w:ind w:left="160" w:right="497" w:firstLine="0"/>
        <w:jc w:val="both"/>
        <w:rPr>
          <w:sz w:val="24"/>
        </w:rPr>
      </w:pPr>
      <w:r>
        <w:rPr>
          <w:sz w:val="24"/>
        </w:rPr>
        <w:t>to establish a professional code of conduct for teachers and to ensure that it is followed by members.</w:t>
      </w:r>
    </w:p>
    <w:p>
      <w:pPr>
        <w:pStyle w:val="BodyText"/>
        <w:spacing w:before="3"/>
      </w:pPr>
    </w:p>
    <w:p>
      <w:pPr>
        <w:pStyle w:val="BodyText"/>
        <w:ind w:left="160" w:right="497"/>
        <w:jc w:val="both"/>
      </w:pPr>
      <w:r>
        <w:rPr/>
        <w:t>Professional organizations of teachers fulfilling the above functions and having a responsible and representative body of members should be recognized by the Central and State Governments. Such recognition should entitle them to the right of being consulted on all matters relating to school education, general and professional education of</w:t>
      </w:r>
      <w:r>
        <w:rPr>
          <w:spacing w:val="40"/>
        </w:rPr>
        <w:t> </w:t>
      </w:r>
      <w:r>
        <w:rPr/>
        <w:t>teachers, and their salaries and conditions of work and service.</w:t>
      </w:r>
    </w:p>
    <w:p>
      <w:pPr>
        <w:pStyle w:val="BodyText"/>
        <w:spacing w:before="4"/>
      </w:pPr>
    </w:p>
    <w:p>
      <w:pPr>
        <w:pStyle w:val="ListParagraph"/>
        <w:numPr>
          <w:ilvl w:val="1"/>
          <w:numId w:val="47"/>
        </w:numPr>
        <w:tabs>
          <w:tab w:pos="682" w:val="left" w:leader="none"/>
        </w:tabs>
        <w:spacing w:line="240" w:lineRule="auto" w:before="0" w:after="0"/>
        <w:ind w:left="160" w:right="496" w:firstLine="0"/>
        <w:jc w:val="both"/>
        <w:rPr>
          <w:b/>
          <w:sz w:val="24"/>
        </w:rPr>
      </w:pPr>
      <w:r>
        <w:rPr>
          <w:b/>
          <w:sz w:val="24"/>
        </w:rPr>
        <w:t>joint Teachers' Councils. </w:t>
      </w:r>
      <w:r>
        <w:rPr>
          <w:sz w:val="24"/>
        </w:rPr>
        <w:t>On the lines of the scheme recently approved by the Government of India for consultative machinery and compulsory arbitration for Central Government employees, we recommend they constitution of joint teachers' councils in each State and Union Territory. These councils should consist of representatives from teachers' organizations and officers of the Education Departments, with the Secretary, Education Department, as chairman. These would meet as often as necessary but at least</w:t>
      </w:r>
    </w:p>
    <w:p>
      <w:pPr>
        <w:spacing w:after="0" w:line="240" w:lineRule="auto"/>
        <w:jc w:val="both"/>
        <w:rPr>
          <w:sz w:val="24"/>
        </w:rPr>
        <w:sectPr>
          <w:pgSz w:w="12240" w:h="15840"/>
          <w:pgMar w:header="0" w:footer="743" w:top="1360" w:bottom="940" w:left="1640" w:right="1300"/>
        </w:sectPr>
      </w:pPr>
    </w:p>
    <w:p>
      <w:pPr>
        <w:pStyle w:val="BodyText"/>
        <w:spacing w:before="76"/>
        <w:ind w:left="159" w:right="494"/>
        <w:jc w:val="both"/>
      </w:pPr>
      <w:r>
        <w:rPr/>
        <w:t>once in six months. Their scope and functions will include all matters relating to conditions of service and work, welfare service of teachers of all categories, and general programmes for the improvement of education.</w:t>
      </w:r>
      <w:r>
        <w:rPr>
          <w:b/>
          <w:vertAlign w:val="superscript"/>
        </w:rPr>
        <w:t>34</w:t>
      </w:r>
      <w:r>
        <w:rPr>
          <w:b/>
          <w:vertAlign w:val="baseline"/>
        </w:rPr>
        <w:t> </w:t>
      </w:r>
      <w:r>
        <w:rPr>
          <w:vertAlign w:val="baseline"/>
        </w:rPr>
        <w:t>The councils will be advisory bodies; but there would be a convention that, subject to the final authority of the State Cabinet, agreements reached at the council shall become operative. If there is a total failure of negotiations, compulsory arbitration should be provided for in respect of matters of pay and allowances, hours of work and leave. The joint teachers' councils will create a forum where the officers of the Department will meet the representatives of teachers' organizations at a sufficiently high level. We trust that this would help to build good relations between teachers and the State Governments and promote the cause of</w:t>
      </w:r>
      <w:r>
        <w:rPr>
          <w:spacing w:val="40"/>
          <w:vertAlign w:val="baseline"/>
        </w:rPr>
        <w:t> </w:t>
      </w:r>
      <w:r>
        <w:rPr>
          <w:vertAlign w:val="baseline"/>
        </w:rPr>
        <w:t>education by smoothening the innumerable administrative problems which are not promptly dealt with and which, by causing much avoidable suffering and inconvenience to teachers, have an adverse effect on educational standards.</w:t>
      </w:r>
    </w:p>
    <w:p>
      <w:pPr>
        <w:pStyle w:val="BodyText"/>
        <w:spacing w:before="4"/>
      </w:pPr>
    </w:p>
    <w:p>
      <w:pPr>
        <w:pStyle w:val="ListParagraph"/>
        <w:numPr>
          <w:ilvl w:val="1"/>
          <w:numId w:val="47"/>
        </w:numPr>
        <w:tabs>
          <w:tab w:pos="708" w:val="left" w:leader="none"/>
        </w:tabs>
        <w:spacing w:line="240" w:lineRule="auto" w:before="0" w:after="0"/>
        <w:ind w:left="159" w:right="495" w:firstLine="0"/>
        <w:jc w:val="both"/>
        <w:rPr>
          <w:b/>
          <w:sz w:val="24"/>
        </w:rPr>
      </w:pPr>
      <w:r>
        <w:rPr>
          <w:b/>
          <w:sz w:val="24"/>
        </w:rPr>
        <w:t>Social Status and Morale. </w:t>
      </w:r>
      <w:r>
        <w:rPr>
          <w:sz w:val="24"/>
        </w:rPr>
        <w:t>The efficiency of the teaching profession and its contribution to national development in general and educational improvement in particular, will depend largely on its social status and morale. This will, in its turn,</w:t>
      </w:r>
      <w:r>
        <w:rPr>
          <w:spacing w:val="40"/>
          <w:sz w:val="24"/>
        </w:rPr>
        <w:t> </w:t>
      </w:r>
      <w:r>
        <w:rPr>
          <w:sz w:val="24"/>
        </w:rPr>
        <w:t>depend upon two interrelated factors: economic status and civic rights of teachers, and their professional competence, character and sense of dedication. Throughout the world, the general experience has been that, as the material rewards of teachers are elevated, it becomes possible to recruit into the profession individuals of a continually improving quality and with more extended professional training; and in proportion as the competence, integrity and dedication of teachers has increased, society has been increasingly willing and Justifiably so to give greater recognition to their material and economic status. We visualize a similar development in India over the next twenty years.</w:t>
      </w:r>
    </w:p>
    <w:p>
      <w:pPr>
        <w:pStyle w:val="BodyText"/>
        <w:spacing w:before="4"/>
      </w:pPr>
    </w:p>
    <w:p>
      <w:pPr>
        <w:pStyle w:val="ListParagraph"/>
        <w:numPr>
          <w:ilvl w:val="1"/>
          <w:numId w:val="47"/>
        </w:numPr>
        <w:tabs>
          <w:tab w:pos="697" w:val="left" w:leader="none"/>
        </w:tabs>
        <w:spacing w:line="240" w:lineRule="auto" w:before="0" w:after="0"/>
        <w:ind w:left="159" w:right="497" w:firstLine="0"/>
        <w:jc w:val="both"/>
        <w:rPr>
          <w:b/>
          <w:sz w:val="24"/>
        </w:rPr>
      </w:pPr>
      <w:r>
        <w:rPr>
          <w:b/>
          <w:sz w:val="24"/>
        </w:rPr>
        <w:t>National Awards for School Teachers. </w:t>
      </w:r>
      <w:r>
        <w:rPr>
          <w:sz w:val="24"/>
        </w:rPr>
        <w:t>For some years past, the Ministry of Education has been operating a scheme of national awards for school teachers.</w:t>
      </w:r>
      <w:r>
        <w:rPr>
          <w:b/>
          <w:sz w:val="24"/>
          <w:vertAlign w:val="superscript"/>
        </w:rPr>
        <w:t>35</w:t>
      </w:r>
      <w:r>
        <w:rPr>
          <w:b/>
          <w:sz w:val="24"/>
          <w:vertAlign w:val="baseline"/>
        </w:rPr>
        <w:t> </w:t>
      </w:r>
      <w:r>
        <w:rPr>
          <w:sz w:val="24"/>
          <w:vertAlign w:val="baseline"/>
        </w:rPr>
        <w:t>The principal object of the scheme is to grant recognition to school teachers who have done outstanding work and helped to raise the status of the teaching profession. By and large, the scheme has worked fairly well. We would, however, request the Ministry of Education to examine the following suggestions which were made to us regarding this scheme and which, in our opinion, will improve its effectiveness:</w:t>
      </w:r>
    </w:p>
    <w:p>
      <w:pPr>
        <w:pStyle w:val="BodyText"/>
        <w:spacing w:before="4"/>
      </w:pPr>
    </w:p>
    <w:p>
      <w:pPr>
        <w:pStyle w:val="ListParagraph"/>
        <w:numPr>
          <w:ilvl w:val="0"/>
          <w:numId w:val="62"/>
        </w:numPr>
        <w:tabs>
          <w:tab w:pos="510" w:val="left" w:leader="none"/>
        </w:tabs>
        <w:spacing w:line="240" w:lineRule="auto" w:before="0" w:after="0"/>
        <w:ind w:left="159" w:right="496" w:firstLine="0"/>
        <w:jc w:val="both"/>
        <w:rPr>
          <w:sz w:val="24"/>
        </w:rPr>
      </w:pPr>
      <w:r>
        <w:rPr>
          <w:sz w:val="24"/>
        </w:rPr>
        <w:t>The number of awards is very small at present. In our opinion, there should be about 500 awards. At the primary stage, it is very difficult to compare the merits of teachers working under entirely different conditions. We, therefore, suggest that, broadly</w:t>
      </w:r>
      <w:r>
        <w:rPr>
          <w:spacing w:val="40"/>
          <w:sz w:val="24"/>
        </w:rPr>
        <w:t> </w:t>
      </w:r>
      <w:r>
        <w:rPr>
          <w:sz w:val="24"/>
        </w:rPr>
        <w:t>speaking, an award should be given every year to a primary teacher from each district.</w:t>
      </w:r>
      <w:r>
        <w:rPr>
          <w:spacing w:val="40"/>
          <w:sz w:val="24"/>
        </w:rPr>
        <w:t> </w:t>
      </w:r>
      <w:r>
        <w:rPr>
          <w:sz w:val="24"/>
        </w:rPr>
        <w:t>For secondary teachers there should be about 200 awards in all given on a State-basis as at present.</w:t>
      </w:r>
    </w:p>
    <w:p>
      <w:pPr>
        <w:pStyle w:val="BodyText"/>
        <w:spacing w:before="5"/>
      </w:pPr>
    </w:p>
    <w:p>
      <w:pPr>
        <w:pStyle w:val="BodyText"/>
        <w:ind w:left="160" w:right="495"/>
        <w:jc w:val="both"/>
      </w:pPr>
      <w:r>
        <w:rPr>
          <w:b/>
          <w:vertAlign w:val="superscript"/>
        </w:rPr>
        <w:t>34</w:t>
      </w:r>
      <w:r>
        <w:rPr>
          <w:vertAlign w:val="baseline"/>
        </w:rPr>
        <w:t>With regard to recruitment, promotion and discipline, the councils will deal with</w:t>
      </w:r>
      <w:r>
        <w:rPr>
          <w:spacing w:val="40"/>
          <w:vertAlign w:val="baseline"/>
        </w:rPr>
        <w:t> </w:t>
      </w:r>
      <w:r>
        <w:rPr>
          <w:vertAlign w:val="baseline"/>
        </w:rPr>
        <w:t>matters of general principles only and not with individual cases.</w:t>
      </w:r>
    </w:p>
    <w:p>
      <w:pPr>
        <w:pStyle w:val="BodyText"/>
        <w:spacing w:before="5"/>
      </w:pPr>
    </w:p>
    <w:p>
      <w:pPr>
        <w:pStyle w:val="BodyText"/>
        <w:ind w:left="160"/>
        <w:jc w:val="both"/>
      </w:pPr>
      <w:r>
        <w:rPr>
          <w:b/>
          <w:vertAlign w:val="superscript"/>
        </w:rPr>
        <w:t>35</w:t>
      </w:r>
      <w:r>
        <w:rPr>
          <w:vertAlign w:val="baseline"/>
        </w:rPr>
        <w:t>Similar</w:t>
      </w:r>
      <w:r>
        <w:rPr>
          <w:spacing w:val="-1"/>
          <w:vertAlign w:val="baseline"/>
        </w:rPr>
        <w:t> </w:t>
      </w:r>
      <w:r>
        <w:rPr>
          <w:vertAlign w:val="baseline"/>
        </w:rPr>
        <w:t>schemes</w:t>
      </w:r>
      <w:r>
        <w:rPr>
          <w:spacing w:val="-1"/>
          <w:vertAlign w:val="baseline"/>
        </w:rPr>
        <w:t> </w:t>
      </w:r>
      <w:r>
        <w:rPr>
          <w:vertAlign w:val="baseline"/>
        </w:rPr>
        <w:t>have</w:t>
      </w:r>
      <w:r>
        <w:rPr>
          <w:spacing w:val="-1"/>
          <w:vertAlign w:val="baseline"/>
        </w:rPr>
        <w:t> </w:t>
      </w:r>
      <w:r>
        <w:rPr>
          <w:vertAlign w:val="baseline"/>
        </w:rPr>
        <w:t>also</w:t>
      </w:r>
      <w:r>
        <w:rPr>
          <w:spacing w:val="-1"/>
          <w:vertAlign w:val="baseline"/>
        </w:rPr>
        <w:t> </w:t>
      </w:r>
      <w:r>
        <w:rPr>
          <w:vertAlign w:val="baseline"/>
        </w:rPr>
        <w:t>been</w:t>
      </w:r>
      <w:r>
        <w:rPr>
          <w:spacing w:val="-1"/>
          <w:vertAlign w:val="baseline"/>
        </w:rPr>
        <w:t> </w:t>
      </w:r>
      <w:r>
        <w:rPr>
          <w:vertAlign w:val="baseline"/>
        </w:rPr>
        <w:t>in</w:t>
      </w:r>
      <w:r>
        <w:rPr>
          <w:spacing w:val="-2"/>
          <w:vertAlign w:val="baseline"/>
        </w:rPr>
        <w:t> </w:t>
      </w:r>
      <w:r>
        <w:rPr>
          <w:vertAlign w:val="baseline"/>
        </w:rPr>
        <w:t>operation</w:t>
      </w:r>
      <w:r>
        <w:rPr>
          <w:spacing w:val="-1"/>
          <w:vertAlign w:val="baseline"/>
        </w:rPr>
        <w:t> </w:t>
      </w:r>
      <w:r>
        <w:rPr>
          <w:vertAlign w:val="baseline"/>
        </w:rPr>
        <w:t>in</w:t>
      </w:r>
      <w:r>
        <w:rPr>
          <w:spacing w:val="-2"/>
          <w:vertAlign w:val="baseline"/>
        </w:rPr>
        <w:t> </w:t>
      </w:r>
      <w:r>
        <w:rPr>
          <w:vertAlign w:val="baseline"/>
        </w:rPr>
        <w:t>some</w:t>
      </w:r>
      <w:r>
        <w:rPr>
          <w:spacing w:val="-2"/>
          <w:vertAlign w:val="baseline"/>
        </w:rPr>
        <w:t> States.</w:t>
      </w:r>
    </w:p>
    <w:p>
      <w:pPr>
        <w:spacing w:after="0"/>
        <w:jc w:val="both"/>
        <w:sectPr>
          <w:pgSz w:w="12240" w:h="15840"/>
          <w:pgMar w:header="0" w:footer="743" w:top="1360" w:bottom="940" w:left="1640" w:right="1300"/>
        </w:sectPr>
      </w:pPr>
    </w:p>
    <w:p>
      <w:pPr>
        <w:pStyle w:val="ListParagraph"/>
        <w:numPr>
          <w:ilvl w:val="0"/>
          <w:numId w:val="62"/>
        </w:numPr>
        <w:tabs>
          <w:tab w:pos="513" w:val="left" w:leader="none"/>
        </w:tabs>
        <w:spacing w:line="240" w:lineRule="auto" w:before="76" w:after="0"/>
        <w:ind w:left="160" w:right="497" w:firstLine="0"/>
        <w:jc w:val="both"/>
        <w:rPr>
          <w:sz w:val="24"/>
        </w:rPr>
      </w:pPr>
      <w:r>
        <w:rPr>
          <w:sz w:val="24"/>
        </w:rPr>
        <w:t>In order to minimize the influence of non-educational considerations such as politics or caste, it is desirable to strengthen the selection committees for the awards at all levels. With the committees at the State level, some outstanding non-official educationists and teachers</w:t>
      </w:r>
      <w:r>
        <w:rPr>
          <w:spacing w:val="-2"/>
          <w:sz w:val="24"/>
        </w:rPr>
        <w:t> </w:t>
      </w:r>
      <w:r>
        <w:rPr>
          <w:sz w:val="24"/>
        </w:rPr>
        <w:t>known</w:t>
      </w:r>
      <w:r>
        <w:rPr>
          <w:spacing w:val="-2"/>
          <w:sz w:val="24"/>
        </w:rPr>
        <w:t> </w:t>
      </w:r>
      <w:r>
        <w:rPr>
          <w:sz w:val="24"/>
        </w:rPr>
        <w:t>for</w:t>
      </w:r>
      <w:r>
        <w:rPr>
          <w:spacing w:val="-2"/>
          <w:sz w:val="24"/>
        </w:rPr>
        <w:t> </w:t>
      </w:r>
      <w:r>
        <w:rPr>
          <w:sz w:val="24"/>
        </w:rPr>
        <w:t>their</w:t>
      </w:r>
      <w:r>
        <w:rPr>
          <w:spacing w:val="-2"/>
          <w:sz w:val="24"/>
        </w:rPr>
        <w:t> </w:t>
      </w:r>
      <w:r>
        <w:rPr>
          <w:sz w:val="24"/>
        </w:rPr>
        <w:t>integrity</w:t>
      </w:r>
      <w:r>
        <w:rPr>
          <w:spacing w:val="-4"/>
          <w:sz w:val="24"/>
        </w:rPr>
        <w:t> </w:t>
      </w:r>
      <w:r>
        <w:rPr>
          <w:sz w:val="24"/>
        </w:rPr>
        <w:t>and</w:t>
      </w:r>
      <w:r>
        <w:rPr>
          <w:spacing w:val="-4"/>
          <w:sz w:val="24"/>
        </w:rPr>
        <w:t> </w:t>
      </w:r>
      <w:r>
        <w:rPr>
          <w:sz w:val="24"/>
        </w:rPr>
        <w:t>public</w:t>
      </w:r>
      <w:r>
        <w:rPr>
          <w:spacing w:val="-2"/>
          <w:sz w:val="24"/>
        </w:rPr>
        <w:t> </w:t>
      </w:r>
      <w:r>
        <w:rPr>
          <w:sz w:val="24"/>
        </w:rPr>
        <w:t>status</w:t>
      </w:r>
      <w:r>
        <w:rPr>
          <w:spacing w:val="-2"/>
          <w:sz w:val="24"/>
        </w:rPr>
        <w:t> </w:t>
      </w:r>
      <w:r>
        <w:rPr>
          <w:sz w:val="24"/>
        </w:rPr>
        <w:t>should</w:t>
      </w:r>
      <w:r>
        <w:rPr>
          <w:spacing w:val="-4"/>
          <w:sz w:val="24"/>
        </w:rPr>
        <w:t> </w:t>
      </w:r>
      <w:r>
        <w:rPr>
          <w:sz w:val="24"/>
        </w:rPr>
        <w:t>be</w:t>
      </w:r>
      <w:r>
        <w:rPr>
          <w:spacing w:val="-3"/>
          <w:sz w:val="24"/>
        </w:rPr>
        <w:t> </w:t>
      </w:r>
      <w:r>
        <w:rPr>
          <w:sz w:val="24"/>
        </w:rPr>
        <w:t>associated,</w:t>
      </w:r>
      <w:r>
        <w:rPr>
          <w:spacing w:val="-4"/>
          <w:sz w:val="24"/>
        </w:rPr>
        <w:t> </w:t>
      </w:r>
      <w:r>
        <w:rPr>
          <w:sz w:val="24"/>
        </w:rPr>
        <w:t>and</w:t>
      </w:r>
      <w:r>
        <w:rPr>
          <w:spacing w:val="-3"/>
          <w:sz w:val="24"/>
        </w:rPr>
        <w:t> </w:t>
      </w:r>
      <w:r>
        <w:rPr>
          <w:sz w:val="24"/>
        </w:rPr>
        <w:t>to</w:t>
      </w:r>
      <w:r>
        <w:rPr>
          <w:spacing w:val="-3"/>
          <w:sz w:val="24"/>
        </w:rPr>
        <w:t> </w:t>
      </w:r>
      <w:r>
        <w:rPr>
          <w:sz w:val="24"/>
        </w:rPr>
        <w:t>the</w:t>
      </w:r>
      <w:r>
        <w:rPr>
          <w:spacing w:val="-3"/>
          <w:sz w:val="24"/>
        </w:rPr>
        <w:t> </w:t>
      </w:r>
      <w:r>
        <w:rPr>
          <w:sz w:val="24"/>
        </w:rPr>
        <w:t>extent possible, this should also be done in the district-level committees.</w:t>
      </w:r>
    </w:p>
    <w:p>
      <w:pPr>
        <w:pStyle w:val="BodyText"/>
        <w:spacing w:before="4"/>
      </w:pPr>
    </w:p>
    <w:p>
      <w:pPr>
        <w:pStyle w:val="ListParagraph"/>
        <w:numPr>
          <w:ilvl w:val="0"/>
          <w:numId w:val="62"/>
        </w:numPr>
        <w:tabs>
          <w:tab w:pos="596" w:val="left" w:leader="none"/>
        </w:tabs>
        <w:spacing w:line="240" w:lineRule="auto" w:before="0" w:after="0"/>
        <w:ind w:left="160" w:right="497" w:firstLine="60"/>
        <w:jc w:val="both"/>
        <w:rPr>
          <w:sz w:val="24"/>
        </w:rPr>
      </w:pPr>
      <w:r>
        <w:rPr>
          <w:sz w:val="24"/>
        </w:rPr>
        <w:t>The travelling allowance given to the teachers receiving awards should be on </w:t>
      </w:r>
      <w:r>
        <w:rPr>
          <w:sz w:val="24"/>
        </w:rPr>
        <w:t>the same basis as for Class I officers of the Government of India. The arrangements for their stay in Delhi should be comfortable and generous.</w:t>
      </w:r>
    </w:p>
    <w:p>
      <w:pPr>
        <w:spacing w:after="0" w:line="240" w:lineRule="auto"/>
        <w:jc w:val="both"/>
        <w:rPr>
          <w:sz w:val="24"/>
        </w:rPr>
        <w:sectPr>
          <w:pgSz w:w="12240" w:h="15840"/>
          <w:pgMar w:header="0" w:footer="743" w:top="1360" w:bottom="940" w:left="1640" w:right="1300"/>
        </w:sectPr>
      </w:pPr>
    </w:p>
    <w:p>
      <w:pPr>
        <w:pStyle w:val="Heading1"/>
        <w:spacing w:before="60"/>
        <w:ind w:left="3522" w:right="3860"/>
      </w:pPr>
      <w:bookmarkStart w:name="_TOC_250004" w:id="25"/>
      <w:bookmarkEnd w:id="25"/>
      <w:r>
        <w:rPr>
          <w:spacing w:val="-2"/>
        </w:rPr>
        <w:t>SUMMARY</w:t>
      </w:r>
    </w:p>
    <w:p>
      <w:pPr>
        <w:pStyle w:val="BodyText"/>
        <w:rPr>
          <w:b/>
        </w:rPr>
      </w:pPr>
    </w:p>
    <w:p>
      <w:pPr>
        <w:pStyle w:val="ListParagraph"/>
        <w:numPr>
          <w:ilvl w:val="0"/>
          <w:numId w:val="63"/>
        </w:numPr>
        <w:tabs>
          <w:tab w:pos="408" w:val="left" w:leader="none"/>
        </w:tabs>
        <w:spacing w:line="240" w:lineRule="auto" w:before="0" w:after="0"/>
        <w:ind w:left="159" w:right="498" w:firstLine="0"/>
        <w:jc w:val="both"/>
        <w:rPr>
          <w:sz w:val="24"/>
        </w:rPr>
      </w:pPr>
      <w:r>
        <w:rPr>
          <w:sz w:val="24"/>
        </w:rPr>
        <w:t>Intensive and continuous efforts are necessary to raise the economic, social and professional status of teachers and to feed back talented young persons into the profession. 3.01-02</w:t>
      </w:r>
    </w:p>
    <w:p>
      <w:pPr>
        <w:pStyle w:val="BodyText"/>
        <w:spacing w:before="5"/>
      </w:pPr>
    </w:p>
    <w:p>
      <w:pPr>
        <w:pStyle w:val="ListParagraph"/>
        <w:numPr>
          <w:ilvl w:val="0"/>
          <w:numId w:val="63"/>
        </w:numPr>
        <w:tabs>
          <w:tab w:pos="404" w:val="left" w:leader="none"/>
        </w:tabs>
        <w:spacing w:line="240" w:lineRule="auto" w:before="0" w:after="0"/>
        <w:ind w:left="159" w:right="497" w:firstLine="0"/>
        <w:jc w:val="both"/>
        <w:rPr>
          <w:sz w:val="24"/>
        </w:rPr>
      </w:pPr>
      <w:r>
        <w:rPr>
          <w:sz w:val="24"/>
        </w:rPr>
        <w:t>Remuneration. The most urgent need is to upgrade the remuneration of teachers substantially, particularly at the school stage. 3.05</w:t>
      </w:r>
    </w:p>
    <w:p>
      <w:pPr>
        <w:pStyle w:val="BodyText"/>
        <w:spacing w:before="3"/>
      </w:pPr>
    </w:p>
    <w:p>
      <w:pPr>
        <w:pStyle w:val="ListParagraph"/>
        <w:numPr>
          <w:ilvl w:val="0"/>
          <w:numId w:val="64"/>
        </w:numPr>
        <w:tabs>
          <w:tab w:pos="525" w:val="left" w:leader="none"/>
        </w:tabs>
        <w:spacing w:line="240" w:lineRule="auto" w:before="1" w:after="0"/>
        <w:ind w:left="159" w:right="497" w:firstLine="0"/>
        <w:jc w:val="both"/>
        <w:rPr>
          <w:sz w:val="24"/>
        </w:rPr>
      </w:pPr>
      <w:r>
        <w:rPr>
          <w:sz w:val="24"/>
        </w:rPr>
        <w:t>The Government of India should lay down for the school stage minimum scales of</w:t>
      </w:r>
      <w:r>
        <w:rPr>
          <w:spacing w:val="40"/>
          <w:sz w:val="24"/>
        </w:rPr>
        <w:t> </w:t>
      </w:r>
      <w:r>
        <w:rPr>
          <w:sz w:val="24"/>
        </w:rPr>
        <w:t>pay for teachers and assist the States and Union Territories to adopt equivalent or higher scales to suit their conditions. 3.08</w:t>
      </w:r>
    </w:p>
    <w:p>
      <w:pPr>
        <w:pStyle w:val="BodyText"/>
        <w:spacing w:before="3"/>
      </w:pPr>
    </w:p>
    <w:p>
      <w:pPr>
        <w:pStyle w:val="ListParagraph"/>
        <w:numPr>
          <w:ilvl w:val="0"/>
          <w:numId w:val="64"/>
        </w:numPr>
        <w:tabs>
          <w:tab w:pos="522" w:val="left" w:leader="none"/>
        </w:tabs>
        <w:spacing w:line="240" w:lineRule="auto" w:before="0" w:after="0"/>
        <w:ind w:left="159" w:right="496" w:firstLine="0"/>
        <w:jc w:val="both"/>
        <w:rPr>
          <w:sz w:val="24"/>
        </w:rPr>
      </w:pPr>
      <w:r>
        <w:rPr>
          <w:sz w:val="24"/>
        </w:rPr>
        <w:t>Scales of pay of school teachers belonging to the same category but working under different managements such as government, local bodies or private managements should be the same. This principle of parity should be adopted forthwith. But its </w:t>
      </w:r>
      <w:r>
        <w:rPr>
          <w:sz w:val="24"/>
        </w:rPr>
        <w:t>full implementation may, if necessary, be phased over a programme of five years. 3.09 (3) The Commission proposes the following scales of pay:</w:t>
      </w:r>
    </w:p>
    <w:p>
      <w:pPr>
        <w:pStyle w:val="BodyText"/>
        <w:spacing w:before="224"/>
        <w:rPr>
          <w:sz w:val="20"/>
        </w:rPr>
      </w:pPr>
      <w:r>
        <w:rPr/>
        <mc:AlternateContent>
          <mc:Choice Requires="wps">
            <w:drawing>
              <wp:anchor distT="0" distB="0" distL="0" distR="0" allowOverlap="1" layoutInCell="1" locked="0" behindDoc="1" simplePos="0" relativeHeight="487598592">
                <wp:simplePos x="0" y="0"/>
                <wp:positionH relativeFrom="page">
                  <wp:posOffset>1143000</wp:posOffset>
                </wp:positionH>
                <wp:positionV relativeFrom="paragraph">
                  <wp:posOffset>303543</wp:posOffset>
                </wp:positionV>
                <wp:extent cx="5486400" cy="19050"/>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5486400" cy="19050"/>
                          <a:chExt cx="5486400" cy="19050"/>
                        </a:xfrm>
                      </wpg:grpSpPr>
                      <wps:wsp>
                        <wps:cNvPr id="128" name="Graphic 12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29" name="Graphic 129"/>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30" name="Graphic 130"/>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31" name="Graphic 131"/>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32" name="Graphic 132"/>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33" name="Graphic 133"/>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134" name="Graphic 134"/>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901094pt;width:432pt;height:1.5pt;mso-position-horizontal-relative:page;mso-position-vertical-relative:paragraph;z-index:-15717888;mso-wrap-distance-left:0;mso-wrap-distance-right:0" id="docshapegroup122" coordorigin="1800,478" coordsize="8640,30">
                <v:rect style="position:absolute;left:1800;top:478;width:8640;height:30" id="docshape123" filled="true" fillcolor="#808080" stroked="false">
                  <v:fill type="solid"/>
                </v:rect>
                <v:shape style="position:absolute;left:1800;top:478;width:8636;height:5" id="docshape124" coordorigin="1800,478" coordsize="8636,5" path="m10435,478l1805,478,1800,478,1800,483,1805,483,10435,483,10435,478xe" filled="true" fillcolor="#aca89a" stroked="false">
                  <v:path arrowok="t"/>
                  <v:fill type="solid"/>
                </v:shape>
                <v:rect style="position:absolute;left:10435;top:478;width:5;height:5" id="docshape125" filled="true" fillcolor="#f1efe2" stroked="false">
                  <v:fill type="solid"/>
                </v:rect>
                <v:shape style="position:absolute;left:1800;top:478;width:8640;height:26" id="docshape126" coordorigin="1800,478" coordsize="8640,26" path="m1805,483l1800,483,1800,503,1805,503,1805,483xm10440,478l10435,478,10435,483,10440,483,10440,478xe" filled="true" fillcolor="#aca89a" stroked="false">
                  <v:path arrowok="t"/>
                  <v:fill type="solid"/>
                </v:shape>
                <v:rect style="position:absolute;left:10435;top:482;width:5;height:21" id="docshape127" filled="true" fillcolor="#f1efe2" stroked="false">
                  <v:fill type="solid"/>
                </v:rect>
                <v:rect style="position:absolute;left:1800;top:503;width:5;height:5" id="docshape128" filled="true" fillcolor="#aca89a" stroked="false">
                  <v:fill type="solid"/>
                </v:rect>
                <v:shape style="position:absolute;left:1800;top:503;width:8640;height:5" id="docshape129" coordorigin="1800,503" coordsize="8640,5" path="m10440,503l10435,503,1800,503,1800,508,10435,508,10440,508,10440,503xe" filled="true" fillcolor="#f1efe2" stroked="false">
                  <v:path arrowok="t"/>
                  <v:fill type="solid"/>
                </v:shape>
                <w10:wrap type="topAndBottom"/>
              </v:group>
            </w:pict>
          </mc:Fallback>
        </mc:AlternateContent>
      </w:r>
    </w:p>
    <w:p>
      <w:pPr>
        <w:pStyle w:val="BodyText"/>
        <w:tabs>
          <w:tab w:pos="7230" w:val="left" w:leader="none"/>
        </w:tabs>
        <w:spacing w:before="48"/>
        <w:ind w:left="1075"/>
      </w:pPr>
      <w:r>
        <w:rPr>
          <w:spacing w:val="-2"/>
        </w:rPr>
        <w:t>Teachers</w:t>
      </w:r>
      <w:r>
        <w:rPr/>
        <w:tab/>
      </w:r>
      <w:r>
        <w:rPr>
          <w:spacing w:val="-2"/>
        </w:rPr>
        <w:t>Remuneration</w:t>
      </w:r>
    </w:p>
    <w:p>
      <w:pPr>
        <w:pStyle w:val="BodyText"/>
        <w:spacing w:before="1"/>
        <w:rPr>
          <w:sz w:val="15"/>
        </w:rPr>
      </w:pPr>
      <w:r>
        <w:rPr/>
        <mc:AlternateContent>
          <mc:Choice Requires="wps">
            <w:drawing>
              <wp:anchor distT="0" distB="0" distL="0" distR="0" allowOverlap="1" layoutInCell="1" locked="0" behindDoc="1" simplePos="0" relativeHeight="487599104">
                <wp:simplePos x="0" y="0"/>
                <wp:positionH relativeFrom="page">
                  <wp:posOffset>1143000</wp:posOffset>
                </wp:positionH>
                <wp:positionV relativeFrom="paragraph">
                  <wp:posOffset>125744</wp:posOffset>
                </wp:positionV>
                <wp:extent cx="5486400" cy="19050"/>
                <wp:effectExtent l="0" t="0" r="0" b="0"/>
                <wp:wrapTopAndBottom/>
                <wp:docPr id="135" name="Group 135"/>
                <wp:cNvGraphicFramePr>
                  <a:graphicFrameLocks/>
                </wp:cNvGraphicFramePr>
                <a:graphic>
                  <a:graphicData uri="http://schemas.microsoft.com/office/word/2010/wordprocessingGroup">
                    <wpg:wgp>
                      <wpg:cNvPr id="135" name="Group 135"/>
                      <wpg:cNvGrpSpPr/>
                      <wpg:grpSpPr>
                        <a:xfrm>
                          <a:off x="0" y="0"/>
                          <a:ext cx="5486400" cy="19050"/>
                          <a:chExt cx="5486400" cy="19050"/>
                        </a:xfrm>
                      </wpg:grpSpPr>
                      <wps:wsp>
                        <wps:cNvPr id="136" name="Graphic 13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37" name="Graphic 137"/>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38" name="Graphic 138"/>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39" name="Graphic 139"/>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40" name="Graphic 140"/>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41" name="Graphic 141"/>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142" name="Graphic 142"/>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1172pt;width:432pt;height:1.5pt;mso-position-horizontal-relative:page;mso-position-vertical-relative:paragraph;z-index:-15717376;mso-wrap-distance-left:0;mso-wrap-distance-right:0" id="docshapegroup130" coordorigin="1800,198" coordsize="8640,30">
                <v:rect style="position:absolute;left:1800;top:198;width:8640;height:30" id="docshape131" filled="true" fillcolor="#808080" stroked="false">
                  <v:fill type="solid"/>
                </v:rect>
                <v:shape style="position:absolute;left:1800;top:198;width:8636;height:5" id="docshape132" coordorigin="1800,198" coordsize="8636,5" path="m10435,198l1805,198,1800,198,1800,203,1805,203,10435,203,10435,198xe" filled="true" fillcolor="#aca89a" stroked="false">
                  <v:path arrowok="t"/>
                  <v:fill type="solid"/>
                </v:shape>
                <v:rect style="position:absolute;left:10435;top:198;width:5;height:5" id="docshape133" filled="true" fillcolor="#f1efe2" stroked="false">
                  <v:fill type="solid"/>
                </v:rect>
                <v:shape style="position:absolute;left:1800;top:198;width:8640;height:26" id="docshape134" coordorigin="1800,198" coordsize="8640,26" path="m1805,203l1800,203,1800,223,1805,223,1805,203xm10440,198l10435,198,10435,203,10440,203,10440,198xe" filled="true" fillcolor="#aca89a" stroked="false">
                  <v:path arrowok="t"/>
                  <v:fill type="solid"/>
                </v:shape>
                <v:rect style="position:absolute;left:10435;top:202;width:5;height:21" id="docshape135" filled="true" fillcolor="#f1efe2" stroked="false">
                  <v:fill type="solid"/>
                </v:rect>
                <v:rect style="position:absolute;left:1800;top:223;width:5;height:5" id="docshape136" filled="true" fillcolor="#aca89a" stroked="false">
                  <v:fill type="solid"/>
                </v:rect>
                <v:shape style="position:absolute;left:1800;top:223;width:8640;height:5" id="docshape137"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spacing w:before="48"/>
        <w:ind w:right="1496"/>
        <w:jc w:val="right"/>
      </w:pPr>
      <w:r>
        <w:rPr>
          <w:spacing w:val="-5"/>
        </w:rPr>
        <w:t>Rs.</w:t>
      </w:r>
    </w:p>
    <w:p>
      <w:pPr>
        <w:pStyle w:val="ListParagraph"/>
        <w:numPr>
          <w:ilvl w:val="0"/>
          <w:numId w:val="65"/>
        </w:numPr>
        <w:tabs>
          <w:tab w:pos="558" w:val="left" w:leader="none"/>
          <w:tab w:pos="3823" w:val="left" w:leader="none"/>
          <w:tab w:pos="7487" w:val="left" w:leader="none"/>
        </w:tabs>
        <w:spacing w:line="240" w:lineRule="auto" w:before="0" w:after="0"/>
        <w:ind w:left="558" w:right="0" w:hanging="339"/>
        <w:jc w:val="left"/>
        <w:rPr>
          <w:sz w:val="24"/>
        </w:rPr>
      </w:pPr>
      <w:r>
        <w:rPr>
          <w:sz w:val="24"/>
        </w:rPr>
        <w:t>Teachers</w:t>
      </w:r>
      <w:r>
        <w:rPr>
          <w:spacing w:val="-1"/>
          <w:sz w:val="24"/>
        </w:rPr>
        <w:t> </w:t>
      </w:r>
      <w:r>
        <w:rPr>
          <w:sz w:val="24"/>
        </w:rPr>
        <w:t>who</w:t>
      </w:r>
      <w:r>
        <w:rPr>
          <w:spacing w:val="-1"/>
          <w:sz w:val="24"/>
        </w:rPr>
        <w:t> </w:t>
      </w:r>
      <w:r>
        <w:rPr>
          <w:sz w:val="24"/>
        </w:rPr>
        <w:t>have </w:t>
      </w:r>
      <w:r>
        <w:rPr>
          <w:spacing w:val="-2"/>
          <w:sz w:val="24"/>
        </w:rPr>
        <w:t>completed</w:t>
      </w:r>
      <w:r>
        <w:rPr>
          <w:sz w:val="24"/>
        </w:rPr>
        <w:tab/>
        <w:t>Minimum</w:t>
      </w:r>
      <w:r>
        <w:rPr>
          <w:spacing w:val="-6"/>
          <w:sz w:val="24"/>
        </w:rPr>
        <w:t> </w:t>
      </w:r>
      <w:r>
        <w:rPr>
          <w:sz w:val="24"/>
        </w:rPr>
        <w:t>for</w:t>
      </w:r>
      <w:r>
        <w:rPr>
          <w:spacing w:val="-1"/>
          <w:sz w:val="24"/>
        </w:rPr>
        <w:t> </w:t>
      </w:r>
      <w:r>
        <w:rPr>
          <w:sz w:val="24"/>
        </w:rPr>
        <w:t>trained</w:t>
      </w:r>
      <w:r>
        <w:rPr>
          <w:spacing w:val="-1"/>
          <w:sz w:val="24"/>
        </w:rPr>
        <w:t> </w:t>
      </w:r>
      <w:r>
        <w:rPr>
          <w:spacing w:val="-2"/>
          <w:sz w:val="24"/>
        </w:rPr>
        <w:t>teachers</w:t>
      </w:r>
      <w:r>
        <w:rPr>
          <w:sz w:val="24"/>
        </w:rPr>
        <w:tab/>
      </w:r>
      <w:r>
        <w:rPr>
          <w:spacing w:val="-5"/>
          <w:sz w:val="24"/>
        </w:rPr>
        <w:t>150</w:t>
      </w:r>
    </w:p>
    <w:p>
      <w:pPr>
        <w:pStyle w:val="BodyText"/>
        <w:ind w:left="159"/>
      </w:pPr>
      <w:r>
        <w:rPr/>
        <w:t>the secondary course and </w:t>
      </w:r>
      <w:r>
        <w:rPr>
          <w:spacing w:val="-4"/>
        </w:rPr>
        <w:t>have</w:t>
      </w:r>
    </w:p>
    <w:p>
      <w:pPr>
        <w:pStyle w:val="BodyText"/>
        <w:tabs>
          <w:tab w:pos="3822" w:val="left" w:leader="none"/>
          <w:tab w:pos="7487" w:val="left" w:leader="none"/>
        </w:tabs>
        <w:ind w:left="159" w:right="1450"/>
      </w:pPr>
      <w:r>
        <w:rPr/>
        <w:t>received two years of pro-</w:t>
        <w:tab/>
      </w:r>
      <w:r>
        <w:rPr>
          <w:spacing w:val="-60"/>
        </w:rPr>
        <w:t> </w:t>
      </w:r>
      <w:r>
        <w:rPr/>
        <w:t>Maximum salary (to be reached in fessional training.</w:t>
        <w:tab/>
        <w:t>a period of about 20 years)</w:t>
        <w:tab/>
      </w:r>
      <w:r>
        <w:rPr>
          <w:spacing w:val="-4"/>
        </w:rPr>
        <w:t>250</w:t>
      </w:r>
    </w:p>
    <w:p>
      <w:pPr>
        <w:pStyle w:val="BodyText"/>
        <w:spacing w:before="276"/>
        <w:ind w:left="3823"/>
      </w:pPr>
      <w:r>
        <w:rPr/>
        <w:t>Selection grade (for about 15 </w:t>
      </w:r>
      <w:r>
        <w:rPr>
          <w:spacing w:val="-4"/>
        </w:rPr>
        <w:t>p.c.</w:t>
      </w:r>
    </w:p>
    <w:p>
      <w:pPr>
        <w:pStyle w:val="BodyText"/>
        <w:tabs>
          <w:tab w:pos="7488" w:val="left" w:leader="none"/>
        </w:tabs>
        <w:ind w:left="3823"/>
      </w:pPr>
      <w:r>
        <w:rPr/>
        <w:t>of the </w:t>
      </w:r>
      <w:r>
        <w:rPr>
          <w:spacing w:val="-2"/>
        </w:rPr>
        <w:t>cadre)</w:t>
      </w:r>
      <w:r>
        <w:rPr/>
        <w:tab/>
        <w:t>250-</w:t>
      </w:r>
      <w:r>
        <w:rPr>
          <w:spacing w:val="-5"/>
        </w:rPr>
        <w:t>300</w:t>
      </w:r>
    </w:p>
    <w:p>
      <w:pPr>
        <w:pStyle w:val="BodyText"/>
        <w:spacing w:before="276"/>
        <w:ind w:left="159" w:right="496"/>
        <w:jc w:val="both"/>
      </w:pPr>
      <w:r>
        <w:rPr/>
        <w:t>N.B. The</w:t>
      </w:r>
      <w:r>
        <w:rPr>
          <w:spacing w:val="40"/>
        </w:rPr>
        <w:t>  </w:t>
      </w:r>
      <w:r>
        <w:rPr/>
        <w:t>minimum</w:t>
      </w:r>
      <w:r>
        <w:rPr>
          <w:spacing w:val="40"/>
        </w:rPr>
        <w:t>  </w:t>
      </w:r>
      <w:r>
        <w:rPr/>
        <w:t>salary</w:t>
      </w:r>
      <w:r>
        <w:rPr>
          <w:spacing w:val="80"/>
        </w:rPr>
        <w:t> </w:t>
      </w:r>
      <w:r>
        <w:rPr/>
        <w:t>of</w:t>
      </w:r>
      <w:r>
        <w:rPr>
          <w:spacing w:val="80"/>
        </w:rPr>
        <w:t> </w:t>
      </w:r>
      <w:r>
        <w:rPr/>
        <w:t>a</w:t>
      </w:r>
      <w:r>
        <w:rPr>
          <w:spacing w:val="80"/>
        </w:rPr>
        <w:t> </w:t>
      </w:r>
      <w:r>
        <w:rPr/>
        <w:t>primary</w:t>
      </w:r>
      <w:r>
        <w:rPr>
          <w:spacing w:val="40"/>
        </w:rPr>
        <w:t>  </w:t>
      </w:r>
      <w:r>
        <w:rPr/>
        <w:t>teacher</w:t>
      </w:r>
      <w:r>
        <w:rPr>
          <w:spacing w:val="40"/>
        </w:rPr>
        <w:t>  </w:t>
      </w:r>
      <w:r>
        <w:rPr/>
        <w:t>who</w:t>
      </w:r>
      <w:r>
        <w:rPr>
          <w:spacing w:val="40"/>
        </w:rPr>
        <w:t>  </w:t>
      </w:r>
      <w:r>
        <w:rPr/>
        <w:t>has completed</w:t>
      </w:r>
      <w:r>
        <w:rPr>
          <w:spacing w:val="80"/>
        </w:rPr>
        <w:t> </w:t>
      </w:r>
      <w:r>
        <w:rPr/>
        <w:t>the secondary course should be immediately</w:t>
      </w:r>
      <w:r>
        <w:rPr>
          <w:spacing w:val="80"/>
        </w:rPr>
        <w:t> </w:t>
      </w:r>
      <w:r>
        <w:rPr/>
        <w:t>raised</w:t>
      </w:r>
      <w:r>
        <w:rPr>
          <w:spacing w:val="80"/>
        </w:rPr>
        <w:t> </w:t>
      </w:r>
      <w:r>
        <w:rPr/>
        <w:t>to</w:t>
      </w:r>
      <w:r>
        <w:rPr>
          <w:spacing w:val="80"/>
        </w:rPr>
        <w:t> </w:t>
      </w:r>
      <w:r>
        <w:rPr/>
        <w:t>Rs.</w:t>
      </w:r>
      <w:r>
        <w:rPr>
          <w:spacing w:val="80"/>
        </w:rPr>
        <w:t> </w:t>
      </w:r>
      <w:r>
        <w:rPr/>
        <w:t>100;</w:t>
      </w:r>
      <w:r>
        <w:rPr>
          <w:spacing w:val="80"/>
        </w:rPr>
        <w:t> </w:t>
      </w:r>
      <w:r>
        <w:rPr/>
        <w:t>and in a period of five years,</w:t>
      </w:r>
      <w:r>
        <w:rPr>
          <w:spacing w:val="80"/>
        </w:rPr>
        <w:t> </w:t>
      </w:r>
      <w:r>
        <w:rPr/>
        <w:t>it</w:t>
      </w:r>
      <w:r>
        <w:rPr>
          <w:spacing w:val="80"/>
        </w:rPr>
        <w:t> </w:t>
      </w:r>
      <w:r>
        <w:rPr/>
        <w:t>should</w:t>
      </w:r>
      <w:r>
        <w:rPr>
          <w:spacing w:val="80"/>
        </w:rPr>
        <w:t> </w:t>
      </w:r>
      <w:r>
        <w:rPr/>
        <w:t>be raised to Rs. 125.</w:t>
      </w:r>
      <w:r>
        <w:rPr>
          <w:spacing w:val="80"/>
        </w:rPr>
        <w:t> </w:t>
      </w:r>
      <w:r>
        <w:rPr/>
        <w:t>Similarly, the minimum pay of a</w:t>
      </w:r>
      <w:r>
        <w:rPr>
          <w:spacing w:val="80"/>
        </w:rPr>
        <w:t> </w:t>
      </w:r>
      <w:r>
        <w:rPr/>
        <w:t>teacher,</w:t>
      </w:r>
      <w:r>
        <w:rPr>
          <w:spacing w:val="80"/>
        </w:rPr>
        <w:t> </w:t>
      </w:r>
      <w:r>
        <w:rPr/>
        <w:t>who has</w:t>
      </w:r>
      <w:r>
        <w:rPr>
          <w:spacing w:val="40"/>
        </w:rPr>
        <w:t> </w:t>
      </w:r>
      <w:r>
        <w:rPr/>
        <w:t>received two years of training,</w:t>
      </w:r>
      <w:r>
        <w:rPr>
          <w:spacing w:val="40"/>
        </w:rPr>
        <w:t> </w:t>
      </w:r>
      <w:r>
        <w:rPr/>
        <w:t>should</w:t>
      </w:r>
      <w:r>
        <w:rPr>
          <w:spacing w:val="40"/>
        </w:rPr>
        <w:t> </w:t>
      </w:r>
      <w:r>
        <w:rPr/>
        <w:t>be</w:t>
      </w:r>
      <w:r>
        <w:rPr>
          <w:spacing w:val="40"/>
        </w:rPr>
        <w:t> </w:t>
      </w:r>
      <w:r>
        <w:rPr/>
        <w:t>raised</w:t>
      </w:r>
      <w:r>
        <w:rPr>
          <w:spacing w:val="40"/>
        </w:rPr>
        <w:t> </w:t>
      </w:r>
      <w:r>
        <w:rPr/>
        <w:t>immediately to Rs. 125; and it should be raised to Rs. 150 in</w:t>
      </w:r>
      <w:r>
        <w:rPr>
          <w:spacing w:val="80"/>
        </w:rPr>
        <w:t> </w:t>
      </w:r>
      <w:r>
        <w:rPr/>
        <w:t>a period of five years.</w:t>
      </w:r>
      <w:r>
        <w:rPr>
          <w:spacing w:val="80"/>
        </w:rPr>
        <w:t> </w:t>
      </w:r>
      <w:r>
        <w:rPr/>
        <w:t>Untrained persons with the requisite academic qualifications should work on the</w:t>
      </w:r>
      <w:r>
        <w:rPr>
          <w:spacing w:val="80"/>
        </w:rPr>
        <w:t> </w:t>
      </w:r>
      <w:r>
        <w:rPr/>
        <w:t>starting</w:t>
      </w:r>
      <w:r>
        <w:rPr>
          <w:spacing w:val="80"/>
        </w:rPr>
        <w:t> </w:t>
      </w:r>
      <w:r>
        <w:rPr/>
        <w:t>salary until they are trained and become eligible for the scale.</w:t>
      </w:r>
    </w:p>
    <w:p>
      <w:pPr>
        <w:pStyle w:val="ListParagraph"/>
        <w:numPr>
          <w:ilvl w:val="0"/>
          <w:numId w:val="65"/>
        </w:numPr>
        <w:tabs>
          <w:tab w:pos="497" w:val="left" w:leader="none"/>
        </w:tabs>
        <w:spacing w:line="240" w:lineRule="auto" w:before="276" w:after="0"/>
        <w:ind w:left="497" w:right="0" w:hanging="338"/>
        <w:jc w:val="both"/>
        <w:rPr>
          <w:sz w:val="24"/>
        </w:rPr>
      </w:pPr>
      <w:r>
        <w:rPr>
          <w:sz w:val="24"/>
        </w:rPr>
        <w:t>Graduates</w:t>
      </w:r>
      <w:r>
        <w:rPr>
          <w:spacing w:val="-2"/>
          <w:sz w:val="24"/>
        </w:rPr>
        <w:t> </w:t>
      </w:r>
      <w:r>
        <w:rPr>
          <w:sz w:val="24"/>
        </w:rPr>
        <w:t>who</w:t>
      </w:r>
      <w:r>
        <w:rPr>
          <w:spacing w:val="-1"/>
          <w:sz w:val="24"/>
        </w:rPr>
        <w:t> </w:t>
      </w:r>
      <w:r>
        <w:rPr>
          <w:sz w:val="24"/>
        </w:rPr>
        <w:t>have</w:t>
      </w:r>
      <w:r>
        <w:rPr>
          <w:spacing w:val="-1"/>
          <w:sz w:val="24"/>
        </w:rPr>
        <w:t> </w:t>
      </w:r>
      <w:r>
        <w:rPr>
          <w:sz w:val="24"/>
        </w:rPr>
        <w:t>received</w:t>
      </w:r>
      <w:r>
        <w:rPr>
          <w:spacing w:val="73"/>
          <w:w w:val="150"/>
          <w:sz w:val="24"/>
        </w:rPr>
        <w:t>   </w:t>
      </w:r>
      <w:r>
        <w:rPr>
          <w:sz w:val="24"/>
        </w:rPr>
        <w:t>Minimum</w:t>
      </w:r>
      <w:r>
        <w:rPr>
          <w:spacing w:val="-1"/>
          <w:sz w:val="24"/>
        </w:rPr>
        <w:t> </w:t>
      </w:r>
      <w:r>
        <w:rPr>
          <w:sz w:val="24"/>
        </w:rPr>
        <w:t>for trained graduates</w:t>
      </w:r>
      <w:r>
        <w:rPr>
          <w:spacing w:val="74"/>
          <w:w w:val="150"/>
          <w:sz w:val="24"/>
        </w:rPr>
        <w:t>    </w:t>
      </w:r>
      <w:r>
        <w:rPr>
          <w:spacing w:val="-5"/>
          <w:sz w:val="24"/>
        </w:rPr>
        <w:t>220</w:t>
      </w:r>
    </w:p>
    <w:p>
      <w:pPr>
        <w:pStyle w:val="BodyText"/>
        <w:ind w:left="159"/>
      </w:pPr>
      <w:r>
        <w:rPr/>
        <w:t>one</w:t>
      </w:r>
      <w:r>
        <w:rPr>
          <w:spacing w:val="-2"/>
        </w:rPr>
        <w:t> </w:t>
      </w:r>
      <w:r>
        <w:rPr/>
        <w:t>year's</w:t>
      </w:r>
      <w:r>
        <w:rPr>
          <w:spacing w:val="-2"/>
        </w:rPr>
        <w:t> </w:t>
      </w:r>
      <w:r>
        <w:rPr/>
        <w:t>professional</w:t>
      </w:r>
      <w:r>
        <w:rPr>
          <w:spacing w:val="-1"/>
        </w:rPr>
        <w:t> </w:t>
      </w:r>
      <w:r>
        <w:rPr>
          <w:spacing w:val="-2"/>
        </w:rPr>
        <w:t>training</w:t>
      </w:r>
    </w:p>
    <w:p>
      <w:pPr>
        <w:pStyle w:val="BodyText"/>
        <w:tabs>
          <w:tab w:pos="7487" w:val="left" w:leader="none"/>
        </w:tabs>
        <w:spacing w:before="276"/>
        <w:ind w:left="3823" w:right="1450" w:hanging="3"/>
      </w:pPr>
      <w:r>
        <w:rPr/>
        <w:t>Maximum salary (to be reached in a period of 20 years)</w:t>
        <w:tab/>
      </w:r>
      <w:r>
        <w:rPr>
          <w:spacing w:val="-4"/>
        </w:rPr>
        <w:t>400</w:t>
      </w:r>
    </w:p>
    <w:p>
      <w:pPr>
        <w:pStyle w:val="BodyText"/>
        <w:spacing w:before="276"/>
        <w:ind w:left="3823"/>
      </w:pPr>
      <w:r>
        <w:rPr/>
        <w:t>Selection grade (for about 15 </w:t>
      </w:r>
      <w:r>
        <w:rPr>
          <w:spacing w:val="-4"/>
        </w:rPr>
        <w:t>p.c.</w:t>
      </w:r>
    </w:p>
    <w:p>
      <w:pPr>
        <w:spacing w:after="0"/>
        <w:sectPr>
          <w:pgSz w:w="12240" w:h="15840"/>
          <w:pgMar w:header="0" w:footer="743" w:top="1380" w:bottom="940" w:left="1640" w:right="1300"/>
        </w:sectPr>
      </w:pPr>
    </w:p>
    <w:p>
      <w:pPr>
        <w:pStyle w:val="BodyText"/>
        <w:tabs>
          <w:tab w:pos="7488" w:val="left" w:leader="none"/>
        </w:tabs>
        <w:spacing w:before="76"/>
        <w:ind w:left="3823"/>
      </w:pPr>
      <w:r>
        <w:rPr/>
        <w:t>of the </w:t>
      </w:r>
      <w:r>
        <w:rPr>
          <w:spacing w:val="-2"/>
        </w:rPr>
        <w:t>cadre)</w:t>
      </w:r>
      <w:r>
        <w:rPr/>
        <w:tab/>
        <w:t>300-</w:t>
      </w:r>
      <w:r>
        <w:rPr>
          <w:spacing w:val="-5"/>
        </w:rPr>
        <w:t>500</w:t>
      </w:r>
    </w:p>
    <w:p>
      <w:pPr>
        <w:pStyle w:val="BodyText"/>
      </w:pPr>
    </w:p>
    <w:p>
      <w:pPr>
        <w:pStyle w:val="BodyText"/>
        <w:ind w:left="160" w:right="510"/>
      </w:pPr>
      <w:r>
        <w:rPr/>
        <w:t>N.B.</w:t>
      </w:r>
      <w:r>
        <w:rPr>
          <w:spacing w:val="29"/>
        </w:rPr>
        <w:t> </w:t>
      </w:r>
      <w:r>
        <w:rPr/>
        <w:t>Untrained</w:t>
      </w:r>
      <w:r>
        <w:rPr>
          <w:spacing w:val="29"/>
        </w:rPr>
        <w:t> </w:t>
      </w:r>
      <w:r>
        <w:rPr/>
        <w:t>graduates</w:t>
      </w:r>
      <w:r>
        <w:rPr>
          <w:spacing w:val="29"/>
        </w:rPr>
        <w:t> </w:t>
      </w:r>
      <w:r>
        <w:rPr/>
        <w:t>should</w:t>
      </w:r>
      <w:r>
        <w:rPr>
          <w:spacing w:val="29"/>
        </w:rPr>
        <w:t> </w:t>
      </w:r>
      <w:r>
        <w:rPr/>
        <w:t>remain</w:t>
      </w:r>
      <w:r>
        <w:rPr>
          <w:spacing w:val="29"/>
        </w:rPr>
        <w:t> </w:t>
      </w:r>
      <w:r>
        <w:rPr/>
        <w:t>on</w:t>
      </w:r>
      <w:r>
        <w:rPr>
          <w:spacing w:val="29"/>
        </w:rPr>
        <w:t> </w:t>
      </w:r>
      <w:r>
        <w:rPr/>
        <w:t>their</w:t>
      </w:r>
      <w:r>
        <w:rPr>
          <w:spacing w:val="29"/>
        </w:rPr>
        <w:t> </w:t>
      </w:r>
      <w:r>
        <w:rPr/>
        <w:t>starting</w:t>
      </w:r>
      <w:r>
        <w:rPr>
          <w:spacing w:val="29"/>
        </w:rPr>
        <w:t> </w:t>
      </w:r>
      <w:r>
        <w:rPr/>
        <w:t>salary</w:t>
      </w:r>
      <w:r>
        <w:rPr>
          <w:spacing w:val="29"/>
        </w:rPr>
        <w:t> </w:t>
      </w:r>
      <w:r>
        <w:rPr/>
        <w:t>of</w:t>
      </w:r>
      <w:r>
        <w:rPr>
          <w:spacing w:val="29"/>
        </w:rPr>
        <w:t> </w:t>
      </w:r>
      <w:r>
        <w:rPr/>
        <w:t>Rs.</w:t>
      </w:r>
      <w:r>
        <w:rPr>
          <w:spacing w:val="80"/>
        </w:rPr>
        <w:t> </w:t>
      </w:r>
      <w:r>
        <w:rPr/>
        <w:t>220</w:t>
      </w:r>
      <w:r>
        <w:rPr>
          <w:spacing w:val="29"/>
        </w:rPr>
        <w:t> </w:t>
      </w:r>
      <w:r>
        <w:rPr/>
        <w:t>p.m.</w:t>
      </w:r>
      <w:r>
        <w:rPr>
          <w:spacing w:val="29"/>
        </w:rPr>
        <w:t> </w:t>
      </w:r>
      <w:r>
        <w:rPr/>
        <w:t>until they are trained and become eligible for the scale.</w:t>
      </w:r>
    </w:p>
    <w:p>
      <w:pPr>
        <w:pStyle w:val="BodyText"/>
      </w:pPr>
    </w:p>
    <w:p>
      <w:pPr>
        <w:pStyle w:val="ListParagraph"/>
        <w:numPr>
          <w:ilvl w:val="0"/>
          <w:numId w:val="65"/>
        </w:numPr>
        <w:tabs>
          <w:tab w:pos="617" w:val="left" w:leader="none"/>
        </w:tabs>
        <w:spacing w:line="240" w:lineRule="auto" w:before="1" w:after="0"/>
        <w:ind w:left="160" w:right="4890" w:firstLine="59"/>
        <w:jc w:val="left"/>
        <w:rPr>
          <w:sz w:val="24"/>
        </w:rPr>
      </w:pPr>
      <w:r>
        <w:rPr>
          <w:sz w:val="24"/>
        </w:rPr>
        <w:t>Teachers</w:t>
      </w:r>
      <w:r>
        <w:rPr>
          <w:spacing w:val="-9"/>
          <w:sz w:val="24"/>
        </w:rPr>
        <w:t> </w:t>
      </w:r>
      <w:r>
        <w:rPr>
          <w:sz w:val="24"/>
        </w:rPr>
        <w:t>working</w:t>
      </w:r>
      <w:r>
        <w:rPr>
          <w:spacing w:val="-9"/>
          <w:sz w:val="24"/>
        </w:rPr>
        <w:t> </w:t>
      </w:r>
      <w:r>
        <w:rPr>
          <w:sz w:val="24"/>
        </w:rPr>
        <w:t>in</w:t>
      </w:r>
      <w:r>
        <w:rPr>
          <w:spacing w:val="-9"/>
          <w:sz w:val="24"/>
        </w:rPr>
        <w:t> </w:t>
      </w:r>
      <w:r>
        <w:rPr>
          <w:sz w:val="24"/>
        </w:rPr>
        <w:t>secondary</w:t>
      </w:r>
      <w:r>
        <w:rPr>
          <w:spacing w:val="-9"/>
          <w:sz w:val="24"/>
        </w:rPr>
        <w:t> </w:t>
      </w:r>
      <w:r>
        <w:rPr>
          <w:sz w:val="24"/>
        </w:rPr>
        <w:t>schools and having postgraduate</w:t>
      </w:r>
    </w:p>
    <w:p>
      <w:pPr>
        <w:pStyle w:val="BodyText"/>
        <w:tabs>
          <w:tab w:pos="7488" w:val="left" w:leader="none"/>
        </w:tabs>
        <w:ind w:left="160"/>
      </w:pPr>
      <w:r>
        <w:rPr>
          <w:spacing w:val="-2"/>
        </w:rPr>
        <w:t>qualifications.</w:t>
      </w:r>
      <w:r>
        <w:rPr/>
        <w:tab/>
        <w:t>300-</w:t>
      </w:r>
      <w:r>
        <w:rPr>
          <w:spacing w:val="-5"/>
        </w:rPr>
        <w:t>600</w:t>
      </w:r>
    </w:p>
    <w:p>
      <w:pPr>
        <w:pStyle w:val="BodyText"/>
        <w:spacing w:before="276"/>
        <w:ind w:left="160"/>
      </w:pPr>
      <w:r>
        <w:rPr/>
        <w:t>N.B. On being trained, they should get one additional</w:t>
      </w:r>
      <w:r>
        <w:rPr>
          <w:spacing w:val="1"/>
        </w:rPr>
        <w:t> </w:t>
      </w:r>
      <w:r>
        <w:rPr>
          <w:spacing w:val="-2"/>
        </w:rPr>
        <w:t>increment.</w:t>
      </w:r>
    </w:p>
    <w:p>
      <w:pPr>
        <w:pStyle w:val="ListParagraph"/>
        <w:numPr>
          <w:ilvl w:val="0"/>
          <w:numId w:val="65"/>
        </w:numPr>
        <w:tabs>
          <w:tab w:pos="558" w:val="left" w:leader="none"/>
          <w:tab w:pos="3823" w:val="left" w:leader="none"/>
        </w:tabs>
        <w:spacing w:line="240" w:lineRule="auto" w:before="276" w:after="0"/>
        <w:ind w:left="558" w:right="0" w:hanging="398"/>
        <w:jc w:val="left"/>
        <w:rPr>
          <w:sz w:val="24"/>
        </w:rPr>
      </w:pPr>
      <w:r>
        <w:rPr>
          <w:sz w:val="24"/>
        </w:rPr>
        <w:t>Heads</w:t>
      </w:r>
      <w:r>
        <w:rPr>
          <w:spacing w:val="-1"/>
          <w:sz w:val="24"/>
        </w:rPr>
        <w:t> </w:t>
      </w:r>
      <w:r>
        <w:rPr>
          <w:sz w:val="24"/>
        </w:rPr>
        <w:t>of</w:t>
      </w:r>
      <w:r>
        <w:rPr>
          <w:spacing w:val="-1"/>
          <w:sz w:val="24"/>
        </w:rPr>
        <w:t> </w:t>
      </w:r>
      <w:r>
        <w:rPr>
          <w:sz w:val="24"/>
        </w:rPr>
        <w:t>secondary</w:t>
      </w:r>
      <w:r>
        <w:rPr>
          <w:spacing w:val="-1"/>
          <w:sz w:val="24"/>
        </w:rPr>
        <w:t> </w:t>
      </w:r>
      <w:r>
        <w:rPr>
          <w:spacing w:val="-2"/>
          <w:sz w:val="24"/>
        </w:rPr>
        <w:t>schools</w:t>
      </w:r>
      <w:r>
        <w:rPr>
          <w:sz w:val="24"/>
        </w:rPr>
        <w:tab/>
        <w:t>Depending upon the size and</w:t>
      </w:r>
      <w:r>
        <w:rPr>
          <w:spacing w:val="60"/>
          <w:sz w:val="24"/>
        </w:rPr>
        <w:t> </w:t>
      </w:r>
      <w:r>
        <w:rPr>
          <w:spacing w:val="-2"/>
          <w:sz w:val="24"/>
        </w:rPr>
        <w:t>quality</w:t>
      </w:r>
    </w:p>
    <w:p>
      <w:pPr>
        <w:pStyle w:val="BodyText"/>
        <w:tabs>
          <w:tab w:pos="5903" w:val="left" w:leader="none"/>
        </w:tabs>
        <w:ind w:left="3823" w:right="2187"/>
      </w:pPr>
      <w:r>
        <w:rPr/>
        <w:t>of</w:t>
      </w:r>
      <w:r>
        <w:rPr>
          <w:spacing w:val="40"/>
        </w:rPr>
        <w:t> </w:t>
      </w:r>
      <w:r>
        <w:rPr/>
        <w:t>the</w:t>
      </w:r>
      <w:r>
        <w:rPr>
          <w:spacing w:val="40"/>
        </w:rPr>
        <w:t> </w:t>
      </w:r>
      <w:r>
        <w:rPr/>
        <w:t>school and</w:t>
      </w:r>
      <w:r>
        <w:rPr>
          <w:spacing w:val="40"/>
        </w:rPr>
        <w:t> </w:t>
      </w:r>
      <w:r>
        <w:rPr/>
        <w:t>also</w:t>
      </w:r>
      <w:r>
        <w:rPr>
          <w:spacing w:val="40"/>
        </w:rPr>
        <w:t> </w:t>
      </w:r>
      <w:r>
        <w:rPr/>
        <w:t>on</w:t>
      </w:r>
      <w:r>
        <w:rPr>
          <w:spacing w:val="40"/>
        </w:rPr>
        <w:t> </w:t>
      </w:r>
      <w:r>
        <w:rPr/>
        <w:t>their qualifications,</w:t>
      </w:r>
      <w:r>
        <w:rPr>
          <w:spacing w:val="80"/>
        </w:rPr>
        <w:t> </w:t>
      </w:r>
      <w:r>
        <w:rPr/>
        <w:t>the</w:t>
        <w:tab/>
      </w:r>
      <w:r>
        <w:rPr>
          <w:spacing w:val="-2"/>
        </w:rPr>
        <w:t>headmasters </w:t>
      </w:r>
      <w:r>
        <w:rPr/>
        <w:t>should</w:t>
      </w:r>
      <w:r>
        <w:rPr>
          <w:spacing w:val="40"/>
        </w:rPr>
        <w:t> </w:t>
      </w:r>
      <w:r>
        <w:rPr/>
        <w:t>have</w:t>
      </w:r>
      <w:r>
        <w:rPr>
          <w:spacing w:val="40"/>
        </w:rPr>
        <w:t> </w:t>
      </w:r>
      <w:r>
        <w:rPr/>
        <w:t>one</w:t>
      </w:r>
      <w:r>
        <w:rPr>
          <w:spacing w:val="-4"/>
        </w:rPr>
        <w:t> </w:t>
      </w:r>
      <w:r>
        <w:rPr/>
        <w:t>or</w:t>
      </w:r>
      <w:r>
        <w:rPr>
          <w:spacing w:val="40"/>
        </w:rPr>
        <w:t> </w:t>
      </w:r>
      <w:r>
        <w:rPr/>
        <w:t>other</w:t>
      </w:r>
      <w:r>
        <w:rPr>
          <w:spacing w:val="40"/>
        </w:rPr>
        <w:t> </w:t>
      </w:r>
      <w:r>
        <w:rPr/>
        <w:t>of</w:t>
      </w:r>
      <w:r>
        <w:rPr>
          <w:spacing w:val="40"/>
        </w:rPr>
        <w:t> </w:t>
      </w:r>
      <w:r>
        <w:rPr/>
        <w:t>the scales</w:t>
      </w:r>
      <w:r>
        <w:rPr>
          <w:spacing w:val="80"/>
        </w:rPr>
        <w:t> </w:t>
      </w:r>
      <w:r>
        <w:rPr/>
        <w:t>of</w:t>
      </w:r>
      <w:r>
        <w:rPr>
          <w:spacing w:val="80"/>
        </w:rPr>
        <w:t> </w:t>
      </w:r>
      <w:r>
        <w:rPr/>
        <w:t>pay</w:t>
      </w:r>
      <w:r>
        <w:rPr>
          <w:spacing w:val="80"/>
        </w:rPr>
        <w:t> </w:t>
      </w:r>
      <w:r>
        <w:rPr/>
        <w:t>for</w:t>
      </w:r>
      <w:r>
        <w:rPr>
          <w:spacing w:val="80"/>
        </w:rPr>
        <w:t> </w:t>
      </w:r>
      <w:r>
        <w:rPr/>
        <w:t>affiliated colleges recommended below.</w:t>
      </w:r>
    </w:p>
    <w:p>
      <w:pPr>
        <w:pStyle w:val="BodyText"/>
      </w:pPr>
    </w:p>
    <w:p>
      <w:pPr>
        <w:pStyle w:val="ListParagraph"/>
        <w:numPr>
          <w:ilvl w:val="0"/>
          <w:numId w:val="65"/>
        </w:numPr>
        <w:tabs>
          <w:tab w:pos="559" w:val="left" w:leader="none"/>
          <w:tab w:pos="3823" w:val="left" w:leader="none"/>
          <w:tab w:pos="7488" w:val="left" w:leader="none"/>
          <w:tab w:pos="8329" w:val="left" w:leader="hyphen"/>
        </w:tabs>
        <w:spacing w:line="240" w:lineRule="auto" w:before="0" w:after="0"/>
        <w:ind w:left="559" w:right="0" w:hanging="339"/>
        <w:jc w:val="left"/>
        <w:rPr>
          <w:sz w:val="24"/>
        </w:rPr>
      </w:pPr>
      <w:r>
        <w:rPr>
          <w:sz w:val="24"/>
        </w:rPr>
        <w:t>Teachers</w:t>
      </w:r>
      <w:r>
        <w:rPr>
          <w:spacing w:val="-1"/>
          <w:sz w:val="24"/>
        </w:rPr>
        <w:t> </w:t>
      </w:r>
      <w:r>
        <w:rPr>
          <w:sz w:val="24"/>
        </w:rPr>
        <w:t>in</w:t>
      </w:r>
      <w:r>
        <w:rPr>
          <w:spacing w:val="-1"/>
          <w:sz w:val="24"/>
        </w:rPr>
        <w:t> </w:t>
      </w:r>
      <w:r>
        <w:rPr>
          <w:sz w:val="24"/>
        </w:rPr>
        <w:t>affiliated </w:t>
      </w:r>
      <w:r>
        <w:rPr>
          <w:spacing w:val="-2"/>
          <w:sz w:val="24"/>
        </w:rPr>
        <w:t>colleges</w:t>
      </w:r>
      <w:r>
        <w:rPr>
          <w:sz w:val="24"/>
        </w:rPr>
        <w:tab/>
        <w:t>Lecturer:Junior</w:t>
      </w:r>
      <w:r>
        <w:rPr>
          <w:spacing w:val="-2"/>
          <w:sz w:val="24"/>
        </w:rPr>
        <w:t> scale</w:t>
      </w:r>
      <w:r>
        <w:rPr>
          <w:sz w:val="24"/>
        </w:rPr>
        <w:tab/>
        <w:t>300-</w:t>
      </w:r>
      <w:r>
        <w:rPr>
          <w:spacing w:val="-5"/>
          <w:sz w:val="24"/>
        </w:rPr>
        <w:t>25</w:t>
      </w:r>
      <w:r>
        <w:rPr>
          <w:sz w:val="24"/>
        </w:rPr>
        <w:tab/>
      </w:r>
      <w:r>
        <w:rPr>
          <w:spacing w:val="-5"/>
          <w:sz w:val="24"/>
        </w:rPr>
        <w:t>600</w:t>
      </w:r>
    </w:p>
    <w:p>
      <w:pPr>
        <w:pStyle w:val="BodyText"/>
        <w:tabs>
          <w:tab w:pos="7488" w:val="left" w:leader="none"/>
          <w:tab w:pos="8328" w:val="left" w:leader="hyphen"/>
        </w:tabs>
        <w:ind w:left="3823"/>
      </w:pPr>
      <w:r>
        <w:rPr/>
        <w:t>Senior </w:t>
      </w:r>
      <w:r>
        <w:rPr>
          <w:spacing w:val="-2"/>
        </w:rPr>
        <w:t>scale</w:t>
      </w:r>
      <w:r>
        <w:rPr/>
        <w:tab/>
        <w:t>400-</w:t>
      </w:r>
      <w:r>
        <w:rPr>
          <w:spacing w:val="-5"/>
        </w:rPr>
        <w:t>30</w:t>
      </w:r>
      <w:r>
        <w:rPr/>
        <w:tab/>
      </w:r>
      <w:r>
        <w:rPr>
          <w:spacing w:val="-5"/>
        </w:rPr>
        <w:t>640</w:t>
      </w:r>
    </w:p>
    <w:p>
      <w:pPr>
        <w:pStyle w:val="BodyText"/>
        <w:ind w:left="7488"/>
      </w:pPr>
      <w:r>
        <w:rPr/>
        <w:t>-40--</w:t>
      </w:r>
      <w:r>
        <w:rPr>
          <w:spacing w:val="-5"/>
        </w:rPr>
        <w:t>800</w:t>
      </w:r>
    </w:p>
    <w:p>
      <w:pPr>
        <w:pStyle w:val="BodyText"/>
        <w:tabs>
          <w:tab w:pos="7489" w:val="left" w:leader="none"/>
        </w:tabs>
        <w:ind w:left="3823"/>
      </w:pPr>
      <w:r>
        <w:rPr/>
        <w:t>Senior </w:t>
      </w:r>
      <w:r>
        <w:rPr>
          <w:spacing w:val="-2"/>
        </w:rPr>
        <w:t>Lecturer/Reader</w:t>
      </w:r>
      <w:r>
        <w:rPr/>
        <w:tab/>
        <w:t>700-40-</w:t>
      </w:r>
      <w:r>
        <w:rPr>
          <w:spacing w:val="-4"/>
        </w:rPr>
        <w:t>1100</w:t>
      </w:r>
    </w:p>
    <w:p>
      <w:pPr>
        <w:pStyle w:val="BodyText"/>
        <w:tabs>
          <w:tab w:pos="7488" w:val="left" w:leader="none"/>
        </w:tabs>
        <w:ind w:left="3823"/>
      </w:pPr>
      <w:r>
        <w:rPr/>
        <w:t>Principal </w:t>
      </w:r>
      <w:r>
        <w:rPr>
          <w:spacing w:val="-10"/>
        </w:rPr>
        <w:t>I</w:t>
      </w:r>
      <w:r>
        <w:rPr/>
        <w:tab/>
        <w:t>700-40-</w:t>
      </w:r>
      <w:r>
        <w:rPr>
          <w:spacing w:val="-4"/>
        </w:rPr>
        <w:t>1100</w:t>
      </w:r>
    </w:p>
    <w:p>
      <w:pPr>
        <w:pStyle w:val="BodyText"/>
        <w:tabs>
          <w:tab w:pos="7488" w:val="left" w:leader="none"/>
        </w:tabs>
        <w:ind w:left="4740"/>
      </w:pPr>
      <w:r>
        <w:rPr>
          <w:spacing w:val="-5"/>
        </w:rPr>
        <w:t>II</w:t>
      </w:r>
      <w:r>
        <w:rPr/>
        <w:tab/>
        <w:t>800-50-</w:t>
      </w:r>
      <w:r>
        <w:rPr>
          <w:spacing w:val="-4"/>
        </w:rPr>
        <w:t>1500</w:t>
      </w:r>
    </w:p>
    <w:p>
      <w:pPr>
        <w:pStyle w:val="BodyText"/>
        <w:tabs>
          <w:tab w:pos="7488" w:val="left" w:leader="none"/>
        </w:tabs>
        <w:ind w:left="4740"/>
      </w:pPr>
      <w:r>
        <w:rPr>
          <w:spacing w:val="-5"/>
        </w:rPr>
        <w:t>III</w:t>
      </w:r>
      <w:r>
        <w:rPr/>
        <w:tab/>
        <w:t>1000-</w:t>
      </w:r>
      <w:r>
        <w:rPr>
          <w:spacing w:val="-5"/>
        </w:rPr>
        <w:t>50-</w:t>
      </w:r>
    </w:p>
    <w:p>
      <w:pPr>
        <w:pStyle w:val="BodyText"/>
        <w:ind w:left="7488"/>
      </w:pPr>
      <w:r>
        <w:rPr>
          <w:spacing w:val="-4"/>
        </w:rPr>
        <w:t>1500</w:t>
      </w:r>
    </w:p>
    <w:p>
      <w:pPr>
        <w:pStyle w:val="BodyText"/>
        <w:spacing w:before="275"/>
        <w:ind w:left="160" w:right="497"/>
        <w:jc w:val="both"/>
      </w:pPr>
      <w:r>
        <w:rPr/>
        <w:t>N.B.</w:t>
      </w:r>
      <w:r>
        <w:rPr>
          <w:spacing w:val="72"/>
        </w:rPr>
        <w:t> </w:t>
      </w:r>
      <w:r>
        <w:rPr/>
        <w:t>The proportion of lecturers in the senior scale to those in</w:t>
      </w:r>
      <w:r>
        <w:rPr>
          <w:spacing w:val="72"/>
        </w:rPr>
        <w:t> </w:t>
      </w:r>
      <w:r>
        <w:rPr/>
        <w:t>the</w:t>
      </w:r>
      <w:r>
        <w:rPr>
          <w:spacing w:val="72"/>
        </w:rPr>
        <w:t> </w:t>
      </w:r>
      <w:r>
        <w:rPr/>
        <w:t>junior</w:t>
      </w:r>
      <w:r>
        <w:rPr>
          <w:spacing w:val="72"/>
        </w:rPr>
        <w:t> </w:t>
      </w:r>
      <w:r>
        <w:rPr/>
        <w:t>scale</w:t>
      </w:r>
      <w:r>
        <w:rPr>
          <w:spacing w:val="72"/>
        </w:rPr>
        <w:t> </w:t>
      </w:r>
      <w:r>
        <w:rPr/>
        <w:t>should be progressively improved.</w:t>
      </w:r>
      <w:r>
        <w:rPr>
          <w:spacing w:val="40"/>
        </w:rPr>
        <w:t> </w:t>
      </w:r>
      <w:r>
        <w:rPr/>
        <w:t>By the</w:t>
      </w:r>
      <w:r>
        <w:rPr>
          <w:spacing w:val="40"/>
        </w:rPr>
        <w:t> </w:t>
      </w:r>
      <w:r>
        <w:rPr/>
        <w:t>end</w:t>
      </w:r>
      <w:r>
        <w:rPr>
          <w:spacing w:val="40"/>
        </w:rPr>
        <w:t> </w:t>
      </w:r>
      <w:r>
        <w:rPr/>
        <w:t>of</w:t>
      </w:r>
      <w:r>
        <w:rPr>
          <w:spacing w:val="40"/>
        </w:rPr>
        <w:t> </w:t>
      </w:r>
      <w:r>
        <w:rPr/>
        <w:t>the</w:t>
      </w:r>
      <w:r>
        <w:rPr>
          <w:spacing w:val="40"/>
        </w:rPr>
        <w:t> </w:t>
      </w:r>
      <w:r>
        <w:rPr/>
        <w:t>Fifth</w:t>
      </w:r>
      <w:r>
        <w:rPr>
          <w:spacing w:val="40"/>
        </w:rPr>
        <w:t> </w:t>
      </w:r>
      <w:r>
        <w:rPr/>
        <w:t>Plan, this proportion should be raised to about 75 per cent</w:t>
      </w:r>
      <w:r>
        <w:rPr>
          <w:spacing w:val="40"/>
        </w:rPr>
        <w:t> </w:t>
      </w:r>
      <w:r>
        <w:rPr/>
        <w:t>on an average.</w:t>
      </w:r>
    </w:p>
    <w:p>
      <w:pPr>
        <w:pStyle w:val="BodyText"/>
        <w:spacing w:before="56"/>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8"/>
        <w:gridCol w:w="2670"/>
      </w:tblGrid>
      <w:tr>
        <w:trPr>
          <w:trHeight w:val="270" w:hRule="atLeast"/>
        </w:trPr>
        <w:tc>
          <w:tcPr>
            <w:tcW w:w="5998" w:type="dxa"/>
          </w:tcPr>
          <w:p>
            <w:pPr>
              <w:pStyle w:val="TableParagraph"/>
              <w:tabs>
                <w:tab w:pos="3713" w:val="left" w:leader="none"/>
              </w:tabs>
              <w:spacing w:line="251" w:lineRule="exact"/>
              <w:ind w:left="50"/>
              <w:rPr>
                <w:sz w:val="24"/>
              </w:rPr>
            </w:pPr>
            <w:r>
              <w:rPr>
                <w:sz w:val="24"/>
              </w:rPr>
              <w:t>(6)</w:t>
            </w:r>
            <w:r>
              <w:rPr>
                <w:spacing w:val="-2"/>
                <w:sz w:val="24"/>
              </w:rPr>
              <w:t> </w:t>
            </w:r>
            <w:r>
              <w:rPr>
                <w:sz w:val="24"/>
              </w:rPr>
              <w:t>Teachers</w:t>
            </w:r>
            <w:r>
              <w:rPr>
                <w:spacing w:val="-1"/>
                <w:sz w:val="24"/>
              </w:rPr>
              <w:t> </w:t>
            </w:r>
            <w:r>
              <w:rPr>
                <w:sz w:val="24"/>
              </w:rPr>
              <w:t>in</w:t>
            </w:r>
            <w:r>
              <w:rPr>
                <w:spacing w:val="-2"/>
                <w:sz w:val="24"/>
              </w:rPr>
              <w:t> </w:t>
            </w:r>
            <w:r>
              <w:rPr>
                <w:sz w:val="24"/>
              </w:rPr>
              <w:t>university</w:t>
            </w:r>
            <w:r>
              <w:rPr>
                <w:spacing w:val="-1"/>
                <w:sz w:val="24"/>
              </w:rPr>
              <w:t> </w:t>
            </w:r>
            <w:r>
              <w:rPr>
                <w:spacing w:val="-2"/>
                <w:sz w:val="24"/>
              </w:rPr>
              <w:t>depart-</w:t>
            </w:r>
            <w:r>
              <w:rPr>
                <w:sz w:val="24"/>
              </w:rPr>
              <w:tab/>
            </w:r>
            <w:r>
              <w:rPr>
                <w:spacing w:val="-2"/>
                <w:sz w:val="24"/>
              </w:rPr>
              <w:t>Lecturer</w:t>
            </w:r>
          </w:p>
        </w:tc>
        <w:tc>
          <w:tcPr>
            <w:tcW w:w="2670" w:type="dxa"/>
          </w:tcPr>
          <w:p>
            <w:pPr>
              <w:pStyle w:val="TableParagraph"/>
              <w:spacing w:line="251" w:lineRule="exact"/>
              <w:ind w:left="1380"/>
              <w:rPr>
                <w:sz w:val="24"/>
              </w:rPr>
            </w:pPr>
            <w:r>
              <w:rPr>
                <w:sz w:val="24"/>
              </w:rPr>
              <w:t>500-40--</w:t>
            </w:r>
            <w:r>
              <w:rPr>
                <w:spacing w:val="-5"/>
                <w:sz w:val="24"/>
              </w:rPr>
              <w:t>800</w:t>
            </w:r>
          </w:p>
        </w:tc>
      </w:tr>
      <w:tr>
        <w:trPr>
          <w:trHeight w:val="276" w:hRule="atLeast"/>
        </w:trPr>
        <w:tc>
          <w:tcPr>
            <w:tcW w:w="5998" w:type="dxa"/>
          </w:tcPr>
          <w:p>
            <w:pPr>
              <w:pStyle w:val="TableParagraph"/>
              <w:spacing w:line="256" w:lineRule="exact"/>
              <w:ind w:left="50"/>
              <w:rPr>
                <w:sz w:val="24"/>
              </w:rPr>
            </w:pPr>
            <w:r>
              <w:rPr>
                <w:spacing w:val="-2"/>
                <w:sz w:val="24"/>
              </w:rPr>
              <w:t>ments</w:t>
            </w:r>
          </w:p>
        </w:tc>
        <w:tc>
          <w:tcPr>
            <w:tcW w:w="2670" w:type="dxa"/>
          </w:tcPr>
          <w:p>
            <w:pPr>
              <w:pStyle w:val="TableParagraph"/>
              <w:spacing w:line="256" w:lineRule="exact"/>
              <w:ind w:left="1378"/>
              <w:rPr>
                <w:sz w:val="24"/>
              </w:rPr>
            </w:pPr>
            <w:r>
              <w:rPr>
                <w:sz w:val="24"/>
              </w:rPr>
              <w:t>-50-</w:t>
            </w:r>
            <w:r>
              <w:rPr>
                <w:spacing w:val="-5"/>
                <w:sz w:val="24"/>
              </w:rPr>
              <w:t>950</w:t>
            </w:r>
          </w:p>
        </w:tc>
      </w:tr>
      <w:tr>
        <w:trPr>
          <w:trHeight w:val="275" w:hRule="atLeast"/>
        </w:trPr>
        <w:tc>
          <w:tcPr>
            <w:tcW w:w="5998" w:type="dxa"/>
          </w:tcPr>
          <w:p>
            <w:pPr>
              <w:pStyle w:val="TableParagraph"/>
              <w:spacing w:line="256" w:lineRule="exact"/>
              <w:ind w:left="3713"/>
              <w:rPr>
                <w:sz w:val="24"/>
              </w:rPr>
            </w:pPr>
            <w:r>
              <w:rPr>
                <w:spacing w:val="-2"/>
                <w:sz w:val="24"/>
              </w:rPr>
              <w:t>Reader</w:t>
            </w:r>
          </w:p>
        </w:tc>
        <w:tc>
          <w:tcPr>
            <w:tcW w:w="2670" w:type="dxa"/>
          </w:tcPr>
          <w:p>
            <w:pPr>
              <w:pStyle w:val="TableParagraph"/>
              <w:spacing w:line="256" w:lineRule="exact"/>
              <w:ind w:left="1380"/>
              <w:rPr>
                <w:sz w:val="24"/>
              </w:rPr>
            </w:pPr>
            <w:r>
              <w:rPr>
                <w:sz w:val="24"/>
              </w:rPr>
              <w:t>700-50-</w:t>
            </w:r>
            <w:r>
              <w:rPr>
                <w:spacing w:val="-4"/>
                <w:sz w:val="24"/>
              </w:rPr>
              <w:t>1250</w:t>
            </w:r>
          </w:p>
        </w:tc>
      </w:tr>
      <w:tr>
        <w:trPr>
          <w:trHeight w:val="276" w:hRule="atLeast"/>
        </w:trPr>
        <w:tc>
          <w:tcPr>
            <w:tcW w:w="5998" w:type="dxa"/>
          </w:tcPr>
          <w:p>
            <w:pPr>
              <w:pStyle w:val="TableParagraph"/>
              <w:spacing w:line="256" w:lineRule="exact"/>
              <w:ind w:left="3713"/>
              <w:rPr>
                <w:sz w:val="24"/>
              </w:rPr>
            </w:pPr>
            <w:r>
              <w:rPr>
                <w:spacing w:val="-2"/>
                <w:sz w:val="24"/>
              </w:rPr>
              <w:t>Professor</w:t>
            </w:r>
          </w:p>
        </w:tc>
        <w:tc>
          <w:tcPr>
            <w:tcW w:w="2670" w:type="dxa"/>
          </w:tcPr>
          <w:p>
            <w:pPr>
              <w:pStyle w:val="TableParagraph"/>
              <w:spacing w:line="256" w:lineRule="exact"/>
              <w:ind w:left="1380"/>
              <w:rPr>
                <w:sz w:val="24"/>
              </w:rPr>
            </w:pPr>
            <w:r>
              <w:rPr>
                <w:sz w:val="24"/>
              </w:rPr>
              <w:t>1000-</w:t>
            </w:r>
            <w:r>
              <w:rPr>
                <w:spacing w:val="-5"/>
                <w:sz w:val="24"/>
              </w:rPr>
              <w:t>50-</w:t>
            </w:r>
          </w:p>
        </w:tc>
      </w:tr>
      <w:tr>
        <w:trPr>
          <w:trHeight w:val="276" w:hRule="atLeast"/>
        </w:trPr>
        <w:tc>
          <w:tcPr>
            <w:tcW w:w="5998" w:type="dxa"/>
          </w:tcPr>
          <w:p>
            <w:pPr>
              <w:pStyle w:val="TableParagraph"/>
              <w:rPr>
                <w:sz w:val="20"/>
              </w:rPr>
            </w:pPr>
          </w:p>
        </w:tc>
        <w:tc>
          <w:tcPr>
            <w:tcW w:w="2670" w:type="dxa"/>
          </w:tcPr>
          <w:p>
            <w:pPr>
              <w:pStyle w:val="TableParagraph"/>
              <w:spacing w:line="256" w:lineRule="exact"/>
              <w:ind w:left="1380"/>
              <w:rPr>
                <w:sz w:val="24"/>
              </w:rPr>
            </w:pPr>
            <w:r>
              <w:rPr>
                <w:sz w:val="24"/>
              </w:rPr>
              <w:t>1300-</w:t>
            </w:r>
            <w:r>
              <w:rPr>
                <w:spacing w:val="-5"/>
                <w:sz w:val="24"/>
              </w:rPr>
              <w:t>60-</w:t>
            </w:r>
          </w:p>
        </w:tc>
      </w:tr>
      <w:tr>
        <w:trPr>
          <w:trHeight w:val="270" w:hRule="atLeast"/>
        </w:trPr>
        <w:tc>
          <w:tcPr>
            <w:tcW w:w="5998" w:type="dxa"/>
          </w:tcPr>
          <w:p>
            <w:pPr>
              <w:pStyle w:val="TableParagraph"/>
              <w:rPr>
                <w:sz w:val="20"/>
              </w:rPr>
            </w:pPr>
          </w:p>
        </w:tc>
        <w:tc>
          <w:tcPr>
            <w:tcW w:w="2670" w:type="dxa"/>
          </w:tcPr>
          <w:p>
            <w:pPr>
              <w:pStyle w:val="TableParagraph"/>
              <w:spacing w:line="251" w:lineRule="exact"/>
              <w:ind w:left="1380"/>
              <w:rPr>
                <w:sz w:val="24"/>
              </w:rPr>
            </w:pPr>
            <w:r>
              <w:rPr>
                <w:spacing w:val="-4"/>
                <w:sz w:val="24"/>
              </w:rPr>
              <w:t>1600</w:t>
            </w:r>
          </w:p>
        </w:tc>
      </w:tr>
    </w:tbl>
    <w:p>
      <w:pPr>
        <w:pStyle w:val="BodyText"/>
        <w:spacing w:before="3"/>
        <w:rPr>
          <w:sz w:val="15"/>
        </w:rPr>
      </w:pPr>
      <w:r>
        <w:rPr/>
        <mc:AlternateContent>
          <mc:Choice Requires="wps">
            <w:drawing>
              <wp:anchor distT="0" distB="0" distL="0" distR="0" allowOverlap="1" layoutInCell="1" locked="0" behindDoc="1" simplePos="0" relativeHeight="487599616">
                <wp:simplePos x="0" y="0"/>
                <wp:positionH relativeFrom="page">
                  <wp:posOffset>1143000</wp:posOffset>
                </wp:positionH>
                <wp:positionV relativeFrom="paragraph">
                  <wp:posOffset>127296</wp:posOffset>
                </wp:positionV>
                <wp:extent cx="5486400" cy="19050"/>
                <wp:effectExtent l="0" t="0" r="0" b="0"/>
                <wp:wrapTopAndBottom/>
                <wp:docPr id="143" name="Group 143"/>
                <wp:cNvGraphicFramePr>
                  <a:graphicFrameLocks/>
                </wp:cNvGraphicFramePr>
                <a:graphic>
                  <a:graphicData uri="http://schemas.microsoft.com/office/word/2010/wordprocessingGroup">
                    <wpg:wgp>
                      <wpg:cNvPr id="143" name="Group 143"/>
                      <wpg:cNvGrpSpPr/>
                      <wpg:grpSpPr>
                        <a:xfrm>
                          <a:off x="0" y="0"/>
                          <a:ext cx="5486400" cy="19050"/>
                          <a:chExt cx="5486400" cy="19050"/>
                        </a:xfrm>
                      </wpg:grpSpPr>
                      <wps:wsp>
                        <wps:cNvPr id="144" name="Graphic 144"/>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45" name="Graphic 145"/>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46" name="Graphic 146"/>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47" name="Graphic 147"/>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48" name="Graphic 148"/>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149" name="Graphic 149"/>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150" name="Graphic 150"/>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23350pt;width:432pt;height:1.5pt;mso-position-horizontal-relative:page;mso-position-vertical-relative:paragraph;z-index:-15716864;mso-wrap-distance-left:0;mso-wrap-distance-right:0" id="docshapegroup138" coordorigin="1800,200" coordsize="8640,30">
                <v:rect style="position:absolute;left:1800;top:200;width:8640;height:30" id="docshape139" filled="true" fillcolor="#808080" stroked="false">
                  <v:fill type="solid"/>
                </v:rect>
                <v:shape style="position:absolute;left:1800;top:200;width:8636;height:5" id="docshape140" coordorigin="1800,200" coordsize="8636,5" path="m10435,200l1805,200,1800,200,1800,205,1805,205,10435,205,10435,200xe" filled="true" fillcolor="#aca89a" stroked="false">
                  <v:path arrowok="t"/>
                  <v:fill type="solid"/>
                </v:shape>
                <v:rect style="position:absolute;left:10435;top:200;width:5;height:5" id="docshape141" filled="true" fillcolor="#f1efe2" stroked="false">
                  <v:fill type="solid"/>
                </v:rect>
                <v:shape style="position:absolute;left:1800;top:200;width:8640;height:26" id="docshape142" coordorigin="1800,200" coordsize="8640,26" path="m1805,205l1800,205,1800,226,1805,226,1805,205xm10440,200l10435,200,10435,205,10440,205,10440,200xe" filled="true" fillcolor="#aca89a" stroked="false">
                  <v:path arrowok="t"/>
                  <v:fill type="solid"/>
                </v:shape>
                <v:rect style="position:absolute;left:10435;top:205;width:5;height:21" id="docshape143" filled="true" fillcolor="#f1efe2" stroked="false">
                  <v:fill type="solid"/>
                </v:rect>
                <v:rect style="position:absolute;left:1800;top:225;width:5;height:5" id="docshape144" filled="true" fillcolor="#aca89a" stroked="false">
                  <v:fill type="solid"/>
                </v:rect>
                <v:shape style="position:absolute;left:1800;top:225;width:8640;height:5" id="docshape145" coordorigin="1800,226" coordsize="8640,5" path="m10440,226l10435,226,1800,226,1800,230,10435,230,10440,230,10440,226xe" filled="true" fillcolor="#f1efe2" stroked="false">
                  <v:path arrowok="t"/>
                  <v:fill type="solid"/>
                </v:shape>
                <w10:wrap type="topAndBottom"/>
              </v:group>
            </w:pict>
          </mc:Fallback>
        </mc:AlternateContent>
      </w:r>
    </w:p>
    <w:p>
      <w:pPr>
        <w:pStyle w:val="BodyText"/>
        <w:spacing w:before="53"/>
      </w:pPr>
    </w:p>
    <w:p>
      <w:pPr>
        <w:pStyle w:val="BodyText"/>
        <w:ind w:left="159" w:right="497"/>
        <w:jc w:val="both"/>
      </w:pPr>
      <w:r>
        <w:rPr/>
        <w:t>N.B. (1) one-third of the professors to be in the senior scale of Rs. 1500-1800. Scales comparable to the supertime scales in IAS to be introduced for exceptionally meritorious persons and in selected Centres of Advanced Studies.</w:t>
      </w:r>
    </w:p>
    <w:p>
      <w:pPr>
        <w:pStyle w:val="BodyText"/>
        <w:spacing w:before="3"/>
      </w:pPr>
    </w:p>
    <w:p>
      <w:pPr>
        <w:pStyle w:val="BodyText"/>
        <w:spacing w:before="1"/>
        <w:ind w:left="159" w:right="497"/>
        <w:jc w:val="both"/>
      </w:pPr>
      <w:r>
        <w:rPr/>
        <w:t>(2) The proportion of junior (lecturers) staff to senior (readers/professors) staff in the universities which is now about 3:1 should be gradually changed to 2:1.</w:t>
      </w:r>
    </w:p>
    <w:p>
      <w:pPr>
        <w:spacing w:after="0"/>
        <w:jc w:val="both"/>
        <w:sectPr>
          <w:pgSz w:w="12240" w:h="15840"/>
          <w:pgMar w:header="0" w:footer="743" w:top="1360" w:bottom="940" w:left="1640" w:right="1300"/>
        </w:sectPr>
      </w:pPr>
    </w:p>
    <w:p>
      <w:pPr>
        <w:pStyle w:val="BodyText"/>
        <w:spacing w:before="76"/>
        <w:ind w:left="160" w:right="496"/>
        <w:jc w:val="both"/>
      </w:pPr>
      <w:r>
        <w:rPr/>
        <w:t>Notes-(a) The above scales of pay for school teachers are at the current price level and include the existing dearness allowances. Suitable increases will, however, have to be made for rises in prices from time to time.</w:t>
      </w:r>
    </w:p>
    <w:p>
      <w:pPr>
        <w:pStyle w:val="BodyText"/>
        <w:spacing w:before="4"/>
      </w:pPr>
    </w:p>
    <w:p>
      <w:pPr>
        <w:pStyle w:val="ListParagraph"/>
        <w:numPr>
          <w:ilvl w:val="0"/>
          <w:numId w:val="66"/>
        </w:numPr>
        <w:tabs>
          <w:tab w:pos="511" w:val="left" w:leader="none"/>
        </w:tabs>
        <w:spacing w:line="240" w:lineRule="auto" w:before="0" w:after="0"/>
        <w:ind w:left="160" w:right="497" w:firstLine="0"/>
        <w:jc w:val="both"/>
        <w:rPr>
          <w:sz w:val="24"/>
        </w:rPr>
      </w:pPr>
      <w:r>
        <w:rPr>
          <w:sz w:val="24"/>
        </w:rPr>
        <w:t>Compensatory cost of living allowance given in cities, house-rent allowance or other allowances are not included. These will be in addition to the salary recommended above and should be given on a basis of parity.</w:t>
      </w:r>
    </w:p>
    <w:p>
      <w:pPr>
        <w:pStyle w:val="BodyText"/>
        <w:spacing w:before="5"/>
      </w:pPr>
    </w:p>
    <w:p>
      <w:pPr>
        <w:pStyle w:val="ListParagraph"/>
        <w:numPr>
          <w:ilvl w:val="0"/>
          <w:numId w:val="66"/>
        </w:numPr>
        <w:tabs>
          <w:tab w:pos="548" w:val="left" w:leader="none"/>
        </w:tabs>
        <w:spacing w:line="240" w:lineRule="auto" w:before="0" w:after="0"/>
        <w:ind w:left="160" w:right="496" w:firstLine="0"/>
        <w:jc w:val="both"/>
        <w:rPr>
          <w:sz w:val="24"/>
        </w:rPr>
      </w:pPr>
      <w:r>
        <w:rPr>
          <w:sz w:val="24"/>
        </w:rPr>
        <w:t>The scales of pay are to be integrally related to the programmes of qualitative improvement of teachers through improved methods of selection, and improvement in general and professional education.</w:t>
      </w:r>
    </w:p>
    <w:p>
      <w:pPr>
        <w:pStyle w:val="BodyText"/>
        <w:spacing w:before="4"/>
      </w:pPr>
    </w:p>
    <w:p>
      <w:pPr>
        <w:pStyle w:val="ListParagraph"/>
        <w:numPr>
          <w:ilvl w:val="0"/>
          <w:numId w:val="66"/>
        </w:numPr>
        <w:tabs>
          <w:tab w:pos="500" w:val="left" w:leader="none"/>
        </w:tabs>
        <w:spacing w:line="240" w:lineRule="auto" w:before="0" w:after="0"/>
        <w:ind w:left="160" w:right="495" w:firstLine="0"/>
        <w:jc w:val="both"/>
        <w:rPr>
          <w:sz w:val="24"/>
        </w:rPr>
      </w:pPr>
      <w:r>
        <w:rPr>
          <w:sz w:val="24"/>
        </w:rPr>
        <w:t>The</w:t>
      </w:r>
      <w:r>
        <w:rPr>
          <w:spacing w:val="-1"/>
          <w:sz w:val="24"/>
        </w:rPr>
        <w:t> </w:t>
      </w:r>
      <w:r>
        <w:rPr>
          <w:sz w:val="24"/>
        </w:rPr>
        <w:t>scales</w:t>
      </w:r>
      <w:r>
        <w:rPr>
          <w:spacing w:val="-1"/>
          <w:sz w:val="24"/>
        </w:rPr>
        <w:t> </w:t>
      </w:r>
      <w:r>
        <w:rPr>
          <w:sz w:val="24"/>
        </w:rPr>
        <w:t>are</w:t>
      </w:r>
      <w:r>
        <w:rPr>
          <w:spacing w:val="-1"/>
          <w:sz w:val="24"/>
        </w:rPr>
        <w:t> </w:t>
      </w:r>
      <w:r>
        <w:rPr>
          <w:sz w:val="24"/>
        </w:rPr>
        <w:t>to</w:t>
      </w:r>
      <w:r>
        <w:rPr>
          <w:spacing w:val="-1"/>
          <w:sz w:val="24"/>
        </w:rPr>
        <w:t> </w:t>
      </w:r>
      <w:r>
        <w:rPr>
          <w:sz w:val="24"/>
        </w:rPr>
        <w:t>be</w:t>
      </w:r>
      <w:r>
        <w:rPr>
          <w:spacing w:val="-1"/>
          <w:sz w:val="24"/>
        </w:rPr>
        <w:t> </w:t>
      </w:r>
      <w:r>
        <w:rPr>
          <w:sz w:val="24"/>
        </w:rPr>
        <w:t>given</w:t>
      </w:r>
      <w:r>
        <w:rPr>
          <w:spacing w:val="-1"/>
          <w:sz w:val="24"/>
        </w:rPr>
        <w:t> </w:t>
      </w:r>
      <w:r>
        <w:rPr>
          <w:sz w:val="24"/>
        </w:rPr>
        <w:t>to</w:t>
      </w:r>
      <w:r>
        <w:rPr>
          <w:spacing w:val="-1"/>
          <w:sz w:val="24"/>
        </w:rPr>
        <w:t> </w:t>
      </w:r>
      <w:r>
        <w:rPr>
          <w:sz w:val="24"/>
        </w:rPr>
        <w:t>all</w:t>
      </w:r>
      <w:r>
        <w:rPr>
          <w:spacing w:val="-1"/>
          <w:sz w:val="24"/>
        </w:rPr>
        <w:t> </w:t>
      </w:r>
      <w:r>
        <w:rPr>
          <w:sz w:val="24"/>
        </w:rPr>
        <w:t>teachers-government,</w:t>
      </w:r>
      <w:r>
        <w:rPr>
          <w:spacing w:val="-1"/>
          <w:sz w:val="24"/>
        </w:rPr>
        <w:t> </w:t>
      </w:r>
      <w:r>
        <w:rPr>
          <w:sz w:val="24"/>
        </w:rPr>
        <w:t>local</w:t>
      </w:r>
      <w:r>
        <w:rPr>
          <w:spacing w:val="-1"/>
          <w:sz w:val="24"/>
        </w:rPr>
        <w:t> </w:t>
      </w:r>
      <w:r>
        <w:rPr>
          <w:sz w:val="24"/>
        </w:rPr>
        <w:t>authority</w:t>
      </w:r>
      <w:r>
        <w:rPr>
          <w:spacing w:val="-1"/>
          <w:sz w:val="24"/>
        </w:rPr>
        <w:t> </w:t>
      </w:r>
      <w:r>
        <w:rPr>
          <w:sz w:val="24"/>
        </w:rPr>
        <w:t>or</w:t>
      </w:r>
      <w:r>
        <w:rPr>
          <w:spacing w:val="-1"/>
          <w:sz w:val="24"/>
        </w:rPr>
        <w:t> </w:t>
      </w:r>
      <w:r>
        <w:rPr>
          <w:sz w:val="24"/>
        </w:rPr>
        <w:t>private-on</w:t>
      </w:r>
      <w:r>
        <w:rPr>
          <w:spacing w:val="-2"/>
          <w:sz w:val="24"/>
        </w:rPr>
        <w:t> </w:t>
      </w:r>
      <w:r>
        <w:rPr>
          <w:sz w:val="24"/>
        </w:rPr>
        <w:t>the basis of parity.</w:t>
      </w:r>
    </w:p>
    <w:p>
      <w:pPr>
        <w:pStyle w:val="BodyText"/>
        <w:spacing w:before="3"/>
      </w:pPr>
    </w:p>
    <w:p>
      <w:pPr>
        <w:pStyle w:val="ListParagraph"/>
        <w:numPr>
          <w:ilvl w:val="0"/>
          <w:numId w:val="63"/>
        </w:numPr>
        <w:tabs>
          <w:tab w:pos="348" w:val="left" w:leader="none"/>
        </w:tabs>
        <w:spacing w:line="240" w:lineRule="auto" w:before="0" w:after="0"/>
        <w:ind w:left="160" w:right="496" w:firstLine="0"/>
        <w:jc w:val="both"/>
        <w:rPr>
          <w:b/>
          <w:sz w:val="24"/>
        </w:rPr>
      </w:pPr>
      <w:r>
        <w:rPr>
          <w:b/>
          <w:sz w:val="24"/>
        </w:rPr>
        <w:t>Implementation of Scales at the University Stage. </w:t>
      </w:r>
      <w:r>
        <w:rPr>
          <w:sz w:val="24"/>
        </w:rPr>
        <w:t>(1) The scales proposed above for teachers in higher education have already been approved by Government. To facilitate their introduction, assistance from the Centre should be provided to meet additional expenditure on a sharing basis of 80 per cent from Central and 20 per cent from State funds. In the case of private colleges, Central assistance may even be provided on a 100 per cent basis.</w:t>
      </w:r>
    </w:p>
    <w:p>
      <w:pPr>
        <w:pStyle w:val="BodyText"/>
        <w:spacing w:before="4"/>
      </w:pPr>
    </w:p>
    <w:p>
      <w:pPr>
        <w:pStyle w:val="ListParagraph"/>
        <w:numPr>
          <w:ilvl w:val="0"/>
          <w:numId w:val="67"/>
        </w:numPr>
        <w:tabs>
          <w:tab w:pos="535" w:val="left" w:leader="none"/>
        </w:tabs>
        <w:spacing w:line="240" w:lineRule="auto" w:before="0" w:after="0"/>
        <w:ind w:left="160" w:right="496" w:firstLine="0"/>
        <w:jc w:val="both"/>
        <w:rPr>
          <w:sz w:val="24"/>
        </w:rPr>
      </w:pPr>
      <w:r>
        <w:rPr>
          <w:sz w:val="24"/>
        </w:rPr>
        <w:t>The introduction of these scales of pay should be linked with improvement in the qualifications of teachers and improvement in the selection procedures for their appointment. This should be done on the lines of recommendations of the Committee on Model Act for Universities. For the recruitment of professors, a slightly different procedure has been suggested.</w:t>
      </w:r>
    </w:p>
    <w:p>
      <w:pPr>
        <w:pStyle w:val="BodyText"/>
        <w:spacing w:before="5"/>
      </w:pPr>
    </w:p>
    <w:p>
      <w:pPr>
        <w:pStyle w:val="ListParagraph"/>
        <w:numPr>
          <w:ilvl w:val="0"/>
          <w:numId w:val="67"/>
        </w:numPr>
        <w:tabs>
          <w:tab w:pos="581" w:val="left" w:leader="none"/>
        </w:tabs>
        <w:spacing w:line="240" w:lineRule="auto" w:before="0" w:after="0"/>
        <w:ind w:left="160" w:right="497" w:firstLine="60"/>
        <w:jc w:val="both"/>
        <w:rPr>
          <w:sz w:val="24"/>
        </w:rPr>
      </w:pPr>
      <w:r>
        <w:rPr>
          <w:sz w:val="24"/>
        </w:rPr>
        <w:t>The qualifications of teachers in affiliated colleges should be the same as those for teachers in the universities. The method of recruitment for them should also be similar. A discriminating approach should be adopted, in regard to these, for privately managed colleges. Good institutions should be allowed greater freedom in the choice of their teachers and stricter control should be exercised where the management is not satisfactory. 3.12-13</w:t>
      </w:r>
    </w:p>
    <w:p>
      <w:pPr>
        <w:pStyle w:val="BodyText"/>
        <w:spacing w:before="4"/>
      </w:pPr>
    </w:p>
    <w:p>
      <w:pPr>
        <w:pStyle w:val="ListParagraph"/>
        <w:numPr>
          <w:ilvl w:val="0"/>
          <w:numId w:val="63"/>
        </w:numPr>
        <w:tabs>
          <w:tab w:pos="356" w:val="left" w:leader="none"/>
        </w:tabs>
        <w:spacing w:line="240" w:lineRule="auto" w:before="0" w:after="0"/>
        <w:ind w:left="160" w:right="496" w:firstLine="0"/>
        <w:jc w:val="both"/>
        <w:rPr>
          <w:b/>
          <w:sz w:val="24"/>
        </w:rPr>
      </w:pPr>
      <w:r>
        <w:rPr>
          <w:b/>
          <w:sz w:val="24"/>
        </w:rPr>
        <w:t>Implementation of Scales for School Teachers. </w:t>
      </w:r>
      <w:r>
        <w:rPr>
          <w:sz w:val="24"/>
        </w:rPr>
        <w:t>(1) Three main scales of pay should be recognized for school teachers: (a) for teachers who have completed the secondary school stage and are trained (b) for trained graduates; (c) for teachers with postgraduate </w:t>
      </w:r>
      <w:r>
        <w:rPr>
          <w:spacing w:val="-2"/>
          <w:sz w:val="24"/>
        </w:rPr>
        <w:t>qualifications.</w:t>
      </w:r>
    </w:p>
    <w:p>
      <w:pPr>
        <w:pStyle w:val="BodyText"/>
        <w:spacing w:before="3"/>
      </w:pPr>
    </w:p>
    <w:p>
      <w:pPr>
        <w:pStyle w:val="ListParagraph"/>
        <w:numPr>
          <w:ilvl w:val="0"/>
          <w:numId w:val="68"/>
        </w:numPr>
        <w:tabs>
          <w:tab w:pos="503" w:val="left" w:leader="none"/>
        </w:tabs>
        <w:spacing w:line="240" w:lineRule="auto" w:before="1" w:after="0"/>
        <w:ind w:left="160" w:right="497" w:firstLine="0"/>
        <w:jc w:val="both"/>
        <w:rPr>
          <w:sz w:val="24"/>
        </w:rPr>
      </w:pPr>
      <w:r>
        <w:rPr>
          <w:sz w:val="24"/>
        </w:rPr>
        <w:t>There should be no teacher at the primary stage who has not completed the secondary school course and has not had two years of professional training.</w:t>
      </w:r>
    </w:p>
    <w:p>
      <w:pPr>
        <w:pStyle w:val="BodyText"/>
        <w:spacing w:before="3"/>
      </w:pPr>
    </w:p>
    <w:p>
      <w:pPr>
        <w:pStyle w:val="ListParagraph"/>
        <w:numPr>
          <w:ilvl w:val="0"/>
          <w:numId w:val="68"/>
        </w:numPr>
        <w:tabs>
          <w:tab w:pos="521" w:val="left" w:leader="none"/>
        </w:tabs>
        <w:spacing w:line="240" w:lineRule="auto" w:before="0" w:after="0"/>
        <w:ind w:left="160" w:right="497" w:firstLine="0"/>
        <w:jc w:val="both"/>
        <w:rPr>
          <w:sz w:val="24"/>
        </w:rPr>
      </w:pPr>
      <w:r>
        <w:rPr>
          <w:sz w:val="24"/>
        </w:rPr>
        <w:t>Headmasters of higher primary and lower primary schools with enrolments of more than 200 should be trained graduates. Their salaries should be the same as those of</w:t>
      </w:r>
      <w:r>
        <w:rPr>
          <w:spacing w:val="40"/>
          <w:sz w:val="24"/>
        </w:rPr>
        <w:t> </w:t>
      </w:r>
      <w:r>
        <w:rPr>
          <w:sz w:val="24"/>
        </w:rPr>
        <w:t>trained graduate teachers in secondary schools.</w:t>
      </w:r>
    </w:p>
    <w:p>
      <w:pPr>
        <w:spacing w:after="0" w:line="240" w:lineRule="auto"/>
        <w:jc w:val="both"/>
        <w:rPr>
          <w:sz w:val="24"/>
        </w:rPr>
        <w:sectPr>
          <w:pgSz w:w="12240" w:h="15840"/>
          <w:pgMar w:header="0" w:footer="743" w:top="1360" w:bottom="940" w:left="1640" w:right="1300"/>
        </w:sectPr>
      </w:pPr>
    </w:p>
    <w:p>
      <w:pPr>
        <w:pStyle w:val="ListParagraph"/>
        <w:numPr>
          <w:ilvl w:val="0"/>
          <w:numId w:val="68"/>
        </w:numPr>
        <w:tabs>
          <w:tab w:pos="532" w:val="left" w:leader="none"/>
        </w:tabs>
        <w:spacing w:line="240" w:lineRule="auto" w:before="76" w:after="0"/>
        <w:ind w:left="160" w:right="496" w:firstLine="0"/>
        <w:jc w:val="both"/>
        <w:rPr>
          <w:sz w:val="24"/>
        </w:rPr>
      </w:pPr>
      <w:r>
        <w:rPr>
          <w:sz w:val="24"/>
        </w:rPr>
        <w:t>The practice of creating posts in lower scales of pay and recruiting to these either teachers with lower qualifications when qualified teachers are available or recruiting qualified</w:t>
      </w:r>
      <w:r>
        <w:rPr>
          <w:spacing w:val="17"/>
          <w:sz w:val="24"/>
        </w:rPr>
        <w:t> </w:t>
      </w:r>
      <w:r>
        <w:rPr>
          <w:sz w:val="24"/>
        </w:rPr>
        <w:t>teachers</w:t>
      </w:r>
      <w:r>
        <w:rPr>
          <w:spacing w:val="18"/>
          <w:sz w:val="24"/>
        </w:rPr>
        <w:t> </w:t>
      </w:r>
      <w:r>
        <w:rPr>
          <w:sz w:val="24"/>
        </w:rPr>
        <w:t>to</w:t>
      </w:r>
      <w:r>
        <w:rPr>
          <w:spacing w:val="18"/>
          <w:sz w:val="24"/>
        </w:rPr>
        <w:t> </w:t>
      </w:r>
      <w:r>
        <w:rPr>
          <w:sz w:val="24"/>
        </w:rPr>
        <w:t>these</w:t>
      </w:r>
      <w:r>
        <w:rPr>
          <w:spacing w:val="18"/>
          <w:sz w:val="24"/>
        </w:rPr>
        <w:t> </w:t>
      </w:r>
      <w:r>
        <w:rPr>
          <w:sz w:val="24"/>
        </w:rPr>
        <w:t>posts</w:t>
      </w:r>
      <w:r>
        <w:rPr>
          <w:spacing w:val="18"/>
          <w:sz w:val="24"/>
        </w:rPr>
        <w:t> </w:t>
      </w:r>
      <w:r>
        <w:rPr>
          <w:sz w:val="24"/>
        </w:rPr>
        <w:t>and</w:t>
      </w:r>
      <w:r>
        <w:rPr>
          <w:spacing w:val="18"/>
          <w:sz w:val="24"/>
        </w:rPr>
        <w:t> </w:t>
      </w:r>
      <w:r>
        <w:rPr>
          <w:sz w:val="24"/>
        </w:rPr>
        <w:t>paying</w:t>
      </w:r>
      <w:r>
        <w:rPr>
          <w:spacing w:val="17"/>
          <w:sz w:val="24"/>
        </w:rPr>
        <w:t> </w:t>
      </w:r>
      <w:r>
        <w:rPr>
          <w:sz w:val="24"/>
        </w:rPr>
        <w:t>them</w:t>
      </w:r>
      <w:r>
        <w:rPr>
          <w:spacing w:val="19"/>
          <w:sz w:val="24"/>
        </w:rPr>
        <w:t> </w:t>
      </w:r>
      <w:r>
        <w:rPr>
          <w:sz w:val="24"/>
        </w:rPr>
        <w:t>at</w:t>
      </w:r>
      <w:r>
        <w:rPr>
          <w:spacing w:val="19"/>
          <w:sz w:val="24"/>
        </w:rPr>
        <w:t> </w:t>
      </w:r>
      <w:r>
        <w:rPr>
          <w:sz w:val="24"/>
        </w:rPr>
        <w:t>lower</w:t>
      </w:r>
      <w:r>
        <w:rPr>
          <w:spacing w:val="19"/>
          <w:sz w:val="24"/>
        </w:rPr>
        <w:t> </w:t>
      </w:r>
      <w:r>
        <w:rPr>
          <w:sz w:val="24"/>
        </w:rPr>
        <w:t>scales,</w:t>
      </w:r>
      <w:r>
        <w:rPr>
          <w:spacing w:val="17"/>
          <w:sz w:val="24"/>
        </w:rPr>
        <w:t> </w:t>
      </w:r>
      <w:r>
        <w:rPr>
          <w:sz w:val="24"/>
        </w:rPr>
        <w:t>should</w:t>
      </w:r>
      <w:r>
        <w:rPr>
          <w:spacing w:val="19"/>
          <w:sz w:val="24"/>
        </w:rPr>
        <w:t> </w:t>
      </w:r>
      <w:r>
        <w:rPr>
          <w:sz w:val="24"/>
        </w:rPr>
        <w:t>be</w:t>
      </w:r>
      <w:r>
        <w:rPr>
          <w:spacing w:val="19"/>
          <w:sz w:val="24"/>
        </w:rPr>
        <w:t> </w:t>
      </w:r>
      <w:r>
        <w:rPr>
          <w:spacing w:val="-2"/>
          <w:sz w:val="24"/>
        </w:rPr>
        <w:t>abandoned.</w:t>
      </w:r>
    </w:p>
    <w:p>
      <w:pPr>
        <w:pStyle w:val="ListParagraph"/>
        <w:numPr>
          <w:ilvl w:val="0"/>
          <w:numId w:val="68"/>
        </w:numPr>
        <w:tabs>
          <w:tab w:pos="539" w:val="left" w:leader="none"/>
        </w:tabs>
        <w:spacing w:line="240" w:lineRule="auto" w:before="1" w:after="0"/>
        <w:ind w:left="160" w:right="496" w:firstLine="0"/>
        <w:jc w:val="both"/>
        <w:rPr>
          <w:sz w:val="24"/>
        </w:rPr>
      </w:pPr>
      <w:r>
        <w:rPr>
          <w:sz w:val="24"/>
        </w:rPr>
        <w:t>Scales of pay of secondary school teachers should be related to scales of pay for teachers in affiliated colleges and universities on the one hand and to those of primary teachers on the other.</w:t>
      </w:r>
    </w:p>
    <w:p>
      <w:pPr>
        <w:pStyle w:val="BodyText"/>
        <w:spacing w:before="3"/>
      </w:pPr>
    </w:p>
    <w:p>
      <w:pPr>
        <w:pStyle w:val="ListParagraph"/>
        <w:numPr>
          <w:ilvl w:val="0"/>
          <w:numId w:val="68"/>
        </w:numPr>
        <w:tabs>
          <w:tab w:pos="520" w:val="left" w:leader="none"/>
        </w:tabs>
        <w:spacing w:line="240" w:lineRule="auto" w:before="0" w:after="0"/>
        <w:ind w:left="160" w:right="497" w:firstLine="0"/>
        <w:jc w:val="both"/>
        <w:rPr>
          <w:sz w:val="24"/>
        </w:rPr>
      </w:pPr>
      <w:r>
        <w:rPr>
          <w:sz w:val="24"/>
        </w:rPr>
        <w:t>Scales of pay for headmasters of lower and higher secondary schools should have a definite</w:t>
      </w:r>
      <w:r>
        <w:rPr>
          <w:spacing w:val="-1"/>
          <w:sz w:val="24"/>
        </w:rPr>
        <w:t> </w:t>
      </w:r>
      <w:r>
        <w:rPr>
          <w:sz w:val="24"/>
        </w:rPr>
        <w:t>relationship</w:t>
      </w:r>
      <w:r>
        <w:rPr>
          <w:spacing w:val="-1"/>
          <w:sz w:val="24"/>
        </w:rPr>
        <w:t> </w:t>
      </w:r>
      <w:r>
        <w:rPr>
          <w:sz w:val="24"/>
        </w:rPr>
        <w:t>with</w:t>
      </w:r>
      <w:r>
        <w:rPr>
          <w:spacing w:val="-1"/>
          <w:sz w:val="24"/>
        </w:rPr>
        <w:t> </w:t>
      </w:r>
      <w:r>
        <w:rPr>
          <w:sz w:val="24"/>
        </w:rPr>
        <w:t>those</w:t>
      </w:r>
      <w:r>
        <w:rPr>
          <w:spacing w:val="-1"/>
          <w:sz w:val="24"/>
        </w:rPr>
        <w:t> </w:t>
      </w:r>
      <w:r>
        <w:rPr>
          <w:sz w:val="24"/>
        </w:rPr>
        <w:t>of</w:t>
      </w:r>
      <w:r>
        <w:rPr>
          <w:spacing w:val="-1"/>
          <w:sz w:val="24"/>
        </w:rPr>
        <w:t> </w:t>
      </w:r>
      <w:r>
        <w:rPr>
          <w:sz w:val="24"/>
        </w:rPr>
        <w:t>teachers</w:t>
      </w:r>
      <w:r>
        <w:rPr>
          <w:spacing w:val="-1"/>
          <w:sz w:val="24"/>
        </w:rPr>
        <w:t> </w:t>
      </w:r>
      <w:r>
        <w:rPr>
          <w:sz w:val="24"/>
        </w:rPr>
        <w:t>in affiliated</w:t>
      </w:r>
      <w:r>
        <w:rPr>
          <w:spacing w:val="-1"/>
          <w:sz w:val="24"/>
        </w:rPr>
        <w:t> </w:t>
      </w:r>
      <w:r>
        <w:rPr>
          <w:sz w:val="24"/>
        </w:rPr>
        <w:t>colleges or</w:t>
      </w:r>
      <w:r>
        <w:rPr>
          <w:spacing w:val="-1"/>
          <w:sz w:val="24"/>
        </w:rPr>
        <w:t> </w:t>
      </w:r>
      <w:r>
        <w:rPr>
          <w:sz w:val="24"/>
        </w:rPr>
        <w:t>even</w:t>
      </w:r>
      <w:r>
        <w:rPr>
          <w:spacing w:val="-1"/>
          <w:sz w:val="24"/>
        </w:rPr>
        <w:t> </w:t>
      </w:r>
      <w:r>
        <w:rPr>
          <w:sz w:val="24"/>
        </w:rPr>
        <w:t>universities. That is to say, the scale of pay for headmasters should be the same as that for lecturers,</w:t>
      </w:r>
      <w:r>
        <w:rPr>
          <w:spacing w:val="40"/>
          <w:sz w:val="24"/>
        </w:rPr>
        <w:t> </w:t>
      </w:r>
      <w:r>
        <w:rPr>
          <w:sz w:val="24"/>
        </w:rPr>
        <w:t>readers, or even professors, depending upon the size, function and quality of the school.</w:t>
      </w:r>
    </w:p>
    <w:p>
      <w:pPr>
        <w:pStyle w:val="BodyText"/>
        <w:spacing w:before="4"/>
      </w:pPr>
    </w:p>
    <w:p>
      <w:pPr>
        <w:pStyle w:val="ListParagraph"/>
        <w:numPr>
          <w:ilvl w:val="0"/>
          <w:numId w:val="68"/>
        </w:numPr>
        <w:tabs>
          <w:tab w:pos="500" w:val="left" w:leader="none"/>
        </w:tabs>
        <w:spacing w:line="240" w:lineRule="auto" w:before="0" w:after="0"/>
        <w:ind w:left="160" w:right="497" w:firstLine="0"/>
        <w:jc w:val="both"/>
        <w:rPr>
          <w:sz w:val="24"/>
        </w:rPr>
      </w:pPr>
      <w:r>
        <w:rPr>
          <w:sz w:val="24"/>
        </w:rPr>
        <w:t>The</w:t>
      </w:r>
      <w:r>
        <w:rPr>
          <w:spacing w:val="-1"/>
          <w:sz w:val="24"/>
        </w:rPr>
        <w:t> </w:t>
      </w:r>
      <w:r>
        <w:rPr>
          <w:sz w:val="24"/>
        </w:rPr>
        <w:t>proportion</w:t>
      </w:r>
      <w:r>
        <w:rPr>
          <w:spacing w:val="-1"/>
          <w:sz w:val="24"/>
        </w:rPr>
        <w:t> </w:t>
      </w:r>
      <w:r>
        <w:rPr>
          <w:sz w:val="24"/>
        </w:rPr>
        <w:t>of</w:t>
      </w:r>
      <w:r>
        <w:rPr>
          <w:spacing w:val="-1"/>
          <w:sz w:val="24"/>
        </w:rPr>
        <w:t> </w:t>
      </w:r>
      <w:r>
        <w:rPr>
          <w:sz w:val="24"/>
        </w:rPr>
        <w:t>teachers</w:t>
      </w:r>
      <w:r>
        <w:rPr>
          <w:spacing w:val="-1"/>
          <w:sz w:val="24"/>
        </w:rPr>
        <w:t> </w:t>
      </w:r>
      <w:r>
        <w:rPr>
          <w:sz w:val="24"/>
        </w:rPr>
        <w:t>with</w:t>
      </w:r>
      <w:r>
        <w:rPr>
          <w:spacing w:val="-1"/>
          <w:sz w:val="24"/>
        </w:rPr>
        <w:t> </w:t>
      </w:r>
      <w:r>
        <w:rPr>
          <w:sz w:val="24"/>
        </w:rPr>
        <w:t>postgraduate</w:t>
      </w:r>
      <w:r>
        <w:rPr>
          <w:spacing w:val="-1"/>
          <w:sz w:val="24"/>
        </w:rPr>
        <w:t> </w:t>
      </w:r>
      <w:r>
        <w:rPr>
          <w:sz w:val="24"/>
        </w:rPr>
        <w:t>qualification</w:t>
      </w:r>
      <w:r>
        <w:rPr>
          <w:spacing w:val="-1"/>
          <w:sz w:val="24"/>
        </w:rPr>
        <w:t> </w:t>
      </w:r>
      <w:r>
        <w:rPr>
          <w:sz w:val="24"/>
        </w:rPr>
        <w:t>in</w:t>
      </w:r>
      <w:r>
        <w:rPr>
          <w:spacing w:val="-1"/>
          <w:sz w:val="24"/>
        </w:rPr>
        <w:t> </w:t>
      </w:r>
      <w:r>
        <w:rPr>
          <w:sz w:val="24"/>
        </w:rPr>
        <w:t>lower</w:t>
      </w:r>
      <w:r>
        <w:rPr>
          <w:spacing w:val="-1"/>
          <w:sz w:val="24"/>
        </w:rPr>
        <w:t> </w:t>
      </w:r>
      <w:r>
        <w:rPr>
          <w:sz w:val="24"/>
        </w:rPr>
        <w:t>secondary</w:t>
      </w:r>
      <w:r>
        <w:rPr>
          <w:spacing w:val="-1"/>
          <w:sz w:val="24"/>
        </w:rPr>
        <w:t> </w:t>
      </w:r>
      <w:r>
        <w:rPr>
          <w:sz w:val="24"/>
        </w:rPr>
        <w:t>schools should vary from 10 to 30 per cent, depending upon the size, function and quality of the </w:t>
      </w:r>
      <w:r>
        <w:rPr>
          <w:spacing w:val="-2"/>
          <w:sz w:val="24"/>
        </w:rPr>
        <w:t>school.</w:t>
      </w:r>
    </w:p>
    <w:p>
      <w:pPr>
        <w:pStyle w:val="BodyText"/>
        <w:spacing w:before="5"/>
      </w:pPr>
    </w:p>
    <w:p>
      <w:pPr>
        <w:pStyle w:val="ListParagraph"/>
        <w:numPr>
          <w:ilvl w:val="0"/>
          <w:numId w:val="68"/>
        </w:numPr>
        <w:tabs>
          <w:tab w:pos="517" w:val="left" w:leader="none"/>
        </w:tabs>
        <w:spacing w:line="240" w:lineRule="auto" w:before="0" w:after="0"/>
        <w:ind w:left="160" w:right="498" w:firstLine="0"/>
        <w:jc w:val="both"/>
        <w:rPr>
          <w:sz w:val="24"/>
        </w:rPr>
      </w:pPr>
      <w:r>
        <w:rPr>
          <w:sz w:val="24"/>
        </w:rPr>
        <w:t>Teachers with first or second class B.A./B.Sc. or M.A./M.Sc. or with M. Ed. </w:t>
      </w:r>
      <w:r>
        <w:rPr>
          <w:sz w:val="24"/>
        </w:rPr>
        <w:t>degree should be given advance increments in the scale.</w:t>
      </w:r>
    </w:p>
    <w:p>
      <w:pPr>
        <w:pStyle w:val="BodyText"/>
        <w:spacing w:before="4"/>
      </w:pPr>
    </w:p>
    <w:p>
      <w:pPr>
        <w:pStyle w:val="ListParagraph"/>
        <w:numPr>
          <w:ilvl w:val="0"/>
          <w:numId w:val="68"/>
        </w:numPr>
        <w:tabs>
          <w:tab w:pos="499" w:val="left" w:leader="none"/>
        </w:tabs>
        <w:spacing w:line="240" w:lineRule="auto" w:before="1" w:after="0"/>
        <w:ind w:left="499" w:right="0" w:hanging="339"/>
        <w:jc w:val="both"/>
        <w:rPr>
          <w:sz w:val="24"/>
        </w:rPr>
      </w:pPr>
      <w:r>
        <w:rPr>
          <w:sz w:val="24"/>
        </w:rPr>
        <w:t>Professional training should be obligatory for all secondary school </w:t>
      </w:r>
      <w:r>
        <w:rPr>
          <w:spacing w:val="-2"/>
          <w:sz w:val="24"/>
        </w:rPr>
        <w:t>teachers.</w:t>
      </w:r>
    </w:p>
    <w:p>
      <w:pPr>
        <w:pStyle w:val="BodyText"/>
        <w:spacing w:before="2"/>
      </w:pPr>
    </w:p>
    <w:p>
      <w:pPr>
        <w:pStyle w:val="ListParagraph"/>
        <w:numPr>
          <w:ilvl w:val="0"/>
          <w:numId w:val="68"/>
        </w:numPr>
        <w:tabs>
          <w:tab w:pos="675" w:val="left" w:leader="none"/>
        </w:tabs>
        <w:spacing w:line="240" w:lineRule="auto" w:before="0" w:after="0"/>
        <w:ind w:left="160" w:right="497" w:firstLine="0"/>
        <w:jc w:val="both"/>
        <w:rPr>
          <w:sz w:val="24"/>
        </w:rPr>
      </w:pPr>
      <w:r>
        <w:rPr>
          <w:sz w:val="24"/>
        </w:rPr>
        <w:t>State Boards of School Education and the State Education Departments should prescribe qualifications of teachers and lay down proper procedures for selection, not</w:t>
      </w:r>
      <w:r>
        <w:rPr>
          <w:spacing w:val="40"/>
          <w:sz w:val="24"/>
        </w:rPr>
        <w:t> </w:t>
      </w:r>
      <w:r>
        <w:rPr>
          <w:sz w:val="24"/>
        </w:rPr>
        <w:t>only</w:t>
      </w:r>
      <w:r>
        <w:rPr>
          <w:spacing w:val="-1"/>
          <w:sz w:val="24"/>
        </w:rPr>
        <w:t> </w:t>
      </w:r>
      <w:r>
        <w:rPr>
          <w:sz w:val="24"/>
        </w:rPr>
        <w:t>for</w:t>
      </w:r>
      <w:r>
        <w:rPr>
          <w:spacing w:val="-1"/>
          <w:sz w:val="24"/>
        </w:rPr>
        <w:t> </w:t>
      </w:r>
      <w:r>
        <w:rPr>
          <w:sz w:val="24"/>
        </w:rPr>
        <w:t>government</w:t>
      </w:r>
      <w:r>
        <w:rPr>
          <w:spacing w:val="-1"/>
          <w:sz w:val="24"/>
        </w:rPr>
        <w:t> </w:t>
      </w:r>
      <w:r>
        <w:rPr>
          <w:sz w:val="24"/>
        </w:rPr>
        <w:t>schools,</w:t>
      </w:r>
      <w:r>
        <w:rPr>
          <w:spacing w:val="-1"/>
          <w:sz w:val="24"/>
        </w:rPr>
        <w:t> </w:t>
      </w:r>
      <w:r>
        <w:rPr>
          <w:sz w:val="24"/>
        </w:rPr>
        <w:t>but</w:t>
      </w:r>
      <w:r>
        <w:rPr>
          <w:spacing w:val="-1"/>
          <w:sz w:val="24"/>
        </w:rPr>
        <w:t> </w:t>
      </w:r>
      <w:r>
        <w:rPr>
          <w:sz w:val="24"/>
        </w:rPr>
        <w:t>also</w:t>
      </w:r>
      <w:r>
        <w:rPr>
          <w:spacing w:val="-1"/>
          <w:sz w:val="24"/>
        </w:rPr>
        <w:t> </w:t>
      </w:r>
      <w:r>
        <w:rPr>
          <w:sz w:val="24"/>
        </w:rPr>
        <w:t>for</w:t>
      </w:r>
      <w:r>
        <w:rPr>
          <w:spacing w:val="-1"/>
          <w:sz w:val="24"/>
        </w:rPr>
        <w:t> </w:t>
      </w:r>
      <w:r>
        <w:rPr>
          <w:sz w:val="24"/>
        </w:rPr>
        <w:t>those</w:t>
      </w:r>
      <w:r>
        <w:rPr>
          <w:spacing w:val="-1"/>
          <w:sz w:val="24"/>
        </w:rPr>
        <w:t> </w:t>
      </w:r>
      <w:r>
        <w:rPr>
          <w:sz w:val="24"/>
        </w:rPr>
        <w:t>conducted</w:t>
      </w:r>
      <w:r>
        <w:rPr>
          <w:spacing w:val="-1"/>
          <w:sz w:val="24"/>
        </w:rPr>
        <w:t> </w:t>
      </w:r>
      <w:r>
        <w:rPr>
          <w:sz w:val="24"/>
        </w:rPr>
        <w:t>by</w:t>
      </w:r>
      <w:r>
        <w:rPr>
          <w:spacing w:val="-1"/>
          <w:sz w:val="24"/>
        </w:rPr>
        <w:t> </w:t>
      </w:r>
      <w:r>
        <w:rPr>
          <w:sz w:val="24"/>
        </w:rPr>
        <w:t>local</w:t>
      </w:r>
      <w:r>
        <w:rPr>
          <w:spacing w:val="-1"/>
          <w:sz w:val="24"/>
        </w:rPr>
        <w:t> </w:t>
      </w:r>
      <w:r>
        <w:rPr>
          <w:sz w:val="24"/>
        </w:rPr>
        <w:t>authorities</w:t>
      </w:r>
      <w:r>
        <w:rPr>
          <w:spacing w:val="-1"/>
          <w:sz w:val="24"/>
        </w:rPr>
        <w:t> </w:t>
      </w:r>
      <w:r>
        <w:rPr>
          <w:sz w:val="24"/>
        </w:rPr>
        <w:t>and</w:t>
      </w:r>
      <w:r>
        <w:rPr>
          <w:spacing w:val="-1"/>
          <w:sz w:val="24"/>
        </w:rPr>
        <w:t> </w:t>
      </w:r>
      <w:r>
        <w:rPr>
          <w:sz w:val="24"/>
        </w:rPr>
        <w:t>private </w:t>
      </w:r>
      <w:r>
        <w:rPr>
          <w:spacing w:val="-2"/>
          <w:sz w:val="24"/>
        </w:rPr>
        <w:t>managements.</w:t>
      </w:r>
    </w:p>
    <w:p>
      <w:pPr>
        <w:pStyle w:val="BodyText"/>
        <w:spacing w:before="5"/>
      </w:pPr>
    </w:p>
    <w:p>
      <w:pPr>
        <w:pStyle w:val="ListParagraph"/>
        <w:numPr>
          <w:ilvl w:val="0"/>
          <w:numId w:val="68"/>
        </w:numPr>
        <w:tabs>
          <w:tab w:pos="640" w:val="left" w:leader="none"/>
        </w:tabs>
        <w:spacing w:line="240" w:lineRule="auto" w:before="0" w:after="0"/>
        <w:ind w:left="160" w:right="495" w:firstLine="0"/>
        <w:jc w:val="both"/>
        <w:rPr>
          <w:sz w:val="24"/>
        </w:rPr>
      </w:pPr>
      <w:r>
        <w:rPr>
          <w:sz w:val="24"/>
        </w:rPr>
        <w:t>Every private school recognized and aided by State Education Departments should be required to have a Managing Committee with representatives from the Department;</w:t>
      </w:r>
      <w:r>
        <w:rPr>
          <w:spacing w:val="40"/>
          <w:sz w:val="24"/>
        </w:rPr>
        <w:t> </w:t>
      </w:r>
      <w:r>
        <w:rPr>
          <w:sz w:val="24"/>
        </w:rPr>
        <w:t>the Department should prescribe the qualifications for teachers similar to those in government institutions; every post to be filled should be adequately advertised and interviews held by duly constituted selection committees; and no grant-in-aid should be paid for the salary of a teacher appointed outside The rules. 3.14-19</w:t>
      </w:r>
    </w:p>
    <w:p>
      <w:pPr>
        <w:pStyle w:val="BodyText"/>
        <w:spacing w:before="4"/>
      </w:pPr>
    </w:p>
    <w:p>
      <w:pPr>
        <w:pStyle w:val="ListParagraph"/>
        <w:numPr>
          <w:ilvl w:val="0"/>
          <w:numId w:val="63"/>
        </w:numPr>
        <w:tabs>
          <w:tab w:pos="408" w:val="left" w:leader="none"/>
        </w:tabs>
        <w:spacing w:line="240" w:lineRule="auto" w:before="0" w:after="0"/>
        <w:ind w:left="160" w:right="497" w:firstLine="0"/>
        <w:jc w:val="both"/>
        <w:rPr>
          <w:b/>
          <w:sz w:val="24"/>
        </w:rPr>
      </w:pPr>
      <w:r>
        <w:rPr>
          <w:b/>
          <w:sz w:val="24"/>
        </w:rPr>
        <w:t>Promotional Prospects. </w:t>
      </w:r>
      <w:r>
        <w:rPr>
          <w:sz w:val="24"/>
        </w:rPr>
        <w:t>It is necessary to improve promotional prospects in the teaching profession in order to attract and retain men of talent. From this point of view, the following suggestions are made:</w:t>
      </w:r>
    </w:p>
    <w:p>
      <w:pPr>
        <w:pStyle w:val="BodyText"/>
        <w:spacing w:before="3"/>
      </w:pPr>
    </w:p>
    <w:p>
      <w:pPr>
        <w:pStyle w:val="ListParagraph"/>
        <w:numPr>
          <w:ilvl w:val="1"/>
          <w:numId w:val="63"/>
        </w:numPr>
        <w:tabs>
          <w:tab w:pos="507" w:val="left" w:leader="none"/>
        </w:tabs>
        <w:spacing w:line="240" w:lineRule="auto" w:before="1" w:after="0"/>
        <w:ind w:left="160" w:right="496" w:firstLine="0"/>
        <w:jc w:val="both"/>
        <w:rPr>
          <w:sz w:val="24"/>
        </w:rPr>
      </w:pPr>
      <w:r>
        <w:rPr>
          <w:sz w:val="24"/>
        </w:rPr>
        <w:t>School Stage. Qualified and trained teachers in primary schools should be considered for promotion as headmasters or, inspectors of schools.</w:t>
      </w:r>
    </w:p>
    <w:p>
      <w:pPr>
        <w:pStyle w:val="BodyText"/>
        <w:spacing w:before="3"/>
      </w:pPr>
    </w:p>
    <w:p>
      <w:pPr>
        <w:pStyle w:val="ListParagraph"/>
        <w:numPr>
          <w:ilvl w:val="1"/>
          <w:numId w:val="63"/>
        </w:numPr>
        <w:tabs>
          <w:tab w:pos="545" w:val="left" w:leader="none"/>
        </w:tabs>
        <w:spacing w:line="240" w:lineRule="auto" w:before="0" w:after="0"/>
        <w:ind w:left="160" w:right="497" w:firstLine="0"/>
        <w:jc w:val="both"/>
        <w:rPr>
          <w:sz w:val="24"/>
        </w:rPr>
      </w:pPr>
      <w:r>
        <w:rPr>
          <w:sz w:val="24"/>
        </w:rPr>
        <w:t>Trained graduate teachers in secondary schools who have done outstanding work should be eligible for promotion to posts carrying salaries of teachers with postgraduate </w:t>
      </w:r>
      <w:r>
        <w:rPr>
          <w:spacing w:val="-2"/>
          <w:sz w:val="24"/>
        </w:rPr>
        <w:t>qualifications.</w:t>
      </w:r>
    </w:p>
    <w:p>
      <w:pPr>
        <w:pStyle w:val="BodyText"/>
        <w:spacing w:before="5"/>
      </w:pPr>
    </w:p>
    <w:p>
      <w:pPr>
        <w:pStyle w:val="ListParagraph"/>
        <w:numPr>
          <w:ilvl w:val="1"/>
          <w:numId w:val="63"/>
        </w:numPr>
        <w:tabs>
          <w:tab w:pos="553" w:val="left" w:leader="none"/>
        </w:tabs>
        <w:spacing w:line="240" w:lineRule="auto" w:before="0" w:after="0"/>
        <w:ind w:left="160" w:right="498" w:firstLine="0"/>
        <w:jc w:val="both"/>
        <w:rPr>
          <w:sz w:val="24"/>
        </w:rPr>
      </w:pPr>
      <w:r>
        <w:rPr>
          <w:sz w:val="24"/>
        </w:rPr>
        <w:t>Secondary school teachers with the necessary aptitude and competence could be enabled to become university and college teachers. The UGC should give ad hoc grants</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to outstanding teachers to do research into problems to encourage them and incidentally to qualify themselves for work at the universities.</w:t>
      </w:r>
    </w:p>
    <w:p>
      <w:pPr>
        <w:pStyle w:val="BodyText"/>
        <w:spacing w:before="4"/>
      </w:pPr>
    </w:p>
    <w:p>
      <w:pPr>
        <w:pStyle w:val="ListParagraph"/>
        <w:numPr>
          <w:ilvl w:val="1"/>
          <w:numId w:val="63"/>
        </w:numPr>
        <w:tabs>
          <w:tab w:pos="529" w:val="left" w:leader="none"/>
        </w:tabs>
        <w:spacing w:line="240" w:lineRule="auto" w:before="0" w:after="0"/>
        <w:ind w:left="160" w:right="496" w:firstLine="0"/>
        <w:jc w:val="both"/>
        <w:rPr>
          <w:sz w:val="24"/>
        </w:rPr>
      </w:pPr>
      <w:r>
        <w:rPr>
          <w:sz w:val="24"/>
        </w:rPr>
        <w:t>Advance increments for teachers doing outstanding work should be made possible. Normally, a teacher reaches the maximum of his scale in a period of 20 years. It should</w:t>
      </w:r>
      <w:r>
        <w:rPr>
          <w:spacing w:val="40"/>
          <w:sz w:val="24"/>
        </w:rPr>
        <w:t> </w:t>
      </w:r>
      <w:r>
        <w:rPr>
          <w:sz w:val="24"/>
        </w:rPr>
        <w:t>be</w:t>
      </w:r>
      <w:r>
        <w:rPr>
          <w:spacing w:val="-1"/>
          <w:sz w:val="24"/>
        </w:rPr>
        <w:t> </w:t>
      </w:r>
      <w:r>
        <w:rPr>
          <w:sz w:val="24"/>
        </w:rPr>
        <w:t>possible</w:t>
      </w:r>
      <w:r>
        <w:rPr>
          <w:spacing w:val="-1"/>
          <w:sz w:val="24"/>
        </w:rPr>
        <w:t> </w:t>
      </w:r>
      <w:r>
        <w:rPr>
          <w:sz w:val="24"/>
        </w:rPr>
        <w:t>for</w:t>
      </w:r>
      <w:r>
        <w:rPr>
          <w:spacing w:val="-1"/>
          <w:sz w:val="24"/>
        </w:rPr>
        <w:t> </w:t>
      </w:r>
      <w:r>
        <w:rPr>
          <w:sz w:val="24"/>
        </w:rPr>
        <w:t>about</w:t>
      </w:r>
      <w:r>
        <w:rPr>
          <w:spacing w:val="-1"/>
          <w:sz w:val="24"/>
        </w:rPr>
        <w:t> </w:t>
      </w:r>
      <w:r>
        <w:rPr>
          <w:sz w:val="24"/>
        </w:rPr>
        <w:t>five</w:t>
      </w:r>
      <w:r>
        <w:rPr>
          <w:spacing w:val="-1"/>
          <w:sz w:val="24"/>
        </w:rPr>
        <w:t> </w:t>
      </w:r>
      <w:r>
        <w:rPr>
          <w:sz w:val="24"/>
        </w:rPr>
        <w:t>per</w:t>
      </w:r>
      <w:r>
        <w:rPr>
          <w:spacing w:val="-1"/>
          <w:sz w:val="24"/>
        </w:rPr>
        <w:t> </w:t>
      </w:r>
      <w:r>
        <w:rPr>
          <w:sz w:val="24"/>
        </w:rPr>
        <w:t>cent</w:t>
      </w:r>
      <w:r>
        <w:rPr>
          <w:spacing w:val="-1"/>
          <w:sz w:val="24"/>
        </w:rPr>
        <w:t> </w:t>
      </w:r>
      <w:r>
        <w:rPr>
          <w:sz w:val="24"/>
        </w:rPr>
        <w:t>of</w:t>
      </w:r>
      <w:r>
        <w:rPr>
          <w:spacing w:val="-1"/>
          <w:sz w:val="24"/>
        </w:rPr>
        <w:t> </w:t>
      </w:r>
      <w:r>
        <w:rPr>
          <w:sz w:val="24"/>
        </w:rPr>
        <w:t>the</w:t>
      </w:r>
      <w:r>
        <w:rPr>
          <w:spacing w:val="-1"/>
          <w:sz w:val="24"/>
        </w:rPr>
        <w:t> </w:t>
      </w:r>
      <w:r>
        <w:rPr>
          <w:sz w:val="24"/>
        </w:rPr>
        <w:t>teachers</w:t>
      </w:r>
      <w:r>
        <w:rPr>
          <w:spacing w:val="-1"/>
          <w:sz w:val="24"/>
        </w:rPr>
        <w:t> </w:t>
      </w:r>
      <w:r>
        <w:rPr>
          <w:sz w:val="24"/>
        </w:rPr>
        <w:t>to</w:t>
      </w:r>
      <w:r>
        <w:rPr>
          <w:spacing w:val="-1"/>
          <w:sz w:val="24"/>
        </w:rPr>
        <w:t> </w:t>
      </w:r>
      <w:r>
        <w:rPr>
          <w:sz w:val="24"/>
        </w:rPr>
        <w:t>reach</w:t>
      </w:r>
      <w:r>
        <w:rPr>
          <w:spacing w:val="-1"/>
          <w:sz w:val="24"/>
        </w:rPr>
        <w:t> </w:t>
      </w:r>
      <w:r>
        <w:rPr>
          <w:sz w:val="24"/>
        </w:rPr>
        <w:t>the</w:t>
      </w:r>
      <w:r>
        <w:rPr>
          <w:spacing w:val="-2"/>
          <w:sz w:val="24"/>
        </w:rPr>
        <w:t> </w:t>
      </w:r>
      <w:r>
        <w:rPr>
          <w:sz w:val="24"/>
        </w:rPr>
        <w:t>top</w:t>
      </w:r>
      <w:r>
        <w:rPr>
          <w:spacing w:val="-1"/>
          <w:sz w:val="24"/>
        </w:rPr>
        <w:t> </w:t>
      </w:r>
      <w:r>
        <w:rPr>
          <w:sz w:val="24"/>
        </w:rPr>
        <w:t>of</w:t>
      </w:r>
      <w:r>
        <w:rPr>
          <w:spacing w:val="-1"/>
          <w:sz w:val="24"/>
        </w:rPr>
        <w:t> </w:t>
      </w:r>
      <w:r>
        <w:rPr>
          <w:sz w:val="24"/>
        </w:rPr>
        <w:t>the</w:t>
      </w:r>
      <w:r>
        <w:rPr>
          <w:spacing w:val="-1"/>
          <w:sz w:val="24"/>
        </w:rPr>
        <w:t> </w:t>
      </w:r>
      <w:r>
        <w:rPr>
          <w:sz w:val="24"/>
        </w:rPr>
        <w:t>scale</w:t>
      </w:r>
      <w:r>
        <w:rPr>
          <w:spacing w:val="-1"/>
          <w:sz w:val="24"/>
        </w:rPr>
        <w:t> </w:t>
      </w:r>
      <w:r>
        <w:rPr>
          <w:sz w:val="24"/>
        </w:rPr>
        <w:t>in</w:t>
      </w:r>
      <w:r>
        <w:rPr>
          <w:spacing w:val="-1"/>
          <w:sz w:val="24"/>
        </w:rPr>
        <w:t> </w:t>
      </w:r>
      <w:r>
        <w:rPr>
          <w:sz w:val="24"/>
        </w:rPr>
        <w:t>about</w:t>
      </w:r>
      <w:r>
        <w:rPr>
          <w:spacing w:val="-1"/>
          <w:sz w:val="24"/>
        </w:rPr>
        <w:t> </w:t>
      </w:r>
      <w:r>
        <w:rPr>
          <w:sz w:val="24"/>
        </w:rPr>
        <w:t>ten years and for another five per cent of teachers to reach the same in about fifteen years.</w:t>
      </w:r>
    </w:p>
    <w:p>
      <w:pPr>
        <w:pStyle w:val="BodyText"/>
        <w:spacing w:before="5"/>
      </w:pPr>
    </w:p>
    <w:p>
      <w:pPr>
        <w:pStyle w:val="ListParagraph"/>
        <w:numPr>
          <w:ilvl w:val="1"/>
          <w:numId w:val="63"/>
        </w:numPr>
        <w:tabs>
          <w:tab w:pos="520" w:val="left" w:leader="none"/>
        </w:tabs>
        <w:spacing w:line="240" w:lineRule="auto" w:before="0" w:after="0"/>
        <w:ind w:left="159" w:right="495" w:firstLine="0"/>
        <w:jc w:val="both"/>
        <w:rPr>
          <w:sz w:val="24"/>
        </w:rPr>
      </w:pPr>
      <w:r>
        <w:rPr>
          <w:sz w:val="24"/>
        </w:rPr>
        <w:t>University Stage. Ad hoc temporary posts in a higher grade should be created for a lecturer</w:t>
      </w:r>
      <w:r>
        <w:rPr>
          <w:spacing w:val="-2"/>
          <w:sz w:val="24"/>
        </w:rPr>
        <w:t> </w:t>
      </w:r>
      <w:r>
        <w:rPr>
          <w:sz w:val="24"/>
        </w:rPr>
        <w:t>or</w:t>
      </w:r>
      <w:r>
        <w:rPr>
          <w:spacing w:val="-2"/>
          <w:sz w:val="24"/>
        </w:rPr>
        <w:t> </w:t>
      </w:r>
      <w:r>
        <w:rPr>
          <w:sz w:val="24"/>
        </w:rPr>
        <w:t>reader</w:t>
      </w:r>
      <w:r>
        <w:rPr>
          <w:spacing w:val="-2"/>
          <w:sz w:val="24"/>
        </w:rPr>
        <w:t> </w:t>
      </w:r>
      <w:r>
        <w:rPr>
          <w:sz w:val="24"/>
        </w:rPr>
        <w:t>who</w:t>
      </w:r>
      <w:r>
        <w:rPr>
          <w:spacing w:val="-2"/>
          <w:sz w:val="24"/>
        </w:rPr>
        <w:t> </w:t>
      </w:r>
      <w:r>
        <w:rPr>
          <w:sz w:val="24"/>
        </w:rPr>
        <w:t>has</w:t>
      </w:r>
      <w:r>
        <w:rPr>
          <w:spacing w:val="-2"/>
          <w:sz w:val="24"/>
        </w:rPr>
        <w:t> </w:t>
      </w:r>
      <w:r>
        <w:rPr>
          <w:sz w:val="24"/>
        </w:rPr>
        <w:t>done</w:t>
      </w:r>
      <w:r>
        <w:rPr>
          <w:spacing w:val="-2"/>
          <w:sz w:val="24"/>
        </w:rPr>
        <w:t> </w:t>
      </w:r>
      <w:r>
        <w:rPr>
          <w:sz w:val="24"/>
        </w:rPr>
        <w:t>outstanding</w:t>
      </w:r>
      <w:r>
        <w:rPr>
          <w:spacing w:val="-5"/>
          <w:sz w:val="24"/>
        </w:rPr>
        <w:t> </w:t>
      </w:r>
      <w:r>
        <w:rPr>
          <w:sz w:val="24"/>
        </w:rPr>
        <w:t>work</w:t>
      </w:r>
      <w:r>
        <w:rPr>
          <w:spacing w:val="-2"/>
          <w:sz w:val="24"/>
        </w:rPr>
        <w:t> </w:t>
      </w:r>
      <w:r>
        <w:rPr>
          <w:sz w:val="24"/>
        </w:rPr>
        <w:t>and</w:t>
      </w:r>
      <w:r>
        <w:rPr>
          <w:spacing w:val="-2"/>
          <w:sz w:val="24"/>
        </w:rPr>
        <w:t> </w:t>
      </w:r>
      <w:r>
        <w:rPr>
          <w:sz w:val="24"/>
        </w:rPr>
        <w:t>who</w:t>
      </w:r>
      <w:r>
        <w:rPr>
          <w:spacing w:val="-2"/>
          <w:sz w:val="24"/>
        </w:rPr>
        <w:t> </w:t>
      </w:r>
      <w:r>
        <w:rPr>
          <w:sz w:val="24"/>
        </w:rPr>
        <w:t>cannot</w:t>
      </w:r>
      <w:r>
        <w:rPr>
          <w:spacing w:val="-2"/>
          <w:sz w:val="24"/>
        </w:rPr>
        <w:t> </w:t>
      </w:r>
      <w:r>
        <w:rPr>
          <w:sz w:val="24"/>
        </w:rPr>
        <w:t>be</w:t>
      </w:r>
      <w:r>
        <w:rPr>
          <w:spacing w:val="-2"/>
          <w:sz w:val="24"/>
        </w:rPr>
        <w:t> </w:t>
      </w:r>
      <w:r>
        <w:rPr>
          <w:sz w:val="24"/>
        </w:rPr>
        <w:t>given</w:t>
      </w:r>
      <w:r>
        <w:rPr>
          <w:spacing w:val="-2"/>
          <w:sz w:val="24"/>
        </w:rPr>
        <w:t> </w:t>
      </w:r>
      <w:r>
        <w:rPr>
          <w:sz w:val="24"/>
        </w:rPr>
        <w:t>promotion</w:t>
      </w:r>
      <w:r>
        <w:rPr>
          <w:spacing w:val="-2"/>
          <w:sz w:val="24"/>
        </w:rPr>
        <w:t> </w:t>
      </w:r>
      <w:r>
        <w:rPr>
          <w:sz w:val="24"/>
        </w:rPr>
        <w:t>for non- availability of a suitable post.</w:t>
      </w:r>
    </w:p>
    <w:p>
      <w:pPr>
        <w:pStyle w:val="BodyText"/>
        <w:spacing w:before="4"/>
      </w:pPr>
    </w:p>
    <w:p>
      <w:pPr>
        <w:pStyle w:val="ListParagraph"/>
        <w:numPr>
          <w:ilvl w:val="1"/>
          <w:numId w:val="63"/>
        </w:numPr>
        <w:tabs>
          <w:tab w:pos="530" w:val="left" w:leader="none"/>
        </w:tabs>
        <w:spacing w:line="240" w:lineRule="auto" w:before="0" w:after="0"/>
        <w:ind w:left="159" w:right="498" w:firstLine="0"/>
        <w:jc w:val="both"/>
        <w:rPr>
          <w:sz w:val="24"/>
        </w:rPr>
      </w:pPr>
      <w:r>
        <w:rPr>
          <w:sz w:val="24"/>
        </w:rPr>
        <w:t>In Departments doing postgraduate work, the number of posts at professorial level should be determined on the basis of requirements.</w:t>
      </w:r>
    </w:p>
    <w:p>
      <w:pPr>
        <w:pStyle w:val="BodyText"/>
        <w:spacing w:before="3"/>
      </w:pPr>
    </w:p>
    <w:p>
      <w:pPr>
        <w:pStyle w:val="ListParagraph"/>
        <w:numPr>
          <w:ilvl w:val="1"/>
          <w:numId w:val="63"/>
        </w:numPr>
        <w:tabs>
          <w:tab w:pos="534" w:val="left" w:leader="none"/>
        </w:tabs>
        <w:spacing w:line="240" w:lineRule="auto" w:before="0" w:after="0"/>
        <w:ind w:left="159" w:right="496" w:firstLine="0"/>
        <w:jc w:val="both"/>
        <w:rPr>
          <w:sz w:val="24"/>
        </w:rPr>
      </w:pPr>
      <w:r>
        <w:rPr>
          <w:sz w:val="24"/>
        </w:rPr>
        <w:t>It should be open to a university in consultation with UGC to offer remuneration, even beyond the special scale of Rs. 1600-1800 to outstanding persons. 3.20</w:t>
      </w:r>
    </w:p>
    <w:p>
      <w:pPr>
        <w:pStyle w:val="BodyText"/>
        <w:spacing w:before="4"/>
      </w:pPr>
    </w:p>
    <w:p>
      <w:pPr>
        <w:pStyle w:val="ListParagraph"/>
        <w:numPr>
          <w:ilvl w:val="0"/>
          <w:numId w:val="63"/>
        </w:numPr>
        <w:tabs>
          <w:tab w:pos="357" w:val="left" w:leader="none"/>
        </w:tabs>
        <w:spacing w:line="240" w:lineRule="auto" w:before="0" w:after="0"/>
        <w:ind w:left="160" w:right="497" w:firstLine="0"/>
        <w:jc w:val="both"/>
        <w:rPr>
          <w:b/>
          <w:sz w:val="24"/>
        </w:rPr>
      </w:pPr>
      <w:r>
        <w:rPr>
          <w:b/>
          <w:sz w:val="24"/>
        </w:rPr>
        <w:t>Relating Salaries to Costs of Living. </w:t>
      </w:r>
      <w:r>
        <w:rPr>
          <w:sz w:val="24"/>
        </w:rPr>
        <w:t>All teacher's salaries should be reviewed every five years and the dearness allowance paid to teachers should be the same as that paid to government servants with the same salary. 3.21.</w:t>
      </w:r>
    </w:p>
    <w:p>
      <w:pPr>
        <w:pStyle w:val="BodyText"/>
        <w:spacing w:before="5"/>
      </w:pPr>
    </w:p>
    <w:p>
      <w:pPr>
        <w:pStyle w:val="ListParagraph"/>
        <w:numPr>
          <w:ilvl w:val="0"/>
          <w:numId w:val="63"/>
        </w:numPr>
        <w:tabs>
          <w:tab w:pos="378" w:val="left" w:leader="none"/>
        </w:tabs>
        <w:spacing w:line="240" w:lineRule="auto" w:before="0" w:after="0"/>
        <w:ind w:left="160" w:right="496" w:firstLine="0"/>
        <w:jc w:val="both"/>
        <w:rPr>
          <w:b/>
          <w:sz w:val="24"/>
        </w:rPr>
      </w:pPr>
      <w:r>
        <w:rPr>
          <w:b/>
          <w:sz w:val="24"/>
        </w:rPr>
        <w:t>Welfare Services. </w:t>
      </w:r>
      <w:r>
        <w:rPr>
          <w:sz w:val="24"/>
        </w:rPr>
        <w:t>A general programme of welfare services for all school teachers should be organized in each State and Union Territory, the funds being contributed by teachers (at 1 1/2 per cent of the salaries) and an equal amount being given by the State. The fund should be administered by joint committees of representatives of teachers and government. When such a fund is organized, the existing teachers' welfare fund set up by the Government of India may be advantageously merged in it. 3.22</w:t>
      </w:r>
    </w:p>
    <w:p>
      <w:pPr>
        <w:pStyle w:val="BodyText"/>
        <w:spacing w:before="4"/>
      </w:pPr>
    </w:p>
    <w:p>
      <w:pPr>
        <w:pStyle w:val="ListParagraph"/>
        <w:numPr>
          <w:ilvl w:val="0"/>
          <w:numId w:val="63"/>
        </w:numPr>
        <w:tabs>
          <w:tab w:pos="348" w:val="left" w:leader="none"/>
        </w:tabs>
        <w:spacing w:line="240" w:lineRule="auto" w:before="0" w:after="0"/>
        <w:ind w:left="160" w:right="497" w:firstLine="0"/>
        <w:jc w:val="both"/>
        <w:rPr>
          <w:b/>
          <w:sz w:val="24"/>
        </w:rPr>
      </w:pPr>
      <w:r>
        <w:rPr>
          <w:b/>
          <w:sz w:val="24"/>
        </w:rPr>
        <w:t>Need for Central Assistance. </w:t>
      </w:r>
      <w:r>
        <w:rPr>
          <w:sz w:val="24"/>
        </w:rPr>
        <w:t>The proposals for the improvement of salaries of school teachers should be given effect to immediately. Generous Central assistance should be made available to State Governments for this purpose. 3.28</w:t>
      </w:r>
    </w:p>
    <w:p>
      <w:pPr>
        <w:pStyle w:val="BodyText"/>
        <w:spacing w:before="3"/>
      </w:pPr>
    </w:p>
    <w:p>
      <w:pPr>
        <w:pStyle w:val="ListParagraph"/>
        <w:numPr>
          <w:ilvl w:val="0"/>
          <w:numId w:val="63"/>
        </w:numPr>
        <w:tabs>
          <w:tab w:pos="355" w:val="left" w:leader="none"/>
        </w:tabs>
        <w:spacing w:line="240" w:lineRule="auto" w:before="0" w:after="0"/>
        <w:ind w:left="160" w:right="496" w:firstLine="0"/>
        <w:jc w:val="both"/>
        <w:rPr>
          <w:b/>
          <w:sz w:val="24"/>
        </w:rPr>
      </w:pPr>
      <w:r>
        <w:rPr>
          <w:b/>
          <w:sz w:val="24"/>
        </w:rPr>
        <w:t>Retirement Benefits. </w:t>
      </w:r>
      <w:r>
        <w:rPr>
          <w:sz w:val="24"/>
        </w:rPr>
        <w:t>(1) The system of retirement benefits to teachers should also be reorganized on the principles of uniformity and parity. That is to say, the retirement benefits given to employees of the Government of India should be extended</w:t>
      </w:r>
      <w:r>
        <w:rPr>
          <w:spacing w:val="40"/>
          <w:sz w:val="24"/>
        </w:rPr>
        <w:t> </w:t>
      </w:r>
      <w:r>
        <w:rPr>
          <w:sz w:val="24"/>
        </w:rPr>
        <w:t>automatically to teachers in the service of the State Governments in the first 'instance and then to teachers working under local authorities and private management. 3.29</w:t>
      </w:r>
    </w:p>
    <w:p>
      <w:pPr>
        <w:pStyle w:val="BodyText"/>
        <w:spacing w:before="4"/>
      </w:pPr>
    </w:p>
    <w:p>
      <w:pPr>
        <w:pStyle w:val="ListParagraph"/>
        <w:numPr>
          <w:ilvl w:val="0"/>
          <w:numId w:val="69"/>
        </w:numPr>
        <w:tabs>
          <w:tab w:pos="504" w:val="left" w:leader="none"/>
        </w:tabs>
        <w:spacing w:line="240" w:lineRule="auto" w:before="0" w:after="0"/>
        <w:ind w:left="160" w:right="497" w:firstLine="0"/>
        <w:jc w:val="both"/>
        <w:rPr>
          <w:sz w:val="24"/>
        </w:rPr>
      </w:pPr>
      <w:r>
        <w:rPr>
          <w:sz w:val="24"/>
        </w:rPr>
        <w:t>As an interim measure, the triple-benefit scheme should be more widely adopted both for teachers in local authority and private schools</w:t>
      </w:r>
      <w:r>
        <w:rPr>
          <w:spacing w:val="-1"/>
          <w:sz w:val="24"/>
        </w:rPr>
        <w:t> </w:t>
      </w:r>
      <w:r>
        <w:rPr>
          <w:sz w:val="24"/>
        </w:rPr>
        <w:t>as well as for the university and college </w:t>
      </w:r>
      <w:r>
        <w:rPr>
          <w:spacing w:val="-2"/>
          <w:sz w:val="24"/>
        </w:rPr>
        <w:t>teachers.</w:t>
      </w:r>
    </w:p>
    <w:p>
      <w:pPr>
        <w:pStyle w:val="BodyText"/>
        <w:spacing w:before="5"/>
      </w:pPr>
    </w:p>
    <w:p>
      <w:pPr>
        <w:pStyle w:val="ListParagraph"/>
        <w:numPr>
          <w:ilvl w:val="0"/>
          <w:numId w:val="69"/>
        </w:numPr>
        <w:tabs>
          <w:tab w:pos="504" w:val="left" w:leader="none"/>
        </w:tabs>
        <w:spacing w:line="240" w:lineRule="auto" w:before="0" w:after="0"/>
        <w:ind w:left="160" w:right="497" w:firstLine="0"/>
        <w:jc w:val="both"/>
        <w:rPr>
          <w:sz w:val="24"/>
        </w:rPr>
      </w:pPr>
      <w:r>
        <w:rPr>
          <w:sz w:val="24"/>
        </w:rPr>
        <w:t>The normal retirement age for teachers in schools, colleges and universities should be made 60 years with provision for extension up to 65 years.</w:t>
      </w:r>
    </w:p>
    <w:p>
      <w:pPr>
        <w:spacing w:after="0" w:line="240" w:lineRule="auto"/>
        <w:jc w:val="both"/>
        <w:rPr>
          <w:sz w:val="24"/>
        </w:rPr>
        <w:sectPr>
          <w:pgSz w:w="12240" w:h="15840"/>
          <w:pgMar w:header="0" w:footer="743" w:top="1360" w:bottom="940" w:left="1640" w:right="1300"/>
        </w:sectPr>
      </w:pPr>
    </w:p>
    <w:p>
      <w:pPr>
        <w:pStyle w:val="ListParagraph"/>
        <w:numPr>
          <w:ilvl w:val="0"/>
          <w:numId w:val="69"/>
        </w:numPr>
        <w:tabs>
          <w:tab w:pos="518" w:val="left" w:leader="none"/>
        </w:tabs>
        <w:spacing w:line="240" w:lineRule="auto" w:before="76" w:after="0"/>
        <w:ind w:left="160" w:right="497" w:firstLine="0"/>
        <w:jc w:val="both"/>
        <w:rPr>
          <w:sz w:val="24"/>
        </w:rPr>
      </w:pPr>
      <w:r>
        <w:rPr>
          <w:sz w:val="24"/>
        </w:rPr>
        <w:t>A higher rate of interest should be given to teachers on their provident fund and for this purpose, a better system of investing these funds should be devised. 3.30-32</w:t>
      </w:r>
    </w:p>
    <w:p>
      <w:pPr>
        <w:pStyle w:val="BodyText"/>
        <w:spacing w:before="4"/>
      </w:pPr>
    </w:p>
    <w:p>
      <w:pPr>
        <w:pStyle w:val="ListParagraph"/>
        <w:numPr>
          <w:ilvl w:val="0"/>
          <w:numId w:val="63"/>
        </w:numPr>
        <w:tabs>
          <w:tab w:pos="535" w:val="left" w:leader="none"/>
        </w:tabs>
        <w:spacing w:line="240" w:lineRule="auto" w:before="0" w:after="0"/>
        <w:ind w:left="159" w:right="495" w:firstLine="0"/>
        <w:jc w:val="both"/>
        <w:rPr>
          <w:b/>
          <w:sz w:val="24"/>
        </w:rPr>
      </w:pPr>
      <w:r>
        <w:rPr>
          <w:b/>
          <w:sz w:val="24"/>
        </w:rPr>
        <w:t>Conditions of Work and Service. </w:t>
      </w:r>
      <w:r>
        <w:rPr>
          <w:sz w:val="24"/>
        </w:rPr>
        <w:t>(1) The conditions of work in educational institutions should be such as to enable teachers to function at their highest level of </w:t>
      </w:r>
      <w:r>
        <w:rPr>
          <w:spacing w:val="-2"/>
          <w:sz w:val="24"/>
        </w:rPr>
        <w:t>efficiency.</w:t>
      </w:r>
    </w:p>
    <w:p>
      <w:pPr>
        <w:pStyle w:val="BodyText"/>
        <w:spacing w:before="5"/>
      </w:pPr>
    </w:p>
    <w:p>
      <w:pPr>
        <w:pStyle w:val="ListParagraph"/>
        <w:numPr>
          <w:ilvl w:val="0"/>
          <w:numId w:val="70"/>
        </w:numPr>
        <w:tabs>
          <w:tab w:pos="580" w:val="left" w:leader="none"/>
        </w:tabs>
        <w:spacing w:line="240" w:lineRule="auto" w:before="0" w:after="0"/>
        <w:ind w:left="159" w:right="498" w:firstLine="0"/>
        <w:jc w:val="both"/>
        <w:rPr>
          <w:sz w:val="24"/>
        </w:rPr>
      </w:pPr>
      <w:r>
        <w:rPr>
          <w:sz w:val="24"/>
        </w:rPr>
        <w:t>The minimum facilities required for efficient work should be provided in all educational institutions.</w:t>
      </w:r>
    </w:p>
    <w:p>
      <w:pPr>
        <w:pStyle w:val="BodyText"/>
        <w:spacing w:before="5"/>
      </w:pPr>
    </w:p>
    <w:p>
      <w:pPr>
        <w:pStyle w:val="ListParagraph"/>
        <w:numPr>
          <w:ilvl w:val="0"/>
          <w:numId w:val="70"/>
        </w:numPr>
        <w:tabs>
          <w:tab w:pos="498" w:val="left" w:leader="none"/>
        </w:tabs>
        <w:spacing w:line="240" w:lineRule="auto" w:before="0" w:after="0"/>
        <w:ind w:left="498" w:right="0" w:hanging="339"/>
        <w:jc w:val="both"/>
        <w:rPr>
          <w:sz w:val="24"/>
        </w:rPr>
      </w:pPr>
      <w:r>
        <w:rPr>
          <w:sz w:val="24"/>
        </w:rPr>
        <w:t>Adequate</w:t>
      </w:r>
      <w:r>
        <w:rPr>
          <w:spacing w:val="-1"/>
          <w:sz w:val="24"/>
        </w:rPr>
        <w:t> </w:t>
      </w:r>
      <w:r>
        <w:rPr>
          <w:sz w:val="24"/>
        </w:rPr>
        <w:t>facilities for professional</w:t>
      </w:r>
      <w:r>
        <w:rPr>
          <w:spacing w:val="-1"/>
          <w:sz w:val="24"/>
        </w:rPr>
        <w:t> </w:t>
      </w:r>
      <w:r>
        <w:rPr>
          <w:sz w:val="24"/>
        </w:rPr>
        <w:t>advancement should be</w:t>
      </w:r>
      <w:r>
        <w:rPr>
          <w:spacing w:val="-1"/>
          <w:sz w:val="24"/>
        </w:rPr>
        <w:t> </w:t>
      </w:r>
      <w:r>
        <w:rPr>
          <w:sz w:val="24"/>
        </w:rPr>
        <w:t>provided to all </w:t>
      </w:r>
      <w:r>
        <w:rPr>
          <w:spacing w:val="-2"/>
          <w:sz w:val="24"/>
        </w:rPr>
        <w:t>teachers.</w:t>
      </w:r>
    </w:p>
    <w:p>
      <w:pPr>
        <w:pStyle w:val="BodyText"/>
        <w:spacing w:before="2"/>
      </w:pPr>
    </w:p>
    <w:p>
      <w:pPr>
        <w:pStyle w:val="BodyText"/>
        <w:ind w:left="159" w:right="496"/>
        <w:jc w:val="both"/>
      </w:pPr>
      <w:r>
        <w:rPr/>
        <w:t>(4) In fixing the hours of work, not only actual classroom teaching, but all other work a teacher has to do should be taken into consideration. (5) A scheme should also be drawn up under which every teacher will get a concessional railway pass to any part of India once in five years on payment of a reasonable contribution related to his salary. 3.33 (6) New conduct and discipline rules suitable for the teaching profession should be framed for teachers in government service.</w:t>
      </w:r>
    </w:p>
    <w:p>
      <w:pPr>
        <w:pStyle w:val="BodyText"/>
        <w:spacing w:before="4"/>
      </w:pPr>
    </w:p>
    <w:p>
      <w:pPr>
        <w:pStyle w:val="ListParagraph"/>
        <w:numPr>
          <w:ilvl w:val="0"/>
          <w:numId w:val="71"/>
        </w:numPr>
        <w:tabs>
          <w:tab w:pos="505" w:val="left" w:leader="none"/>
        </w:tabs>
        <w:spacing w:line="240" w:lineRule="auto" w:before="0" w:after="0"/>
        <w:ind w:left="159" w:right="497" w:firstLine="0"/>
        <w:jc w:val="both"/>
        <w:rPr>
          <w:sz w:val="24"/>
        </w:rPr>
      </w:pPr>
      <w:r>
        <w:rPr>
          <w:sz w:val="24"/>
        </w:rPr>
        <w:t>The terms and conditions of service of teachers in private schools should be the same as for government schools. 3.34</w:t>
      </w:r>
    </w:p>
    <w:p>
      <w:pPr>
        <w:pStyle w:val="BodyText"/>
        <w:spacing w:before="5"/>
      </w:pPr>
    </w:p>
    <w:p>
      <w:pPr>
        <w:pStyle w:val="ListParagraph"/>
        <w:numPr>
          <w:ilvl w:val="0"/>
          <w:numId w:val="71"/>
        </w:numPr>
        <w:tabs>
          <w:tab w:pos="513" w:val="left" w:leader="none"/>
        </w:tabs>
        <w:spacing w:line="240" w:lineRule="auto" w:before="0" w:after="0"/>
        <w:ind w:left="159" w:right="499" w:firstLine="0"/>
        <w:jc w:val="both"/>
        <w:rPr>
          <w:sz w:val="24"/>
        </w:rPr>
      </w:pPr>
      <w:r>
        <w:rPr>
          <w:sz w:val="24"/>
        </w:rPr>
        <w:t>The provision of residential accommodation for teachers is extremely important. For this purpose, it is suggested that-</w:t>
      </w:r>
    </w:p>
    <w:p>
      <w:pPr>
        <w:pStyle w:val="BodyText"/>
        <w:spacing w:before="3"/>
      </w:pPr>
    </w:p>
    <w:p>
      <w:pPr>
        <w:pStyle w:val="ListParagraph"/>
        <w:numPr>
          <w:ilvl w:val="1"/>
          <w:numId w:val="71"/>
        </w:numPr>
        <w:tabs>
          <w:tab w:pos="521" w:val="left" w:leader="none"/>
        </w:tabs>
        <w:spacing w:line="240" w:lineRule="auto" w:before="1" w:after="0"/>
        <w:ind w:left="159" w:right="497" w:firstLine="0"/>
        <w:jc w:val="both"/>
        <w:rPr>
          <w:sz w:val="24"/>
        </w:rPr>
      </w:pPr>
      <w:r>
        <w:rPr>
          <w:sz w:val="24"/>
        </w:rPr>
        <w:t>every effort should be made to increase residential accommodation for teachers in rural areas and State subsidies should be made available for the purpose;</w:t>
      </w:r>
    </w:p>
    <w:p>
      <w:pPr>
        <w:pStyle w:val="BodyText"/>
        <w:spacing w:before="3"/>
      </w:pPr>
    </w:p>
    <w:p>
      <w:pPr>
        <w:pStyle w:val="ListParagraph"/>
        <w:numPr>
          <w:ilvl w:val="1"/>
          <w:numId w:val="71"/>
        </w:numPr>
        <w:tabs>
          <w:tab w:pos="532" w:val="left" w:leader="none"/>
        </w:tabs>
        <w:spacing w:line="240" w:lineRule="auto" w:before="0" w:after="0"/>
        <w:ind w:left="159" w:right="498" w:firstLine="0"/>
        <w:jc w:val="both"/>
        <w:rPr>
          <w:sz w:val="24"/>
        </w:rPr>
      </w:pPr>
      <w:r>
        <w:rPr>
          <w:sz w:val="24"/>
        </w:rPr>
        <w:t>a programme of building construction and grant of adequate house rent allowance should be adopted in all big cities;</w:t>
      </w:r>
    </w:p>
    <w:p>
      <w:pPr>
        <w:pStyle w:val="BodyText"/>
        <w:spacing w:before="5"/>
      </w:pPr>
    </w:p>
    <w:p>
      <w:pPr>
        <w:pStyle w:val="ListParagraph"/>
        <w:numPr>
          <w:ilvl w:val="1"/>
          <w:numId w:val="71"/>
        </w:numPr>
        <w:tabs>
          <w:tab w:pos="565" w:val="left" w:leader="none"/>
        </w:tabs>
        <w:spacing w:line="240" w:lineRule="auto" w:before="0" w:after="0"/>
        <w:ind w:left="159" w:right="498" w:firstLine="0"/>
        <w:jc w:val="both"/>
        <w:rPr>
          <w:sz w:val="24"/>
        </w:rPr>
      </w:pPr>
      <w:r>
        <w:rPr>
          <w:sz w:val="24"/>
        </w:rPr>
        <w:t>cooperative housing schemes for teachers should be encouraged and loans on favourable terms should be made available for construction of houses; and</w:t>
      </w:r>
    </w:p>
    <w:p>
      <w:pPr>
        <w:pStyle w:val="BodyText"/>
        <w:spacing w:before="4"/>
      </w:pPr>
    </w:p>
    <w:p>
      <w:pPr>
        <w:pStyle w:val="ListParagraph"/>
        <w:numPr>
          <w:ilvl w:val="1"/>
          <w:numId w:val="71"/>
        </w:numPr>
        <w:tabs>
          <w:tab w:pos="642" w:val="left" w:leader="none"/>
        </w:tabs>
        <w:spacing w:line="240" w:lineRule="auto" w:before="0" w:after="0"/>
        <w:ind w:left="159" w:right="495" w:firstLine="0"/>
        <w:jc w:val="both"/>
        <w:rPr>
          <w:sz w:val="24"/>
        </w:rPr>
      </w:pPr>
      <w:r>
        <w:rPr>
          <w:sz w:val="24"/>
        </w:rPr>
        <w:t>in universities and colleges, the target should be to provide residential accommodation to about 50 per cent of the teachers in the university and 20 per cent of them in affiliated colleges. 3.36</w:t>
      </w:r>
    </w:p>
    <w:p>
      <w:pPr>
        <w:pStyle w:val="BodyText"/>
        <w:spacing w:before="3"/>
      </w:pPr>
    </w:p>
    <w:p>
      <w:pPr>
        <w:pStyle w:val="ListParagraph"/>
        <w:numPr>
          <w:ilvl w:val="0"/>
          <w:numId w:val="71"/>
        </w:numPr>
        <w:tabs>
          <w:tab w:pos="520" w:val="left" w:leader="none"/>
        </w:tabs>
        <w:spacing w:line="240" w:lineRule="auto" w:before="1" w:after="0"/>
        <w:ind w:left="159" w:right="497" w:firstLine="0"/>
        <w:jc w:val="both"/>
        <w:rPr>
          <w:sz w:val="24"/>
        </w:rPr>
      </w:pPr>
      <w:r>
        <w:rPr>
          <w:sz w:val="24"/>
        </w:rPr>
        <w:t>Private tuitions should be discouraged and controlled. Special coaching for children who need it should be provided on an institutional basis.</w:t>
      </w:r>
    </w:p>
    <w:p>
      <w:pPr>
        <w:pStyle w:val="BodyText"/>
        <w:spacing w:before="3"/>
      </w:pPr>
    </w:p>
    <w:p>
      <w:pPr>
        <w:pStyle w:val="ListParagraph"/>
        <w:numPr>
          <w:ilvl w:val="0"/>
          <w:numId w:val="71"/>
        </w:numPr>
        <w:tabs>
          <w:tab w:pos="639" w:val="left" w:leader="none"/>
        </w:tabs>
        <w:spacing w:line="240" w:lineRule="auto" w:before="0" w:after="0"/>
        <w:ind w:left="159" w:right="497" w:firstLine="0"/>
        <w:jc w:val="both"/>
        <w:rPr>
          <w:sz w:val="24"/>
        </w:rPr>
      </w:pPr>
      <w:r>
        <w:rPr>
          <w:sz w:val="24"/>
        </w:rPr>
        <w:t>At the university stage, part-time consultancy or additional work, such as research</w:t>
      </w:r>
      <w:r>
        <w:rPr>
          <w:spacing w:val="40"/>
          <w:sz w:val="24"/>
        </w:rPr>
        <w:t> </w:t>
      </w:r>
      <w:r>
        <w:rPr>
          <w:sz w:val="24"/>
        </w:rPr>
        <w:t>by teachers in higher education should be permitted; and no payment should be required to be made to the institution if the earnings do not exceed 50 per cent of the salary. 3.38</w:t>
      </w:r>
    </w:p>
    <w:p>
      <w:pPr>
        <w:spacing w:after="0" w:line="240" w:lineRule="auto"/>
        <w:jc w:val="both"/>
        <w:rPr>
          <w:sz w:val="24"/>
        </w:rPr>
        <w:sectPr>
          <w:pgSz w:w="12240" w:h="15840"/>
          <w:pgMar w:header="0" w:footer="743" w:top="1360" w:bottom="940" w:left="1640" w:right="1300"/>
        </w:sectPr>
      </w:pPr>
    </w:p>
    <w:p>
      <w:pPr>
        <w:pStyle w:val="ListParagraph"/>
        <w:numPr>
          <w:ilvl w:val="0"/>
          <w:numId w:val="71"/>
        </w:numPr>
        <w:tabs>
          <w:tab w:pos="629" w:val="left" w:leader="none"/>
        </w:tabs>
        <w:spacing w:line="240" w:lineRule="auto" w:before="76" w:after="0"/>
        <w:ind w:left="160" w:right="496" w:firstLine="0"/>
        <w:jc w:val="both"/>
        <w:rPr>
          <w:sz w:val="24"/>
        </w:rPr>
      </w:pPr>
      <w:r>
        <w:rPr>
          <w:sz w:val="24"/>
        </w:rPr>
        <w:t>Teachers should be free to exercise all civic rights mid should be eligible for public office</w:t>
      </w:r>
      <w:r>
        <w:rPr>
          <w:spacing w:val="-2"/>
          <w:sz w:val="24"/>
        </w:rPr>
        <w:t> </w:t>
      </w:r>
      <w:r>
        <w:rPr>
          <w:sz w:val="24"/>
        </w:rPr>
        <w:t>at</w:t>
      </w:r>
      <w:r>
        <w:rPr>
          <w:spacing w:val="-2"/>
          <w:sz w:val="24"/>
        </w:rPr>
        <w:t> </w:t>
      </w:r>
      <w:r>
        <w:rPr>
          <w:sz w:val="24"/>
        </w:rPr>
        <w:t>the</w:t>
      </w:r>
      <w:r>
        <w:rPr>
          <w:spacing w:val="-2"/>
          <w:sz w:val="24"/>
        </w:rPr>
        <w:t> </w:t>
      </w:r>
      <w:r>
        <w:rPr>
          <w:sz w:val="24"/>
        </w:rPr>
        <w:t>local,</w:t>
      </w:r>
      <w:r>
        <w:rPr>
          <w:spacing w:val="-2"/>
          <w:sz w:val="24"/>
        </w:rPr>
        <w:t> </w:t>
      </w:r>
      <w:r>
        <w:rPr>
          <w:sz w:val="24"/>
        </w:rPr>
        <w:t>district,</w:t>
      </w:r>
      <w:r>
        <w:rPr>
          <w:spacing w:val="-2"/>
          <w:sz w:val="24"/>
        </w:rPr>
        <w:t> </w:t>
      </w:r>
      <w:r>
        <w:rPr>
          <w:sz w:val="24"/>
        </w:rPr>
        <w:t>State</w:t>
      </w:r>
      <w:r>
        <w:rPr>
          <w:spacing w:val="-2"/>
          <w:sz w:val="24"/>
        </w:rPr>
        <w:t> </w:t>
      </w:r>
      <w:r>
        <w:rPr>
          <w:sz w:val="24"/>
        </w:rPr>
        <w:t>or</w:t>
      </w:r>
      <w:r>
        <w:rPr>
          <w:spacing w:val="-2"/>
          <w:sz w:val="24"/>
        </w:rPr>
        <w:t> </w:t>
      </w:r>
      <w:r>
        <w:rPr>
          <w:sz w:val="24"/>
        </w:rPr>
        <w:t>national</w:t>
      </w:r>
      <w:r>
        <w:rPr>
          <w:spacing w:val="-2"/>
          <w:sz w:val="24"/>
        </w:rPr>
        <w:t> </w:t>
      </w:r>
      <w:r>
        <w:rPr>
          <w:sz w:val="24"/>
        </w:rPr>
        <w:t>level.</w:t>
      </w:r>
      <w:r>
        <w:rPr>
          <w:spacing w:val="-2"/>
          <w:sz w:val="24"/>
        </w:rPr>
        <w:t> </w:t>
      </w:r>
      <w:r>
        <w:rPr>
          <w:sz w:val="24"/>
        </w:rPr>
        <w:t>No</w:t>
      </w:r>
      <w:r>
        <w:rPr>
          <w:spacing w:val="-2"/>
          <w:sz w:val="24"/>
        </w:rPr>
        <w:t> </w:t>
      </w:r>
      <w:r>
        <w:rPr>
          <w:sz w:val="24"/>
        </w:rPr>
        <w:t>legal</w:t>
      </w:r>
      <w:r>
        <w:rPr>
          <w:spacing w:val="-2"/>
          <w:sz w:val="24"/>
        </w:rPr>
        <w:t> </w:t>
      </w:r>
      <w:r>
        <w:rPr>
          <w:sz w:val="24"/>
        </w:rPr>
        <w:t>restriction</w:t>
      </w:r>
      <w:r>
        <w:rPr>
          <w:spacing w:val="-3"/>
          <w:sz w:val="24"/>
        </w:rPr>
        <w:t> </w:t>
      </w:r>
      <w:r>
        <w:rPr>
          <w:sz w:val="24"/>
        </w:rPr>
        <w:t>should</w:t>
      </w:r>
      <w:r>
        <w:rPr>
          <w:spacing w:val="-3"/>
          <w:sz w:val="24"/>
        </w:rPr>
        <w:t> </w:t>
      </w:r>
      <w:r>
        <w:rPr>
          <w:sz w:val="24"/>
        </w:rPr>
        <w:t>be</w:t>
      </w:r>
      <w:r>
        <w:rPr>
          <w:spacing w:val="-3"/>
          <w:sz w:val="24"/>
        </w:rPr>
        <w:t> </w:t>
      </w:r>
      <w:r>
        <w:rPr>
          <w:sz w:val="24"/>
        </w:rPr>
        <w:t>placed</w:t>
      </w:r>
      <w:r>
        <w:rPr>
          <w:spacing w:val="-3"/>
          <w:sz w:val="24"/>
        </w:rPr>
        <w:t> </w:t>
      </w:r>
      <w:r>
        <w:rPr>
          <w:sz w:val="24"/>
        </w:rPr>
        <w:t>on their participation in elections, but when they do so, they should be expected to proceed on leave. 3.39</w:t>
      </w:r>
    </w:p>
    <w:p>
      <w:pPr>
        <w:pStyle w:val="BodyText"/>
        <w:spacing w:before="4"/>
      </w:pPr>
    </w:p>
    <w:p>
      <w:pPr>
        <w:pStyle w:val="ListParagraph"/>
        <w:numPr>
          <w:ilvl w:val="0"/>
          <w:numId w:val="63"/>
        </w:numPr>
        <w:tabs>
          <w:tab w:pos="476" w:val="left" w:leader="none"/>
        </w:tabs>
        <w:spacing w:line="240" w:lineRule="auto" w:before="0" w:after="0"/>
        <w:ind w:left="160" w:right="496" w:firstLine="0"/>
        <w:jc w:val="both"/>
        <w:rPr>
          <w:b/>
          <w:sz w:val="24"/>
        </w:rPr>
      </w:pPr>
      <w:r>
        <w:rPr>
          <w:b/>
          <w:sz w:val="24"/>
        </w:rPr>
        <w:t>Women Teachers. </w:t>
      </w:r>
      <w:r>
        <w:rPr>
          <w:sz w:val="24"/>
        </w:rPr>
        <w:t>(1) The employment of women teachers should be encouraged at all stages and in all sectors of education. Opportunities for part-time employment </w:t>
      </w:r>
      <w:r>
        <w:rPr>
          <w:sz w:val="24"/>
        </w:rPr>
        <w:t>should be provided for them on a large scale.</w:t>
      </w:r>
    </w:p>
    <w:p>
      <w:pPr>
        <w:pStyle w:val="BodyText"/>
        <w:spacing w:before="5"/>
      </w:pPr>
    </w:p>
    <w:p>
      <w:pPr>
        <w:pStyle w:val="BodyText"/>
        <w:ind w:left="160" w:right="497"/>
        <w:jc w:val="both"/>
      </w:pPr>
      <w:r>
        <w:rPr/>
        <w:t>(2) Adequate provision should be made for residential accommodation particularly in rural areas. (3) The condensed courses for adult women operated by the Central Social Welfare Board should be expanded.</w:t>
      </w:r>
    </w:p>
    <w:p>
      <w:pPr>
        <w:pStyle w:val="BodyText"/>
        <w:spacing w:before="5"/>
      </w:pPr>
    </w:p>
    <w:p>
      <w:pPr>
        <w:pStyle w:val="BodyText"/>
        <w:ind w:left="160"/>
        <w:jc w:val="both"/>
      </w:pPr>
      <w:r>
        <w:rPr/>
        <w:t>(4)Increasing</w:t>
      </w:r>
      <w:r>
        <w:rPr>
          <w:spacing w:val="-1"/>
        </w:rPr>
        <w:t> </w:t>
      </w:r>
      <w:r>
        <w:rPr/>
        <w:t>facilities</w:t>
      </w:r>
      <w:r>
        <w:rPr>
          <w:spacing w:val="-2"/>
        </w:rPr>
        <w:t> </w:t>
      </w:r>
      <w:r>
        <w:rPr/>
        <w:t>should be provided for education</w:t>
      </w:r>
      <w:r>
        <w:rPr>
          <w:spacing w:val="-1"/>
        </w:rPr>
        <w:t> </w:t>
      </w:r>
      <w:r>
        <w:rPr/>
        <w:t>through</w:t>
      </w:r>
      <w:r>
        <w:rPr>
          <w:spacing w:val="-1"/>
        </w:rPr>
        <w:t> </w:t>
      </w:r>
      <w:r>
        <w:rPr/>
        <w:t>correspondence</w:t>
      </w:r>
      <w:r>
        <w:rPr>
          <w:spacing w:val="-1"/>
        </w:rPr>
        <w:t> </w:t>
      </w:r>
      <w:r>
        <w:rPr>
          <w:spacing w:val="-2"/>
        </w:rPr>
        <w:t>courses.</w:t>
      </w:r>
    </w:p>
    <w:p>
      <w:pPr>
        <w:pStyle w:val="BodyText"/>
        <w:spacing w:before="2"/>
      </w:pPr>
    </w:p>
    <w:p>
      <w:pPr>
        <w:pStyle w:val="BodyText"/>
        <w:ind w:left="160" w:right="498"/>
        <w:jc w:val="both"/>
      </w:pPr>
      <w:r>
        <w:rPr/>
        <w:t>(5) Wherever necessary, special allowances should be given to women teachers working in rural areas. 3.40</w:t>
      </w:r>
    </w:p>
    <w:p>
      <w:pPr>
        <w:pStyle w:val="BodyText"/>
        <w:spacing w:before="4"/>
      </w:pPr>
    </w:p>
    <w:p>
      <w:pPr>
        <w:pStyle w:val="ListParagraph"/>
        <w:numPr>
          <w:ilvl w:val="0"/>
          <w:numId w:val="63"/>
        </w:numPr>
        <w:tabs>
          <w:tab w:pos="504" w:val="left" w:leader="none"/>
        </w:tabs>
        <w:spacing w:line="240" w:lineRule="auto" w:before="0" w:after="0"/>
        <w:ind w:left="160" w:right="498" w:firstLine="0"/>
        <w:jc w:val="both"/>
        <w:rPr>
          <w:b/>
          <w:sz w:val="24"/>
        </w:rPr>
      </w:pPr>
      <w:r>
        <w:rPr>
          <w:b/>
          <w:sz w:val="24"/>
        </w:rPr>
        <w:t>Teachers for Tribal Areas. </w:t>
      </w:r>
      <w:r>
        <w:rPr>
          <w:sz w:val="24"/>
        </w:rPr>
        <w:t>(1) Teachers for tribal areas should be given special allowances, assistance for the education of their children and residential accommodation.</w:t>
      </w:r>
    </w:p>
    <w:p>
      <w:pPr>
        <w:pStyle w:val="BodyText"/>
        <w:spacing w:before="5"/>
      </w:pPr>
    </w:p>
    <w:p>
      <w:pPr>
        <w:pStyle w:val="BodyText"/>
        <w:ind w:left="160" w:right="498"/>
        <w:jc w:val="both"/>
      </w:pPr>
      <w:r>
        <w:rPr/>
        <w:t>(2) Provision should be made for giving special training to teachers who are to work in tribal areas. 3.43</w:t>
      </w:r>
    </w:p>
    <w:p>
      <w:pPr>
        <w:pStyle w:val="BodyText"/>
        <w:spacing w:before="3"/>
      </w:pPr>
    </w:p>
    <w:p>
      <w:pPr>
        <w:pStyle w:val="ListParagraph"/>
        <w:numPr>
          <w:ilvl w:val="0"/>
          <w:numId w:val="63"/>
        </w:numPr>
        <w:tabs>
          <w:tab w:pos="475" w:val="left" w:leader="none"/>
        </w:tabs>
        <w:spacing w:line="240" w:lineRule="auto" w:before="1" w:after="0"/>
        <w:ind w:left="160" w:right="497" w:firstLine="0"/>
        <w:jc w:val="both"/>
        <w:rPr>
          <w:b/>
          <w:sz w:val="24"/>
        </w:rPr>
      </w:pPr>
      <w:r>
        <w:rPr>
          <w:b/>
          <w:sz w:val="24"/>
        </w:rPr>
        <w:t>Teachers' Organizations. </w:t>
      </w:r>
      <w:r>
        <w:rPr>
          <w:sz w:val="24"/>
        </w:rPr>
        <w:t>(1) Professional organizations of teachers which carry out work</w:t>
      </w:r>
      <w:r>
        <w:rPr>
          <w:spacing w:val="-1"/>
          <w:sz w:val="24"/>
        </w:rPr>
        <w:t> </w:t>
      </w:r>
      <w:r>
        <w:rPr>
          <w:sz w:val="24"/>
        </w:rPr>
        <w:t>for</w:t>
      </w:r>
      <w:r>
        <w:rPr>
          <w:spacing w:val="-1"/>
          <w:sz w:val="24"/>
        </w:rPr>
        <w:t> </w:t>
      </w:r>
      <w:r>
        <w:rPr>
          <w:sz w:val="24"/>
        </w:rPr>
        <w:t>the</w:t>
      </w:r>
      <w:r>
        <w:rPr>
          <w:spacing w:val="-1"/>
          <w:sz w:val="24"/>
        </w:rPr>
        <w:t> </w:t>
      </w:r>
      <w:r>
        <w:rPr>
          <w:sz w:val="24"/>
        </w:rPr>
        <w:t>improvement</w:t>
      </w:r>
      <w:r>
        <w:rPr>
          <w:spacing w:val="-1"/>
          <w:sz w:val="24"/>
        </w:rPr>
        <w:t> </w:t>
      </w:r>
      <w:r>
        <w:rPr>
          <w:sz w:val="24"/>
        </w:rPr>
        <w:t>of</w:t>
      </w:r>
      <w:r>
        <w:rPr>
          <w:spacing w:val="-1"/>
          <w:sz w:val="24"/>
        </w:rPr>
        <w:t> </w:t>
      </w:r>
      <w:r>
        <w:rPr>
          <w:sz w:val="24"/>
        </w:rPr>
        <w:t>the</w:t>
      </w:r>
      <w:r>
        <w:rPr>
          <w:spacing w:val="-1"/>
          <w:sz w:val="24"/>
        </w:rPr>
        <w:t> </w:t>
      </w:r>
      <w:r>
        <w:rPr>
          <w:sz w:val="24"/>
        </w:rPr>
        <w:t>profession</w:t>
      </w:r>
      <w:r>
        <w:rPr>
          <w:spacing w:val="-1"/>
          <w:sz w:val="24"/>
        </w:rPr>
        <w:t> </w:t>
      </w:r>
      <w:r>
        <w:rPr>
          <w:sz w:val="24"/>
        </w:rPr>
        <w:t>and</w:t>
      </w:r>
      <w:r>
        <w:rPr>
          <w:spacing w:val="-2"/>
          <w:sz w:val="24"/>
        </w:rPr>
        <w:t> </w:t>
      </w:r>
      <w:r>
        <w:rPr>
          <w:sz w:val="24"/>
        </w:rPr>
        <w:t>of</w:t>
      </w:r>
      <w:r>
        <w:rPr>
          <w:spacing w:val="-2"/>
          <w:sz w:val="24"/>
        </w:rPr>
        <w:t> </w:t>
      </w:r>
      <w:r>
        <w:rPr>
          <w:sz w:val="24"/>
        </w:rPr>
        <w:t>education</w:t>
      </w:r>
      <w:r>
        <w:rPr>
          <w:spacing w:val="-2"/>
          <w:sz w:val="24"/>
        </w:rPr>
        <w:t> </w:t>
      </w:r>
      <w:r>
        <w:rPr>
          <w:sz w:val="24"/>
        </w:rPr>
        <w:t>should be</w:t>
      </w:r>
      <w:r>
        <w:rPr>
          <w:spacing w:val="-1"/>
          <w:sz w:val="24"/>
        </w:rPr>
        <w:t> </w:t>
      </w:r>
      <w:r>
        <w:rPr>
          <w:sz w:val="24"/>
        </w:rPr>
        <w:t>recognized</w:t>
      </w:r>
      <w:r>
        <w:rPr>
          <w:spacing w:val="-1"/>
          <w:sz w:val="24"/>
        </w:rPr>
        <w:t> </w:t>
      </w:r>
      <w:r>
        <w:rPr>
          <w:sz w:val="24"/>
        </w:rPr>
        <w:t>by</w:t>
      </w:r>
      <w:r>
        <w:rPr>
          <w:spacing w:val="-1"/>
          <w:sz w:val="24"/>
        </w:rPr>
        <w:t> </w:t>
      </w:r>
      <w:r>
        <w:rPr>
          <w:sz w:val="24"/>
        </w:rPr>
        <w:t>the Central and State Governments and consulted on matters relating to school education, general and professional education of teachers and their salaries and conditions of work.</w:t>
      </w:r>
    </w:p>
    <w:p>
      <w:pPr>
        <w:pStyle w:val="BodyText"/>
        <w:spacing w:before="3"/>
      </w:pPr>
    </w:p>
    <w:p>
      <w:pPr>
        <w:pStyle w:val="BodyText"/>
        <w:ind w:left="160" w:right="496"/>
        <w:jc w:val="both"/>
      </w:pPr>
      <w:r>
        <w:rPr/>
        <w:t>(2) Joint Teachers' Councils should be constituted in each State and Union Territory to discuss all matters relating to teachers' salaries, conditions of work and service and welfare service. These should consist of representatives of teachers' organizations and officers of the State Education Department. Conventions should be developed to the</w:t>
      </w:r>
      <w:r>
        <w:rPr>
          <w:spacing w:val="40"/>
        </w:rPr>
        <w:t> </w:t>
      </w:r>
      <w:r>
        <w:rPr/>
        <w:t>effect that unanimous recommendations of the Council would be accepted by Government. In certain matters, there should be provision for arbitration when negotiations fail. 3.44</w:t>
      </w:r>
    </w:p>
    <w:p>
      <w:pPr>
        <w:pStyle w:val="BodyText"/>
        <w:spacing w:before="4"/>
      </w:pPr>
    </w:p>
    <w:p>
      <w:pPr>
        <w:pStyle w:val="ListParagraph"/>
        <w:numPr>
          <w:ilvl w:val="0"/>
          <w:numId w:val="63"/>
        </w:numPr>
        <w:tabs>
          <w:tab w:pos="560" w:val="left" w:leader="none"/>
        </w:tabs>
        <w:spacing w:line="240" w:lineRule="auto" w:before="0" w:after="0"/>
        <w:ind w:left="160" w:right="497" w:firstLine="0"/>
        <w:jc w:val="both"/>
        <w:rPr>
          <w:b/>
          <w:sz w:val="24"/>
        </w:rPr>
      </w:pPr>
      <w:r>
        <w:rPr>
          <w:b/>
          <w:sz w:val="24"/>
        </w:rPr>
        <w:t>National Awards. </w:t>
      </w:r>
      <w:r>
        <w:rPr>
          <w:sz w:val="24"/>
        </w:rPr>
        <w:t>The Ministry of Education should consider the following </w:t>
      </w:r>
      <w:r>
        <w:rPr>
          <w:spacing w:val="-2"/>
          <w:sz w:val="24"/>
        </w:rPr>
        <w:t>suggestions:</w:t>
      </w:r>
    </w:p>
    <w:p>
      <w:pPr>
        <w:pStyle w:val="BodyText"/>
        <w:spacing w:before="6"/>
      </w:pPr>
    </w:p>
    <w:p>
      <w:pPr>
        <w:pStyle w:val="ListParagraph"/>
        <w:numPr>
          <w:ilvl w:val="0"/>
          <w:numId w:val="72"/>
        </w:numPr>
        <w:tabs>
          <w:tab w:pos="299" w:val="left" w:leader="none"/>
        </w:tabs>
        <w:spacing w:line="240" w:lineRule="auto" w:before="0" w:after="0"/>
        <w:ind w:left="299" w:right="0" w:hanging="139"/>
        <w:jc w:val="both"/>
        <w:rPr>
          <w:sz w:val="24"/>
        </w:rPr>
      </w:pPr>
      <w:r>
        <w:rPr>
          <w:sz w:val="24"/>
        </w:rPr>
        <w:t>The</w:t>
      </w:r>
      <w:r>
        <w:rPr>
          <w:spacing w:val="-1"/>
          <w:sz w:val="24"/>
        </w:rPr>
        <w:t> </w:t>
      </w:r>
      <w:r>
        <w:rPr>
          <w:sz w:val="24"/>
        </w:rPr>
        <w:t>number of national awards should be </w:t>
      </w:r>
      <w:r>
        <w:rPr>
          <w:spacing w:val="-2"/>
          <w:sz w:val="24"/>
        </w:rPr>
        <w:t>increased;</w:t>
      </w:r>
    </w:p>
    <w:p>
      <w:pPr>
        <w:pStyle w:val="BodyText"/>
        <w:spacing w:before="4"/>
      </w:pPr>
    </w:p>
    <w:p>
      <w:pPr>
        <w:pStyle w:val="ListParagraph"/>
        <w:numPr>
          <w:ilvl w:val="0"/>
          <w:numId w:val="72"/>
        </w:numPr>
        <w:tabs>
          <w:tab w:pos="299" w:val="left" w:leader="none"/>
        </w:tabs>
        <w:spacing w:line="240" w:lineRule="auto" w:before="0" w:after="0"/>
        <w:ind w:left="299" w:right="0" w:hanging="139"/>
        <w:jc w:val="both"/>
        <w:rPr>
          <w:sz w:val="24"/>
        </w:rPr>
      </w:pPr>
      <w:r>
        <w:rPr>
          <w:sz w:val="24"/>
        </w:rPr>
        <w:t>The</w:t>
      </w:r>
      <w:r>
        <w:rPr>
          <w:spacing w:val="-1"/>
          <w:sz w:val="24"/>
        </w:rPr>
        <w:t> </w:t>
      </w:r>
      <w:r>
        <w:rPr>
          <w:sz w:val="24"/>
        </w:rPr>
        <w:t>selection committees should</w:t>
      </w:r>
      <w:r>
        <w:rPr>
          <w:spacing w:val="-1"/>
          <w:sz w:val="24"/>
        </w:rPr>
        <w:t> </w:t>
      </w:r>
      <w:r>
        <w:rPr>
          <w:sz w:val="24"/>
        </w:rPr>
        <w:t>be strengthened; </w:t>
      </w:r>
      <w:r>
        <w:rPr>
          <w:spacing w:val="-5"/>
          <w:sz w:val="24"/>
        </w:rPr>
        <w:t>and</w:t>
      </w:r>
    </w:p>
    <w:p>
      <w:pPr>
        <w:pStyle w:val="BodyText"/>
        <w:spacing w:before="3"/>
      </w:pPr>
    </w:p>
    <w:p>
      <w:pPr>
        <w:pStyle w:val="ListParagraph"/>
        <w:numPr>
          <w:ilvl w:val="0"/>
          <w:numId w:val="72"/>
        </w:numPr>
        <w:tabs>
          <w:tab w:pos="298" w:val="left" w:leader="none"/>
        </w:tabs>
        <w:spacing w:line="240" w:lineRule="auto" w:before="0" w:after="0"/>
        <w:ind w:left="298" w:right="0" w:hanging="138"/>
        <w:jc w:val="both"/>
        <w:rPr>
          <w:sz w:val="24"/>
        </w:rPr>
      </w:pPr>
      <w:r>
        <w:rPr>
          <w:sz w:val="24"/>
        </w:rPr>
        <w:t>Traveling</w:t>
      </w:r>
      <w:r>
        <w:rPr>
          <w:spacing w:val="-4"/>
          <w:sz w:val="24"/>
        </w:rPr>
        <w:t> </w:t>
      </w:r>
      <w:r>
        <w:rPr>
          <w:sz w:val="24"/>
        </w:rPr>
        <w:t>allowance</w:t>
      </w:r>
      <w:r>
        <w:rPr>
          <w:spacing w:val="-1"/>
          <w:sz w:val="24"/>
        </w:rPr>
        <w:t> </w:t>
      </w:r>
      <w:r>
        <w:rPr>
          <w:sz w:val="24"/>
        </w:rPr>
        <w:t>given</w:t>
      </w:r>
      <w:r>
        <w:rPr>
          <w:spacing w:val="-1"/>
          <w:sz w:val="24"/>
        </w:rPr>
        <w:t> </w:t>
      </w:r>
      <w:r>
        <w:rPr>
          <w:sz w:val="24"/>
        </w:rPr>
        <w:t>to</w:t>
      </w:r>
      <w:r>
        <w:rPr>
          <w:spacing w:val="-2"/>
          <w:sz w:val="24"/>
        </w:rPr>
        <w:t> </w:t>
      </w:r>
      <w:r>
        <w:rPr>
          <w:sz w:val="24"/>
        </w:rPr>
        <w:t>the</w:t>
      </w:r>
      <w:r>
        <w:rPr>
          <w:spacing w:val="-1"/>
          <w:sz w:val="24"/>
        </w:rPr>
        <w:t> </w:t>
      </w:r>
      <w:r>
        <w:rPr>
          <w:sz w:val="24"/>
        </w:rPr>
        <w:t>awardees should</w:t>
      </w:r>
      <w:r>
        <w:rPr>
          <w:spacing w:val="-1"/>
          <w:sz w:val="24"/>
        </w:rPr>
        <w:t> </w:t>
      </w:r>
      <w:r>
        <w:rPr>
          <w:sz w:val="24"/>
        </w:rPr>
        <w:t>be similar to </w:t>
      </w:r>
      <w:r>
        <w:rPr>
          <w:spacing w:val="-4"/>
          <w:sz w:val="24"/>
        </w:rPr>
        <w:t>3.48</w:t>
      </w:r>
    </w:p>
    <w:p>
      <w:pPr>
        <w:spacing w:after="0" w:line="240" w:lineRule="auto"/>
        <w:jc w:val="both"/>
        <w:rPr>
          <w:sz w:val="24"/>
        </w:rPr>
        <w:sectPr>
          <w:pgSz w:w="12240" w:h="15840"/>
          <w:pgMar w:header="0" w:footer="743" w:top="1360" w:bottom="940" w:left="1640" w:right="1300"/>
        </w:sectPr>
      </w:pPr>
    </w:p>
    <w:p>
      <w:pPr>
        <w:pStyle w:val="BodyText"/>
        <w:spacing w:before="76"/>
        <w:ind w:left="160"/>
      </w:pPr>
      <w:r>
        <w:rPr/>
        <w:t>that</w:t>
      </w:r>
      <w:r>
        <w:rPr>
          <w:spacing w:val="-1"/>
        </w:rPr>
        <w:t> </w:t>
      </w:r>
      <w:r>
        <w:rPr/>
        <w:t>sanctioned</w:t>
      </w:r>
      <w:r>
        <w:rPr>
          <w:spacing w:val="-1"/>
        </w:rPr>
        <w:t> </w:t>
      </w:r>
      <w:r>
        <w:rPr/>
        <w:t>for</w:t>
      </w:r>
      <w:r>
        <w:rPr>
          <w:spacing w:val="-1"/>
        </w:rPr>
        <w:t> </w:t>
      </w:r>
      <w:r>
        <w:rPr/>
        <w:t>Class</w:t>
      </w:r>
      <w:r>
        <w:rPr>
          <w:spacing w:val="-1"/>
        </w:rPr>
        <w:t> </w:t>
      </w:r>
      <w:r>
        <w:rPr/>
        <w:t>I</w:t>
      </w:r>
      <w:r>
        <w:rPr>
          <w:spacing w:val="-1"/>
        </w:rPr>
        <w:t> </w:t>
      </w:r>
      <w:r>
        <w:rPr/>
        <w:t>officers</w:t>
      </w:r>
      <w:r>
        <w:rPr>
          <w:spacing w:val="-1"/>
        </w:rPr>
        <w:t> </w:t>
      </w:r>
      <w:r>
        <w:rPr/>
        <w:t>of</w:t>
      </w:r>
      <w:r>
        <w:rPr>
          <w:spacing w:val="-1"/>
        </w:rPr>
        <w:t> </w:t>
      </w:r>
      <w:r>
        <w:rPr>
          <w:spacing w:val="-2"/>
        </w:rPr>
        <w:t>Government.</w:t>
      </w:r>
    </w:p>
    <w:p>
      <w:pPr>
        <w:spacing w:after="0"/>
        <w:sectPr>
          <w:pgSz w:w="12240" w:h="15840"/>
          <w:pgMar w:header="0" w:footer="743" w:top="1360" w:bottom="940" w:left="1640" w:right="1300"/>
        </w:sectPr>
      </w:pPr>
    </w:p>
    <w:p>
      <w:pPr>
        <w:pStyle w:val="Heading1"/>
        <w:spacing w:line="480" w:lineRule="auto" w:before="79"/>
        <w:ind w:left="3122" w:right="3462" w:firstLine="1"/>
      </w:pPr>
      <w:bookmarkStart w:name="_TOC_250003" w:id="26"/>
      <w:r>
        <w:rPr/>
        <w:t>CHAPTER IV</w:t>
      </w:r>
      <w:r>
        <w:rPr>
          <w:spacing w:val="40"/>
        </w:rPr>
        <w:t> </w:t>
      </w:r>
      <w:r>
        <w:rPr/>
        <w:t>TEACHER</w:t>
      </w:r>
      <w:r>
        <w:rPr>
          <w:spacing w:val="-15"/>
        </w:rPr>
        <w:t> </w:t>
      </w:r>
      <w:bookmarkEnd w:id="26"/>
      <w:r>
        <w:rPr/>
        <w:t>EDUCATION</w:t>
      </w:r>
    </w:p>
    <w:p>
      <w:pPr>
        <w:pStyle w:val="BodyText"/>
        <w:spacing w:before="2"/>
        <w:rPr>
          <w:b/>
        </w:rPr>
      </w:pPr>
    </w:p>
    <w:p>
      <w:pPr>
        <w:pStyle w:val="ListParagraph"/>
        <w:numPr>
          <w:ilvl w:val="1"/>
          <w:numId w:val="73"/>
        </w:numPr>
        <w:tabs>
          <w:tab w:pos="648" w:val="left" w:leader="none"/>
        </w:tabs>
        <w:spacing w:line="240" w:lineRule="auto" w:before="0" w:after="0"/>
        <w:ind w:left="160" w:right="495" w:firstLine="0"/>
        <w:jc w:val="both"/>
        <w:rPr>
          <w:b/>
          <w:sz w:val="24"/>
        </w:rPr>
      </w:pPr>
      <w:r>
        <w:rPr>
          <w:b/>
          <w:sz w:val="24"/>
        </w:rPr>
        <w:t>Significance. </w:t>
      </w:r>
      <w:r>
        <w:rPr>
          <w:sz w:val="24"/>
        </w:rPr>
        <w:t>A sound programme of professional education of teachers is essential for the qualitative improvement of education. Investment in teacher education can yield very rich dividends because the financial resources required are small when measured against the resulting improvements in the education of millions. In the absence of other influences, a teacher tries to teach in the way in which he himself was taught by his favourite teachers and thus tends to perpetuate the traditional methods of teaching. In a situation like the present when new and dynamic methods of instruction are needed, such an attitude becomes an obstacle to progress. It can be modified only by effective professional education which will initiate the teachers to the needed revolution in</w:t>
      </w:r>
      <w:r>
        <w:rPr>
          <w:spacing w:val="40"/>
          <w:sz w:val="24"/>
        </w:rPr>
        <w:t> </w:t>
      </w:r>
      <w:r>
        <w:rPr>
          <w:sz w:val="24"/>
        </w:rPr>
        <w:t>teaching and lay the foundations for their future professional growth. First-rate teacher- training institutions can thus play a crucial role in the development of education.</w:t>
      </w:r>
    </w:p>
    <w:p>
      <w:pPr>
        <w:pStyle w:val="BodyText"/>
        <w:spacing w:before="5"/>
      </w:pPr>
    </w:p>
    <w:p>
      <w:pPr>
        <w:pStyle w:val="ListParagraph"/>
        <w:numPr>
          <w:ilvl w:val="1"/>
          <w:numId w:val="73"/>
        </w:numPr>
        <w:tabs>
          <w:tab w:pos="764" w:val="left" w:leader="none"/>
        </w:tabs>
        <w:spacing w:line="240" w:lineRule="auto" w:before="0" w:after="0"/>
        <w:ind w:left="160" w:right="496" w:firstLine="0"/>
        <w:jc w:val="both"/>
        <w:rPr>
          <w:b/>
          <w:sz w:val="24"/>
        </w:rPr>
      </w:pPr>
      <w:r>
        <w:rPr>
          <w:b/>
          <w:sz w:val="24"/>
        </w:rPr>
        <w:t>Major Weaknesses in the Existing System of Professional Education. </w:t>
      </w:r>
      <w:r>
        <w:rPr>
          <w:sz w:val="24"/>
        </w:rPr>
        <w:t>Unfortunately, the professional education of teachers has been comparatively neglected</w:t>
      </w:r>
      <w:r>
        <w:rPr>
          <w:spacing w:val="80"/>
          <w:sz w:val="24"/>
        </w:rPr>
        <w:t> </w:t>
      </w:r>
      <w:r>
        <w:rPr>
          <w:sz w:val="24"/>
        </w:rPr>
        <w:t>in the post-Independence period. Its significance was stressed by the University</w:t>
      </w:r>
      <w:r>
        <w:rPr>
          <w:spacing w:val="40"/>
          <w:sz w:val="24"/>
        </w:rPr>
        <w:t> </w:t>
      </w:r>
      <w:r>
        <w:rPr>
          <w:sz w:val="24"/>
        </w:rPr>
        <w:t>Education Commission (1949), the Secondary Education Commission (1953) and the Inter- national Team on Teachers and Curricula in Secondary Schools (1954). Several seminars were held and study groups were appointed to discuss improvements in elementary and secondary teacher education. But their recommendations have not yet been implemented in any large measure. By and large, training institutions for primary and secondary teachers have remained isolated from the mainstream of the academic life of the university, as well as from the daily Problems of the schools. The quality of training 'institutions remains, with a few exceptions, either mediocre or poor. Competent staff are not attracted; vitality and realism are lacking in the curriculum and programme</w:t>
      </w:r>
      <w:r>
        <w:rPr>
          <w:spacing w:val="40"/>
          <w:sz w:val="24"/>
        </w:rPr>
        <w:t> </w:t>
      </w:r>
      <w:r>
        <w:rPr>
          <w:sz w:val="24"/>
        </w:rPr>
        <w:t>of work which continue to be largely traditional; and set patterns and rigid techniques are followed in practice-teaching, with a disregard for present-day needs and objectives. A comprehensive programme of improvement is urgently needed in teacher education and we propose to discuss this under the following heads:</w:t>
      </w:r>
    </w:p>
    <w:p>
      <w:pPr>
        <w:pStyle w:val="BodyText"/>
        <w:spacing w:before="2"/>
      </w:pPr>
    </w:p>
    <w:p>
      <w:pPr>
        <w:pStyle w:val="ListParagraph"/>
        <w:numPr>
          <w:ilvl w:val="0"/>
          <w:numId w:val="72"/>
        </w:numPr>
        <w:tabs>
          <w:tab w:pos="308" w:val="left" w:leader="none"/>
        </w:tabs>
        <w:spacing w:line="240" w:lineRule="auto" w:before="0" w:after="0"/>
        <w:ind w:left="160" w:right="497" w:firstLine="0"/>
        <w:jc w:val="both"/>
        <w:rPr>
          <w:sz w:val="24"/>
        </w:rPr>
      </w:pPr>
      <w:r>
        <w:rPr>
          <w:sz w:val="24"/>
        </w:rPr>
        <w:t>Removing the isolation of training institutions by bringing them into the mainstream of the academic life of the universities and by building up closer relations with the schools and between the training institutions preparing teachers for different levels;</w:t>
      </w:r>
    </w:p>
    <w:p>
      <w:pPr>
        <w:pStyle w:val="BodyText"/>
        <w:spacing w:before="6"/>
      </w:pPr>
    </w:p>
    <w:p>
      <w:pPr>
        <w:pStyle w:val="ListParagraph"/>
        <w:numPr>
          <w:ilvl w:val="0"/>
          <w:numId w:val="72"/>
        </w:numPr>
        <w:tabs>
          <w:tab w:pos="299" w:val="left" w:leader="none"/>
        </w:tabs>
        <w:spacing w:line="240" w:lineRule="auto" w:before="0" w:after="0"/>
        <w:ind w:left="299" w:right="0" w:hanging="139"/>
        <w:jc w:val="both"/>
        <w:rPr>
          <w:sz w:val="24"/>
        </w:rPr>
      </w:pPr>
      <w:r>
        <w:rPr>
          <w:sz w:val="24"/>
        </w:rPr>
        <w:t>Improving</w:t>
      </w:r>
      <w:r>
        <w:rPr>
          <w:spacing w:val="-4"/>
          <w:sz w:val="24"/>
        </w:rPr>
        <w:t> </w:t>
      </w:r>
      <w:r>
        <w:rPr>
          <w:sz w:val="24"/>
        </w:rPr>
        <w:t>the</w:t>
      </w:r>
      <w:r>
        <w:rPr>
          <w:spacing w:val="-1"/>
          <w:sz w:val="24"/>
        </w:rPr>
        <w:t> </w:t>
      </w:r>
      <w:r>
        <w:rPr>
          <w:sz w:val="24"/>
        </w:rPr>
        <w:t>quality</w:t>
      </w:r>
      <w:r>
        <w:rPr>
          <w:spacing w:val="-1"/>
          <w:sz w:val="24"/>
        </w:rPr>
        <w:t> </w:t>
      </w:r>
      <w:r>
        <w:rPr>
          <w:sz w:val="24"/>
        </w:rPr>
        <w:t>of</w:t>
      </w:r>
      <w:r>
        <w:rPr>
          <w:spacing w:val="-2"/>
          <w:sz w:val="24"/>
        </w:rPr>
        <w:t> </w:t>
      </w:r>
      <w:r>
        <w:rPr>
          <w:sz w:val="24"/>
        </w:rPr>
        <w:t>training</w:t>
      </w:r>
      <w:r>
        <w:rPr>
          <w:spacing w:val="-2"/>
          <w:sz w:val="24"/>
        </w:rPr>
        <w:t> </w:t>
      </w:r>
      <w:r>
        <w:rPr>
          <w:sz w:val="24"/>
        </w:rPr>
        <w:t>programmes</w:t>
      </w:r>
      <w:r>
        <w:rPr>
          <w:spacing w:val="-1"/>
          <w:sz w:val="24"/>
        </w:rPr>
        <w:t> </w:t>
      </w:r>
      <w:r>
        <w:rPr>
          <w:sz w:val="24"/>
        </w:rPr>
        <w:t>and</w:t>
      </w:r>
      <w:r>
        <w:rPr>
          <w:spacing w:val="-1"/>
          <w:sz w:val="24"/>
        </w:rPr>
        <w:t> </w:t>
      </w:r>
      <w:r>
        <w:rPr>
          <w:sz w:val="24"/>
        </w:rPr>
        <w:t>training</w:t>
      </w:r>
      <w:r>
        <w:rPr>
          <w:spacing w:val="-1"/>
          <w:sz w:val="24"/>
        </w:rPr>
        <w:t> </w:t>
      </w:r>
      <w:r>
        <w:rPr>
          <w:spacing w:val="-2"/>
          <w:sz w:val="24"/>
        </w:rPr>
        <w:t>institutions;</w:t>
      </w:r>
    </w:p>
    <w:p>
      <w:pPr>
        <w:pStyle w:val="BodyText"/>
        <w:spacing w:before="4"/>
      </w:pPr>
    </w:p>
    <w:p>
      <w:pPr>
        <w:pStyle w:val="ListParagraph"/>
        <w:numPr>
          <w:ilvl w:val="0"/>
          <w:numId w:val="72"/>
        </w:numPr>
        <w:tabs>
          <w:tab w:pos="299" w:val="left" w:leader="none"/>
        </w:tabs>
        <w:spacing w:line="240" w:lineRule="auto" w:before="0" w:after="0"/>
        <w:ind w:left="299" w:right="0" w:hanging="139"/>
        <w:jc w:val="both"/>
        <w:rPr>
          <w:sz w:val="24"/>
        </w:rPr>
      </w:pPr>
      <w:r>
        <w:rPr>
          <w:sz w:val="24"/>
        </w:rPr>
        <w:t>Expanding training </w:t>
      </w:r>
      <w:r>
        <w:rPr>
          <w:spacing w:val="-2"/>
          <w:sz w:val="24"/>
        </w:rPr>
        <w:t>facilities:</w:t>
      </w:r>
    </w:p>
    <w:p>
      <w:pPr>
        <w:pStyle w:val="BodyText"/>
        <w:spacing w:before="2"/>
      </w:pPr>
    </w:p>
    <w:p>
      <w:pPr>
        <w:pStyle w:val="ListParagraph"/>
        <w:numPr>
          <w:ilvl w:val="0"/>
          <w:numId w:val="72"/>
        </w:numPr>
        <w:tabs>
          <w:tab w:pos="334" w:val="left" w:leader="none"/>
        </w:tabs>
        <w:spacing w:line="240" w:lineRule="auto" w:before="0" w:after="0"/>
        <w:ind w:left="160" w:right="498" w:firstLine="0"/>
        <w:jc w:val="both"/>
        <w:rPr>
          <w:sz w:val="24"/>
        </w:rPr>
      </w:pPr>
      <w:r>
        <w:rPr>
          <w:sz w:val="24"/>
        </w:rPr>
        <w:t>Making adequate provision for the continuing professional education of all </w:t>
      </w:r>
      <w:r>
        <w:rPr>
          <w:sz w:val="24"/>
        </w:rPr>
        <w:t>teachers;</w:t>
      </w:r>
      <w:r>
        <w:rPr>
          <w:spacing w:val="40"/>
          <w:sz w:val="24"/>
        </w:rPr>
        <w:t> </w:t>
      </w:r>
      <w:r>
        <w:rPr>
          <w:spacing w:val="-4"/>
          <w:sz w:val="24"/>
        </w:rPr>
        <w:t>and</w:t>
      </w:r>
    </w:p>
    <w:p>
      <w:pPr>
        <w:spacing w:after="0" w:line="240" w:lineRule="auto"/>
        <w:jc w:val="both"/>
        <w:rPr>
          <w:sz w:val="24"/>
        </w:rPr>
        <w:sectPr>
          <w:pgSz w:w="12240" w:h="15840"/>
          <w:pgMar w:header="0" w:footer="743" w:top="1360" w:bottom="940" w:left="1640" w:right="1300"/>
        </w:sectPr>
      </w:pPr>
    </w:p>
    <w:p>
      <w:pPr>
        <w:pStyle w:val="ListParagraph"/>
        <w:numPr>
          <w:ilvl w:val="0"/>
          <w:numId w:val="72"/>
        </w:numPr>
        <w:tabs>
          <w:tab w:pos="308" w:val="left" w:leader="none"/>
        </w:tabs>
        <w:spacing w:line="240" w:lineRule="auto" w:before="76" w:after="0"/>
        <w:ind w:left="160" w:right="498" w:firstLine="0"/>
        <w:jc w:val="both"/>
        <w:rPr>
          <w:sz w:val="24"/>
        </w:rPr>
      </w:pPr>
      <w:r>
        <w:rPr>
          <w:sz w:val="24"/>
        </w:rPr>
        <w:t>Creating appropriate agencies, both at the Centre and in the States, for the maintenance of standards in teacher education.</w:t>
      </w:r>
    </w:p>
    <w:p>
      <w:pPr>
        <w:pStyle w:val="BodyText"/>
        <w:spacing w:before="6"/>
      </w:pPr>
    </w:p>
    <w:p>
      <w:pPr>
        <w:pStyle w:val="Heading1"/>
        <w:spacing w:before="1"/>
      </w:pPr>
      <w:r>
        <w:rPr/>
        <w:t>REMOVING</w:t>
      </w:r>
      <w:r>
        <w:rPr>
          <w:spacing w:val="-5"/>
        </w:rPr>
        <w:t> </w:t>
      </w:r>
      <w:r>
        <w:rPr/>
        <w:t>THE</w:t>
      </w:r>
      <w:r>
        <w:rPr>
          <w:spacing w:val="-4"/>
        </w:rPr>
        <w:t> </w:t>
      </w:r>
      <w:r>
        <w:rPr/>
        <w:t>ISOLATION</w:t>
      </w:r>
      <w:r>
        <w:rPr>
          <w:spacing w:val="-3"/>
        </w:rPr>
        <w:t> </w:t>
      </w:r>
      <w:r>
        <w:rPr/>
        <w:t>OF</w:t>
      </w:r>
      <w:r>
        <w:rPr>
          <w:spacing w:val="-4"/>
        </w:rPr>
        <w:t> </w:t>
      </w:r>
      <w:r>
        <w:rPr/>
        <w:t>TEACHER</w:t>
      </w:r>
      <w:r>
        <w:rPr>
          <w:spacing w:val="-3"/>
        </w:rPr>
        <w:t> </w:t>
      </w:r>
      <w:r>
        <w:rPr>
          <w:spacing w:val="-2"/>
        </w:rPr>
        <w:t>EDUCATION</w:t>
      </w:r>
    </w:p>
    <w:p>
      <w:pPr>
        <w:pStyle w:val="BodyText"/>
        <w:spacing w:before="2"/>
        <w:rPr>
          <w:b/>
        </w:rPr>
      </w:pPr>
    </w:p>
    <w:p>
      <w:pPr>
        <w:pStyle w:val="ListParagraph"/>
        <w:numPr>
          <w:ilvl w:val="1"/>
          <w:numId w:val="73"/>
        </w:numPr>
        <w:tabs>
          <w:tab w:pos="708" w:val="left" w:leader="none"/>
        </w:tabs>
        <w:spacing w:line="240" w:lineRule="auto" w:before="0" w:after="0"/>
        <w:ind w:left="160" w:right="497" w:firstLine="0"/>
        <w:jc w:val="both"/>
        <w:rPr>
          <w:sz w:val="24"/>
        </w:rPr>
      </w:pPr>
      <w:r>
        <w:rPr>
          <w:sz w:val="24"/>
        </w:rPr>
        <w:t>We attach great importance to the proposal to break the isolation of training institutions. In our opinion, this is the one reform that can make a break-through, vitalize teacher education and through it, the process of learning and teaching in millions of classrooms. This isolation takes three forms:</w:t>
      </w:r>
    </w:p>
    <w:p>
      <w:pPr>
        <w:pStyle w:val="BodyText"/>
        <w:spacing w:before="3"/>
      </w:pPr>
    </w:p>
    <w:p>
      <w:pPr>
        <w:pStyle w:val="BodyText"/>
        <w:spacing w:before="1"/>
        <w:ind w:left="159" w:right="496"/>
        <w:jc w:val="both"/>
      </w:pPr>
      <w:r>
        <w:rPr/>
        <w:t>-Isolation from University Life. The professional education of primary teachers is not looked upon as a concern of the universities. The professional education of secondary teachers is with the universities, no doubt, but it has become separated from other intellectual disciplines in the university and is treated almost as a Cinderella in university </w:t>
      </w:r>
      <w:r>
        <w:rPr>
          <w:spacing w:val="-2"/>
        </w:rPr>
        <w:t>life.</w:t>
      </w:r>
    </w:p>
    <w:p>
      <w:pPr>
        <w:pStyle w:val="BodyText"/>
        <w:spacing w:before="3"/>
      </w:pPr>
    </w:p>
    <w:p>
      <w:pPr>
        <w:pStyle w:val="ListParagraph"/>
        <w:numPr>
          <w:ilvl w:val="0"/>
          <w:numId w:val="72"/>
        </w:numPr>
        <w:tabs>
          <w:tab w:pos="329" w:val="left" w:leader="none"/>
        </w:tabs>
        <w:spacing w:line="240" w:lineRule="auto" w:before="0" w:after="0"/>
        <w:ind w:left="160" w:right="498" w:firstLine="0"/>
        <w:jc w:val="both"/>
        <w:rPr>
          <w:sz w:val="24"/>
        </w:rPr>
      </w:pPr>
      <w:r>
        <w:rPr>
          <w:sz w:val="24"/>
        </w:rPr>
        <w:t>Isolation from Schools. Teacher education, both at the primary and secondary levels, has become isolated from schools and current developments in school education.</w:t>
      </w:r>
    </w:p>
    <w:p>
      <w:pPr>
        <w:pStyle w:val="BodyText"/>
        <w:spacing w:before="4"/>
      </w:pPr>
    </w:p>
    <w:p>
      <w:pPr>
        <w:pStyle w:val="ListParagraph"/>
        <w:numPr>
          <w:ilvl w:val="0"/>
          <w:numId w:val="72"/>
        </w:numPr>
        <w:tabs>
          <w:tab w:pos="350" w:val="left" w:leader="none"/>
        </w:tabs>
        <w:spacing w:line="240" w:lineRule="auto" w:before="0" w:after="0"/>
        <w:ind w:left="160" w:right="496" w:firstLine="0"/>
        <w:jc w:val="both"/>
        <w:rPr>
          <w:sz w:val="24"/>
        </w:rPr>
      </w:pPr>
      <w:r>
        <w:rPr>
          <w:sz w:val="24"/>
        </w:rPr>
        <w:t>Isolation from One Another. The different types of teacher-training institutions are isolated from one another and do not form an integrated community.</w:t>
      </w:r>
    </w:p>
    <w:p>
      <w:pPr>
        <w:pStyle w:val="BodyText"/>
        <w:spacing w:before="5"/>
      </w:pPr>
    </w:p>
    <w:p>
      <w:pPr>
        <w:pStyle w:val="BodyText"/>
        <w:ind w:left="160" w:right="497"/>
        <w:jc w:val="both"/>
      </w:pPr>
      <w:r>
        <w:rPr/>
        <w:t>No significant improvement in teacher education is possible unless this isolation is </w:t>
      </w:r>
      <w:r>
        <w:rPr>
          <w:spacing w:val="-2"/>
        </w:rPr>
        <w:t>broken.</w:t>
      </w:r>
    </w:p>
    <w:p>
      <w:pPr>
        <w:pStyle w:val="BodyText"/>
        <w:spacing w:before="3"/>
      </w:pPr>
    </w:p>
    <w:p>
      <w:pPr>
        <w:pStyle w:val="ListParagraph"/>
        <w:numPr>
          <w:ilvl w:val="1"/>
          <w:numId w:val="73"/>
        </w:numPr>
        <w:tabs>
          <w:tab w:pos="673" w:val="left" w:leader="none"/>
        </w:tabs>
        <w:spacing w:line="240" w:lineRule="auto" w:before="1" w:after="0"/>
        <w:ind w:left="159" w:right="496" w:firstLine="0"/>
        <w:jc w:val="both"/>
        <w:rPr>
          <w:b/>
          <w:sz w:val="24"/>
        </w:rPr>
      </w:pPr>
      <w:r>
        <w:rPr>
          <w:b/>
          <w:sz w:val="24"/>
        </w:rPr>
        <w:t>Breaking the Isolation from Universities. </w:t>
      </w:r>
      <w:r>
        <w:rPr>
          <w:sz w:val="24"/>
        </w:rPr>
        <w:t>Our first suggestion is that education should be brought into the mainstream of the academic life of the universities. In India, the general trend has been to identify education with pedagogy. It has been taught mostly in training institutions and is studied only by those who decide to enter the teaching profession, after such a decision has been made. In the educationally advanced countries, however, education has developed considerably as a social science and a separate academic discipline. The realization that education is an instrument of change-social, political and economic is having far-reaching implications, not only for education as an intellectual discipline of great scientific and philosophic import, but for other disciplines as well. It is also worth noting that philosophers and social scientists have begun to give special attention to education as an important part of their fields of study. We, therefore, recommend that, in view of its increasing scope and importance, 'education' should be recognized as a social science or an independent discipline. We also recommend that 'education' as an elective subject should be introduced at the undergraduate and postgraduate stages on the lines indicated below:</w:t>
      </w:r>
    </w:p>
    <w:p>
      <w:pPr>
        <w:spacing w:after="0" w:line="240" w:lineRule="auto"/>
        <w:jc w:val="both"/>
        <w:rPr>
          <w:sz w:val="24"/>
        </w:rPr>
        <w:sectPr>
          <w:pgSz w:w="12240" w:h="15840"/>
          <w:pgMar w:header="0" w:footer="743" w:top="1360" w:bottom="940" w:left="1640" w:right="1300"/>
        </w:sectPr>
      </w:pPr>
    </w:p>
    <w:p>
      <w:pPr>
        <w:pStyle w:val="ListParagraph"/>
        <w:numPr>
          <w:ilvl w:val="0"/>
          <w:numId w:val="74"/>
        </w:numPr>
        <w:tabs>
          <w:tab w:pos="541" w:val="left" w:leader="none"/>
        </w:tabs>
        <w:spacing w:line="240" w:lineRule="auto" w:before="76" w:after="0"/>
        <w:ind w:left="159" w:right="495" w:firstLine="0"/>
        <w:jc w:val="both"/>
        <w:rPr>
          <w:sz w:val="24"/>
        </w:rPr>
      </w:pPr>
      <w:r>
        <w:rPr>
          <w:sz w:val="24"/>
        </w:rPr>
        <w:t>The courses in undergraduate education should give an orientation in three broad areas-sociological, philosophical and psychological foundations of education. The contributions of great educators, comparative education and a study of some of the</w:t>
      </w:r>
      <w:r>
        <w:rPr>
          <w:spacing w:val="40"/>
          <w:sz w:val="24"/>
        </w:rPr>
        <w:t> </w:t>
      </w:r>
      <w:r>
        <w:rPr>
          <w:sz w:val="24"/>
        </w:rPr>
        <w:t>current educational problems could be included in the course.</w:t>
      </w:r>
      <w:r>
        <w:rPr>
          <w:b/>
          <w:sz w:val="24"/>
          <w:vertAlign w:val="superscript"/>
        </w:rPr>
        <w:t>36</w:t>
      </w:r>
      <w:r>
        <w:rPr>
          <w:b/>
          <w:sz w:val="24"/>
          <w:vertAlign w:val="baseline"/>
        </w:rPr>
        <w:t> </w:t>
      </w:r>
      <w:r>
        <w:rPr>
          <w:sz w:val="24"/>
          <w:vertAlign w:val="baseline"/>
        </w:rPr>
        <w:t>Moreover, the interrelationship of education with national development in all its aspects needs to be stressed in</w:t>
      </w:r>
      <w:r>
        <w:rPr>
          <w:spacing w:val="-1"/>
          <w:sz w:val="24"/>
          <w:vertAlign w:val="baseline"/>
        </w:rPr>
        <w:t> </w:t>
      </w:r>
      <w:r>
        <w:rPr>
          <w:sz w:val="24"/>
          <w:vertAlign w:val="baseline"/>
        </w:rPr>
        <w:t>these courses. A wide choice should</w:t>
      </w:r>
      <w:r>
        <w:rPr>
          <w:spacing w:val="-1"/>
          <w:sz w:val="24"/>
          <w:vertAlign w:val="baseline"/>
        </w:rPr>
        <w:t> </w:t>
      </w:r>
      <w:r>
        <w:rPr>
          <w:sz w:val="24"/>
          <w:vertAlign w:val="baseline"/>
        </w:rPr>
        <w:t>be offered so that it would be possible for a student to choose education in combination with any other subject, e.g., one or more of the natural sciences, mathematics, behavioural sciences, most subjects in the humanities, and even professional courses like engineering or social work.</w:t>
      </w:r>
    </w:p>
    <w:p>
      <w:pPr>
        <w:pStyle w:val="BodyText"/>
        <w:spacing w:before="4"/>
      </w:pPr>
    </w:p>
    <w:p>
      <w:pPr>
        <w:pStyle w:val="ListParagraph"/>
        <w:numPr>
          <w:ilvl w:val="0"/>
          <w:numId w:val="74"/>
        </w:numPr>
        <w:tabs>
          <w:tab w:pos="518" w:val="left" w:leader="none"/>
        </w:tabs>
        <w:spacing w:line="240" w:lineRule="auto" w:before="0" w:after="0"/>
        <w:ind w:left="160" w:right="496" w:firstLine="0"/>
        <w:jc w:val="both"/>
        <w:rPr>
          <w:sz w:val="24"/>
        </w:rPr>
      </w:pPr>
      <w:r>
        <w:rPr>
          <w:sz w:val="24"/>
        </w:rPr>
        <w:t>At the postgraduate stage, an M.A. degree in Education, to be taken two years after the first degree in any subject, should be introduced. In addition, it should be possible at this stage to combine education with one other subject selected from a wide range in the humanities and the sciences. To begin with, this may even be left as an additional option and a scholarships may be given to students who offer it and who agree to be </w:t>
      </w:r>
      <w:r>
        <w:rPr>
          <w:sz w:val="24"/>
        </w:rPr>
        <w:t>teachers after the completion of the course.</w:t>
      </w:r>
    </w:p>
    <w:p>
      <w:pPr>
        <w:pStyle w:val="BodyText"/>
        <w:spacing w:before="4"/>
      </w:pPr>
    </w:p>
    <w:p>
      <w:pPr>
        <w:pStyle w:val="ListParagraph"/>
        <w:numPr>
          <w:ilvl w:val="0"/>
          <w:numId w:val="74"/>
        </w:numPr>
        <w:tabs>
          <w:tab w:pos="565" w:val="left" w:leader="none"/>
        </w:tabs>
        <w:spacing w:line="240" w:lineRule="auto" w:before="0" w:after="0"/>
        <w:ind w:left="160" w:right="496" w:firstLine="0"/>
        <w:jc w:val="both"/>
        <w:rPr>
          <w:sz w:val="24"/>
        </w:rPr>
      </w:pPr>
      <w:r>
        <w:rPr>
          <w:sz w:val="24"/>
        </w:rPr>
        <w:t>In all these courses-undergraduate or postgraduate-a minimum teaching practice should</w:t>
      </w:r>
      <w:r>
        <w:rPr>
          <w:spacing w:val="-2"/>
          <w:sz w:val="24"/>
        </w:rPr>
        <w:t> </w:t>
      </w:r>
      <w:r>
        <w:rPr>
          <w:sz w:val="24"/>
        </w:rPr>
        <w:t>be</w:t>
      </w:r>
      <w:r>
        <w:rPr>
          <w:spacing w:val="-2"/>
          <w:sz w:val="24"/>
        </w:rPr>
        <w:t> </w:t>
      </w:r>
      <w:r>
        <w:rPr>
          <w:sz w:val="24"/>
        </w:rPr>
        <w:t>obligatory</w:t>
      </w:r>
      <w:r>
        <w:rPr>
          <w:spacing w:val="-2"/>
          <w:sz w:val="24"/>
        </w:rPr>
        <w:t> </w:t>
      </w:r>
      <w:r>
        <w:rPr>
          <w:sz w:val="24"/>
        </w:rPr>
        <w:t>just</w:t>
      </w:r>
      <w:r>
        <w:rPr>
          <w:spacing w:val="-2"/>
          <w:sz w:val="24"/>
        </w:rPr>
        <w:t> </w:t>
      </w:r>
      <w:r>
        <w:rPr>
          <w:sz w:val="24"/>
        </w:rPr>
        <w:t>as</w:t>
      </w:r>
      <w:r>
        <w:rPr>
          <w:spacing w:val="-2"/>
          <w:sz w:val="24"/>
        </w:rPr>
        <w:t> </w:t>
      </w:r>
      <w:r>
        <w:rPr>
          <w:sz w:val="24"/>
        </w:rPr>
        <w:t>laboratory</w:t>
      </w:r>
      <w:r>
        <w:rPr>
          <w:spacing w:val="-2"/>
          <w:sz w:val="24"/>
        </w:rPr>
        <w:t> </w:t>
      </w:r>
      <w:r>
        <w:rPr>
          <w:sz w:val="24"/>
        </w:rPr>
        <w:t>work</w:t>
      </w:r>
      <w:r>
        <w:rPr>
          <w:spacing w:val="-2"/>
          <w:sz w:val="24"/>
        </w:rPr>
        <w:t> </w:t>
      </w:r>
      <w:r>
        <w:rPr>
          <w:sz w:val="24"/>
        </w:rPr>
        <w:t>is</w:t>
      </w:r>
      <w:r>
        <w:rPr>
          <w:spacing w:val="-5"/>
          <w:sz w:val="24"/>
        </w:rPr>
        <w:t> </w:t>
      </w:r>
      <w:r>
        <w:rPr>
          <w:sz w:val="24"/>
        </w:rPr>
        <w:t>a</w:t>
      </w:r>
      <w:r>
        <w:rPr>
          <w:spacing w:val="-2"/>
          <w:sz w:val="24"/>
        </w:rPr>
        <w:t> </w:t>
      </w:r>
      <w:r>
        <w:rPr>
          <w:sz w:val="24"/>
        </w:rPr>
        <w:t>compulsory</w:t>
      </w:r>
      <w:r>
        <w:rPr>
          <w:spacing w:val="-2"/>
          <w:sz w:val="24"/>
        </w:rPr>
        <w:t> </w:t>
      </w:r>
      <w:r>
        <w:rPr>
          <w:sz w:val="24"/>
        </w:rPr>
        <w:t>part</w:t>
      </w:r>
      <w:r>
        <w:rPr>
          <w:spacing w:val="-2"/>
          <w:sz w:val="24"/>
        </w:rPr>
        <w:t> </w:t>
      </w:r>
      <w:r>
        <w:rPr>
          <w:sz w:val="24"/>
        </w:rPr>
        <w:t>of</w:t>
      </w:r>
      <w:r>
        <w:rPr>
          <w:spacing w:val="-3"/>
          <w:sz w:val="24"/>
        </w:rPr>
        <w:t> </w:t>
      </w:r>
      <w:r>
        <w:rPr>
          <w:sz w:val="24"/>
        </w:rPr>
        <w:t>the</w:t>
      </w:r>
      <w:r>
        <w:rPr>
          <w:spacing w:val="-1"/>
          <w:sz w:val="24"/>
        </w:rPr>
        <w:t> </w:t>
      </w:r>
      <w:r>
        <w:rPr>
          <w:sz w:val="24"/>
        </w:rPr>
        <w:t>study</w:t>
      </w:r>
      <w:r>
        <w:rPr>
          <w:spacing w:val="-1"/>
          <w:sz w:val="24"/>
        </w:rPr>
        <w:t> </w:t>
      </w:r>
      <w:r>
        <w:rPr>
          <w:sz w:val="24"/>
        </w:rPr>
        <w:t>of</w:t>
      </w:r>
      <w:r>
        <w:rPr>
          <w:spacing w:val="-1"/>
          <w:sz w:val="24"/>
        </w:rPr>
        <w:t> </w:t>
      </w:r>
      <w:r>
        <w:rPr>
          <w:sz w:val="24"/>
        </w:rPr>
        <w:t>sciences. It should be possible for a student who has taken these courses, to become a teacher, after a period of internship and, if necessary, after some in-service education provided through summer institutes.</w:t>
      </w:r>
    </w:p>
    <w:p>
      <w:pPr>
        <w:pStyle w:val="BodyText"/>
        <w:spacing w:before="5"/>
      </w:pPr>
    </w:p>
    <w:p>
      <w:pPr>
        <w:pStyle w:val="ListParagraph"/>
        <w:numPr>
          <w:ilvl w:val="1"/>
          <w:numId w:val="73"/>
        </w:numPr>
        <w:tabs>
          <w:tab w:pos="681" w:val="left" w:leader="none"/>
        </w:tabs>
        <w:spacing w:line="240" w:lineRule="auto" w:before="0" w:after="0"/>
        <w:ind w:left="160" w:right="497" w:firstLine="0"/>
        <w:jc w:val="both"/>
        <w:rPr>
          <w:sz w:val="24"/>
        </w:rPr>
      </w:pPr>
      <w:r>
        <w:rPr>
          <w:sz w:val="24"/>
        </w:rPr>
        <w:t>We recommend that this programme should be sponsored by the UGC in a few selected universities and developed speedily on a large scale. In each selected university, a Department or Institute or preferably a School of Education should be established to develop</w:t>
      </w:r>
      <w:r>
        <w:rPr>
          <w:spacing w:val="-1"/>
          <w:sz w:val="24"/>
        </w:rPr>
        <w:t> </w:t>
      </w:r>
      <w:r>
        <w:rPr>
          <w:sz w:val="24"/>
        </w:rPr>
        <w:t>research</w:t>
      </w:r>
      <w:r>
        <w:rPr>
          <w:spacing w:val="-1"/>
          <w:sz w:val="24"/>
        </w:rPr>
        <w:t> </w:t>
      </w:r>
      <w:r>
        <w:rPr>
          <w:sz w:val="24"/>
        </w:rPr>
        <w:t>and</w:t>
      </w:r>
      <w:r>
        <w:rPr>
          <w:spacing w:val="-1"/>
          <w:sz w:val="24"/>
        </w:rPr>
        <w:t> </w:t>
      </w:r>
      <w:r>
        <w:rPr>
          <w:sz w:val="24"/>
        </w:rPr>
        <w:t>training</w:t>
      </w:r>
      <w:r>
        <w:rPr>
          <w:spacing w:val="-1"/>
          <w:sz w:val="24"/>
        </w:rPr>
        <w:t> </w:t>
      </w:r>
      <w:r>
        <w:rPr>
          <w:sz w:val="24"/>
        </w:rPr>
        <w:t>programmes</w:t>
      </w:r>
      <w:r>
        <w:rPr>
          <w:spacing w:val="-1"/>
          <w:sz w:val="24"/>
        </w:rPr>
        <w:t> </w:t>
      </w:r>
      <w:r>
        <w:rPr>
          <w:sz w:val="24"/>
        </w:rPr>
        <w:t>in</w:t>
      </w:r>
      <w:r>
        <w:rPr>
          <w:spacing w:val="-1"/>
          <w:sz w:val="24"/>
        </w:rPr>
        <w:t> </w:t>
      </w:r>
      <w:r>
        <w:rPr>
          <w:sz w:val="24"/>
        </w:rPr>
        <w:t>collaboration</w:t>
      </w:r>
      <w:r>
        <w:rPr>
          <w:spacing w:val="-1"/>
          <w:sz w:val="24"/>
        </w:rPr>
        <w:t> </w:t>
      </w:r>
      <w:r>
        <w:rPr>
          <w:sz w:val="24"/>
        </w:rPr>
        <w:t>with</w:t>
      </w:r>
      <w:r>
        <w:rPr>
          <w:spacing w:val="-1"/>
          <w:sz w:val="24"/>
        </w:rPr>
        <w:t> </w:t>
      </w:r>
      <w:r>
        <w:rPr>
          <w:sz w:val="24"/>
        </w:rPr>
        <w:t>other</w:t>
      </w:r>
      <w:r>
        <w:rPr>
          <w:spacing w:val="-1"/>
          <w:sz w:val="24"/>
        </w:rPr>
        <w:t> </w:t>
      </w:r>
      <w:r>
        <w:rPr>
          <w:sz w:val="24"/>
        </w:rPr>
        <w:t>disc'</w:t>
      </w:r>
      <w:r>
        <w:rPr>
          <w:spacing w:val="-3"/>
          <w:sz w:val="24"/>
        </w:rPr>
        <w:t> </w:t>
      </w:r>
      <w:r>
        <w:rPr>
          <w:sz w:val="24"/>
        </w:rPr>
        <w:t>lines.</w:t>
      </w:r>
      <w:r>
        <w:rPr>
          <w:spacing w:val="-1"/>
          <w:sz w:val="24"/>
        </w:rPr>
        <w:t> </w:t>
      </w:r>
      <w:r>
        <w:rPr>
          <w:sz w:val="24"/>
        </w:rPr>
        <w:t>Its</w:t>
      </w:r>
      <w:r>
        <w:rPr>
          <w:spacing w:val="-1"/>
          <w:sz w:val="24"/>
        </w:rPr>
        <w:t> </w:t>
      </w:r>
      <w:r>
        <w:rPr>
          <w:sz w:val="24"/>
        </w:rPr>
        <w:t>main functions would be:</w:t>
      </w:r>
    </w:p>
    <w:p>
      <w:pPr>
        <w:pStyle w:val="BodyText"/>
        <w:spacing w:before="5"/>
      </w:pPr>
    </w:p>
    <w:p>
      <w:pPr>
        <w:pStyle w:val="ListParagraph"/>
        <w:numPr>
          <w:ilvl w:val="0"/>
          <w:numId w:val="75"/>
        </w:numPr>
        <w:tabs>
          <w:tab w:pos="298" w:val="left" w:leader="none"/>
        </w:tabs>
        <w:spacing w:line="240" w:lineRule="auto" w:before="0" w:after="0"/>
        <w:ind w:left="298" w:right="0" w:hanging="138"/>
        <w:jc w:val="left"/>
        <w:rPr>
          <w:sz w:val="24"/>
        </w:rPr>
      </w:pPr>
      <w:r>
        <w:rPr>
          <w:sz w:val="24"/>
        </w:rPr>
        <w:t>to</w:t>
      </w:r>
      <w:r>
        <w:rPr>
          <w:spacing w:val="-1"/>
          <w:sz w:val="24"/>
        </w:rPr>
        <w:t> </w:t>
      </w:r>
      <w:r>
        <w:rPr>
          <w:sz w:val="24"/>
        </w:rPr>
        <w:t>conduct</w:t>
      </w:r>
      <w:r>
        <w:rPr>
          <w:spacing w:val="-1"/>
          <w:sz w:val="24"/>
        </w:rPr>
        <w:t> </w:t>
      </w:r>
      <w:r>
        <w:rPr>
          <w:sz w:val="24"/>
        </w:rPr>
        <w:t>undergraduate and postgraduate courses in </w:t>
      </w:r>
      <w:r>
        <w:rPr>
          <w:spacing w:val="-2"/>
          <w:sz w:val="24"/>
        </w:rPr>
        <w:t>education;</w:t>
      </w:r>
    </w:p>
    <w:p>
      <w:pPr>
        <w:pStyle w:val="BodyText"/>
        <w:spacing w:before="2"/>
      </w:pPr>
    </w:p>
    <w:p>
      <w:pPr>
        <w:pStyle w:val="ListParagraph"/>
        <w:numPr>
          <w:ilvl w:val="0"/>
          <w:numId w:val="75"/>
        </w:numPr>
        <w:tabs>
          <w:tab w:pos="336" w:val="left" w:leader="none"/>
        </w:tabs>
        <w:spacing w:line="240" w:lineRule="auto" w:before="0" w:after="0"/>
        <w:ind w:left="160" w:right="497" w:firstLine="0"/>
        <w:jc w:val="left"/>
        <w:rPr>
          <w:sz w:val="24"/>
        </w:rPr>
      </w:pPr>
      <w:r>
        <w:rPr>
          <w:sz w:val="24"/>
        </w:rPr>
        <w:t>to</w:t>
      </w:r>
      <w:r>
        <w:rPr>
          <w:spacing w:val="33"/>
          <w:sz w:val="24"/>
        </w:rPr>
        <w:t> </w:t>
      </w:r>
      <w:r>
        <w:rPr>
          <w:sz w:val="24"/>
        </w:rPr>
        <w:t>conduct</w:t>
      </w:r>
      <w:r>
        <w:rPr>
          <w:spacing w:val="33"/>
          <w:sz w:val="24"/>
        </w:rPr>
        <w:t> </w:t>
      </w:r>
      <w:r>
        <w:rPr>
          <w:sz w:val="24"/>
        </w:rPr>
        <w:t>courses</w:t>
      </w:r>
      <w:r>
        <w:rPr>
          <w:spacing w:val="33"/>
          <w:sz w:val="24"/>
        </w:rPr>
        <w:t> </w:t>
      </w:r>
      <w:r>
        <w:rPr>
          <w:sz w:val="24"/>
        </w:rPr>
        <w:t>in</w:t>
      </w:r>
      <w:r>
        <w:rPr>
          <w:spacing w:val="33"/>
          <w:sz w:val="24"/>
        </w:rPr>
        <w:t> </w:t>
      </w:r>
      <w:r>
        <w:rPr>
          <w:sz w:val="24"/>
        </w:rPr>
        <w:t>professional</w:t>
      </w:r>
      <w:r>
        <w:rPr>
          <w:spacing w:val="33"/>
          <w:sz w:val="24"/>
        </w:rPr>
        <w:t> </w:t>
      </w:r>
      <w:r>
        <w:rPr>
          <w:sz w:val="24"/>
        </w:rPr>
        <w:t>education</w:t>
      </w:r>
      <w:r>
        <w:rPr>
          <w:spacing w:val="34"/>
          <w:sz w:val="24"/>
        </w:rPr>
        <w:t> </w:t>
      </w:r>
      <w:r>
        <w:rPr>
          <w:sz w:val="24"/>
        </w:rPr>
        <w:t>for</w:t>
      </w:r>
      <w:r>
        <w:rPr>
          <w:spacing w:val="32"/>
          <w:sz w:val="24"/>
        </w:rPr>
        <w:t> </w:t>
      </w:r>
      <w:r>
        <w:rPr>
          <w:sz w:val="24"/>
        </w:rPr>
        <w:t>different</w:t>
      </w:r>
      <w:r>
        <w:rPr>
          <w:spacing w:val="32"/>
          <w:sz w:val="24"/>
        </w:rPr>
        <w:t> </w:t>
      </w:r>
      <w:r>
        <w:rPr>
          <w:sz w:val="24"/>
        </w:rPr>
        <w:t>categories</w:t>
      </w:r>
      <w:r>
        <w:rPr>
          <w:spacing w:val="33"/>
          <w:sz w:val="24"/>
        </w:rPr>
        <w:t> </w:t>
      </w:r>
      <w:r>
        <w:rPr>
          <w:sz w:val="24"/>
        </w:rPr>
        <w:t>of</w:t>
      </w:r>
      <w:r>
        <w:rPr>
          <w:spacing w:val="33"/>
          <w:sz w:val="24"/>
        </w:rPr>
        <w:t> </w:t>
      </w:r>
      <w:r>
        <w:rPr>
          <w:sz w:val="24"/>
        </w:rPr>
        <w:t>teachers-pre- primary, primary and secondary;</w:t>
      </w:r>
    </w:p>
    <w:p>
      <w:pPr>
        <w:pStyle w:val="BodyText"/>
        <w:spacing w:before="4"/>
      </w:pPr>
    </w:p>
    <w:p>
      <w:pPr>
        <w:pStyle w:val="ListParagraph"/>
        <w:numPr>
          <w:ilvl w:val="0"/>
          <w:numId w:val="75"/>
        </w:numPr>
        <w:tabs>
          <w:tab w:pos="310" w:val="left" w:leader="none"/>
        </w:tabs>
        <w:spacing w:line="240" w:lineRule="auto" w:before="0" w:after="0"/>
        <w:ind w:left="160" w:right="497" w:firstLine="0"/>
        <w:jc w:val="left"/>
        <w:rPr>
          <w:sz w:val="24"/>
        </w:rPr>
      </w:pPr>
      <w:r>
        <w:rPr>
          <w:sz w:val="24"/>
        </w:rPr>
        <w:t>to provide extension services to a few institutions of teacher education at all levels and to assist them to grow;</w:t>
      </w:r>
    </w:p>
    <w:p>
      <w:pPr>
        <w:pStyle w:val="BodyText"/>
        <w:spacing w:before="5"/>
      </w:pPr>
    </w:p>
    <w:p>
      <w:pPr>
        <w:pStyle w:val="ListParagraph"/>
        <w:numPr>
          <w:ilvl w:val="0"/>
          <w:numId w:val="75"/>
        </w:numPr>
        <w:tabs>
          <w:tab w:pos="299" w:val="left" w:leader="none"/>
        </w:tabs>
        <w:spacing w:line="240" w:lineRule="auto" w:before="0" w:after="0"/>
        <w:ind w:left="160" w:right="497" w:firstLine="0"/>
        <w:jc w:val="left"/>
        <w:rPr>
          <w:sz w:val="24"/>
        </w:rPr>
      </w:pPr>
      <w:r>
        <w:rPr>
          <w:sz w:val="24"/>
        </w:rPr>
        <w:t>to</w:t>
      </w:r>
      <w:r>
        <w:rPr>
          <w:spacing w:val="-3"/>
          <w:sz w:val="24"/>
        </w:rPr>
        <w:t> </w:t>
      </w:r>
      <w:r>
        <w:rPr>
          <w:sz w:val="24"/>
        </w:rPr>
        <w:t>organize</w:t>
      </w:r>
      <w:r>
        <w:rPr>
          <w:spacing w:val="-4"/>
          <w:sz w:val="24"/>
        </w:rPr>
        <w:t> </w:t>
      </w:r>
      <w:r>
        <w:rPr>
          <w:sz w:val="24"/>
        </w:rPr>
        <w:t>summer</w:t>
      </w:r>
      <w:r>
        <w:rPr>
          <w:spacing w:val="-3"/>
          <w:sz w:val="24"/>
        </w:rPr>
        <w:t> </w:t>
      </w:r>
      <w:r>
        <w:rPr>
          <w:sz w:val="24"/>
        </w:rPr>
        <w:t>institutes</w:t>
      </w:r>
      <w:r>
        <w:rPr>
          <w:spacing w:val="-3"/>
          <w:sz w:val="24"/>
        </w:rPr>
        <w:t> </w:t>
      </w:r>
      <w:r>
        <w:rPr>
          <w:sz w:val="24"/>
        </w:rPr>
        <w:t>and</w:t>
      </w:r>
      <w:r>
        <w:rPr>
          <w:spacing w:val="-3"/>
          <w:sz w:val="24"/>
        </w:rPr>
        <w:t> </w:t>
      </w:r>
      <w:r>
        <w:rPr>
          <w:sz w:val="24"/>
        </w:rPr>
        <w:t>in-service</w:t>
      </w:r>
      <w:r>
        <w:rPr>
          <w:spacing w:val="-3"/>
          <w:sz w:val="24"/>
        </w:rPr>
        <w:t> </w:t>
      </w:r>
      <w:r>
        <w:rPr>
          <w:sz w:val="24"/>
        </w:rPr>
        <w:t>programmes</w:t>
      </w:r>
      <w:r>
        <w:rPr>
          <w:spacing w:val="-3"/>
          <w:sz w:val="24"/>
        </w:rPr>
        <w:t> </w:t>
      </w:r>
      <w:r>
        <w:rPr>
          <w:sz w:val="24"/>
        </w:rPr>
        <w:t>in</w:t>
      </w:r>
      <w:r>
        <w:rPr>
          <w:spacing w:val="-3"/>
          <w:sz w:val="24"/>
        </w:rPr>
        <w:t> </w:t>
      </w:r>
      <w:r>
        <w:rPr>
          <w:sz w:val="24"/>
        </w:rPr>
        <w:t>subject</w:t>
      </w:r>
      <w:r>
        <w:rPr>
          <w:spacing w:val="-3"/>
          <w:sz w:val="24"/>
        </w:rPr>
        <w:t> </w:t>
      </w:r>
      <w:r>
        <w:rPr>
          <w:sz w:val="24"/>
        </w:rPr>
        <w:t>content</w:t>
      </w:r>
      <w:r>
        <w:rPr>
          <w:spacing w:val="-3"/>
          <w:sz w:val="24"/>
        </w:rPr>
        <w:t> </w:t>
      </w:r>
      <w:r>
        <w:rPr>
          <w:sz w:val="24"/>
        </w:rPr>
        <w:t>as</w:t>
      </w:r>
      <w:r>
        <w:rPr>
          <w:spacing w:val="-3"/>
          <w:sz w:val="24"/>
        </w:rPr>
        <w:t> </w:t>
      </w:r>
      <w:r>
        <w:rPr>
          <w:sz w:val="24"/>
        </w:rPr>
        <w:t>well</w:t>
      </w:r>
      <w:r>
        <w:rPr>
          <w:spacing w:val="-3"/>
          <w:sz w:val="24"/>
        </w:rPr>
        <w:t> </w:t>
      </w:r>
      <w:r>
        <w:rPr>
          <w:sz w:val="24"/>
        </w:rPr>
        <w:t>as</w:t>
      </w:r>
      <w:r>
        <w:rPr>
          <w:spacing w:val="-3"/>
          <w:sz w:val="24"/>
        </w:rPr>
        <w:t> </w:t>
      </w:r>
      <w:r>
        <w:rPr>
          <w:sz w:val="24"/>
        </w:rPr>
        <w:t>in professional education;</w:t>
      </w:r>
    </w:p>
    <w:p>
      <w:pPr>
        <w:pStyle w:val="BodyText"/>
      </w:pPr>
    </w:p>
    <w:p>
      <w:pPr>
        <w:pStyle w:val="BodyText"/>
      </w:pPr>
    </w:p>
    <w:p>
      <w:pPr>
        <w:pStyle w:val="BodyText"/>
        <w:spacing w:before="7"/>
      </w:pPr>
    </w:p>
    <w:p>
      <w:pPr>
        <w:pStyle w:val="BodyText"/>
        <w:ind w:left="160"/>
      </w:pPr>
      <w:r>
        <w:rPr>
          <w:b/>
          <w:vertAlign w:val="superscript"/>
        </w:rPr>
        <w:t>36</w:t>
      </w:r>
      <w:r>
        <w:rPr>
          <w:vertAlign w:val="baseline"/>
        </w:rPr>
        <w:t>See</w:t>
      </w:r>
      <w:r>
        <w:rPr>
          <w:spacing w:val="40"/>
          <w:vertAlign w:val="baseline"/>
        </w:rPr>
        <w:t> </w:t>
      </w:r>
      <w:r>
        <w:rPr>
          <w:vertAlign w:val="baseline"/>
        </w:rPr>
        <w:t>the</w:t>
      </w:r>
      <w:r>
        <w:rPr>
          <w:spacing w:val="40"/>
          <w:vertAlign w:val="baseline"/>
        </w:rPr>
        <w:t> </w:t>
      </w:r>
      <w:r>
        <w:rPr>
          <w:vertAlign w:val="baseline"/>
        </w:rPr>
        <w:t>Report</w:t>
      </w:r>
      <w:r>
        <w:rPr>
          <w:spacing w:val="40"/>
          <w:vertAlign w:val="baseline"/>
        </w:rPr>
        <w:t> </w:t>
      </w:r>
      <w:r>
        <w:rPr>
          <w:vertAlign w:val="baseline"/>
        </w:rPr>
        <w:t>of</w:t>
      </w:r>
      <w:r>
        <w:rPr>
          <w:spacing w:val="40"/>
          <w:vertAlign w:val="baseline"/>
        </w:rPr>
        <w:t> </w:t>
      </w:r>
      <w:r>
        <w:rPr>
          <w:vertAlign w:val="baseline"/>
        </w:rPr>
        <w:t>the</w:t>
      </w:r>
      <w:r>
        <w:rPr>
          <w:spacing w:val="40"/>
          <w:vertAlign w:val="baseline"/>
        </w:rPr>
        <w:t> </w:t>
      </w:r>
      <w:r>
        <w:rPr>
          <w:vertAlign w:val="baseline"/>
        </w:rPr>
        <w:t>UGC</w:t>
      </w:r>
      <w:r>
        <w:rPr>
          <w:spacing w:val="40"/>
          <w:vertAlign w:val="baseline"/>
        </w:rPr>
        <w:t> </w:t>
      </w:r>
      <w:r>
        <w:rPr>
          <w:vertAlign w:val="baseline"/>
        </w:rPr>
        <w:t>Committee</w:t>
      </w:r>
      <w:r>
        <w:rPr>
          <w:spacing w:val="40"/>
          <w:vertAlign w:val="baseline"/>
        </w:rPr>
        <w:t> </w:t>
      </w:r>
      <w:r>
        <w:rPr>
          <w:vertAlign w:val="baseline"/>
        </w:rPr>
        <w:t>on</w:t>
      </w:r>
      <w:r>
        <w:rPr>
          <w:spacing w:val="40"/>
          <w:vertAlign w:val="baseline"/>
        </w:rPr>
        <w:t> </w:t>
      </w:r>
      <w:r>
        <w:rPr>
          <w:vertAlign w:val="baseline"/>
        </w:rPr>
        <w:t>Education</w:t>
      </w:r>
      <w:r>
        <w:rPr>
          <w:spacing w:val="40"/>
          <w:vertAlign w:val="baseline"/>
        </w:rPr>
        <w:t> </w:t>
      </w:r>
      <w:r>
        <w:rPr>
          <w:vertAlign w:val="baseline"/>
        </w:rPr>
        <w:t>as</w:t>
      </w:r>
      <w:r>
        <w:rPr>
          <w:spacing w:val="40"/>
          <w:vertAlign w:val="baseline"/>
        </w:rPr>
        <w:t> </w:t>
      </w:r>
      <w:r>
        <w:rPr>
          <w:vertAlign w:val="baseline"/>
        </w:rPr>
        <w:t>an</w:t>
      </w:r>
      <w:r>
        <w:rPr>
          <w:spacing w:val="40"/>
          <w:vertAlign w:val="baseline"/>
        </w:rPr>
        <w:t> </w:t>
      </w:r>
      <w:r>
        <w:rPr>
          <w:vertAlign w:val="baseline"/>
        </w:rPr>
        <w:t>Elective</w:t>
      </w:r>
      <w:r>
        <w:rPr>
          <w:spacing w:val="40"/>
          <w:vertAlign w:val="baseline"/>
        </w:rPr>
        <w:t> </w:t>
      </w:r>
      <w:r>
        <w:rPr>
          <w:vertAlign w:val="baseline"/>
        </w:rPr>
        <w:t>Subject</w:t>
      </w:r>
      <w:r>
        <w:rPr>
          <w:spacing w:val="40"/>
          <w:vertAlign w:val="baseline"/>
        </w:rPr>
        <w:t> </w:t>
      </w:r>
      <w:r>
        <w:rPr>
          <w:vertAlign w:val="baseline"/>
        </w:rPr>
        <w:t>at</w:t>
      </w:r>
      <w:r>
        <w:rPr>
          <w:spacing w:val="40"/>
          <w:vertAlign w:val="baseline"/>
        </w:rPr>
        <w:t> </w:t>
      </w:r>
      <w:r>
        <w:rPr>
          <w:vertAlign w:val="baseline"/>
        </w:rPr>
        <w:t>the Undergraduate Stage, New Delhi, 1966. We broadly agree with its recommendations.</w:t>
      </w:r>
    </w:p>
    <w:p>
      <w:pPr>
        <w:spacing w:after="0"/>
        <w:sectPr>
          <w:pgSz w:w="12240" w:h="15840"/>
          <w:pgMar w:header="0" w:footer="743" w:top="1360" w:bottom="940" w:left="1640" w:right="1300"/>
        </w:sectPr>
      </w:pPr>
    </w:p>
    <w:p>
      <w:pPr>
        <w:pStyle w:val="ListParagraph"/>
        <w:numPr>
          <w:ilvl w:val="0"/>
          <w:numId w:val="75"/>
        </w:numPr>
        <w:tabs>
          <w:tab w:pos="303" w:val="left" w:leader="none"/>
        </w:tabs>
        <w:spacing w:line="240" w:lineRule="auto" w:before="76" w:after="0"/>
        <w:ind w:left="159" w:right="497" w:firstLine="0"/>
        <w:jc w:val="both"/>
        <w:rPr>
          <w:sz w:val="24"/>
        </w:rPr>
      </w:pPr>
      <w:r>
        <w:rPr>
          <w:sz w:val="24"/>
        </w:rPr>
        <w:t>to work in close collaboration with a few schools of all types with a view to developing research and evolving better curricula and techniques of teaching; and</w:t>
      </w:r>
    </w:p>
    <w:p>
      <w:pPr>
        <w:pStyle w:val="BodyText"/>
        <w:spacing w:before="5"/>
      </w:pPr>
    </w:p>
    <w:p>
      <w:pPr>
        <w:pStyle w:val="ListParagraph"/>
        <w:numPr>
          <w:ilvl w:val="0"/>
          <w:numId w:val="75"/>
        </w:numPr>
        <w:tabs>
          <w:tab w:pos="297" w:val="left" w:leader="none"/>
        </w:tabs>
        <w:spacing w:line="240" w:lineRule="auto" w:before="0" w:after="0"/>
        <w:ind w:left="297" w:right="0" w:hanging="138"/>
        <w:jc w:val="both"/>
        <w:rPr>
          <w:sz w:val="24"/>
        </w:rPr>
      </w:pPr>
      <w:r>
        <w:rPr>
          <w:sz w:val="24"/>
        </w:rPr>
        <w:t>to</w:t>
      </w:r>
      <w:r>
        <w:rPr>
          <w:spacing w:val="-2"/>
          <w:sz w:val="24"/>
        </w:rPr>
        <w:t> </w:t>
      </w:r>
      <w:r>
        <w:rPr>
          <w:sz w:val="24"/>
        </w:rPr>
        <w:t>Promote</w:t>
      </w:r>
      <w:r>
        <w:rPr>
          <w:spacing w:val="-1"/>
          <w:sz w:val="24"/>
        </w:rPr>
        <w:t> </w:t>
      </w:r>
      <w:r>
        <w:rPr>
          <w:sz w:val="24"/>
        </w:rPr>
        <w:t>research</w:t>
      </w:r>
      <w:r>
        <w:rPr>
          <w:spacing w:val="-1"/>
          <w:sz w:val="24"/>
        </w:rPr>
        <w:t> </w:t>
      </w:r>
      <w:r>
        <w:rPr>
          <w:sz w:val="24"/>
        </w:rPr>
        <w:t>in</w:t>
      </w:r>
      <w:r>
        <w:rPr>
          <w:spacing w:val="-1"/>
          <w:sz w:val="24"/>
        </w:rPr>
        <w:t> </w:t>
      </w:r>
      <w:r>
        <w:rPr>
          <w:sz w:val="24"/>
        </w:rPr>
        <w:t>education,</w:t>
      </w:r>
      <w:r>
        <w:rPr>
          <w:spacing w:val="-1"/>
          <w:sz w:val="24"/>
        </w:rPr>
        <w:t> </w:t>
      </w:r>
      <w:r>
        <w:rPr>
          <w:sz w:val="24"/>
        </w:rPr>
        <w:t>especially with an interdisciplinary </w:t>
      </w:r>
      <w:r>
        <w:rPr>
          <w:spacing w:val="-2"/>
          <w:sz w:val="24"/>
        </w:rPr>
        <w:t>approach.</w:t>
      </w:r>
    </w:p>
    <w:p>
      <w:pPr>
        <w:pStyle w:val="BodyText"/>
        <w:spacing w:before="4"/>
      </w:pPr>
    </w:p>
    <w:p>
      <w:pPr>
        <w:pStyle w:val="BodyText"/>
        <w:ind w:left="159" w:right="495"/>
        <w:jc w:val="both"/>
      </w:pPr>
      <w:r>
        <w:rPr/>
        <w:t>A practice should also be adopted of appointing eminent professors in different disciplines as part-time professors in the schools of education. to explain new developments in their fields and the manner in which they will affect education at the school stage. Apart from the intrinsic value of such contacts for improving professional education itself, this measure will incidentally help in raising the status of professional education and in interesting leading intellectuals in school education.</w:t>
      </w:r>
    </w:p>
    <w:p>
      <w:pPr>
        <w:pStyle w:val="BodyText"/>
        <w:spacing w:before="4"/>
      </w:pPr>
    </w:p>
    <w:p>
      <w:pPr>
        <w:pStyle w:val="BodyText"/>
        <w:ind w:left="159" w:right="496"/>
        <w:jc w:val="both"/>
      </w:pPr>
      <w:r>
        <w:rPr/>
        <w:t>This programme will have two incidental advantages. As education can be studied without</w:t>
      </w:r>
      <w:r>
        <w:rPr>
          <w:spacing w:val="-1"/>
        </w:rPr>
        <w:t> </w:t>
      </w:r>
      <w:r>
        <w:rPr/>
        <w:t>any</w:t>
      </w:r>
      <w:r>
        <w:rPr>
          <w:spacing w:val="-1"/>
        </w:rPr>
        <w:t> </w:t>
      </w:r>
      <w:r>
        <w:rPr/>
        <w:t>commitment to</w:t>
      </w:r>
      <w:r>
        <w:rPr>
          <w:spacing w:val="-1"/>
        </w:rPr>
        <w:t> </w:t>
      </w:r>
      <w:r>
        <w:rPr/>
        <w:t>being</w:t>
      </w:r>
      <w:r>
        <w:rPr>
          <w:spacing w:val="-2"/>
        </w:rPr>
        <w:t> </w:t>
      </w:r>
      <w:r>
        <w:rPr/>
        <w:t>a</w:t>
      </w:r>
      <w:r>
        <w:rPr>
          <w:spacing w:val="-1"/>
        </w:rPr>
        <w:t> </w:t>
      </w:r>
      <w:r>
        <w:rPr/>
        <w:t>teacher</w:t>
      </w:r>
      <w:r>
        <w:rPr>
          <w:spacing w:val="-1"/>
        </w:rPr>
        <w:t> </w:t>
      </w:r>
      <w:r>
        <w:rPr/>
        <w:t>and</w:t>
      </w:r>
      <w:r>
        <w:rPr>
          <w:spacing w:val="-1"/>
        </w:rPr>
        <w:t> </w:t>
      </w:r>
      <w:r>
        <w:rPr/>
        <w:t>in</w:t>
      </w:r>
      <w:r>
        <w:rPr>
          <w:spacing w:val="-1"/>
        </w:rPr>
        <w:t> </w:t>
      </w:r>
      <w:r>
        <w:rPr/>
        <w:t>combination</w:t>
      </w:r>
      <w:r>
        <w:rPr>
          <w:spacing w:val="-1"/>
        </w:rPr>
        <w:t> </w:t>
      </w:r>
      <w:r>
        <w:rPr/>
        <w:t>with</w:t>
      </w:r>
      <w:r>
        <w:rPr>
          <w:spacing w:val="-1"/>
        </w:rPr>
        <w:t> </w:t>
      </w:r>
      <w:r>
        <w:rPr/>
        <w:t>other</w:t>
      </w:r>
      <w:r>
        <w:rPr>
          <w:spacing w:val="-1"/>
        </w:rPr>
        <w:t> </w:t>
      </w:r>
      <w:r>
        <w:rPr/>
        <w:t>subjects,</w:t>
      </w:r>
      <w:r>
        <w:rPr>
          <w:spacing w:val="-1"/>
        </w:rPr>
        <w:t> </w:t>
      </w:r>
      <w:r>
        <w:rPr/>
        <w:t>many talented students will study it and if their interest is aroused sufficiently, some of them may join the profession. The study of education itself will also begin to receive the enriching inter-disciplinary attention that is now lacking.</w:t>
      </w:r>
    </w:p>
    <w:p>
      <w:pPr>
        <w:pStyle w:val="BodyText"/>
        <w:spacing w:before="3"/>
      </w:pPr>
    </w:p>
    <w:p>
      <w:pPr>
        <w:pStyle w:val="ListParagraph"/>
        <w:numPr>
          <w:ilvl w:val="1"/>
          <w:numId w:val="73"/>
        </w:numPr>
        <w:tabs>
          <w:tab w:pos="664" w:val="left" w:leader="none"/>
        </w:tabs>
        <w:spacing w:line="240" w:lineRule="auto" w:before="0" w:after="0"/>
        <w:ind w:left="159" w:right="495" w:firstLine="0"/>
        <w:jc w:val="both"/>
        <w:rPr>
          <w:b/>
          <w:sz w:val="24"/>
        </w:rPr>
      </w:pPr>
      <w:r>
        <w:rPr>
          <w:b/>
          <w:sz w:val="24"/>
        </w:rPr>
        <w:t>Breaking the Isolation from Schools. </w:t>
      </w:r>
      <w:r>
        <w:rPr>
          <w:sz w:val="24"/>
        </w:rPr>
        <w:t>To break down the isolation from schools, every training institution should be required to guide neighbourhood schools and their staff in planning their work and in using improved methods of teaching. Such extension work is needed as much for the improvement of schools as for the improvement of the training programme itself. We, therefore, recommend that an extension department</w:t>
      </w:r>
      <w:r>
        <w:rPr>
          <w:spacing w:val="40"/>
          <w:sz w:val="24"/>
        </w:rPr>
        <w:t> </w:t>
      </w:r>
      <w:r>
        <w:rPr>
          <w:sz w:val="24"/>
        </w:rPr>
        <w:t>should be established in each training institution-pre- primary, primary or secondary-and should be regarded as an essential part of the programme and the responsibility of the training institution as a whole. All members of the staff should participate in it, and it should not be left to the coordinator only. Excellent pioneer work has been done by the Department of Extension Programmes for Secondary Education of the NCERT by providing extension services in nearly 50 per cent of teacher-training institutions at the secondary level. The National Institute of Basic Education has also made a small beginning</w:t>
      </w:r>
      <w:r>
        <w:rPr>
          <w:spacing w:val="-1"/>
          <w:sz w:val="24"/>
        </w:rPr>
        <w:t> </w:t>
      </w:r>
      <w:r>
        <w:rPr>
          <w:sz w:val="24"/>
        </w:rPr>
        <w:t>at</w:t>
      </w:r>
      <w:r>
        <w:rPr>
          <w:spacing w:val="-1"/>
          <w:sz w:val="24"/>
        </w:rPr>
        <w:t> </w:t>
      </w:r>
      <w:r>
        <w:rPr>
          <w:sz w:val="24"/>
        </w:rPr>
        <w:t>the</w:t>
      </w:r>
      <w:r>
        <w:rPr>
          <w:spacing w:val="-1"/>
          <w:sz w:val="24"/>
        </w:rPr>
        <w:t> </w:t>
      </w:r>
      <w:r>
        <w:rPr>
          <w:sz w:val="24"/>
        </w:rPr>
        <w:t>primary</w:t>
      </w:r>
      <w:r>
        <w:rPr>
          <w:spacing w:val="-1"/>
          <w:sz w:val="24"/>
        </w:rPr>
        <w:t> </w:t>
      </w:r>
      <w:r>
        <w:rPr>
          <w:sz w:val="24"/>
        </w:rPr>
        <w:t>stage.</w:t>
      </w:r>
      <w:r>
        <w:rPr>
          <w:spacing w:val="-1"/>
          <w:sz w:val="24"/>
        </w:rPr>
        <w:t> </w:t>
      </w:r>
      <w:r>
        <w:rPr>
          <w:sz w:val="24"/>
        </w:rPr>
        <w:t>What</w:t>
      </w:r>
      <w:r>
        <w:rPr>
          <w:spacing w:val="-1"/>
          <w:sz w:val="24"/>
        </w:rPr>
        <w:t> </w:t>
      </w:r>
      <w:r>
        <w:rPr>
          <w:sz w:val="24"/>
        </w:rPr>
        <w:t>is</w:t>
      </w:r>
      <w:r>
        <w:rPr>
          <w:spacing w:val="-1"/>
          <w:sz w:val="24"/>
        </w:rPr>
        <w:t> </w:t>
      </w:r>
      <w:r>
        <w:rPr>
          <w:sz w:val="24"/>
        </w:rPr>
        <w:t>now</w:t>
      </w:r>
      <w:r>
        <w:rPr>
          <w:spacing w:val="-1"/>
          <w:sz w:val="24"/>
        </w:rPr>
        <w:t> </w:t>
      </w:r>
      <w:r>
        <w:rPr>
          <w:sz w:val="24"/>
        </w:rPr>
        <w:t>needed</w:t>
      </w:r>
      <w:r>
        <w:rPr>
          <w:spacing w:val="-1"/>
          <w:sz w:val="24"/>
        </w:rPr>
        <w:t> </w:t>
      </w:r>
      <w:r>
        <w:rPr>
          <w:sz w:val="24"/>
        </w:rPr>
        <w:t>is</w:t>
      </w:r>
      <w:r>
        <w:rPr>
          <w:spacing w:val="-2"/>
          <w:sz w:val="24"/>
        </w:rPr>
        <w:t> </w:t>
      </w:r>
      <w:r>
        <w:rPr>
          <w:sz w:val="24"/>
        </w:rPr>
        <w:t>a</w:t>
      </w:r>
      <w:r>
        <w:rPr>
          <w:spacing w:val="-1"/>
          <w:sz w:val="24"/>
        </w:rPr>
        <w:t> </w:t>
      </w:r>
      <w:r>
        <w:rPr>
          <w:sz w:val="24"/>
        </w:rPr>
        <w:t>deepening</w:t>
      </w:r>
      <w:r>
        <w:rPr>
          <w:spacing w:val="-1"/>
          <w:sz w:val="24"/>
        </w:rPr>
        <w:t> </w:t>
      </w:r>
      <w:r>
        <w:rPr>
          <w:sz w:val="24"/>
        </w:rPr>
        <w:t>of</w:t>
      </w:r>
      <w:r>
        <w:rPr>
          <w:spacing w:val="-1"/>
          <w:sz w:val="24"/>
        </w:rPr>
        <w:t> </w:t>
      </w:r>
      <w:r>
        <w:rPr>
          <w:sz w:val="24"/>
        </w:rPr>
        <w:t>the</w:t>
      </w:r>
      <w:r>
        <w:rPr>
          <w:spacing w:val="-1"/>
          <w:sz w:val="24"/>
        </w:rPr>
        <w:t> </w:t>
      </w:r>
      <w:r>
        <w:rPr>
          <w:sz w:val="24"/>
        </w:rPr>
        <w:t>programme</w:t>
      </w:r>
      <w:r>
        <w:rPr>
          <w:spacing w:val="-1"/>
          <w:sz w:val="24"/>
        </w:rPr>
        <w:t> </w:t>
      </w:r>
      <w:r>
        <w:rPr>
          <w:sz w:val="24"/>
        </w:rPr>
        <w:t>and its expansion to cover every training institution. It would also be desirable to transfer the control of these programmes to the States and to locate this control in the State Institutes of Education whenever and wherever they are ready. Only a coordinating, advisory and clearing-house role in the scheme should be retained by the NCERT.</w:t>
      </w:r>
    </w:p>
    <w:p>
      <w:pPr>
        <w:pStyle w:val="BodyText"/>
        <w:spacing w:before="4"/>
      </w:pPr>
    </w:p>
    <w:p>
      <w:pPr>
        <w:pStyle w:val="ListParagraph"/>
        <w:numPr>
          <w:ilvl w:val="1"/>
          <w:numId w:val="73"/>
        </w:numPr>
        <w:tabs>
          <w:tab w:pos="659" w:val="left" w:leader="none"/>
        </w:tabs>
        <w:spacing w:line="240" w:lineRule="auto" w:before="0" w:after="0"/>
        <w:ind w:left="160" w:right="496" w:firstLine="0"/>
        <w:jc w:val="both"/>
        <w:rPr>
          <w:sz w:val="24"/>
        </w:rPr>
      </w:pPr>
      <w:r>
        <w:rPr>
          <w:sz w:val="24"/>
        </w:rPr>
        <w:t>One other way in which training institutions can keep in active touch with schools would be through their old students. Institutions for teacher education should have effective alumni associations which would periodically bring together old students from far and neat to discuss problems of common interest with the college staff. Such discussions which would cover achievements of individual teachers and difficulties experienced in implementing the programmes envisaged while under training, would benefit the institution as well as the past students now working as teachers, and provide opportunities for a follow-up of the schemes of work planned in outline during the training period. If there was anything that was unrealistic or impractical in them, the staff would</w:t>
      </w:r>
      <w:r>
        <w:rPr>
          <w:spacing w:val="12"/>
          <w:sz w:val="24"/>
        </w:rPr>
        <w:t> </w:t>
      </w:r>
      <w:r>
        <w:rPr>
          <w:sz w:val="24"/>
        </w:rPr>
        <w:t>see</w:t>
      </w:r>
      <w:r>
        <w:rPr>
          <w:spacing w:val="14"/>
          <w:sz w:val="24"/>
        </w:rPr>
        <w:t> </w:t>
      </w:r>
      <w:r>
        <w:rPr>
          <w:sz w:val="24"/>
        </w:rPr>
        <w:t>their</w:t>
      </w:r>
      <w:r>
        <w:rPr>
          <w:spacing w:val="15"/>
          <w:sz w:val="24"/>
        </w:rPr>
        <w:t> </w:t>
      </w:r>
      <w:r>
        <w:rPr>
          <w:sz w:val="24"/>
        </w:rPr>
        <w:t>way</w:t>
      </w:r>
      <w:r>
        <w:rPr>
          <w:spacing w:val="14"/>
          <w:sz w:val="24"/>
        </w:rPr>
        <w:t> </w:t>
      </w:r>
      <w:r>
        <w:rPr>
          <w:sz w:val="24"/>
        </w:rPr>
        <w:t>to</w:t>
      </w:r>
      <w:r>
        <w:rPr>
          <w:spacing w:val="15"/>
          <w:sz w:val="24"/>
        </w:rPr>
        <w:t> </w:t>
      </w:r>
      <w:r>
        <w:rPr>
          <w:sz w:val="24"/>
        </w:rPr>
        <w:t>modifying</w:t>
      </w:r>
      <w:r>
        <w:rPr>
          <w:spacing w:val="14"/>
          <w:sz w:val="24"/>
        </w:rPr>
        <w:t> </w:t>
      </w:r>
      <w:r>
        <w:rPr>
          <w:sz w:val="24"/>
        </w:rPr>
        <w:t>their</w:t>
      </w:r>
      <w:r>
        <w:rPr>
          <w:spacing w:val="15"/>
          <w:sz w:val="24"/>
        </w:rPr>
        <w:t> </w:t>
      </w:r>
      <w:r>
        <w:rPr>
          <w:sz w:val="24"/>
        </w:rPr>
        <w:t>approach.</w:t>
      </w:r>
      <w:r>
        <w:rPr>
          <w:spacing w:val="15"/>
          <w:sz w:val="24"/>
        </w:rPr>
        <w:t> </w:t>
      </w:r>
      <w:r>
        <w:rPr>
          <w:sz w:val="24"/>
        </w:rPr>
        <w:t>if</w:t>
      </w:r>
      <w:r>
        <w:rPr>
          <w:spacing w:val="15"/>
          <w:sz w:val="24"/>
        </w:rPr>
        <w:t> </w:t>
      </w:r>
      <w:r>
        <w:rPr>
          <w:sz w:val="24"/>
        </w:rPr>
        <w:t>the</w:t>
      </w:r>
      <w:r>
        <w:rPr>
          <w:spacing w:val="15"/>
          <w:sz w:val="24"/>
        </w:rPr>
        <w:t> </w:t>
      </w:r>
      <w:r>
        <w:rPr>
          <w:sz w:val="24"/>
        </w:rPr>
        <w:t>failure</w:t>
      </w:r>
      <w:r>
        <w:rPr>
          <w:spacing w:val="16"/>
          <w:sz w:val="24"/>
        </w:rPr>
        <w:t> </w:t>
      </w:r>
      <w:r>
        <w:rPr>
          <w:sz w:val="24"/>
        </w:rPr>
        <w:t>to</w:t>
      </w:r>
      <w:r>
        <w:rPr>
          <w:spacing w:val="15"/>
          <w:sz w:val="24"/>
        </w:rPr>
        <w:t> </w:t>
      </w:r>
      <w:r>
        <w:rPr>
          <w:sz w:val="24"/>
        </w:rPr>
        <w:t>implement</w:t>
      </w:r>
      <w:r>
        <w:rPr>
          <w:spacing w:val="16"/>
          <w:sz w:val="24"/>
        </w:rPr>
        <w:t> </w:t>
      </w:r>
      <w:r>
        <w:rPr>
          <w:sz w:val="24"/>
        </w:rPr>
        <w:t>was</w:t>
      </w:r>
      <w:r>
        <w:rPr>
          <w:spacing w:val="15"/>
          <w:sz w:val="24"/>
        </w:rPr>
        <w:t> </w:t>
      </w:r>
      <w:r>
        <w:rPr>
          <w:sz w:val="24"/>
        </w:rPr>
        <w:t>due</w:t>
      </w:r>
      <w:r>
        <w:rPr>
          <w:spacing w:val="16"/>
          <w:sz w:val="24"/>
        </w:rPr>
        <w:t> </w:t>
      </w:r>
      <w:r>
        <w:rPr>
          <w:spacing w:val="-5"/>
          <w:sz w:val="24"/>
        </w:rPr>
        <w:t>to</w:t>
      </w:r>
    </w:p>
    <w:p>
      <w:pPr>
        <w:spacing w:after="0" w:line="240" w:lineRule="auto"/>
        <w:jc w:val="both"/>
        <w:rPr>
          <w:sz w:val="24"/>
        </w:rPr>
        <w:sectPr>
          <w:pgSz w:w="12240" w:h="15840"/>
          <w:pgMar w:header="0" w:footer="743" w:top="1360" w:bottom="940" w:left="1640" w:right="1300"/>
        </w:sectPr>
      </w:pPr>
    </w:p>
    <w:p>
      <w:pPr>
        <w:pStyle w:val="BodyText"/>
        <w:spacing w:before="76"/>
        <w:ind w:left="159" w:right="495"/>
        <w:jc w:val="both"/>
      </w:pPr>
      <w:r>
        <w:rPr/>
        <w:t>lack of enthusiasm or want of support from the school and the staff, attempts would be made to overcome the obstacles. The very idea that old students and the college staff would meet periodically to discuss reports of work and frame future programmes would keep up the enthusiasm of the students and lead them to try out their own ideas and projects instead of following routine methods. Such a close link between old students and the staff has immense potentialities for making teacher education dynamic and </w:t>
      </w:r>
      <w:r>
        <w:rPr>
          <w:spacing w:val="-2"/>
        </w:rPr>
        <w:t>progressive.</w:t>
      </w:r>
    </w:p>
    <w:p>
      <w:pPr>
        <w:pStyle w:val="BodyText"/>
        <w:spacing w:before="4"/>
      </w:pPr>
    </w:p>
    <w:p>
      <w:pPr>
        <w:pStyle w:val="ListParagraph"/>
        <w:numPr>
          <w:ilvl w:val="1"/>
          <w:numId w:val="73"/>
        </w:numPr>
        <w:tabs>
          <w:tab w:pos="718" w:val="left" w:leader="none"/>
        </w:tabs>
        <w:spacing w:line="240" w:lineRule="auto" w:before="0" w:after="0"/>
        <w:ind w:left="160" w:right="496" w:firstLine="0"/>
        <w:jc w:val="both"/>
        <w:rPr>
          <w:sz w:val="24"/>
        </w:rPr>
      </w:pPr>
      <w:r>
        <w:rPr>
          <w:sz w:val="24"/>
        </w:rPr>
        <w:t>Yet another method of breaking this isolation is to make student-teaching a comprehensive internship in which trainees are able to observe the entire work of the school and to participate actively in all the important professional activities of a teacher, both in and out of the classroom. Such comprehensive and fruitful internship will </w:t>
      </w:r>
      <w:r>
        <w:rPr>
          <w:sz w:val="24"/>
        </w:rPr>
        <w:t>be possible only when there is a systematic collaboration and cooperation between the schools and the training institutions and when student-teaching is regarded as the joint responsibility of the producers (i.e., the training institutions) and the users (i.e., the schools and State Departments). Departments of Education should develop such collaboration by giving special recognition and status to schools selected for the programme as 'cooperating schools' and by providing them with adequate grants for equipment and maintenance (i.e., to meet the entire cost of allowances to the supervising teachers). The pioneering experience of the Regional Colleges of Education will be of help in the development of this programme.</w:t>
      </w:r>
    </w:p>
    <w:p>
      <w:pPr>
        <w:pStyle w:val="BodyText"/>
        <w:spacing w:before="4"/>
      </w:pPr>
    </w:p>
    <w:p>
      <w:pPr>
        <w:pStyle w:val="ListParagraph"/>
        <w:numPr>
          <w:ilvl w:val="1"/>
          <w:numId w:val="73"/>
        </w:numPr>
        <w:tabs>
          <w:tab w:pos="684" w:val="left" w:leader="none"/>
        </w:tabs>
        <w:spacing w:line="240" w:lineRule="auto" w:before="0" w:after="0"/>
        <w:ind w:left="160" w:right="495" w:firstLine="0"/>
        <w:jc w:val="both"/>
        <w:rPr>
          <w:sz w:val="24"/>
        </w:rPr>
      </w:pPr>
      <w:r>
        <w:rPr>
          <w:sz w:val="24"/>
        </w:rPr>
        <w:t>Collaboration between schools and training institutions could advantageously be extended beyond the internship programme. Selected teachers from cooperating schools could join the training college staff, on deputation, from time to time and participate, not only in the general programmes of the college, but also in evolving new plans of work</w:t>
      </w:r>
      <w:r>
        <w:rPr>
          <w:spacing w:val="40"/>
          <w:sz w:val="24"/>
        </w:rPr>
        <w:t> </w:t>
      </w:r>
      <w:r>
        <w:rPr>
          <w:sz w:val="24"/>
        </w:rPr>
        <w:t>and methods of teaching or in preparing teaching aids. They may teach in the experimental or demonstration school of the training institution and in exceptional cases, even work as members of its staff. The training college staff itself, which will find a fruitful field of research in educational methods and practices opened up to them through their collaboration with schools, will benefit considerably if they can do some continuous teaching in the cooperating schools. For this purpose, they may be deputed annually to teach at least for a month or so in a school or to complete at least one unit of the school syllabus. A combination of training college staff trying out their principles of teaching, and school teachers drawing generalization from their practical experience, would be of great benefit to student-teachers and would assist in a continuous improvement in teaching techniques. Schools should gradually become responsible partners in teacher education, not only by the facilities they offer for student teaching, but by their active participation in professional studies and educational research.</w:t>
      </w:r>
    </w:p>
    <w:p>
      <w:pPr>
        <w:pStyle w:val="BodyText"/>
        <w:spacing w:before="4"/>
      </w:pPr>
    </w:p>
    <w:p>
      <w:pPr>
        <w:pStyle w:val="ListParagraph"/>
        <w:numPr>
          <w:ilvl w:val="1"/>
          <w:numId w:val="76"/>
        </w:numPr>
        <w:tabs>
          <w:tab w:pos="676" w:val="left" w:leader="none"/>
        </w:tabs>
        <w:spacing w:line="240" w:lineRule="auto" w:before="0" w:after="0"/>
        <w:ind w:left="160" w:right="496" w:firstLine="0"/>
        <w:jc w:val="both"/>
        <w:rPr>
          <w:b/>
          <w:sz w:val="24"/>
        </w:rPr>
      </w:pPr>
      <w:r>
        <w:rPr>
          <w:b/>
          <w:sz w:val="24"/>
        </w:rPr>
        <w:t>Breaking the Isolation from One Another. </w:t>
      </w:r>
      <w:r>
        <w:rPr>
          <w:sz w:val="24"/>
        </w:rPr>
        <w:t>Teachers for the different stages of school education or for special subjects are now trained in separate courses and in separate institutions. The training institutions for pre-primary and primary teachers have the status</w:t>
      </w:r>
      <w:r>
        <w:rPr>
          <w:spacing w:val="-1"/>
          <w:sz w:val="24"/>
        </w:rPr>
        <w:t> </w:t>
      </w:r>
      <w:r>
        <w:rPr>
          <w:sz w:val="24"/>
        </w:rPr>
        <w:t>of lower secondary schools only, in terms of qualifications and remuneration of staff or the scale of contingent expenditure. There is also a total separation </w:t>
      </w:r>
      <w:r>
        <w:rPr>
          <w:sz w:val="24"/>
        </w:rPr>
        <w:t>between training</w:t>
      </w:r>
      <w:r>
        <w:rPr>
          <w:spacing w:val="20"/>
          <w:sz w:val="24"/>
        </w:rPr>
        <w:t> </w:t>
      </w:r>
      <w:r>
        <w:rPr>
          <w:sz w:val="24"/>
        </w:rPr>
        <w:t>institutions</w:t>
      </w:r>
      <w:r>
        <w:rPr>
          <w:spacing w:val="23"/>
          <w:sz w:val="24"/>
        </w:rPr>
        <w:t> </w:t>
      </w:r>
      <w:r>
        <w:rPr>
          <w:sz w:val="24"/>
        </w:rPr>
        <w:t>for</w:t>
      </w:r>
      <w:r>
        <w:rPr>
          <w:spacing w:val="22"/>
          <w:sz w:val="24"/>
        </w:rPr>
        <w:t> </w:t>
      </w:r>
      <w:r>
        <w:rPr>
          <w:sz w:val="24"/>
        </w:rPr>
        <w:t>secondary</w:t>
      </w:r>
      <w:r>
        <w:rPr>
          <w:spacing w:val="23"/>
          <w:sz w:val="24"/>
        </w:rPr>
        <w:t> </w:t>
      </w:r>
      <w:r>
        <w:rPr>
          <w:sz w:val="24"/>
        </w:rPr>
        <w:t>school</w:t>
      </w:r>
      <w:r>
        <w:rPr>
          <w:spacing w:val="23"/>
          <w:sz w:val="24"/>
        </w:rPr>
        <w:t> </w:t>
      </w:r>
      <w:r>
        <w:rPr>
          <w:sz w:val="24"/>
        </w:rPr>
        <w:t>teachers</w:t>
      </w:r>
      <w:r>
        <w:rPr>
          <w:spacing w:val="22"/>
          <w:sz w:val="24"/>
        </w:rPr>
        <w:t> </w:t>
      </w:r>
      <w:r>
        <w:rPr>
          <w:sz w:val="24"/>
        </w:rPr>
        <w:t>and</w:t>
      </w:r>
      <w:r>
        <w:rPr>
          <w:spacing w:val="23"/>
          <w:sz w:val="24"/>
        </w:rPr>
        <w:t> </w:t>
      </w:r>
      <w:r>
        <w:rPr>
          <w:sz w:val="24"/>
        </w:rPr>
        <w:t>those</w:t>
      </w:r>
      <w:r>
        <w:rPr>
          <w:spacing w:val="23"/>
          <w:sz w:val="24"/>
        </w:rPr>
        <w:t> </w:t>
      </w:r>
      <w:r>
        <w:rPr>
          <w:sz w:val="24"/>
        </w:rPr>
        <w:t>for</w:t>
      </w:r>
      <w:r>
        <w:rPr>
          <w:spacing w:val="22"/>
          <w:sz w:val="24"/>
        </w:rPr>
        <w:t> </w:t>
      </w:r>
      <w:r>
        <w:rPr>
          <w:sz w:val="24"/>
        </w:rPr>
        <w:t>primary</w:t>
      </w:r>
      <w:r>
        <w:rPr>
          <w:spacing w:val="23"/>
          <w:sz w:val="24"/>
        </w:rPr>
        <w:t> </w:t>
      </w:r>
      <w:r>
        <w:rPr>
          <w:sz w:val="24"/>
        </w:rPr>
        <w:t>or</w:t>
      </w:r>
      <w:r>
        <w:rPr>
          <w:spacing w:val="23"/>
          <w:sz w:val="24"/>
        </w:rPr>
        <w:t> </w:t>
      </w:r>
      <w:r>
        <w:rPr>
          <w:sz w:val="24"/>
        </w:rPr>
        <w:t>pre-</w:t>
      </w:r>
      <w:r>
        <w:rPr>
          <w:spacing w:val="-2"/>
          <w:sz w:val="24"/>
        </w:rPr>
        <w:t>primary</w:t>
      </w:r>
    </w:p>
    <w:p>
      <w:pPr>
        <w:spacing w:after="0" w:line="240" w:lineRule="auto"/>
        <w:jc w:val="both"/>
        <w:rPr>
          <w:sz w:val="24"/>
        </w:rPr>
        <w:sectPr>
          <w:pgSz w:w="12240" w:h="15840"/>
          <w:pgMar w:header="0" w:footer="743" w:top="1360" w:bottom="940" w:left="1640" w:right="1300"/>
        </w:sectPr>
      </w:pPr>
    </w:p>
    <w:p>
      <w:pPr>
        <w:pStyle w:val="BodyText"/>
        <w:spacing w:before="76"/>
        <w:ind w:left="159" w:right="495"/>
        <w:jc w:val="both"/>
      </w:pPr>
      <w:r>
        <w:rPr/>
        <w:t>teachers. An important reform, therefore, would be to raise the status of training institutions for pre-primary or primary teachers to a collegiate standard and to end the fragmentation of teacher education which results in weakness at each level and greatly reduces the effective- ness of the programme as a whole.</w:t>
      </w:r>
    </w:p>
    <w:p>
      <w:pPr>
        <w:pStyle w:val="BodyText"/>
        <w:spacing w:before="4"/>
      </w:pPr>
    </w:p>
    <w:p>
      <w:pPr>
        <w:pStyle w:val="ListParagraph"/>
        <w:numPr>
          <w:ilvl w:val="1"/>
          <w:numId w:val="76"/>
        </w:numPr>
        <w:tabs>
          <w:tab w:pos="641" w:val="left" w:leader="none"/>
        </w:tabs>
        <w:spacing w:line="240" w:lineRule="auto" w:before="0" w:after="0"/>
        <w:ind w:left="159" w:right="496" w:firstLine="0"/>
        <w:jc w:val="both"/>
        <w:rPr>
          <w:sz w:val="24"/>
        </w:rPr>
      </w:pPr>
      <w:r>
        <w:rPr>
          <w:sz w:val="24"/>
        </w:rPr>
        <w:t>The</w:t>
      </w:r>
      <w:r>
        <w:rPr>
          <w:spacing w:val="-1"/>
          <w:sz w:val="24"/>
        </w:rPr>
        <w:t> </w:t>
      </w:r>
      <w:r>
        <w:rPr>
          <w:sz w:val="24"/>
        </w:rPr>
        <w:t>ultimate</w:t>
      </w:r>
      <w:r>
        <w:rPr>
          <w:spacing w:val="-1"/>
          <w:sz w:val="24"/>
        </w:rPr>
        <w:t> </w:t>
      </w:r>
      <w:r>
        <w:rPr>
          <w:sz w:val="24"/>
        </w:rPr>
        <w:t>objective</w:t>
      </w:r>
      <w:r>
        <w:rPr>
          <w:spacing w:val="-1"/>
          <w:sz w:val="24"/>
        </w:rPr>
        <w:t> </w:t>
      </w:r>
      <w:r>
        <w:rPr>
          <w:sz w:val="24"/>
        </w:rPr>
        <w:t>should</w:t>
      </w:r>
      <w:r>
        <w:rPr>
          <w:spacing w:val="-2"/>
          <w:sz w:val="24"/>
        </w:rPr>
        <w:t> </w:t>
      </w:r>
      <w:r>
        <w:rPr>
          <w:sz w:val="24"/>
        </w:rPr>
        <w:t>be</w:t>
      </w:r>
      <w:r>
        <w:rPr>
          <w:spacing w:val="-1"/>
          <w:sz w:val="24"/>
        </w:rPr>
        <w:t> </w:t>
      </w:r>
      <w:r>
        <w:rPr>
          <w:sz w:val="24"/>
        </w:rPr>
        <w:t>to</w:t>
      </w:r>
      <w:r>
        <w:rPr>
          <w:spacing w:val="-1"/>
          <w:sz w:val="24"/>
        </w:rPr>
        <w:t> </w:t>
      </w:r>
      <w:r>
        <w:rPr>
          <w:sz w:val="24"/>
        </w:rPr>
        <w:t>bring</w:t>
      </w:r>
      <w:r>
        <w:rPr>
          <w:spacing w:val="-2"/>
          <w:sz w:val="24"/>
        </w:rPr>
        <w:t> </w:t>
      </w:r>
      <w:r>
        <w:rPr>
          <w:sz w:val="24"/>
        </w:rPr>
        <w:t>all</w:t>
      </w:r>
      <w:r>
        <w:rPr>
          <w:spacing w:val="-1"/>
          <w:sz w:val="24"/>
        </w:rPr>
        <w:t> </w:t>
      </w:r>
      <w:r>
        <w:rPr>
          <w:sz w:val="24"/>
        </w:rPr>
        <w:t>teacher</w:t>
      </w:r>
      <w:r>
        <w:rPr>
          <w:spacing w:val="-1"/>
          <w:sz w:val="24"/>
        </w:rPr>
        <w:t> </w:t>
      </w:r>
      <w:r>
        <w:rPr>
          <w:sz w:val="24"/>
        </w:rPr>
        <w:t>education</w:t>
      </w:r>
      <w:r>
        <w:rPr>
          <w:spacing w:val="-1"/>
          <w:sz w:val="24"/>
        </w:rPr>
        <w:t> </w:t>
      </w:r>
      <w:r>
        <w:rPr>
          <w:sz w:val="24"/>
        </w:rPr>
        <w:t>under</w:t>
      </w:r>
      <w:r>
        <w:rPr>
          <w:spacing w:val="-1"/>
          <w:sz w:val="24"/>
        </w:rPr>
        <w:t> </w:t>
      </w:r>
      <w:r>
        <w:rPr>
          <w:sz w:val="24"/>
        </w:rPr>
        <w:t>the</w:t>
      </w:r>
      <w:r>
        <w:rPr>
          <w:spacing w:val="-1"/>
          <w:sz w:val="24"/>
        </w:rPr>
        <w:t> </w:t>
      </w:r>
      <w:r>
        <w:rPr>
          <w:sz w:val="24"/>
        </w:rPr>
        <w:t>universities in such a manner that it continues to function in close collaboration with State Departments of Education and teachers' organizations. We concede that very few universities have shown an active interest even in the preparation of secondary teachers which is under their control, and that problems of primary teacher education have not attracted their attention at all. Nevertheless, from the point of view of the freedom and autonomy necessary for the growth and development of teacher education, as well as of academic and educational efficiency, teacher education at all levels should be brought within the scope of the universities.</w:t>
      </w:r>
    </w:p>
    <w:p>
      <w:pPr>
        <w:pStyle w:val="BodyText"/>
        <w:spacing w:before="4"/>
      </w:pPr>
    </w:p>
    <w:p>
      <w:pPr>
        <w:pStyle w:val="ListParagraph"/>
        <w:numPr>
          <w:ilvl w:val="1"/>
          <w:numId w:val="76"/>
        </w:numPr>
        <w:tabs>
          <w:tab w:pos="682" w:val="left" w:leader="none"/>
        </w:tabs>
        <w:spacing w:line="240" w:lineRule="auto" w:before="0" w:after="0"/>
        <w:ind w:left="160" w:right="496" w:firstLine="0"/>
        <w:jc w:val="both"/>
        <w:rPr>
          <w:sz w:val="24"/>
        </w:rPr>
      </w:pPr>
      <w:r>
        <w:rPr>
          <w:sz w:val="24"/>
        </w:rPr>
        <w:t>To upgrade all training institutions for primary and pre- primary teachers to the university standard immediately would be impossible in view of the heavy costs involved and the large number of qualified teacher educators needed. The programme which will have to be spread over a number of years with a suitable transitional strategy, </w:t>
      </w:r>
      <w:r>
        <w:rPr>
          <w:sz w:val="24"/>
        </w:rPr>
        <w:t>should forms: (1) the establishment of comprehensive colleges; (2) a phased programme of upgrading all training institutions for pre-primary and primary teachers to the collegiate standard; and (3) the establishment of State Boards of Teacher Education as bridges, during the transitional period, between the training institutions for pre-primary and primary teachers and the universities.</w:t>
      </w:r>
    </w:p>
    <w:p>
      <w:pPr>
        <w:pStyle w:val="BodyText"/>
        <w:spacing w:before="5"/>
      </w:pPr>
    </w:p>
    <w:p>
      <w:pPr>
        <w:pStyle w:val="ListParagraph"/>
        <w:numPr>
          <w:ilvl w:val="0"/>
          <w:numId w:val="77"/>
        </w:numPr>
        <w:tabs>
          <w:tab w:pos="585" w:val="left" w:leader="none"/>
        </w:tabs>
        <w:spacing w:line="240" w:lineRule="auto" w:before="0" w:after="0"/>
        <w:ind w:left="160" w:right="496" w:firstLine="0"/>
        <w:jc w:val="both"/>
        <w:rPr>
          <w:sz w:val="24"/>
        </w:rPr>
      </w:pPr>
      <w:r>
        <w:rPr>
          <w:sz w:val="24"/>
        </w:rPr>
        <w:t>Comprehensive Colleges. Colleges should be established wherever possible to prepare teachers for several stages of education and/or for a number of special fields. Some institutions of this type already exist and have shown good results. What is now needed is a planned attempt to develop more institutions of this type and to add sections for training primary and/or pre-primary teachers to training colleges that now prepare teachers for secondary schools only.</w:t>
      </w:r>
    </w:p>
    <w:p>
      <w:pPr>
        <w:pStyle w:val="BodyText"/>
        <w:spacing w:before="4"/>
      </w:pPr>
    </w:p>
    <w:p>
      <w:pPr>
        <w:pStyle w:val="ListParagraph"/>
        <w:numPr>
          <w:ilvl w:val="0"/>
          <w:numId w:val="77"/>
        </w:numPr>
        <w:tabs>
          <w:tab w:pos="533" w:val="left" w:leader="none"/>
        </w:tabs>
        <w:spacing w:line="240" w:lineRule="auto" w:before="0" w:after="0"/>
        <w:ind w:left="160" w:right="496" w:firstLine="0"/>
        <w:jc w:val="both"/>
        <w:rPr>
          <w:sz w:val="24"/>
        </w:rPr>
      </w:pPr>
      <w:r>
        <w:rPr>
          <w:sz w:val="24"/>
        </w:rPr>
        <w:t>Upgrading Training Institutions for Pre-Primary and Primary Teachers. Institutions for</w:t>
      </w:r>
      <w:r>
        <w:rPr>
          <w:spacing w:val="-1"/>
          <w:sz w:val="24"/>
        </w:rPr>
        <w:t> </w:t>
      </w:r>
      <w:r>
        <w:rPr>
          <w:sz w:val="24"/>
        </w:rPr>
        <w:t>the</w:t>
      </w:r>
      <w:r>
        <w:rPr>
          <w:spacing w:val="-1"/>
          <w:sz w:val="24"/>
        </w:rPr>
        <w:t> </w:t>
      </w:r>
      <w:r>
        <w:rPr>
          <w:sz w:val="24"/>
        </w:rPr>
        <w:t>training</w:t>
      </w:r>
      <w:r>
        <w:rPr>
          <w:spacing w:val="-1"/>
          <w:sz w:val="24"/>
        </w:rPr>
        <w:t> </w:t>
      </w:r>
      <w:r>
        <w:rPr>
          <w:sz w:val="24"/>
        </w:rPr>
        <w:t>of</w:t>
      </w:r>
      <w:r>
        <w:rPr>
          <w:spacing w:val="-1"/>
          <w:sz w:val="24"/>
        </w:rPr>
        <w:t> </w:t>
      </w:r>
      <w:r>
        <w:rPr>
          <w:sz w:val="24"/>
        </w:rPr>
        <w:t>pre-primary</w:t>
      </w:r>
      <w:r>
        <w:rPr>
          <w:spacing w:val="-1"/>
          <w:sz w:val="24"/>
        </w:rPr>
        <w:t> </w:t>
      </w:r>
      <w:r>
        <w:rPr>
          <w:sz w:val="24"/>
        </w:rPr>
        <w:t>and</w:t>
      </w:r>
      <w:r>
        <w:rPr>
          <w:spacing w:val="-1"/>
          <w:sz w:val="24"/>
        </w:rPr>
        <w:t> </w:t>
      </w:r>
      <w:r>
        <w:rPr>
          <w:sz w:val="24"/>
        </w:rPr>
        <w:t>primary</w:t>
      </w:r>
      <w:r>
        <w:rPr>
          <w:spacing w:val="-3"/>
          <w:sz w:val="24"/>
        </w:rPr>
        <w:t> </w:t>
      </w:r>
      <w:r>
        <w:rPr>
          <w:sz w:val="24"/>
        </w:rPr>
        <w:t>teachers</w:t>
      </w:r>
      <w:r>
        <w:rPr>
          <w:spacing w:val="-1"/>
          <w:sz w:val="24"/>
        </w:rPr>
        <w:t> </w:t>
      </w:r>
      <w:r>
        <w:rPr>
          <w:sz w:val="24"/>
        </w:rPr>
        <w:t>(which</w:t>
      </w:r>
      <w:r>
        <w:rPr>
          <w:spacing w:val="-1"/>
          <w:sz w:val="24"/>
        </w:rPr>
        <w:t> </w:t>
      </w:r>
      <w:r>
        <w:rPr>
          <w:sz w:val="24"/>
        </w:rPr>
        <w:t>now</w:t>
      </w:r>
      <w:r>
        <w:rPr>
          <w:spacing w:val="-1"/>
          <w:sz w:val="24"/>
        </w:rPr>
        <w:t> </w:t>
      </w:r>
      <w:r>
        <w:rPr>
          <w:sz w:val="24"/>
        </w:rPr>
        <w:t>admit</w:t>
      </w:r>
      <w:r>
        <w:rPr>
          <w:spacing w:val="-1"/>
          <w:sz w:val="24"/>
        </w:rPr>
        <w:t> </w:t>
      </w:r>
      <w:r>
        <w:rPr>
          <w:sz w:val="24"/>
        </w:rPr>
        <w:t>students</w:t>
      </w:r>
      <w:r>
        <w:rPr>
          <w:spacing w:val="-1"/>
          <w:sz w:val="24"/>
        </w:rPr>
        <w:t> </w:t>
      </w:r>
      <w:r>
        <w:rPr>
          <w:sz w:val="24"/>
        </w:rPr>
        <w:t>who</w:t>
      </w:r>
      <w:r>
        <w:rPr>
          <w:spacing w:val="-1"/>
          <w:sz w:val="24"/>
        </w:rPr>
        <w:t> </w:t>
      </w:r>
      <w:r>
        <w:rPr>
          <w:sz w:val="24"/>
        </w:rPr>
        <w:t>have completed the lower secondary stage of education and which will raise this admission qualification to the completion of the higher secondary stage in the course of the next 10 to 15 years) should be upgraded to the collegiate standard and a phased programme prepared for the purpose, separately for each State. This entails that the qualifications</w:t>
      </w:r>
      <w:r>
        <w:rPr>
          <w:spacing w:val="-1"/>
          <w:sz w:val="24"/>
        </w:rPr>
        <w:t> </w:t>
      </w:r>
      <w:r>
        <w:rPr>
          <w:sz w:val="24"/>
        </w:rPr>
        <w:t>and salaries of staff should be comparable to those in affiliated college. The qualifications of students should also be comparable and curricula and programmes of teacher education should be brought under the control of the university. Given due priority and an adequate allocation of funds, it should be possible to do this within a period of 15 to 20 years.</w:t>
      </w:r>
    </w:p>
    <w:p>
      <w:pPr>
        <w:pStyle w:val="BodyText"/>
        <w:spacing w:before="3"/>
      </w:pPr>
    </w:p>
    <w:p>
      <w:pPr>
        <w:pStyle w:val="ListParagraph"/>
        <w:numPr>
          <w:ilvl w:val="0"/>
          <w:numId w:val="77"/>
        </w:numPr>
        <w:tabs>
          <w:tab w:pos="509" w:val="left" w:leader="none"/>
        </w:tabs>
        <w:spacing w:line="240" w:lineRule="auto" w:before="1" w:after="0"/>
        <w:ind w:left="160" w:right="496" w:firstLine="0"/>
        <w:jc w:val="both"/>
        <w:rPr>
          <w:sz w:val="24"/>
        </w:rPr>
      </w:pPr>
      <w:r>
        <w:rPr>
          <w:sz w:val="24"/>
        </w:rPr>
        <w:t>State Boards of Teacher Education. In the transitional period, when some institutions for teacher education would be under the Department and others within the fold of the universities,</w:t>
      </w:r>
      <w:r>
        <w:rPr>
          <w:spacing w:val="54"/>
          <w:sz w:val="24"/>
        </w:rPr>
        <w:t> </w:t>
      </w:r>
      <w:r>
        <w:rPr>
          <w:sz w:val="24"/>
        </w:rPr>
        <w:t>a</w:t>
      </w:r>
      <w:r>
        <w:rPr>
          <w:spacing w:val="55"/>
          <w:sz w:val="24"/>
        </w:rPr>
        <w:t> </w:t>
      </w:r>
      <w:r>
        <w:rPr>
          <w:sz w:val="24"/>
        </w:rPr>
        <w:t>bridge</w:t>
      </w:r>
      <w:r>
        <w:rPr>
          <w:spacing w:val="55"/>
          <w:sz w:val="24"/>
        </w:rPr>
        <w:t> </w:t>
      </w:r>
      <w:r>
        <w:rPr>
          <w:sz w:val="24"/>
        </w:rPr>
        <w:t>between</w:t>
      </w:r>
      <w:r>
        <w:rPr>
          <w:spacing w:val="53"/>
          <w:sz w:val="24"/>
        </w:rPr>
        <w:t> </w:t>
      </w:r>
      <w:r>
        <w:rPr>
          <w:sz w:val="24"/>
        </w:rPr>
        <w:t>them</w:t>
      </w:r>
      <w:r>
        <w:rPr>
          <w:spacing w:val="53"/>
          <w:sz w:val="24"/>
        </w:rPr>
        <w:t> </w:t>
      </w:r>
      <w:r>
        <w:rPr>
          <w:sz w:val="24"/>
        </w:rPr>
        <w:t>may</w:t>
      </w:r>
      <w:r>
        <w:rPr>
          <w:spacing w:val="55"/>
          <w:sz w:val="24"/>
        </w:rPr>
        <w:t> </w:t>
      </w:r>
      <w:r>
        <w:rPr>
          <w:sz w:val="24"/>
        </w:rPr>
        <w:t>be</w:t>
      </w:r>
      <w:r>
        <w:rPr>
          <w:spacing w:val="54"/>
          <w:sz w:val="24"/>
        </w:rPr>
        <w:t> </w:t>
      </w:r>
      <w:r>
        <w:rPr>
          <w:sz w:val="24"/>
        </w:rPr>
        <w:t>created</w:t>
      </w:r>
      <w:r>
        <w:rPr>
          <w:spacing w:val="55"/>
          <w:sz w:val="24"/>
        </w:rPr>
        <w:t> </w:t>
      </w:r>
      <w:r>
        <w:rPr>
          <w:sz w:val="24"/>
        </w:rPr>
        <w:t>by</w:t>
      </w:r>
      <w:r>
        <w:rPr>
          <w:spacing w:val="55"/>
          <w:sz w:val="24"/>
        </w:rPr>
        <w:t> </w:t>
      </w:r>
      <w:r>
        <w:rPr>
          <w:sz w:val="24"/>
        </w:rPr>
        <w:t>establishing</w:t>
      </w:r>
      <w:r>
        <w:rPr>
          <w:spacing w:val="54"/>
          <w:sz w:val="24"/>
        </w:rPr>
        <w:t> </w:t>
      </w:r>
      <w:r>
        <w:rPr>
          <w:sz w:val="24"/>
        </w:rPr>
        <w:t>State</w:t>
      </w:r>
      <w:r>
        <w:rPr>
          <w:spacing w:val="55"/>
          <w:sz w:val="24"/>
        </w:rPr>
        <w:t> </w:t>
      </w:r>
      <w:r>
        <w:rPr>
          <w:sz w:val="24"/>
        </w:rPr>
        <w:t>Boards</w:t>
      </w:r>
      <w:r>
        <w:rPr>
          <w:spacing w:val="55"/>
          <w:sz w:val="24"/>
        </w:rPr>
        <w:t> </w:t>
      </w:r>
      <w:r>
        <w:rPr>
          <w:spacing w:val="-5"/>
          <w:sz w:val="24"/>
        </w:rPr>
        <w:t>of</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Teacher Education. These should consist of representatives of universities, State Departments of Education, principals of training 'institutions, the National Association of Teacher Educators and teachers' organizations. They should be responsible for all aspects of teacher education at the State level, such as-</w:t>
      </w:r>
    </w:p>
    <w:p>
      <w:pPr>
        <w:pStyle w:val="BodyText"/>
        <w:spacing w:before="5"/>
      </w:pPr>
    </w:p>
    <w:p>
      <w:pPr>
        <w:pStyle w:val="ListParagraph"/>
        <w:numPr>
          <w:ilvl w:val="1"/>
          <w:numId w:val="77"/>
        </w:numPr>
        <w:tabs>
          <w:tab w:pos="483" w:val="left" w:leader="none"/>
        </w:tabs>
        <w:spacing w:line="240" w:lineRule="auto" w:before="0" w:after="0"/>
        <w:ind w:left="483" w:right="0" w:hanging="323"/>
        <w:jc w:val="both"/>
        <w:rPr>
          <w:sz w:val="24"/>
        </w:rPr>
      </w:pPr>
      <w:r>
        <w:rPr>
          <w:sz w:val="24"/>
        </w:rPr>
        <w:t>prescribing</w:t>
      </w:r>
      <w:r>
        <w:rPr>
          <w:spacing w:val="-6"/>
          <w:sz w:val="24"/>
        </w:rPr>
        <w:t> </w:t>
      </w:r>
      <w:r>
        <w:rPr>
          <w:sz w:val="24"/>
        </w:rPr>
        <w:t>standards</w:t>
      </w:r>
      <w:r>
        <w:rPr>
          <w:spacing w:val="-6"/>
          <w:sz w:val="24"/>
        </w:rPr>
        <w:t> </w:t>
      </w:r>
      <w:r>
        <w:rPr>
          <w:sz w:val="24"/>
        </w:rPr>
        <w:t>for</w:t>
      </w:r>
      <w:r>
        <w:rPr>
          <w:spacing w:val="-6"/>
          <w:sz w:val="24"/>
        </w:rPr>
        <w:t> </w:t>
      </w:r>
      <w:r>
        <w:rPr>
          <w:sz w:val="24"/>
        </w:rPr>
        <w:t>training</w:t>
      </w:r>
      <w:r>
        <w:rPr>
          <w:spacing w:val="-5"/>
          <w:sz w:val="24"/>
        </w:rPr>
        <w:t> </w:t>
      </w:r>
      <w:r>
        <w:rPr>
          <w:spacing w:val="-2"/>
          <w:sz w:val="24"/>
        </w:rPr>
        <w:t>institutions;</w:t>
      </w:r>
    </w:p>
    <w:p>
      <w:pPr>
        <w:pStyle w:val="BodyText"/>
        <w:spacing w:before="4"/>
      </w:pPr>
    </w:p>
    <w:p>
      <w:pPr>
        <w:pStyle w:val="ListParagraph"/>
        <w:numPr>
          <w:ilvl w:val="1"/>
          <w:numId w:val="77"/>
        </w:numPr>
        <w:tabs>
          <w:tab w:pos="499" w:val="left" w:leader="none"/>
        </w:tabs>
        <w:spacing w:line="240" w:lineRule="auto" w:before="0" w:after="0"/>
        <w:ind w:left="160" w:right="497" w:firstLine="0"/>
        <w:jc w:val="both"/>
        <w:rPr>
          <w:sz w:val="24"/>
        </w:rPr>
      </w:pPr>
      <w:r>
        <w:rPr>
          <w:sz w:val="24"/>
        </w:rPr>
        <w:t>improving</w:t>
      </w:r>
      <w:r>
        <w:rPr>
          <w:spacing w:val="-5"/>
          <w:sz w:val="24"/>
        </w:rPr>
        <w:t> </w:t>
      </w:r>
      <w:r>
        <w:rPr>
          <w:sz w:val="24"/>
        </w:rPr>
        <w:t>curricula,</w:t>
      </w:r>
      <w:r>
        <w:rPr>
          <w:spacing w:val="-5"/>
          <w:sz w:val="24"/>
        </w:rPr>
        <w:t> </w:t>
      </w:r>
      <w:r>
        <w:rPr>
          <w:sz w:val="24"/>
        </w:rPr>
        <w:t>programmes,</w:t>
      </w:r>
      <w:r>
        <w:rPr>
          <w:spacing w:val="-4"/>
          <w:sz w:val="24"/>
        </w:rPr>
        <w:t> </w:t>
      </w:r>
      <w:r>
        <w:rPr>
          <w:sz w:val="24"/>
        </w:rPr>
        <w:t>examinations,</w:t>
      </w:r>
      <w:r>
        <w:rPr>
          <w:spacing w:val="-4"/>
          <w:sz w:val="24"/>
        </w:rPr>
        <w:t> </w:t>
      </w:r>
      <w:r>
        <w:rPr>
          <w:sz w:val="24"/>
        </w:rPr>
        <w:t>textbooks</w:t>
      </w:r>
      <w:r>
        <w:rPr>
          <w:spacing w:val="-6"/>
          <w:sz w:val="24"/>
        </w:rPr>
        <w:t> </w:t>
      </w:r>
      <w:r>
        <w:rPr>
          <w:sz w:val="24"/>
        </w:rPr>
        <w:t>and</w:t>
      </w:r>
      <w:r>
        <w:rPr>
          <w:spacing w:val="-4"/>
          <w:sz w:val="24"/>
        </w:rPr>
        <w:t> </w:t>
      </w:r>
      <w:r>
        <w:rPr>
          <w:sz w:val="24"/>
        </w:rPr>
        <w:t>instructional</w:t>
      </w:r>
      <w:r>
        <w:rPr>
          <w:spacing w:val="-4"/>
          <w:sz w:val="24"/>
        </w:rPr>
        <w:t> </w:t>
      </w:r>
      <w:r>
        <w:rPr>
          <w:sz w:val="24"/>
        </w:rPr>
        <w:t>materials for teacher education;</w:t>
      </w:r>
    </w:p>
    <w:p>
      <w:pPr>
        <w:pStyle w:val="BodyText"/>
        <w:spacing w:before="3"/>
      </w:pPr>
    </w:p>
    <w:p>
      <w:pPr>
        <w:pStyle w:val="ListParagraph"/>
        <w:numPr>
          <w:ilvl w:val="1"/>
          <w:numId w:val="77"/>
        </w:numPr>
        <w:tabs>
          <w:tab w:pos="523" w:val="left" w:leader="none"/>
        </w:tabs>
        <w:spacing w:line="240" w:lineRule="auto" w:before="1" w:after="0"/>
        <w:ind w:left="160" w:right="499" w:firstLine="0"/>
        <w:jc w:val="both"/>
        <w:rPr>
          <w:sz w:val="24"/>
        </w:rPr>
      </w:pPr>
      <w:r>
        <w:rPr>
          <w:sz w:val="24"/>
        </w:rPr>
        <w:t>prescribing conditions for the recognition of training institutions and arranging for their periodical inspection;</w:t>
      </w:r>
    </w:p>
    <w:p>
      <w:pPr>
        <w:pStyle w:val="BodyText"/>
        <w:spacing w:before="4"/>
      </w:pPr>
    </w:p>
    <w:p>
      <w:pPr>
        <w:pStyle w:val="ListParagraph"/>
        <w:numPr>
          <w:ilvl w:val="1"/>
          <w:numId w:val="77"/>
        </w:numPr>
        <w:tabs>
          <w:tab w:pos="498" w:val="left" w:leader="none"/>
        </w:tabs>
        <w:spacing w:line="240" w:lineRule="auto" w:before="1" w:after="0"/>
        <w:ind w:left="498" w:right="0" w:hanging="338"/>
        <w:jc w:val="both"/>
        <w:rPr>
          <w:sz w:val="24"/>
        </w:rPr>
      </w:pPr>
      <w:r>
        <w:rPr>
          <w:sz w:val="24"/>
        </w:rPr>
        <w:t>offering</w:t>
      </w:r>
      <w:r>
        <w:rPr>
          <w:spacing w:val="-4"/>
          <w:sz w:val="24"/>
        </w:rPr>
        <w:t> </w:t>
      </w:r>
      <w:r>
        <w:rPr>
          <w:sz w:val="24"/>
        </w:rPr>
        <w:t>consultative</w:t>
      </w:r>
      <w:r>
        <w:rPr>
          <w:spacing w:val="-2"/>
          <w:sz w:val="24"/>
        </w:rPr>
        <w:t> </w:t>
      </w:r>
      <w:r>
        <w:rPr>
          <w:sz w:val="24"/>
        </w:rPr>
        <w:t>services</w:t>
      </w:r>
      <w:r>
        <w:rPr>
          <w:spacing w:val="-2"/>
          <w:sz w:val="24"/>
        </w:rPr>
        <w:t> </w:t>
      </w:r>
      <w:r>
        <w:rPr>
          <w:sz w:val="24"/>
        </w:rPr>
        <w:t>to</w:t>
      </w:r>
      <w:r>
        <w:rPr>
          <w:spacing w:val="-2"/>
          <w:sz w:val="24"/>
        </w:rPr>
        <w:t> </w:t>
      </w:r>
      <w:r>
        <w:rPr>
          <w:sz w:val="24"/>
        </w:rPr>
        <w:t>the</w:t>
      </w:r>
      <w:r>
        <w:rPr>
          <w:spacing w:val="-2"/>
          <w:sz w:val="24"/>
        </w:rPr>
        <w:t> institutions;</w:t>
      </w:r>
    </w:p>
    <w:p>
      <w:pPr>
        <w:pStyle w:val="BodyText"/>
        <w:spacing w:before="2"/>
      </w:pPr>
    </w:p>
    <w:p>
      <w:pPr>
        <w:pStyle w:val="ListParagraph"/>
        <w:numPr>
          <w:ilvl w:val="1"/>
          <w:numId w:val="77"/>
        </w:numPr>
        <w:tabs>
          <w:tab w:pos="501" w:val="left" w:leader="none"/>
        </w:tabs>
        <w:spacing w:line="240" w:lineRule="auto" w:before="0" w:after="0"/>
        <w:ind w:left="160" w:right="495" w:firstLine="0"/>
        <w:jc w:val="both"/>
        <w:rPr>
          <w:sz w:val="24"/>
        </w:rPr>
      </w:pPr>
      <w:r>
        <w:rPr>
          <w:sz w:val="24"/>
        </w:rPr>
        <w:t>ensuring that candidates completing the prescribed courses are competent to teach in the schools of the State; and (f) preparing plans for the immediate and long-term development of teacher education, both qualitative and quantitative.</w:t>
      </w:r>
    </w:p>
    <w:p>
      <w:pPr>
        <w:pStyle w:val="BodyText"/>
        <w:spacing w:before="5"/>
      </w:pPr>
    </w:p>
    <w:p>
      <w:pPr>
        <w:pStyle w:val="BodyText"/>
        <w:ind w:left="159" w:right="496"/>
        <w:jc w:val="both"/>
      </w:pPr>
      <w:r>
        <w:rPr/>
        <w:t>Each Board should be set up by the State Government and should have a full-time secretary.</w:t>
      </w:r>
      <w:r>
        <w:rPr>
          <w:spacing w:val="-3"/>
        </w:rPr>
        <w:t> </w:t>
      </w:r>
      <w:r>
        <w:rPr/>
        <w:t>The</w:t>
      </w:r>
      <w:r>
        <w:rPr>
          <w:spacing w:val="-3"/>
        </w:rPr>
        <w:t> </w:t>
      </w:r>
      <w:r>
        <w:rPr/>
        <w:t>State</w:t>
      </w:r>
      <w:r>
        <w:rPr>
          <w:spacing w:val="-3"/>
        </w:rPr>
        <w:t> </w:t>
      </w:r>
      <w:r>
        <w:rPr/>
        <w:t>Institute</w:t>
      </w:r>
      <w:r>
        <w:rPr>
          <w:spacing w:val="-4"/>
        </w:rPr>
        <w:t> </w:t>
      </w:r>
      <w:r>
        <w:rPr/>
        <w:t>of</w:t>
      </w:r>
      <w:r>
        <w:rPr>
          <w:spacing w:val="-2"/>
        </w:rPr>
        <w:t> </w:t>
      </w:r>
      <w:r>
        <w:rPr/>
        <w:t>Education</w:t>
      </w:r>
      <w:r>
        <w:rPr>
          <w:spacing w:val="-2"/>
        </w:rPr>
        <w:t> </w:t>
      </w:r>
      <w:r>
        <w:rPr/>
        <w:t>should</w:t>
      </w:r>
      <w:r>
        <w:rPr>
          <w:spacing w:val="-2"/>
        </w:rPr>
        <w:t> </w:t>
      </w:r>
      <w:r>
        <w:rPr/>
        <w:t>be</w:t>
      </w:r>
      <w:r>
        <w:rPr>
          <w:spacing w:val="-2"/>
        </w:rPr>
        <w:t> </w:t>
      </w:r>
      <w:r>
        <w:rPr/>
        <w:t>closely</w:t>
      </w:r>
      <w:r>
        <w:rPr>
          <w:spacing w:val="-5"/>
        </w:rPr>
        <w:t> </w:t>
      </w:r>
      <w:r>
        <w:rPr/>
        <w:t>associated</w:t>
      </w:r>
      <w:r>
        <w:rPr>
          <w:spacing w:val="-2"/>
        </w:rPr>
        <w:t> </w:t>
      </w:r>
      <w:r>
        <w:rPr/>
        <w:t>with</w:t>
      </w:r>
      <w:r>
        <w:rPr>
          <w:spacing w:val="-2"/>
        </w:rPr>
        <w:t> </w:t>
      </w:r>
      <w:r>
        <w:rPr/>
        <w:t>it.</w:t>
      </w:r>
      <w:r>
        <w:rPr>
          <w:spacing w:val="-2"/>
        </w:rPr>
        <w:t> </w:t>
      </w:r>
      <w:r>
        <w:rPr/>
        <w:t>The</w:t>
      </w:r>
      <w:r>
        <w:rPr>
          <w:spacing w:val="-2"/>
        </w:rPr>
        <w:t> </w:t>
      </w:r>
      <w:r>
        <w:rPr/>
        <w:t>Board should take over all the functions of the Department of Education in regard to pre- primary and primary training institutions and should advise on the secondary training colleges which will be with the universities.</w:t>
      </w:r>
    </w:p>
    <w:p>
      <w:pPr>
        <w:pStyle w:val="BodyText"/>
        <w:spacing w:before="3"/>
      </w:pPr>
    </w:p>
    <w:p>
      <w:pPr>
        <w:pStyle w:val="BodyText"/>
        <w:spacing w:before="1"/>
        <w:ind w:left="159" w:right="497"/>
        <w:jc w:val="both"/>
      </w:pPr>
      <w:r>
        <w:rPr/>
        <w:t>The establishment of State Boards of Teacher Education is not a new recommendation. It was made earlier by the Secondary Education Commission, the International Team on Teachers and Curricula for Secondary Schools and by a number of seminars and study- groups. Unfortunately, no action has been taken so far. We regard this as a crucial recommendation on which immediate action is needed.</w:t>
      </w:r>
    </w:p>
    <w:p>
      <w:pPr>
        <w:pStyle w:val="BodyText"/>
        <w:spacing w:before="6"/>
      </w:pPr>
    </w:p>
    <w:p>
      <w:pPr>
        <w:pStyle w:val="Heading1"/>
        <w:ind w:left="291"/>
      </w:pPr>
      <w:r>
        <w:rPr/>
        <w:t>IMPROVING</w:t>
      </w:r>
      <w:r>
        <w:rPr>
          <w:spacing w:val="-6"/>
        </w:rPr>
        <w:t> </w:t>
      </w:r>
      <w:r>
        <w:rPr/>
        <w:t>THE</w:t>
      </w:r>
      <w:r>
        <w:rPr>
          <w:spacing w:val="-5"/>
        </w:rPr>
        <w:t> </w:t>
      </w:r>
      <w:r>
        <w:rPr/>
        <w:t>QUALITY</w:t>
      </w:r>
      <w:r>
        <w:rPr>
          <w:spacing w:val="-5"/>
        </w:rPr>
        <w:t> </w:t>
      </w:r>
      <w:r>
        <w:rPr/>
        <w:t>OF</w:t>
      </w:r>
      <w:r>
        <w:rPr>
          <w:spacing w:val="-5"/>
        </w:rPr>
        <w:t> </w:t>
      </w:r>
      <w:r>
        <w:rPr/>
        <w:t>TEACHER</w:t>
      </w:r>
      <w:r>
        <w:rPr>
          <w:spacing w:val="-5"/>
        </w:rPr>
        <w:t> </w:t>
      </w:r>
      <w:r>
        <w:rPr>
          <w:spacing w:val="-2"/>
        </w:rPr>
        <w:t>EDUCATION</w:t>
      </w:r>
    </w:p>
    <w:p>
      <w:pPr>
        <w:pStyle w:val="BodyText"/>
        <w:spacing w:before="2"/>
        <w:rPr>
          <w:b/>
        </w:rPr>
      </w:pPr>
    </w:p>
    <w:p>
      <w:pPr>
        <w:pStyle w:val="ListParagraph"/>
        <w:numPr>
          <w:ilvl w:val="1"/>
          <w:numId w:val="76"/>
        </w:numPr>
        <w:tabs>
          <w:tab w:pos="655" w:val="left" w:leader="none"/>
        </w:tabs>
        <w:spacing w:line="240" w:lineRule="auto" w:before="0" w:after="0"/>
        <w:ind w:left="159" w:right="496" w:firstLine="0"/>
        <w:jc w:val="both"/>
        <w:rPr>
          <w:sz w:val="24"/>
        </w:rPr>
      </w:pPr>
      <w:r>
        <w:rPr>
          <w:sz w:val="24"/>
        </w:rPr>
        <w:t>Our next recommendation is that the quality of the existing programmes of teacher education should be considerably improved. The essence of a programme of teacher education is 'quality' and in its absence, teacher education becomes, not only a financial waste</w:t>
      </w:r>
      <w:r>
        <w:rPr>
          <w:spacing w:val="-1"/>
          <w:sz w:val="24"/>
        </w:rPr>
        <w:t> </w:t>
      </w:r>
      <w:r>
        <w:rPr>
          <w:sz w:val="24"/>
        </w:rPr>
        <w:t>but</w:t>
      </w:r>
      <w:r>
        <w:rPr>
          <w:spacing w:val="-1"/>
          <w:sz w:val="24"/>
        </w:rPr>
        <w:t> </w:t>
      </w:r>
      <w:r>
        <w:rPr>
          <w:sz w:val="24"/>
        </w:rPr>
        <w:t>a</w:t>
      </w:r>
      <w:r>
        <w:rPr>
          <w:spacing w:val="-1"/>
          <w:sz w:val="24"/>
        </w:rPr>
        <w:t> </w:t>
      </w:r>
      <w:r>
        <w:rPr>
          <w:sz w:val="24"/>
        </w:rPr>
        <w:t>source</w:t>
      </w:r>
      <w:r>
        <w:rPr>
          <w:spacing w:val="-1"/>
          <w:sz w:val="24"/>
        </w:rPr>
        <w:t> </w:t>
      </w:r>
      <w:r>
        <w:rPr>
          <w:sz w:val="24"/>
        </w:rPr>
        <w:t>of</w:t>
      </w:r>
      <w:r>
        <w:rPr>
          <w:spacing w:val="-1"/>
          <w:sz w:val="24"/>
        </w:rPr>
        <w:t> </w:t>
      </w:r>
      <w:r>
        <w:rPr>
          <w:sz w:val="24"/>
        </w:rPr>
        <w:t>overall</w:t>
      </w:r>
      <w:r>
        <w:rPr>
          <w:spacing w:val="-1"/>
          <w:sz w:val="24"/>
        </w:rPr>
        <w:t> </w:t>
      </w:r>
      <w:r>
        <w:rPr>
          <w:sz w:val="24"/>
        </w:rPr>
        <w:t>deterioration</w:t>
      </w:r>
      <w:r>
        <w:rPr>
          <w:spacing w:val="-1"/>
          <w:sz w:val="24"/>
        </w:rPr>
        <w:t> </w:t>
      </w:r>
      <w:r>
        <w:rPr>
          <w:sz w:val="24"/>
        </w:rPr>
        <w:t>in</w:t>
      </w:r>
      <w:r>
        <w:rPr>
          <w:spacing w:val="-1"/>
          <w:sz w:val="24"/>
        </w:rPr>
        <w:t> </w:t>
      </w:r>
      <w:r>
        <w:rPr>
          <w:sz w:val="24"/>
        </w:rPr>
        <w:t>educational</w:t>
      </w:r>
      <w:r>
        <w:rPr>
          <w:spacing w:val="-1"/>
          <w:sz w:val="24"/>
        </w:rPr>
        <w:t> </w:t>
      </w:r>
      <w:r>
        <w:rPr>
          <w:sz w:val="24"/>
        </w:rPr>
        <w:t>standards.</w:t>
      </w:r>
      <w:r>
        <w:rPr>
          <w:spacing w:val="-1"/>
          <w:sz w:val="24"/>
        </w:rPr>
        <w:t> </w:t>
      </w:r>
      <w:r>
        <w:rPr>
          <w:sz w:val="24"/>
        </w:rPr>
        <w:t>We</w:t>
      </w:r>
      <w:r>
        <w:rPr>
          <w:spacing w:val="-1"/>
          <w:sz w:val="24"/>
        </w:rPr>
        <w:t> </w:t>
      </w:r>
      <w:r>
        <w:rPr>
          <w:sz w:val="24"/>
        </w:rPr>
        <w:t>attach</w:t>
      </w:r>
      <w:r>
        <w:rPr>
          <w:spacing w:val="-1"/>
          <w:sz w:val="24"/>
        </w:rPr>
        <w:t> </w:t>
      </w:r>
      <w:r>
        <w:rPr>
          <w:sz w:val="24"/>
        </w:rPr>
        <w:t>the</w:t>
      </w:r>
      <w:r>
        <w:rPr>
          <w:spacing w:val="-1"/>
          <w:sz w:val="24"/>
        </w:rPr>
        <w:t> </w:t>
      </w:r>
      <w:r>
        <w:rPr>
          <w:sz w:val="24"/>
        </w:rPr>
        <w:t>highest importance to this programme of qualitative Improvement. Existing programmes of teacher education are largely traditional, rigid and divorced from the realities of schools and existing or proposed programmes of educational reconstruction. Reorganization is needed at all levels and in all courses and it will not be possible for us to examine all aspects of this problem in detail. We shall, however, indicate here some broad principles on which this reorganization should be attempted. These are:</w:t>
      </w:r>
    </w:p>
    <w:p>
      <w:pPr>
        <w:pStyle w:val="BodyText"/>
        <w:spacing w:before="5"/>
      </w:pPr>
    </w:p>
    <w:p>
      <w:pPr>
        <w:pStyle w:val="ListParagraph"/>
        <w:numPr>
          <w:ilvl w:val="2"/>
          <w:numId w:val="76"/>
        </w:numPr>
        <w:tabs>
          <w:tab w:pos="298" w:val="left" w:leader="none"/>
        </w:tabs>
        <w:spacing w:line="240" w:lineRule="auto" w:before="0" w:after="0"/>
        <w:ind w:left="298" w:right="0" w:hanging="139"/>
        <w:jc w:val="both"/>
        <w:rPr>
          <w:sz w:val="24"/>
        </w:rPr>
      </w:pPr>
      <w:r>
        <w:rPr>
          <w:sz w:val="24"/>
        </w:rPr>
        <w:t>reorientation of subject-</w:t>
      </w:r>
      <w:r>
        <w:rPr>
          <w:spacing w:val="-2"/>
          <w:sz w:val="24"/>
        </w:rPr>
        <w:t>knowledge;</w:t>
      </w:r>
    </w:p>
    <w:p>
      <w:pPr>
        <w:spacing w:after="0" w:line="240" w:lineRule="auto"/>
        <w:jc w:val="both"/>
        <w:rPr>
          <w:sz w:val="24"/>
        </w:rPr>
        <w:sectPr>
          <w:pgSz w:w="12240" w:h="15840"/>
          <w:pgMar w:header="0" w:footer="743" w:top="1360" w:bottom="940" w:left="1640" w:right="1300"/>
        </w:sectPr>
      </w:pPr>
    </w:p>
    <w:p>
      <w:pPr>
        <w:pStyle w:val="ListParagraph"/>
        <w:numPr>
          <w:ilvl w:val="2"/>
          <w:numId w:val="76"/>
        </w:numPr>
        <w:tabs>
          <w:tab w:pos="298" w:val="left" w:leader="none"/>
        </w:tabs>
        <w:spacing w:line="240" w:lineRule="auto" w:before="78" w:after="0"/>
        <w:ind w:left="298" w:right="0" w:hanging="138"/>
        <w:jc w:val="left"/>
        <w:rPr>
          <w:sz w:val="24"/>
        </w:rPr>
      </w:pPr>
      <w:r>
        <w:rPr>
          <w:sz w:val="24"/>
        </w:rPr>
        <w:t>vitalization</w:t>
      </w:r>
      <w:r>
        <w:rPr>
          <w:spacing w:val="-7"/>
          <w:sz w:val="24"/>
        </w:rPr>
        <w:t> </w:t>
      </w:r>
      <w:r>
        <w:rPr>
          <w:sz w:val="24"/>
        </w:rPr>
        <w:t>of</w:t>
      </w:r>
      <w:r>
        <w:rPr>
          <w:spacing w:val="-6"/>
          <w:sz w:val="24"/>
        </w:rPr>
        <w:t> </w:t>
      </w:r>
      <w:r>
        <w:rPr>
          <w:sz w:val="24"/>
        </w:rPr>
        <w:t>professional</w:t>
      </w:r>
      <w:r>
        <w:rPr>
          <w:spacing w:val="-6"/>
          <w:sz w:val="24"/>
        </w:rPr>
        <w:t> </w:t>
      </w:r>
      <w:r>
        <w:rPr>
          <w:spacing w:val="-2"/>
          <w:sz w:val="24"/>
        </w:rPr>
        <w:t>studies;</w:t>
      </w:r>
    </w:p>
    <w:p>
      <w:pPr>
        <w:pStyle w:val="BodyText"/>
        <w:spacing w:before="3"/>
      </w:pPr>
    </w:p>
    <w:p>
      <w:pPr>
        <w:pStyle w:val="ListParagraph"/>
        <w:numPr>
          <w:ilvl w:val="2"/>
          <w:numId w:val="76"/>
        </w:numPr>
        <w:tabs>
          <w:tab w:pos="298" w:val="left" w:leader="none"/>
        </w:tabs>
        <w:spacing w:line="240" w:lineRule="auto" w:before="0" w:after="0"/>
        <w:ind w:left="298" w:right="0" w:hanging="139"/>
        <w:jc w:val="left"/>
        <w:rPr>
          <w:sz w:val="24"/>
        </w:rPr>
      </w:pPr>
      <w:r>
        <w:rPr>
          <w:sz w:val="24"/>
        </w:rPr>
        <w:t>improvement</w:t>
      </w:r>
      <w:r>
        <w:rPr>
          <w:spacing w:val="-1"/>
          <w:sz w:val="24"/>
        </w:rPr>
        <w:t> </w:t>
      </w:r>
      <w:r>
        <w:rPr>
          <w:sz w:val="24"/>
        </w:rPr>
        <w:t>in</w:t>
      </w:r>
      <w:r>
        <w:rPr>
          <w:spacing w:val="-1"/>
          <w:sz w:val="24"/>
        </w:rPr>
        <w:t> </w:t>
      </w:r>
      <w:r>
        <w:rPr>
          <w:sz w:val="24"/>
        </w:rPr>
        <w:t>methods</w:t>
      </w:r>
      <w:r>
        <w:rPr>
          <w:spacing w:val="-1"/>
          <w:sz w:val="24"/>
        </w:rPr>
        <w:t> </w:t>
      </w:r>
      <w:r>
        <w:rPr>
          <w:sz w:val="24"/>
        </w:rPr>
        <w:t>of</w:t>
      </w:r>
      <w:r>
        <w:rPr>
          <w:spacing w:val="-1"/>
          <w:sz w:val="24"/>
        </w:rPr>
        <w:t> </w:t>
      </w:r>
      <w:r>
        <w:rPr>
          <w:sz w:val="24"/>
        </w:rPr>
        <w:t>teaching</w:t>
      </w:r>
      <w:r>
        <w:rPr>
          <w:spacing w:val="-1"/>
          <w:sz w:val="24"/>
        </w:rPr>
        <w:t> </w:t>
      </w:r>
      <w:r>
        <w:rPr>
          <w:sz w:val="24"/>
        </w:rPr>
        <w:t>and </w:t>
      </w:r>
      <w:r>
        <w:rPr>
          <w:spacing w:val="-2"/>
          <w:sz w:val="24"/>
        </w:rPr>
        <w:t>evaluation;</w:t>
      </w:r>
    </w:p>
    <w:p>
      <w:pPr>
        <w:pStyle w:val="BodyText"/>
        <w:spacing w:before="5"/>
      </w:pPr>
    </w:p>
    <w:p>
      <w:pPr>
        <w:pStyle w:val="ListParagraph"/>
        <w:numPr>
          <w:ilvl w:val="2"/>
          <w:numId w:val="76"/>
        </w:numPr>
        <w:tabs>
          <w:tab w:pos="297" w:val="left" w:leader="none"/>
        </w:tabs>
        <w:spacing w:line="240" w:lineRule="auto" w:before="0" w:after="0"/>
        <w:ind w:left="297" w:right="0" w:hanging="138"/>
        <w:jc w:val="left"/>
        <w:rPr>
          <w:sz w:val="24"/>
        </w:rPr>
      </w:pPr>
      <w:r>
        <w:rPr>
          <w:sz w:val="24"/>
        </w:rPr>
        <w:t>improvement</w:t>
      </w:r>
      <w:r>
        <w:rPr>
          <w:spacing w:val="-2"/>
          <w:sz w:val="24"/>
        </w:rPr>
        <w:t> </w:t>
      </w:r>
      <w:r>
        <w:rPr>
          <w:sz w:val="24"/>
        </w:rPr>
        <w:t>of</w:t>
      </w:r>
      <w:r>
        <w:rPr>
          <w:spacing w:val="-2"/>
          <w:sz w:val="24"/>
        </w:rPr>
        <w:t> </w:t>
      </w:r>
      <w:r>
        <w:rPr>
          <w:sz w:val="24"/>
        </w:rPr>
        <w:t>student-</w:t>
      </w:r>
      <w:r>
        <w:rPr>
          <w:spacing w:val="-2"/>
          <w:sz w:val="24"/>
        </w:rPr>
        <w:t>teaching;</w:t>
      </w:r>
    </w:p>
    <w:p>
      <w:pPr>
        <w:pStyle w:val="BodyText"/>
        <w:spacing w:before="4"/>
      </w:pPr>
    </w:p>
    <w:p>
      <w:pPr>
        <w:pStyle w:val="ListParagraph"/>
        <w:numPr>
          <w:ilvl w:val="2"/>
          <w:numId w:val="76"/>
        </w:numPr>
        <w:tabs>
          <w:tab w:pos="298" w:val="left" w:leader="none"/>
        </w:tabs>
        <w:spacing w:line="240" w:lineRule="auto" w:before="0" w:after="0"/>
        <w:ind w:left="298" w:right="0" w:hanging="139"/>
        <w:jc w:val="left"/>
        <w:rPr>
          <w:sz w:val="24"/>
        </w:rPr>
      </w:pPr>
      <w:r>
        <w:rPr>
          <w:sz w:val="24"/>
        </w:rPr>
        <w:t>development</w:t>
      </w:r>
      <w:r>
        <w:rPr>
          <w:spacing w:val="-1"/>
          <w:sz w:val="24"/>
        </w:rPr>
        <w:t> </w:t>
      </w:r>
      <w:r>
        <w:rPr>
          <w:sz w:val="24"/>
        </w:rPr>
        <w:t>of special</w:t>
      </w:r>
      <w:r>
        <w:rPr>
          <w:spacing w:val="-1"/>
          <w:sz w:val="24"/>
        </w:rPr>
        <w:t> </w:t>
      </w:r>
      <w:r>
        <w:rPr>
          <w:sz w:val="24"/>
        </w:rPr>
        <w:t>courses and</w:t>
      </w:r>
      <w:r>
        <w:rPr>
          <w:spacing w:val="-1"/>
          <w:sz w:val="24"/>
        </w:rPr>
        <w:t> </w:t>
      </w:r>
      <w:r>
        <w:rPr>
          <w:sz w:val="24"/>
        </w:rPr>
        <w:t>programmes; </w:t>
      </w:r>
      <w:r>
        <w:rPr>
          <w:spacing w:val="-5"/>
          <w:sz w:val="24"/>
        </w:rPr>
        <w:t>and</w:t>
      </w:r>
    </w:p>
    <w:p>
      <w:pPr>
        <w:pStyle w:val="BodyText"/>
        <w:spacing w:before="3"/>
      </w:pPr>
    </w:p>
    <w:p>
      <w:pPr>
        <w:pStyle w:val="ListParagraph"/>
        <w:numPr>
          <w:ilvl w:val="2"/>
          <w:numId w:val="76"/>
        </w:numPr>
        <w:tabs>
          <w:tab w:pos="298" w:val="left" w:leader="none"/>
        </w:tabs>
        <w:spacing w:line="240" w:lineRule="auto" w:before="0" w:after="0"/>
        <w:ind w:left="298" w:right="0" w:hanging="139"/>
        <w:jc w:val="left"/>
        <w:rPr>
          <w:sz w:val="24"/>
        </w:rPr>
      </w:pPr>
      <w:r>
        <w:rPr>
          <w:sz w:val="24"/>
        </w:rPr>
        <w:t>revision</w:t>
      </w:r>
      <w:r>
        <w:rPr>
          <w:spacing w:val="-1"/>
          <w:sz w:val="24"/>
        </w:rPr>
        <w:t> </w:t>
      </w:r>
      <w:r>
        <w:rPr>
          <w:sz w:val="24"/>
        </w:rPr>
        <w:t>and improvement of </w:t>
      </w:r>
      <w:r>
        <w:rPr>
          <w:spacing w:val="-2"/>
          <w:sz w:val="24"/>
        </w:rPr>
        <w:t>curricula.</w:t>
      </w:r>
    </w:p>
    <w:p>
      <w:pPr>
        <w:pStyle w:val="BodyText"/>
        <w:spacing w:before="4"/>
      </w:pPr>
    </w:p>
    <w:p>
      <w:pPr>
        <w:pStyle w:val="ListParagraph"/>
        <w:numPr>
          <w:ilvl w:val="1"/>
          <w:numId w:val="76"/>
        </w:numPr>
        <w:tabs>
          <w:tab w:pos="684" w:val="left" w:leader="none"/>
        </w:tabs>
        <w:spacing w:line="240" w:lineRule="auto" w:before="0" w:after="0"/>
        <w:ind w:left="160" w:right="496" w:firstLine="0"/>
        <w:jc w:val="both"/>
        <w:rPr>
          <w:b/>
          <w:sz w:val="24"/>
        </w:rPr>
      </w:pPr>
      <w:r>
        <w:rPr>
          <w:b/>
          <w:sz w:val="24"/>
        </w:rPr>
        <w:t>Reorientation of Subject-knowledge. </w:t>
      </w:r>
      <w:r>
        <w:rPr>
          <w:sz w:val="24"/>
        </w:rPr>
        <w:t>There should be provision in the training programme,</w:t>
      </w:r>
      <w:r>
        <w:rPr>
          <w:spacing w:val="-1"/>
          <w:sz w:val="24"/>
        </w:rPr>
        <w:t> </w:t>
      </w:r>
      <w:r>
        <w:rPr>
          <w:sz w:val="24"/>
        </w:rPr>
        <w:t>at</w:t>
      </w:r>
      <w:r>
        <w:rPr>
          <w:spacing w:val="-1"/>
          <w:sz w:val="24"/>
        </w:rPr>
        <w:t> </w:t>
      </w:r>
      <w:r>
        <w:rPr>
          <w:sz w:val="24"/>
        </w:rPr>
        <w:t>both</w:t>
      </w:r>
      <w:r>
        <w:rPr>
          <w:spacing w:val="-1"/>
          <w:sz w:val="24"/>
        </w:rPr>
        <w:t> </w:t>
      </w:r>
      <w:r>
        <w:rPr>
          <w:sz w:val="24"/>
        </w:rPr>
        <w:t>primary</w:t>
      </w:r>
      <w:r>
        <w:rPr>
          <w:spacing w:val="-1"/>
          <w:sz w:val="24"/>
        </w:rPr>
        <w:t> </w:t>
      </w:r>
      <w:r>
        <w:rPr>
          <w:sz w:val="24"/>
        </w:rPr>
        <w:t>and</w:t>
      </w:r>
      <w:r>
        <w:rPr>
          <w:spacing w:val="-1"/>
          <w:sz w:val="24"/>
        </w:rPr>
        <w:t> </w:t>
      </w:r>
      <w:r>
        <w:rPr>
          <w:sz w:val="24"/>
        </w:rPr>
        <w:t>secondary</w:t>
      </w:r>
      <w:r>
        <w:rPr>
          <w:spacing w:val="-1"/>
          <w:sz w:val="24"/>
        </w:rPr>
        <w:t> </w:t>
      </w:r>
      <w:r>
        <w:rPr>
          <w:sz w:val="24"/>
        </w:rPr>
        <w:t>levels,</w:t>
      </w:r>
      <w:r>
        <w:rPr>
          <w:spacing w:val="-1"/>
          <w:sz w:val="24"/>
        </w:rPr>
        <w:t> </w:t>
      </w:r>
      <w:r>
        <w:rPr>
          <w:sz w:val="24"/>
        </w:rPr>
        <w:t>for</w:t>
      </w:r>
      <w:r>
        <w:rPr>
          <w:spacing w:val="-1"/>
          <w:sz w:val="24"/>
        </w:rPr>
        <w:t> </w:t>
      </w:r>
      <w:r>
        <w:rPr>
          <w:sz w:val="24"/>
        </w:rPr>
        <w:t>a</w:t>
      </w:r>
      <w:r>
        <w:rPr>
          <w:spacing w:val="-1"/>
          <w:sz w:val="24"/>
        </w:rPr>
        <w:t> </w:t>
      </w:r>
      <w:r>
        <w:rPr>
          <w:sz w:val="24"/>
        </w:rPr>
        <w:t>study</w:t>
      </w:r>
      <w:r>
        <w:rPr>
          <w:spacing w:val="-1"/>
          <w:sz w:val="24"/>
        </w:rPr>
        <w:t> </w:t>
      </w:r>
      <w:r>
        <w:rPr>
          <w:sz w:val="24"/>
        </w:rPr>
        <w:t>of</w:t>
      </w:r>
      <w:r>
        <w:rPr>
          <w:spacing w:val="-1"/>
          <w:sz w:val="24"/>
        </w:rPr>
        <w:t> </w:t>
      </w:r>
      <w:r>
        <w:rPr>
          <w:sz w:val="24"/>
        </w:rPr>
        <w:t>the</w:t>
      </w:r>
      <w:r>
        <w:rPr>
          <w:spacing w:val="-1"/>
          <w:sz w:val="24"/>
        </w:rPr>
        <w:t> </w:t>
      </w:r>
      <w:r>
        <w:rPr>
          <w:sz w:val="24"/>
        </w:rPr>
        <w:t>subjects</w:t>
      </w:r>
      <w:r>
        <w:rPr>
          <w:spacing w:val="-1"/>
          <w:sz w:val="24"/>
        </w:rPr>
        <w:t> </w:t>
      </w:r>
      <w:r>
        <w:rPr>
          <w:sz w:val="24"/>
        </w:rPr>
        <w:t>to</w:t>
      </w:r>
      <w:r>
        <w:rPr>
          <w:spacing w:val="-1"/>
          <w:sz w:val="24"/>
        </w:rPr>
        <w:t> </w:t>
      </w:r>
      <w:r>
        <w:rPr>
          <w:sz w:val="24"/>
        </w:rPr>
        <w:t>be</w:t>
      </w:r>
      <w:r>
        <w:rPr>
          <w:spacing w:val="-1"/>
          <w:sz w:val="24"/>
        </w:rPr>
        <w:t> </w:t>
      </w:r>
      <w:r>
        <w:rPr>
          <w:sz w:val="24"/>
        </w:rPr>
        <w:t>taught, in depth as well as in range. This study should not be confused with a programme of the study of subjects not offered at the college stage nor with the mere imparting of</w:t>
      </w:r>
      <w:r>
        <w:rPr>
          <w:spacing w:val="40"/>
          <w:sz w:val="24"/>
        </w:rPr>
        <w:t> </w:t>
      </w:r>
      <w:r>
        <w:rPr>
          <w:sz w:val="24"/>
        </w:rPr>
        <w:t>additional information in the subject. It should be a carefully planned content course which would include a study of fundamental concepts and their implications for the school syllabus, and of the textbooks and growing source materials to assist teaching at the school stage. About 20 per cent of the time in the training programme should ordinarily be given to such studies.</w:t>
      </w:r>
    </w:p>
    <w:p>
      <w:pPr>
        <w:pStyle w:val="BodyText"/>
        <w:spacing w:before="4"/>
      </w:pPr>
    </w:p>
    <w:p>
      <w:pPr>
        <w:pStyle w:val="ListParagraph"/>
        <w:numPr>
          <w:ilvl w:val="1"/>
          <w:numId w:val="76"/>
        </w:numPr>
        <w:tabs>
          <w:tab w:pos="665" w:val="left" w:leader="none"/>
        </w:tabs>
        <w:spacing w:line="240" w:lineRule="auto" w:before="0" w:after="0"/>
        <w:ind w:left="160" w:right="495" w:firstLine="0"/>
        <w:jc w:val="both"/>
        <w:rPr>
          <w:b/>
          <w:sz w:val="24"/>
        </w:rPr>
      </w:pPr>
      <w:r>
        <w:rPr>
          <w:b/>
          <w:sz w:val="24"/>
        </w:rPr>
        <w:t>Duration of the Training Course. </w:t>
      </w:r>
      <w:r>
        <w:rPr>
          <w:sz w:val="24"/>
        </w:rPr>
        <w:t>This raises the question of the duration of the training course. At the primary stage, a minimum of two years is needed; and if the</w:t>
      </w:r>
      <w:r>
        <w:rPr>
          <w:spacing w:val="40"/>
          <w:sz w:val="24"/>
        </w:rPr>
        <w:t> </w:t>
      </w:r>
      <w:r>
        <w:rPr>
          <w:sz w:val="24"/>
        </w:rPr>
        <w:t>course is lengthened to two years in all areas where it is one year, there would be no difficulty in providing the needed courses in subject-matter. At the secondary stage, where the duration of the course is only one year, it has been suggested that it should be increased to two years, to do justice to the existing heavy courses and to incorporate the proposed subject- matter courses. From a financial and practical point of view this does not seem feasible. However, it is possible to make better use of the existing duration by extending the working days in the academic year from the existing level of 180-190 days to 230 days. Academic years of such lengths have been adopted in some secondary training institutions with very good results; and we recommend that the reform should be extended to all institutions without delay.</w:t>
      </w:r>
    </w:p>
    <w:p>
      <w:pPr>
        <w:pStyle w:val="BodyText"/>
        <w:spacing w:before="4"/>
      </w:pPr>
    </w:p>
    <w:p>
      <w:pPr>
        <w:pStyle w:val="ListParagraph"/>
        <w:numPr>
          <w:ilvl w:val="1"/>
          <w:numId w:val="76"/>
        </w:numPr>
        <w:tabs>
          <w:tab w:pos="684" w:val="left" w:leader="none"/>
        </w:tabs>
        <w:spacing w:line="240" w:lineRule="auto" w:before="0" w:after="0"/>
        <w:ind w:left="160" w:right="497" w:firstLine="0"/>
        <w:jc w:val="both"/>
        <w:rPr>
          <w:sz w:val="24"/>
        </w:rPr>
      </w:pPr>
      <w:r>
        <w:rPr>
          <w:sz w:val="24"/>
        </w:rPr>
        <w:t>Reorientation in the subject-knowledge of secondary teachers should be done in collaboration with competent university departments and, where necessary, with the arts and</w:t>
      </w:r>
      <w:r>
        <w:rPr>
          <w:spacing w:val="-1"/>
          <w:sz w:val="24"/>
        </w:rPr>
        <w:t> </w:t>
      </w:r>
      <w:r>
        <w:rPr>
          <w:sz w:val="24"/>
        </w:rPr>
        <w:t>science</w:t>
      </w:r>
      <w:r>
        <w:rPr>
          <w:spacing w:val="-1"/>
          <w:sz w:val="24"/>
        </w:rPr>
        <w:t> </w:t>
      </w:r>
      <w:r>
        <w:rPr>
          <w:sz w:val="24"/>
        </w:rPr>
        <w:t>colleges</w:t>
      </w:r>
      <w:r>
        <w:rPr>
          <w:spacing w:val="-1"/>
          <w:sz w:val="24"/>
        </w:rPr>
        <w:t> </w:t>
      </w:r>
      <w:r>
        <w:rPr>
          <w:sz w:val="24"/>
        </w:rPr>
        <w:t>doing</w:t>
      </w:r>
      <w:r>
        <w:rPr>
          <w:spacing w:val="-1"/>
          <w:sz w:val="24"/>
        </w:rPr>
        <w:t> </w:t>
      </w:r>
      <w:r>
        <w:rPr>
          <w:sz w:val="24"/>
        </w:rPr>
        <w:t>post-</w:t>
      </w:r>
      <w:r>
        <w:rPr>
          <w:spacing w:val="-1"/>
          <w:sz w:val="24"/>
        </w:rPr>
        <w:t> </w:t>
      </w:r>
      <w:r>
        <w:rPr>
          <w:sz w:val="24"/>
        </w:rPr>
        <w:t>graduate</w:t>
      </w:r>
      <w:r>
        <w:rPr>
          <w:spacing w:val="-1"/>
          <w:sz w:val="24"/>
        </w:rPr>
        <w:t> </w:t>
      </w:r>
      <w:r>
        <w:rPr>
          <w:sz w:val="24"/>
        </w:rPr>
        <w:t>work.</w:t>
      </w:r>
      <w:r>
        <w:rPr>
          <w:spacing w:val="-1"/>
          <w:sz w:val="24"/>
        </w:rPr>
        <w:t> </w:t>
      </w:r>
      <w:r>
        <w:rPr>
          <w:sz w:val="24"/>
        </w:rPr>
        <w:t>Each</w:t>
      </w:r>
      <w:r>
        <w:rPr>
          <w:spacing w:val="-1"/>
          <w:sz w:val="24"/>
        </w:rPr>
        <w:t> </w:t>
      </w:r>
      <w:r>
        <w:rPr>
          <w:sz w:val="24"/>
        </w:rPr>
        <w:t>training</w:t>
      </w:r>
      <w:r>
        <w:rPr>
          <w:spacing w:val="-1"/>
          <w:sz w:val="24"/>
        </w:rPr>
        <w:t> </w:t>
      </w:r>
      <w:r>
        <w:rPr>
          <w:sz w:val="24"/>
        </w:rPr>
        <w:t>institution</w:t>
      </w:r>
      <w:r>
        <w:rPr>
          <w:spacing w:val="-1"/>
          <w:sz w:val="24"/>
        </w:rPr>
        <w:t> </w:t>
      </w:r>
      <w:r>
        <w:rPr>
          <w:sz w:val="24"/>
        </w:rPr>
        <w:t>should</w:t>
      </w:r>
      <w:r>
        <w:rPr>
          <w:spacing w:val="-1"/>
          <w:sz w:val="24"/>
        </w:rPr>
        <w:t> </w:t>
      </w:r>
      <w:r>
        <w:rPr>
          <w:sz w:val="24"/>
        </w:rPr>
        <w:t>work</w:t>
      </w:r>
      <w:r>
        <w:rPr>
          <w:spacing w:val="-1"/>
          <w:sz w:val="24"/>
        </w:rPr>
        <w:t> </w:t>
      </w:r>
      <w:r>
        <w:rPr>
          <w:sz w:val="24"/>
        </w:rPr>
        <w:t>out a detailed scheme involving university departments or colleges and including the use of their laboratories and libraries. Professors and lecturers should cooperate with </w:t>
      </w:r>
      <w:r>
        <w:rPr>
          <w:sz w:val="24"/>
        </w:rPr>
        <w:t>training college staff in developing and providing new courses. Similar courses for primary teachers should be provided by staff members holding a Master's degree in collaboration with the staff of arts and science colleges.</w:t>
      </w:r>
    </w:p>
    <w:p>
      <w:pPr>
        <w:pStyle w:val="BodyText"/>
        <w:spacing w:before="3"/>
      </w:pPr>
    </w:p>
    <w:p>
      <w:pPr>
        <w:pStyle w:val="ListParagraph"/>
        <w:numPr>
          <w:ilvl w:val="1"/>
          <w:numId w:val="76"/>
        </w:numPr>
        <w:tabs>
          <w:tab w:pos="672" w:val="left" w:leader="none"/>
        </w:tabs>
        <w:spacing w:line="240" w:lineRule="auto" w:before="1" w:after="0"/>
        <w:ind w:left="160" w:right="497" w:firstLine="0"/>
        <w:jc w:val="both"/>
        <w:rPr>
          <w:sz w:val="24"/>
        </w:rPr>
      </w:pPr>
      <w:r>
        <w:rPr>
          <w:sz w:val="24"/>
        </w:rPr>
        <w:t>These reorientation courses in subject-knowledge should be closely related to the special techniques and methods used in teaching the subject concerned. Set lesson plans with emphasis on rigid methods should be avoided and the student-teacher should be guided to develop his teaching programme in a creative manner.</w:t>
      </w:r>
    </w:p>
    <w:p>
      <w:pPr>
        <w:spacing w:after="0" w:line="240" w:lineRule="auto"/>
        <w:jc w:val="both"/>
        <w:rPr>
          <w:sz w:val="24"/>
        </w:rPr>
        <w:sectPr>
          <w:pgSz w:w="12240" w:h="15840"/>
          <w:pgMar w:header="0" w:footer="743" w:top="1360" w:bottom="940" w:left="1640" w:right="1300"/>
        </w:sectPr>
      </w:pPr>
    </w:p>
    <w:p>
      <w:pPr>
        <w:pStyle w:val="ListParagraph"/>
        <w:numPr>
          <w:ilvl w:val="1"/>
          <w:numId w:val="76"/>
        </w:numPr>
        <w:tabs>
          <w:tab w:pos="661" w:val="left" w:leader="none"/>
        </w:tabs>
        <w:spacing w:line="240" w:lineRule="auto" w:before="76" w:after="0"/>
        <w:ind w:left="159" w:right="495" w:firstLine="0"/>
        <w:jc w:val="both"/>
        <w:rPr>
          <w:b/>
          <w:sz w:val="24"/>
        </w:rPr>
      </w:pPr>
      <w:r>
        <w:rPr>
          <w:b/>
          <w:sz w:val="24"/>
        </w:rPr>
        <w:t>Integrated Courses of General and Professional Education. </w:t>
      </w:r>
      <w:r>
        <w:rPr>
          <w:sz w:val="24"/>
        </w:rPr>
        <w:t>An alternative way</w:t>
      </w:r>
      <w:r>
        <w:rPr>
          <w:spacing w:val="40"/>
          <w:sz w:val="24"/>
        </w:rPr>
        <w:t> </w:t>
      </w:r>
      <w:r>
        <w:rPr>
          <w:sz w:val="24"/>
        </w:rPr>
        <w:t>to link the study of subjects with professional preparation at the level of secondary teachers is to provide concurrent and integrated courses in general and professional education, on the pattern of teacher education in the USA. Courses of this type have been introduced in a few selected subjects in the Kurukshetra University in Punjab, in the Regional Colleges of Education and in one Rural Institute. In the Kurukshetra</w:t>
      </w:r>
      <w:r>
        <w:rPr>
          <w:spacing w:val="40"/>
          <w:sz w:val="24"/>
        </w:rPr>
        <w:t> </w:t>
      </w:r>
      <w:r>
        <w:rPr>
          <w:sz w:val="24"/>
        </w:rPr>
        <w:t>experiment, the total period of education has been reduced by one year, and the B.Ed. degree can be obtained in four years after the SSLC or the Matriculation examination.</w:t>
      </w:r>
    </w:p>
    <w:p>
      <w:pPr>
        <w:pStyle w:val="BodyText"/>
        <w:spacing w:before="4"/>
      </w:pPr>
    </w:p>
    <w:p>
      <w:pPr>
        <w:pStyle w:val="ListParagraph"/>
        <w:numPr>
          <w:ilvl w:val="1"/>
          <w:numId w:val="76"/>
        </w:numPr>
        <w:tabs>
          <w:tab w:pos="641" w:val="left" w:leader="none"/>
        </w:tabs>
        <w:spacing w:line="240" w:lineRule="auto" w:before="0" w:after="0"/>
        <w:ind w:left="160" w:right="491" w:firstLine="0"/>
        <w:jc w:val="both"/>
        <w:rPr>
          <w:sz w:val="24"/>
        </w:rPr>
      </w:pPr>
      <w:r>
        <w:rPr>
          <w:sz w:val="24"/>
        </w:rPr>
        <w:t>The</w:t>
      </w:r>
      <w:r>
        <w:rPr>
          <w:spacing w:val="-2"/>
          <w:sz w:val="24"/>
        </w:rPr>
        <w:t> </w:t>
      </w:r>
      <w:r>
        <w:rPr>
          <w:sz w:val="24"/>
        </w:rPr>
        <w:t>utility</w:t>
      </w:r>
      <w:r>
        <w:rPr>
          <w:spacing w:val="-3"/>
          <w:sz w:val="24"/>
        </w:rPr>
        <w:t> </w:t>
      </w:r>
      <w:r>
        <w:rPr>
          <w:sz w:val="24"/>
        </w:rPr>
        <w:t>and</w:t>
      </w:r>
      <w:r>
        <w:rPr>
          <w:spacing w:val="-2"/>
          <w:sz w:val="24"/>
        </w:rPr>
        <w:t> </w:t>
      </w:r>
      <w:r>
        <w:rPr>
          <w:sz w:val="24"/>
        </w:rPr>
        <w:t>feasibility</w:t>
      </w:r>
      <w:r>
        <w:rPr>
          <w:spacing w:val="-3"/>
          <w:sz w:val="24"/>
        </w:rPr>
        <w:t> </w:t>
      </w:r>
      <w:r>
        <w:rPr>
          <w:sz w:val="24"/>
        </w:rPr>
        <w:t>of</w:t>
      </w:r>
      <w:r>
        <w:rPr>
          <w:spacing w:val="-6"/>
          <w:sz w:val="24"/>
        </w:rPr>
        <w:t> </w:t>
      </w:r>
      <w:r>
        <w:rPr>
          <w:sz w:val="24"/>
        </w:rPr>
        <w:t>these</w:t>
      </w:r>
      <w:r>
        <w:rPr>
          <w:spacing w:val="-2"/>
          <w:sz w:val="24"/>
        </w:rPr>
        <w:t> </w:t>
      </w:r>
      <w:r>
        <w:rPr>
          <w:sz w:val="24"/>
        </w:rPr>
        <w:t>integrated</w:t>
      </w:r>
      <w:r>
        <w:rPr>
          <w:spacing w:val="-3"/>
          <w:sz w:val="24"/>
        </w:rPr>
        <w:t> </w:t>
      </w:r>
      <w:r>
        <w:rPr>
          <w:sz w:val="24"/>
        </w:rPr>
        <w:t>courses</w:t>
      </w:r>
      <w:r>
        <w:rPr>
          <w:spacing w:val="-2"/>
          <w:sz w:val="24"/>
        </w:rPr>
        <w:t> </w:t>
      </w:r>
      <w:r>
        <w:rPr>
          <w:sz w:val="24"/>
        </w:rPr>
        <w:t>have</w:t>
      </w:r>
      <w:r>
        <w:rPr>
          <w:spacing w:val="-2"/>
          <w:sz w:val="24"/>
        </w:rPr>
        <w:t> </w:t>
      </w:r>
      <w:r>
        <w:rPr>
          <w:sz w:val="24"/>
        </w:rPr>
        <w:t>been</w:t>
      </w:r>
      <w:r>
        <w:rPr>
          <w:spacing w:val="-3"/>
          <w:sz w:val="24"/>
        </w:rPr>
        <w:t> </w:t>
      </w:r>
      <w:r>
        <w:rPr>
          <w:sz w:val="24"/>
        </w:rPr>
        <w:t>widely</w:t>
      </w:r>
      <w:r>
        <w:rPr>
          <w:spacing w:val="-2"/>
          <w:sz w:val="24"/>
        </w:rPr>
        <w:t> </w:t>
      </w:r>
      <w:r>
        <w:rPr>
          <w:sz w:val="24"/>
        </w:rPr>
        <w:t>questioned.</w:t>
      </w:r>
      <w:r>
        <w:rPr>
          <w:spacing w:val="-2"/>
          <w:sz w:val="24"/>
        </w:rPr>
        <w:t> </w:t>
      </w:r>
      <w:r>
        <w:rPr>
          <w:sz w:val="24"/>
        </w:rPr>
        <w:t>It has been argued that this experiment has not, and will not succeed in India since a young student, about 16 or 17 years old, who has just completed secondary education does not ordinarily decide to be a school teacher. It is also contended that there is no evidence to show that the products of these integrated courses are better in any way than teachers</w:t>
      </w:r>
      <w:r>
        <w:rPr>
          <w:spacing w:val="80"/>
          <w:sz w:val="24"/>
        </w:rPr>
        <w:t> </w:t>
      </w:r>
      <w:r>
        <w:rPr>
          <w:sz w:val="24"/>
        </w:rPr>
        <w:t>who have first taken their degree and then completed their professional education; and that the dwindling enrolments in such courses (except where substantial stipends are provided) show that the experiment has no promising future. Although we do not subscribe to all the objections raised, it is obvious that these integrated courses, even when developed to their fullest potential, can only provide a very small proportion of the total number of trained teachers required at the secondary stage (estimates vary from 5 to 10 per cent) on account of the heavy expenditure involved therein. We feel that it would be wrong to place an undue emphasis on such marginal experiments and that, from the point of view of raising standards in teacher education, it would be better to concentrate on improving the professional one-year course following the first or the second degree.</w:t>
      </w:r>
    </w:p>
    <w:p>
      <w:pPr>
        <w:pStyle w:val="BodyText"/>
        <w:spacing w:before="4"/>
      </w:pPr>
    </w:p>
    <w:p>
      <w:pPr>
        <w:pStyle w:val="ListParagraph"/>
        <w:numPr>
          <w:ilvl w:val="1"/>
          <w:numId w:val="76"/>
        </w:numPr>
        <w:tabs>
          <w:tab w:pos="643" w:val="left" w:leader="none"/>
        </w:tabs>
        <w:spacing w:line="240" w:lineRule="auto" w:before="0" w:after="0"/>
        <w:ind w:left="160" w:right="495" w:firstLine="0"/>
        <w:jc w:val="both"/>
        <w:rPr>
          <w:sz w:val="24"/>
        </w:rPr>
      </w:pPr>
      <w:r>
        <w:rPr>
          <w:sz w:val="24"/>
        </w:rPr>
        <w:t>If such integrated courses are to be organized at all-and we do believe that they have a place in the elastic and varied system we are recommending-they should be organized</w:t>
      </w:r>
      <w:r>
        <w:rPr>
          <w:spacing w:val="40"/>
          <w:sz w:val="24"/>
        </w:rPr>
        <w:t> </w:t>
      </w:r>
      <w:r>
        <w:rPr>
          <w:sz w:val="24"/>
        </w:rPr>
        <w:t>in universities rather than in separate institutions set up for the purpose as is now being done in the Regional Colleges of Education. Such colleges necessarily prove to be expensive as regards staffing and equipment. High quality staff do not join such institutions readily as adequate facilities to pursue studies in their special academic field or for undertaking research do not exist. While existing colleges may continue, such institutions should not be expanded. The experiment should be tried, as we have recommended, in universities having strong departments or schools of education which should work in collaboration with departments in other subjects.</w:t>
      </w:r>
    </w:p>
    <w:p>
      <w:pPr>
        <w:pStyle w:val="BodyText"/>
        <w:spacing w:before="4"/>
      </w:pPr>
    </w:p>
    <w:p>
      <w:pPr>
        <w:pStyle w:val="ListParagraph"/>
        <w:numPr>
          <w:ilvl w:val="1"/>
          <w:numId w:val="76"/>
        </w:numPr>
        <w:tabs>
          <w:tab w:pos="701" w:val="left" w:leader="none"/>
        </w:tabs>
        <w:spacing w:line="240" w:lineRule="auto" w:before="0" w:after="0"/>
        <w:ind w:left="160" w:right="496" w:firstLine="0"/>
        <w:jc w:val="both"/>
        <w:rPr>
          <w:b/>
          <w:sz w:val="24"/>
        </w:rPr>
      </w:pPr>
      <w:r>
        <w:rPr>
          <w:b/>
          <w:sz w:val="24"/>
        </w:rPr>
        <w:t>Vitalizing Professional Studies. </w:t>
      </w:r>
      <w:r>
        <w:rPr>
          <w:sz w:val="24"/>
        </w:rPr>
        <w:t>It is not sufficiently realized that courses for professional subjects contain a great deal of matter which is</w:t>
      </w:r>
      <w:r>
        <w:rPr>
          <w:spacing w:val="-1"/>
          <w:sz w:val="24"/>
        </w:rPr>
        <w:t> </w:t>
      </w:r>
      <w:r>
        <w:rPr>
          <w:sz w:val="24"/>
        </w:rPr>
        <w:t>either out of date or has little relevance to a teacher's work in the school. Such dead matter should be eliminated and replaced by what is directly related to the personal and professional needs of student- teachers. While the overcrowding of content should be avoided, there is need to coordinate and integrate the different courses and to root the entire curriculum in Indian </w:t>
      </w:r>
      <w:r>
        <w:rPr>
          <w:spacing w:val="-2"/>
          <w:sz w:val="24"/>
        </w:rPr>
        <w:t>conditions.</w:t>
      </w:r>
    </w:p>
    <w:p>
      <w:pPr>
        <w:pStyle w:val="BodyText"/>
        <w:spacing w:before="5"/>
      </w:pPr>
    </w:p>
    <w:p>
      <w:pPr>
        <w:pStyle w:val="ListParagraph"/>
        <w:numPr>
          <w:ilvl w:val="1"/>
          <w:numId w:val="76"/>
        </w:numPr>
        <w:tabs>
          <w:tab w:pos="668" w:val="left" w:leader="none"/>
        </w:tabs>
        <w:spacing w:line="240" w:lineRule="auto" w:before="0" w:after="0"/>
        <w:ind w:left="160" w:right="497" w:firstLine="0"/>
        <w:jc w:val="both"/>
        <w:rPr>
          <w:sz w:val="24"/>
        </w:rPr>
      </w:pPr>
      <w:r>
        <w:rPr>
          <w:sz w:val="24"/>
        </w:rPr>
        <w:t>Two basic weaknesses are mainly responsible for the comparatively low status of professional</w:t>
      </w:r>
      <w:r>
        <w:rPr>
          <w:spacing w:val="14"/>
          <w:sz w:val="24"/>
        </w:rPr>
        <w:t> </w:t>
      </w:r>
      <w:r>
        <w:rPr>
          <w:sz w:val="24"/>
        </w:rPr>
        <w:t>studies</w:t>
      </w:r>
      <w:r>
        <w:rPr>
          <w:spacing w:val="15"/>
          <w:sz w:val="24"/>
        </w:rPr>
        <w:t> </w:t>
      </w:r>
      <w:r>
        <w:rPr>
          <w:sz w:val="24"/>
        </w:rPr>
        <w:t>in</w:t>
      </w:r>
      <w:r>
        <w:rPr>
          <w:spacing w:val="14"/>
          <w:sz w:val="24"/>
        </w:rPr>
        <w:t> </w:t>
      </w:r>
      <w:r>
        <w:rPr>
          <w:sz w:val="24"/>
        </w:rPr>
        <w:t>training</w:t>
      </w:r>
      <w:r>
        <w:rPr>
          <w:spacing w:val="16"/>
          <w:sz w:val="24"/>
        </w:rPr>
        <w:t> </w:t>
      </w:r>
      <w:r>
        <w:rPr>
          <w:sz w:val="24"/>
        </w:rPr>
        <w:t>institutions.</w:t>
      </w:r>
      <w:r>
        <w:rPr>
          <w:spacing w:val="13"/>
          <w:sz w:val="24"/>
        </w:rPr>
        <w:t> </w:t>
      </w:r>
      <w:r>
        <w:rPr>
          <w:sz w:val="24"/>
        </w:rPr>
        <w:t>The</w:t>
      </w:r>
      <w:r>
        <w:rPr>
          <w:spacing w:val="14"/>
          <w:sz w:val="24"/>
        </w:rPr>
        <w:t> </w:t>
      </w:r>
      <w:r>
        <w:rPr>
          <w:sz w:val="24"/>
        </w:rPr>
        <w:t>first</w:t>
      </w:r>
      <w:r>
        <w:rPr>
          <w:spacing w:val="15"/>
          <w:sz w:val="24"/>
        </w:rPr>
        <w:t> </w:t>
      </w:r>
      <w:r>
        <w:rPr>
          <w:sz w:val="24"/>
        </w:rPr>
        <w:t>is</w:t>
      </w:r>
      <w:r>
        <w:rPr>
          <w:spacing w:val="13"/>
          <w:sz w:val="24"/>
        </w:rPr>
        <w:t> </w:t>
      </w:r>
      <w:r>
        <w:rPr>
          <w:sz w:val="24"/>
        </w:rPr>
        <w:t>the</w:t>
      </w:r>
      <w:r>
        <w:rPr>
          <w:spacing w:val="13"/>
          <w:sz w:val="24"/>
        </w:rPr>
        <w:t> </w:t>
      </w:r>
      <w:r>
        <w:rPr>
          <w:sz w:val="24"/>
        </w:rPr>
        <w:t>absence</w:t>
      </w:r>
      <w:r>
        <w:rPr>
          <w:spacing w:val="14"/>
          <w:sz w:val="24"/>
        </w:rPr>
        <w:t> </w:t>
      </w:r>
      <w:r>
        <w:rPr>
          <w:sz w:val="24"/>
        </w:rPr>
        <w:t>of</w:t>
      </w:r>
      <w:r>
        <w:rPr>
          <w:spacing w:val="15"/>
          <w:sz w:val="24"/>
        </w:rPr>
        <w:t> </w:t>
      </w:r>
      <w:r>
        <w:rPr>
          <w:sz w:val="24"/>
        </w:rPr>
        <w:t>adequate</w:t>
      </w:r>
      <w:r>
        <w:rPr>
          <w:spacing w:val="15"/>
          <w:sz w:val="24"/>
        </w:rPr>
        <w:t> </w:t>
      </w:r>
      <w:r>
        <w:rPr>
          <w:spacing w:val="-2"/>
          <w:sz w:val="24"/>
        </w:rPr>
        <w:t>research</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pPr>
      <w:r>
        <w:rPr/>
        <w:t>on problems under Indian conditions. This compels teacher educators to explain theory, more often than not, with illustrations from</w:t>
      </w:r>
      <w:r>
        <w:rPr>
          <w:spacing w:val="-1"/>
        </w:rPr>
        <w:t> </w:t>
      </w:r>
      <w:r>
        <w:rPr/>
        <w:t>foreign countries. There is also a tendency on the part of teacher educators to deal too much with generalities and platitudes. The corollary to this is the absence of high quality original books on pedagogy and educational science as applied to India and prepared by Indian authors. Absence of such books is a glaring weakness at the primary stage where the student- teacher does not have adequate command over English and is compelled to fall back solely upon cheap guides written to help him pass examinations. These deficiencies must be remedied and large- scale</w:t>
      </w:r>
      <w:r>
        <w:rPr>
          <w:spacing w:val="-1"/>
        </w:rPr>
        <w:t> </w:t>
      </w:r>
      <w:r>
        <w:rPr/>
        <w:t>programmes</w:t>
      </w:r>
      <w:r>
        <w:rPr>
          <w:spacing w:val="-1"/>
        </w:rPr>
        <w:t> </w:t>
      </w:r>
      <w:r>
        <w:rPr/>
        <w:t>to</w:t>
      </w:r>
      <w:r>
        <w:rPr>
          <w:spacing w:val="-1"/>
        </w:rPr>
        <w:t> </w:t>
      </w:r>
      <w:r>
        <w:rPr/>
        <w:t>develop</w:t>
      </w:r>
      <w:r>
        <w:rPr>
          <w:spacing w:val="-1"/>
        </w:rPr>
        <w:t> </w:t>
      </w:r>
      <w:r>
        <w:rPr/>
        <w:t>research</w:t>
      </w:r>
      <w:r>
        <w:rPr>
          <w:spacing w:val="-1"/>
        </w:rPr>
        <w:t> </w:t>
      </w:r>
      <w:r>
        <w:rPr/>
        <w:t>in</w:t>
      </w:r>
      <w:r>
        <w:rPr>
          <w:spacing w:val="-1"/>
        </w:rPr>
        <w:t> </w:t>
      </w:r>
      <w:r>
        <w:rPr/>
        <w:t>educational</w:t>
      </w:r>
      <w:r>
        <w:rPr>
          <w:spacing w:val="-1"/>
        </w:rPr>
        <w:t> </w:t>
      </w:r>
      <w:r>
        <w:rPr/>
        <w:t>problems</w:t>
      </w:r>
      <w:r>
        <w:rPr>
          <w:spacing w:val="-1"/>
        </w:rPr>
        <w:t> </w:t>
      </w:r>
      <w:r>
        <w:rPr/>
        <w:t>and</w:t>
      </w:r>
      <w:r>
        <w:rPr>
          <w:spacing w:val="-2"/>
        </w:rPr>
        <w:t> </w:t>
      </w:r>
      <w:r>
        <w:rPr/>
        <w:t>to</w:t>
      </w:r>
      <w:r>
        <w:rPr>
          <w:spacing w:val="-1"/>
        </w:rPr>
        <w:t> </w:t>
      </w:r>
      <w:r>
        <w:rPr/>
        <w:t>produce</w:t>
      </w:r>
      <w:r>
        <w:rPr>
          <w:spacing w:val="-1"/>
        </w:rPr>
        <w:t> </w:t>
      </w:r>
      <w:r>
        <w:rPr/>
        <w:t>the</w:t>
      </w:r>
      <w:r>
        <w:rPr>
          <w:spacing w:val="-1"/>
        </w:rPr>
        <w:t> </w:t>
      </w:r>
      <w:r>
        <w:rPr/>
        <w:t>needed educational literature in English as well as in the modern Indian languages need to be </w:t>
      </w:r>
      <w:r>
        <w:rPr>
          <w:spacing w:val="-2"/>
        </w:rPr>
        <w:t>organized.</w:t>
      </w:r>
    </w:p>
    <w:p>
      <w:pPr>
        <w:pStyle w:val="BodyText"/>
        <w:spacing w:before="4"/>
      </w:pPr>
    </w:p>
    <w:p>
      <w:pPr>
        <w:pStyle w:val="ListParagraph"/>
        <w:numPr>
          <w:ilvl w:val="1"/>
          <w:numId w:val="76"/>
        </w:numPr>
        <w:tabs>
          <w:tab w:pos="712" w:val="left" w:leader="none"/>
        </w:tabs>
        <w:spacing w:line="240" w:lineRule="auto" w:before="0" w:after="0"/>
        <w:ind w:left="160" w:right="495" w:firstLine="0"/>
        <w:jc w:val="both"/>
        <w:rPr>
          <w:b/>
          <w:sz w:val="24"/>
        </w:rPr>
      </w:pPr>
      <w:r>
        <w:rPr>
          <w:b/>
          <w:sz w:val="24"/>
        </w:rPr>
        <w:t>Improving Methods of Teaching and Evaluation. </w:t>
      </w:r>
      <w:r>
        <w:rPr>
          <w:sz w:val="24"/>
        </w:rPr>
        <w:t>Methods of teaching and evaluation</w:t>
      </w:r>
      <w:r>
        <w:rPr>
          <w:spacing w:val="-2"/>
          <w:sz w:val="24"/>
        </w:rPr>
        <w:t> </w:t>
      </w:r>
      <w:r>
        <w:rPr>
          <w:sz w:val="24"/>
        </w:rPr>
        <w:t>in</w:t>
      </w:r>
      <w:r>
        <w:rPr>
          <w:spacing w:val="-2"/>
          <w:sz w:val="24"/>
        </w:rPr>
        <w:t> </w:t>
      </w:r>
      <w:r>
        <w:rPr>
          <w:sz w:val="24"/>
        </w:rPr>
        <w:t>training</w:t>
      </w:r>
      <w:r>
        <w:rPr>
          <w:spacing w:val="-2"/>
          <w:sz w:val="24"/>
        </w:rPr>
        <w:t> </w:t>
      </w:r>
      <w:r>
        <w:rPr>
          <w:sz w:val="24"/>
        </w:rPr>
        <w:t>institutions</w:t>
      </w:r>
      <w:r>
        <w:rPr>
          <w:spacing w:val="-2"/>
          <w:sz w:val="24"/>
        </w:rPr>
        <w:t> </w:t>
      </w:r>
      <w:r>
        <w:rPr>
          <w:sz w:val="24"/>
        </w:rPr>
        <w:t>are</w:t>
      </w:r>
      <w:r>
        <w:rPr>
          <w:spacing w:val="-2"/>
          <w:sz w:val="24"/>
        </w:rPr>
        <w:t> </w:t>
      </w:r>
      <w:r>
        <w:rPr>
          <w:sz w:val="24"/>
        </w:rPr>
        <w:t>extremely</w:t>
      </w:r>
      <w:r>
        <w:rPr>
          <w:spacing w:val="-2"/>
          <w:sz w:val="24"/>
        </w:rPr>
        <w:t> </w:t>
      </w:r>
      <w:r>
        <w:rPr>
          <w:sz w:val="24"/>
        </w:rPr>
        <w:t>important</w:t>
      </w:r>
      <w:r>
        <w:rPr>
          <w:spacing w:val="-2"/>
          <w:sz w:val="24"/>
        </w:rPr>
        <w:t> </w:t>
      </w:r>
      <w:r>
        <w:rPr>
          <w:sz w:val="24"/>
        </w:rPr>
        <w:t>and</w:t>
      </w:r>
      <w:r>
        <w:rPr>
          <w:spacing w:val="-2"/>
          <w:sz w:val="24"/>
        </w:rPr>
        <w:t> </w:t>
      </w:r>
      <w:r>
        <w:rPr>
          <w:sz w:val="24"/>
        </w:rPr>
        <w:t>the</w:t>
      </w:r>
      <w:r>
        <w:rPr>
          <w:spacing w:val="-2"/>
          <w:sz w:val="24"/>
        </w:rPr>
        <w:t> </w:t>
      </w:r>
      <w:r>
        <w:rPr>
          <w:sz w:val="24"/>
        </w:rPr>
        <w:t>attitudes</w:t>
      </w:r>
      <w:r>
        <w:rPr>
          <w:spacing w:val="-2"/>
          <w:sz w:val="24"/>
        </w:rPr>
        <w:t> </w:t>
      </w:r>
      <w:r>
        <w:rPr>
          <w:sz w:val="24"/>
        </w:rPr>
        <w:t>of</w:t>
      </w:r>
      <w:r>
        <w:rPr>
          <w:spacing w:val="-3"/>
          <w:sz w:val="24"/>
        </w:rPr>
        <w:t> </w:t>
      </w:r>
      <w:r>
        <w:rPr>
          <w:sz w:val="24"/>
        </w:rPr>
        <w:t>the</w:t>
      </w:r>
      <w:r>
        <w:rPr>
          <w:spacing w:val="-2"/>
          <w:sz w:val="24"/>
        </w:rPr>
        <w:t> </w:t>
      </w:r>
      <w:r>
        <w:rPr>
          <w:sz w:val="24"/>
        </w:rPr>
        <w:t>student- teacher will be influenced more by the methods used with them, than by what they are formally</w:t>
      </w:r>
      <w:r>
        <w:rPr>
          <w:spacing w:val="-1"/>
          <w:sz w:val="24"/>
        </w:rPr>
        <w:t> </w:t>
      </w:r>
      <w:r>
        <w:rPr>
          <w:sz w:val="24"/>
        </w:rPr>
        <w:t>taught</w:t>
      </w:r>
      <w:r>
        <w:rPr>
          <w:spacing w:val="-1"/>
          <w:sz w:val="24"/>
        </w:rPr>
        <w:t> </w:t>
      </w:r>
      <w:r>
        <w:rPr>
          <w:sz w:val="24"/>
        </w:rPr>
        <w:t>about</w:t>
      </w:r>
      <w:r>
        <w:rPr>
          <w:spacing w:val="-1"/>
          <w:sz w:val="24"/>
        </w:rPr>
        <w:t> </w:t>
      </w:r>
      <w:r>
        <w:rPr>
          <w:sz w:val="24"/>
        </w:rPr>
        <w:t>the</w:t>
      </w:r>
      <w:r>
        <w:rPr>
          <w:spacing w:val="-1"/>
          <w:sz w:val="24"/>
        </w:rPr>
        <w:t> </w:t>
      </w:r>
      <w:r>
        <w:rPr>
          <w:sz w:val="24"/>
        </w:rPr>
        <w:t>methods</w:t>
      </w:r>
      <w:r>
        <w:rPr>
          <w:spacing w:val="-1"/>
          <w:sz w:val="24"/>
        </w:rPr>
        <w:t> </w:t>
      </w:r>
      <w:r>
        <w:rPr>
          <w:sz w:val="24"/>
        </w:rPr>
        <w:t>they</w:t>
      </w:r>
      <w:r>
        <w:rPr>
          <w:spacing w:val="-1"/>
          <w:sz w:val="24"/>
        </w:rPr>
        <w:t> </w:t>
      </w:r>
      <w:r>
        <w:rPr>
          <w:sz w:val="24"/>
        </w:rPr>
        <w:t>should</w:t>
      </w:r>
      <w:r>
        <w:rPr>
          <w:spacing w:val="-3"/>
          <w:sz w:val="24"/>
        </w:rPr>
        <w:t> </w:t>
      </w:r>
      <w:r>
        <w:rPr>
          <w:sz w:val="24"/>
        </w:rPr>
        <w:t>use</w:t>
      </w:r>
      <w:r>
        <w:rPr>
          <w:spacing w:val="-1"/>
          <w:sz w:val="24"/>
        </w:rPr>
        <w:t> </w:t>
      </w:r>
      <w:r>
        <w:rPr>
          <w:sz w:val="24"/>
        </w:rPr>
        <w:t>in</w:t>
      </w:r>
      <w:r>
        <w:rPr>
          <w:spacing w:val="-1"/>
          <w:sz w:val="24"/>
        </w:rPr>
        <w:t> </w:t>
      </w:r>
      <w:r>
        <w:rPr>
          <w:sz w:val="24"/>
        </w:rPr>
        <w:t>schools.</w:t>
      </w:r>
      <w:r>
        <w:rPr>
          <w:spacing w:val="-1"/>
          <w:sz w:val="24"/>
        </w:rPr>
        <w:t> </w:t>
      </w:r>
      <w:r>
        <w:rPr>
          <w:sz w:val="24"/>
        </w:rPr>
        <w:t>Unfortunately</w:t>
      </w:r>
      <w:r>
        <w:rPr>
          <w:spacing w:val="-1"/>
          <w:sz w:val="24"/>
        </w:rPr>
        <w:t> </w:t>
      </w:r>
      <w:r>
        <w:rPr>
          <w:sz w:val="24"/>
        </w:rPr>
        <w:t>there</w:t>
      </w:r>
      <w:r>
        <w:rPr>
          <w:spacing w:val="-1"/>
          <w:sz w:val="24"/>
        </w:rPr>
        <w:t> </w:t>
      </w:r>
      <w:r>
        <w:rPr>
          <w:sz w:val="24"/>
        </w:rPr>
        <w:t>is</w:t>
      </w:r>
      <w:r>
        <w:rPr>
          <w:spacing w:val="-1"/>
          <w:sz w:val="24"/>
        </w:rPr>
        <w:t> </w:t>
      </w:r>
      <w:r>
        <w:rPr>
          <w:sz w:val="24"/>
        </w:rPr>
        <w:t>little realization of this and the methods of teaching and evaluation used in the training institutions continue to be largely traditional. An immediate and drastic change is thus called for and we would like to make the following main suggestions:</w:t>
      </w:r>
    </w:p>
    <w:p>
      <w:pPr>
        <w:pStyle w:val="BodyText"/>
        <w:spacing w:before="4"/>
      </w:pPr>
    </w:p>
    <w:p>
      <w:pPr>
        <w:pStyle w:val="ListParagraph"/>
        <w:numPr>
          <w:ilvl w:val="2"/>
          <w:numId w:val="76"/>
        </w:numPr>
        <w:tabs>
          <w:tab w:pos="314" w:val="left" w:leader="none"/>
        </w:tabs>
        <w:spacing w:line="240" w:lineRule="auto" w:before="0" w:after="0"/>
        <w:ind w:left="160" w:right="496" w:firstLine="0"/>
        <w:jc w:val="both"/>
        <w:rPr>
          <w:sz w:val="24"/>
        </w:rPr>
      </w:pPr>
      <w:r>
        <w:rPr>
          <w:sz w:val="24"/>
        </w:rPr>
        <w:t>An attempt should be made to develop the student-teachers' maturity through contacts, experience, study and discussion. This needs the use of methods requiring student participation and independent study. As their earlier education cannot ordinarily be expected to have developed habits of self-study and independent thinking, the training institutions have to make good this deficiency to the extent possible and give students opportunities to think, read, study and discuss. Individual library work, preparation of reviews and reports, case studies, project work, discussions and seminars should form an integral part of the work of training institutions.</w:t>
      </w:r>
    </w:p>
    <w:p>
      <w:pPr>
        <w:pStyle w:val="BodyText"/>
        <w:spacing w:before="4"/>
      </w:pPr>
    </w:p>
    <w:p>
      <w:pPr>
        <w:pStyle w:val="ListParagraph"/>
        <w:numPr>
          <w:ilvl w:val="2"/>
          <w:numId w:val="76"/>
        </w:numPr>
        <w:tabs>
          <w:tab w:pos="361" w:val="left" w:leader="none"/>
        </w:tabs>
        <w:spacing w:line="240" w:lineRule="auto" w:before="0" w:after="0"/>
        <w:ind w:left="160" w:right="496" w:firstLine="0"/>
        <w:jc w:val="both"/>
        <w:rPr>
          <w:sz w:val="24"/>
        </w:rPr>
      </w:pPr>
      <w:r>
        <w:rPr>
          <w:sz w:val="24"/>
        </w:rPr>
        <w:t>Time should also be found to orientate students' attitudes to the significance and possibilities of the profession that they have chosen, to awaken a sensitiveness to the human factors involved, and to stress the social values of educational development.</w:t>
      </w:r>
    </w:p>
    <w:p>
      <w:pPr>
        <w:pStyle w:val="BodyText"/>
        <w:spacing w:before="5"/>
      </w:pPr>
    </w:p>
    <w:p>
      <w:pPr>
        <w:pStyle w:val="ListParagraph"/>
        <w:numPr>
          <w:ilvl w:val="2"/>
          <w:numId w:val="76"/>
        </w:numPr>
        <w:tabs>
          <w:tab w:pos="309" w:val="left" w:leader="none"/>
        </w:tabs>
        <w:spacing w:line="240" w:lineRule="auto" w:before="0" w:after="0"/>
        <w:ind w:left="160" w:right="497" w:firstLine="0"/>
        <w:jc w:val="both"/>
        <w:rPr>
          <w:sz w:val="24"/>
        </w:rPr>
      </w:pPr>
      <w:r>
        <w:rPr>
          <w:sz w:val="24"/>
        </w:rPr>
        <w:t>A number of new techniques and methods are being developed rapidly in the advanced countries, such as the use of radio, television and films in classroom teaching, programmed instruction and language laboratories, to mention only a few. In India, the radio has just been introduced in the schools and, in the next few years, the other aids would begin to be available on an increasing scale. It would be desirable that the teachers under training should be introduced to them, first in their own learning programmes and later on in their teaching practice.</w:t>
      </w:r>
    </w:p>
    <w:p>
      <w:pPr>
        <w:pStyle w:val="BodyText"/>
        <w:spacing w:before="3"/>
      </w:pPr>
    </w:p>
    <w:p>
      <w:pPr>
        <w:pStyle w:val="ListParagraph"/>
        <w:numPr>
          <w:ilvl w:val="1"/>
          <w:numId w:val="76"/>
        </w:numPr>
        <w:tabs>
          <w:tab w:pos="661" w:val="left" w:leader="none"/>
        </w:tabs>
        <w:spacing w:line="240" w:lineRule="auto" w:before="1" w:after="0"/>
        <w:ind w:left="160" w:right="496" w:firstLine="0"/>
        <w:jc w:val="both"/>
        <w:rPr>
          <w:sz w:val="24"/>
        </w:rPr>
      </w:pPr>
      <w:r>
        <w:rPr>
          <w:sz w:val="24"/>
        </w:rPr>
        <w:t>The examination system also needs considerable reform. At present, the system of external examinations adopted for training institutions is very similar to that used in the schools and suffers from all the well-known defects. Unless this examination is reformed and the teachers are initiated into the new techniques of evaluation as a part of their training</w:t>
      </w:r>
      <w:r>
        <w:rPr>
          <w:spacing w:val="39"/>
          <w:sz w:val="24"/>
        </w:rPr>
        <w:t> </w:t>
      </w:r>
      <w:r>
        <w:rPr>
          <w:sz w:val="24"/>
        </w:rPr>
        <w:t>programme,</w:t>
      </w:r>
      <w:r>
        <w:rPr>
          <w:spacing w:val="40"/>
          <w:sz w:val="24"/>
        </w:rPr>
        <w:t> </w:t>
      </w:r>
      <w:r>
        <w:rPr>
          <w:sz w:val="24"/>
        </w:rPr>
        <w:t>the</w:t>
      </w:r>
      <w:r>
        <w:rPr>
          <w:spacing w:val="39"/>
          <w:sz w:val="24"/>
        </w:rPr>
        <w:t> </w:t>
      </w:r>
      <w:r>
        <w:rPr>
          <w:sz w:val="24"/>
        </w:rPr>
        <w:t>reform</w:t>
      </w:r>
      <w:r>
        <w:rPr>
          <w:spacing w:val="38"/>
          <w:sz w:val="24"/>
        </w:rPr>
        <w:t> </w:t>
      </w:r>
      <w:r>
        <w:rPr>
          <w:sz w:val="24"/>
        </w:rPr>
        <w:t>of</w:t>
      </w:r>
      <w:r>
        <w:rPr>
          <w:spacing w:val="39"/>
          <w:sz w:val="24"/>
        </w:rPr>
        <w:t> </w:t>
      </w:r>
      <w:r>
        <w:rPr>
          <w:sz w:val="24"/>
        </w:rPr>
        <w:t>examinations,</w:t>
      </w:r>
      <w:r>
        <w:rPr>
          <w:spacing w:val="40"/>
          <w:sz w:val="24"/>
        </w:rPr>
        <w:t> </w:t>
      </w:r>
      <w:r>
        <w:rPr>
          <w:sz w:val="24"/>
        </w:rPr>
        <w:t>in</w:t>
      </w:r>
      <w:r>
        <w:rPr>
          <w:spacing w:val="40"/>
          <w:sz w:val="24"/>
        </w:rPr>
        <w:t> </w:t>
      </w:r>
      <w:r>
        <w:rPr>
          <w:sz w:val="24"/>
        </w:rPr>
        <w:t>schools</w:t>
      </w:r>
      <w:r>
        <w:rPr>
          <w:spacing w:val="39"/>
          <w:sz w:val="24"/>
        </w:rPr>
        <w:t> </w:t>
      </w:r>
      <w:r>
        <w:rPr>
          <w:sz w:val="24"/>
        </w:rPr>
        <w:t>will</w:t>
      </w:r>
      <w:r>
        <w:rPr>
          <w:spacing w:val="40"/>
          <w:sz w:val="24"/>
        </w:rPr>
        <w:t> </w:t>
      </w:r>
      <w:r>
        <w:rPr>
          <w:sz w:val="24"/>
        </w:rPr>
        <w:t>not</w:t>
      </w:r>
      <w:r>
        <w:rPr>
          <w:spacing w:val="39"/>
          <w:sz w:val="24"/>
        </w:rPr>
        <w:t> </w:t>
      </w:r>
      <w:r>
        <w:rPr>
          <w:sz w:val="24"/>
        </w:rPr>
        <w:t>be</w:t>
      </w:r>
      <w:r>
        <w:rPr>
          <w:spacing w:val="40"/>
          <w:sz w:val="24"/>
        </w:rPr>
        <w:t> </w:t>
      </w:r>
      <w:r>
        <w:rPr>
          <w:sz w:val="24"/>
        </w:rPr>
        <w:t>successful.</w:t>
      </w:r>
      <w:r>
        <w:rPr>
          <w:spacing w:val="40"/>
          <w:sz w:val="24"/>
        </w:rPr>
        <w:t> </w:t>
      </w:r>
      <w:r>
        <w:rPr>
          <w:spacing w:val="-10"/>
          <w:sz w:val="24"/>
        </w:rPr>
        <w:t>A</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systematic effort has to be made, therefore, on a high priority basis, to improve the nature of the examinations in training institutions. Internal assessment, which evaluates all the work of a student under training, should also be introduced and emphasized as a regular feature. This has already been done on a small scale. Although it has raised the problem of uniformity of assessment of different institutions affiliated to the same university, it</w:t>
      </w:r>
      <w:r>
        <w:rPr>
          <w:spacing w:val="40"/>
        </w:rPr>
        <w:t> </w:t>
      </w:r>
      <w:r>
        <w:rPr/>
        <w:t>has also had a salutary effect on the training programme as a whole and encouraged</w:t>
      </w:r>
      <w:r>
        <w:rPr>
          <w:spacing w:val="-1"/>
        </w:rPr>
        <w:t> </w:t>
      </w:r>
      <w:r>
        <w:rPr/>
        <w:t>work directly related to the responsibilities of a teacher. Early steps should, therefore, be taken to</w:t>
      </w:r>
      <w:r>
        <w:rPr>
          <w:spacing w:val="-2"/>
        </w:rPr>
        <w:t> </w:t>
      </w:r>
      <w:r>
        <w:rPr/>
        <w:t>expand</w:t>
      </w:r>
      <w:r>
        <w:rPr>
          <w:spacing w:val="-2"/>
        </w:rPr>
        <w:t> </w:t>
      </w:r>
      <w:r>
        <w:rPr/>
        <w:t>the</w:t>
      </w:r>
      <w:r>
        <w:rPr>
          <w:spacing w:val="-2"/>
        </w:rPr>
        <w:t> </w:t>
      </w:r>
      <w:r>
        <w:rPr/>
        <w:t>use</w:t>
      </w:r>
      <w:r>
        <w:rPr>
          <w:spacing w:val="-2"/>
        </w:rPr>
        <w:t> </w:t>
      </w:r>
      <w:r>
        <w:rPr/>
        <w:t>of</w:t>
      </w:r>
      <w:r>
        <w:rPr>
          <w:spacing w:val="-2"/>
        </w:rPr>
        <w:t> </w:t>
      </w:r>
      <w:r>
        <w:rPr/>
        <w:t>internal</w:t>
      </w:r>
      <w:r>
        <w:rPr>
          <w:spacing w:val="-2"/>
        </w:rPr>
        <w:t> </w:t>
      </w:r>
      <w:r>
        <w:rPr/>
        <w:t>assessment</w:t>
      </w:r>
      <w:r>
        <w:rPr>
          <w:spacing w:val="-2"/>
        </w:rPr>
        <w:t> </w:t>
      </w:r>
      <w:r>
        <w:rPr/>
        <w:t>and</w:t>
      </w:r>
      <w:r>
        <w:rPr>
          <w:spacing w:val="-2"/>
        </w:rPr>
        <w:t> </w:t>
      </w:r>
      <w:r>
        <w:rPr/>
        <w:t>to</w:t>
      </w:r>
      <w:r>
        <w:rPr>
          <w:spacing w:val="-3"/>
        </w:rPr>
        <w:t> </w:t>
      </w:r>
      <w:r>
        <w:rPr/>
        <w:t>give</w:t>
      </w:r>
      <w:r>
        <w:rPr>
          <w:spacing w:val="-2"/>
        </w:rPr>
        <w:t> </w:t>
      </w:r>
      <w:r>
        <w:rPr/>
        <w:t>it</w:t>
      </w:r>
      <w:r>
        <w:rPr>
          <w:spacing w:val="-2"/>
        </w:rPr>
        <w:t> </w:t>
      </w:r>
      <w:r>
        <w:rPr/>
        <w:t>a</w:t>
      </w:r>
      <w:r>
        <w:rPr>
          <w:spacing w:val="-2"/>
        </w:rPr>
        <w:t> </w:t>
      </w:r>
      <w:r>
        <w:rPr/>
        <w:t>more</w:t>
      </w:r>
      <w:r>
        <w:rPr>
          <w:spacing w:val="-2"/>
        </w:rPr>
        <w:t> </w:t>
      </w:r>
      <w:r>
        <w:rPr/>
        <w:t>significant</w:t>
      </w:r>
      <w:r>
        <w:rPr>
          <w:spacing w:val="-2"/>
        </w:rPr>
        <w:t> </w:t>
      </w:r>
      <w:r>
        <w:rPr/>
        <w:t>place</w:t>
      </w:r>
      <w:r>
        <w:rPr>
          <w:spacing w:val="-2"/>
        </w:rPr>
        <w:t> </w:t>
      </w:r>
      <w:r>
        <w:rPr/>
        <w:t>in</w:t>
      </w:r>
      <w:r>
        <w:rPr>
          <w:spacing w:val="-2"/>
        </w:rPr>
        <w:t> </w:t>
      </w:r>
      <w:r>
        <w:rPr/>
        <w:t>the</w:t>
      </w:r>
      <w:r>
        <w:rPr>
          <w:spacing w:val="-2"/>
        </w:rPr>
        <w:t> </w:t>
      </w:r>
      <w:r>
        <w:rPr/>
        <w:t>final evaluation. In addition, teacher educators should maintain cumulative records of student- teachers in consultation with them. In this way, trainees will learn by doing how the cumulative records of their own pupils should be maintained.</w:t>
      </w:r>
    </w:p>
    <w:p>
      <w:pPr>
        <w:pStyle w:val="BodyText"/>
        <w:spacing w:before="4"/>
      </w:pPr>
    </w:p>
    <w:p>
      <w:pPr>
        <w:pStyle w:val="ListParagraph"/>
        <w:numPr>
          <w:ilvl w:val="1"/>
          <w:numId w:val="76"/>
        </w:numPr>
        <w:tabs>
          <w:tab w:pos="683" w:val="left" w:leader="none"/>
        </w:tabs>
        <w:spacing w:line="240" w:lineRule="auto" w:before="0" w:after="0"/>
        <w:ind w:left="159" w:right="496" w:firstLine="0"/>
        <w:jc w:val="both"/>
        <w:rPr>
          <w:b/>
          <w:sz w:val="24"/>
        </w:rPr>
      </w:pPr>
      <w:r>
        <w:rPr>
          <w:b/>
          <w:sz w:val="24"/>
        </w:rPr>
        <w:t>Improvement of Student-teaching. </w:t>
      </w:r>
      <w:r>
        <w:rPr>
          <w:sz w:val="24"/>
        </w:rPr>
        <w:t>At present, student- teachers are commonly required to give a specified number of isolated lessons, many of which are </w:t>
      </w:r>
      <w:r>
        <w:rPr>
          <w:sz w:val="24"/>
        </w:rPr>
        <w:t>often unsupervised or ill-supervised. The practice of continuous block-teaching, the duration of which varies from two to six weeks, is adopted only in a few institutions and its organization still leaves much to be desired. In our opinion, student-teaching should be provided in two stages. The objective of the first stage should be to orient the student- teacher to the entire school situation and to initiate him into actual teaching. He should have opportunities to observe good teaching and to become familiar with the school programmes as a whole. He should know the kind of service provided in the school library, the workshop, the art room</w:t>
      </w:r>
      <w:r>
        <w:rPr>
          <w:spacing w:val="-2"/>
          <w:sz w:val="24"/>
        </w:rPr>
        <w:t> </w:t>
      </w:r>
      <w:r>
        <w:rPr>
          <w:sz w:val="24"/>
        </w:rPr>
        <w:t>and on the playground and the role played by teachers of different subjects and the career-master or the counsellor. He should become acquainted with the school assembly programme and the co-curricular activities in the school. He may begin his teaching practice with teaching individual children, then proceed to small groups and eventually learn to manage full classes having normal strength. The objective of the second stage should be to enable him to do continuous teaching for a specified period of at least eight weeks, under actual school conditions, by working as a teacher in a selected school. The first type of experience is easy to provide. But it is the second that is of crucial importance and we recommend that its provision should become an integral part of all teacher education at all levels on the broad lines discussed earlier.</w:t>
      </w:r>
    </w:p>
    <w:p>
      <w:pPr>
        <w:pStyle w:val="BodyText"/>
        <w:spacing w:before="4"/>
      </w:pPr>
    </w:p>
    <w:p>
      <w:pPr>
        <w:pStyle w:val="ListParagraph"/>
        <w:numPr>
          <w:ilvl w:val="1"/>
          <w:numId w:val="76"/>
        </w:numPr>
        <w:tabs>
          <w:tab w:pos="645" w:val="left" w:leader="none"/>
        </w:tabs>
        <w:spacing w:line="240" w:lineRule="auto" w:before="0" w:after="0"/>
        <w:ind w:left="159" w:right="494" w:firstLine="0"/>
        <w:jc w:val="both"/>
        <w:rPr>
          <w:b/>
          <w:sz w:val="24"/>
        </w:rPr>
      </w:pPr>
      <w:r>
        <w:rPr>
          <w:b/>
          <w:sz w:val="24"/>
        </w:rPr>
        <w:t>Development of Special Courses and Programmes. </w:t>
      </w:r>
      <w:r>
        <w:rPr>
          <w:sz w:val="24"/>
        </w:rPr>
        <w:t>New courses required to meet special needs should also be developed. We have already referred to the two-year M.A. course</w:t>
      </w:r>
      <w:r>
        <w:rPr>
          <w:spacing w:val="-3"/>
          <w:sz w:val="24"/>
        </w:rPr>
        <w:t> </w:t>
      </w:r>
      <w:r>
        <w:rPr>
          <w:sz w:val="24"/>
        </w:rPr>
        <w:t>and</w:t>
      </w:r>
      <w:r>
        <w:rPr>
          <w:spacing w:val="-3"/>
          <w:sz w:val="24"/>
        </w:rPr>
        <w:t> </w:t>
      </w:r>
      <w:r>
        <w:rPr>
          <w:sz w:val="24"/>
        </w:rPr>
        <w:t>to</w:t>
      </w:r>
      <w:r>
        <w:rPr>
          <w:spacing w:val="-3"/>
          <w:sz w:val="24"/>
        </w:rPr>
        <w:t> </w:t>
      </w:r>
      <w:r>
        <w:rPr>
          <w:sz w:val="24"/>
        </w:rPr>
        <w:t>courses</w:t>
      </w:r>
      <w:r>
        <w:rPr>
          <w:spacing w:val="-3"/>
          <w:sz w:val="24"/>
        </w:rPr>
        <w:t> </w:t>
      </w:r>
      <w:r>
        <w:rPr>
          <w:sz w:val="24"/>
        </w:rPr>
        <w:t>in</w:t>
      </w:r>
      <w:r>
        <w:rPr>
          <w:spacing w:val="-3"/>
          <w:sz w:val="24"/>
        </w:rPr>
        <w:t> </w:t>
      </w:r>
      <w:r>
        <w:rPr>
          <w:sz w:val="24"/>
        </w:rPr>
        <w:t>education</w:t>
      </w:r>
      <w:r>
        <w:rPr>
          <w:spacing w:val="-2"/>
          <w:sz w:val="24"/>
        </w:rPr>
        <w:t> </w:t>
      </w:r>
      <w:r>
        <w:rPr>
          <w:sz w:val="24"/>
        </w:rPr>
        <w:t>to</w:t>
      </w:r>
      <w:r>
        <w:rPr>
          <w:spacing w:val="-2"/>
          <w:sz w:val="24"/>
        </w:rPr>
        <w:t> </w:t>
      </w:r>
      <w:r>
        <w:rPr>
          <w:sz w:val="24"/>
        </w:rPr>
        <w:t>be</w:t>
      </w:r>
      <w:r>
        <w:rPr>
          <w:spacing w:val="-2"/>
          <w:sz w:val="24"/>
        </w:rPr>
        <w:t> </w:t>
      </w:r>
      <w:r>
        <w:rPr>
          <w:sz w:val="24"/>
        </w:rPr>
        <w:t>introduced</w:t>
      </w:r>
      <w:r>
        <w:rPr>
          <w:spacing w:val="-2"/>
          <w:sz w:val="24"/>
        </w:rPr>
        <w:t> </w:t>
      </w:r>
      <w:r>
        <w:rPr>
          <w:sz w:val="24"/>
        </w:rPr>
        <w:t>at</w:t>
      </w:r>
      <w:r>
        <w:rPr>
          <w:spacing w:val="-2"/>
          <w:sz w:val="24"/>
        </w:rPr>
        <w:t> </w:t>
      </w:r>
      <w:r>
        <w:rPr>
          <w:sz w:val="24"/>
        </w:rPr>
        <w:t>the</w:t>
      </w:r>
      <w:r>
        <w:rPr>
          <w:spacing w:val="-2"/>
          <w:sz w:val="24"/>
        </w:rPr>
        <w:t> </w:t>
      </w:r>
      <w:r>
        <w:rPr>
          <w:sz w:val="24"/>
        </w:rPr>
        <w:t>undergraduate</w:t>
      </w:r>
      <w:r>
        <w:rPr>
          <w:spacing w:val="-3"/>
          <w:sz w:val="24"/>
        </w:rPr>
        <w:t> </w:t>
      </w:r>
      <w:r>
        <w:rPr>
          <w:sz w:val="24"/>
        </w:rPr>
        <w:t>and</w:t>
      </w:r>
      <w:r>
        <w:rPr>
          <w:spacing w:val="-3"/>
          <w:sz w:val="24"/>
        </w:rPr>
        <w:t> </w:t>
      </w:r>
      <w:r>
        <w:rPr>
          <w:sz w:val="24"/>
        </w:rPr>
        <w:t>postgraduate stages. At present, there are no special courses for headmasters. Since so much depends upon the heads of institutions, it would be desirable to introduce short induction courses for teachers who have been promoted as headmasters. There is an equally urgent need for special courses for teacher educators of primary and secondary training institutions. The employment of graduates in primary schools-even at the lower primary stage-has been increasing and a special course designed for them could be of great value. It would also</w:t>
      </w:r>
      <w:r>
        <w:rPr>
          <w:spacing w:val="40"/>
          <w:sz w:val="24"/>
        </w:rPr>
        <w:t> </w:t>
      </w:r>
      <w:r>
        <w:rPr>
          <w:sz w:val="24"/>
        </w:rPr>
        <w:t>be desirable to train teachers for two consecutive stages, or in such a way that with some further orientation or training, they could also teach at a higher level. The methods of teaching</w:t>
      </w:r>
      <w:r>
        <w:rPr>
          <w:spacing w:val="-1"/>
          <w:sz w:val="24"/>
        </w:rPr>
        <w:t> </w:t>
      </w:r>
      <w:r>
        <w:rPr>
          <w:sz w:val="24"/>
        </w:rPr>
        <w:t>in</w:t>
      </w:r>
      <w:r>
        <w:rPr>
          <w:spacing w:val="-3"/>
          <w:sz w:val="24"/>
        </w:rPr>
        <w:t> </w:t>
      </w:r>
      <w:r>
        <w:rPr>
          <w:sz w:val="24"/>
        </w:rPr>
        <w:t>classes</w:t>
      </w:r>
      <w:r>
        <w:rPr>
          <w:spacing w:val="-3"/>
          <w:sz w:val="24"/>
        </w:rPr>
        <w:t> </w:t>
      </w:r>
      <w:r>
        <w:rPr>
          <w:sz w:val="24"/>
        </w:rPr>
        <w:t>I</w:t>
      </w:r>
      <w:r>
        <w:rPr>
          <w:spacing w:val="-1"/>
          <w:sz w:val="24"/>
        </w:rPr>
        <w:t> </w:t>
      </w:r>
      <w:r>
        <w:rPr>
          <w:sz w:val="24"/>
        </w:rPr>
        <w:t>and</w:t>
      </w:r>
      <w:r>
        <w:rPr>
          <w:spacing w:val="-1"/>
          <w:sz w:val="24"/>
        </w:rPr>
        <w:t> </w:t>
      </w:r>
      <w:r>
        <w:rPr>
          <w:sz w:val="24"/>
        </w:rPr>
        <w:t>II</w:t>
      </w:r>
      <w:r>
        <w:rPr>
          <w:spacing w:val="-1"/>
          <w:sz w:val="24"/>
        </w:rPr>
        <w:t> </w:t>
      </w:r>
      <w:r>
        <w:rPr>
          <w:sz w:val="24"/>
        </w:rPr>
        <w:t>need</w:t>
      </w:r>
      <w:r>
        <w:rPr>
          <w:spacing w:val="-1"/>
          <w:sz w:val="24"/>
        </w:rPr>
        <w:t> </w:t>
      </w:r>
      <w:r>
        <w:rPr>
          <w:sz w:val="24"/>
        </w:rPr>
        <w:t>to</w:t>
      </w:r>
      <w:r>
        <w:rPr>
          <w:spacing w:val="-1"/>
          <w:sz w:val="24"/>
        </w:rPr>
        <w:t> </w:t>
      </w:r>
      <w:r>
        <w:rPr>
          <w:sz w:val="24"/>
        </w:rPr>
        <w:t>be</w:t>
      </w:r>
      <w:r>
        <w:rPr>
          <w:spacing w:val="-2"/>
          <w:sz w:val="24"/>
        </w:rPr>
        <w:t> </w:t>
      </w:r>
      <w:r>
        <w:rPr>
          <w:sz w:val="24"/>
        </w:rPr>
        <w:t>informal</w:t>
      </w:r>
      <w:r>
        <w:rPr>
          <w:spacing w:val="-5"/>
          <w:sz w:val="24"/>
        </w:rPr>
        <w:t> </w:t>
      </w:r>
      <w:r>
        <w:rPr>
          <w:sz w:val="24"/>
        </w:rPr>
        <w:t>and</w:t>
      </w:r>
      <w:r>
        <w:rPr>
          <w:spacing w:val="-1"/>
          <w:sz w:val="24"/>
        </w:rPr>
        <w:t> </w:t>
      </w:r>
      <w:r>
        <w:rPr>
          <w:sz w:val="24"/>
        </w:rPr>
        <w:t>it</w:t>
      </w:r>
      <w:r>
        <w:rPr>
          <w:spacing w:val="-1"/>
          <w:sz w:val="24"/>
        </w:rPr>
        <w:t> </w:t>
      </w:r>
      <w:r>
        <w:rPr>
          <w:sz w:val="24"/>
        </w:rPr>
        <w:t>would</w:t>
      </w:r>
      <w:r>
        <w:rPr>
          <w:spacing w:val="-3"/>
          <w:sz w:val="24"/>
        </w:rPr>
        <w:t> </w:t>
      </w:r>
      <w:r>
        <w:rPr>
          <w:sz w:val="24"/>
        </w:rPr>
        <w:t>be</w:t>
      </w:r>
      <w:r>
        <w:rPr>
          <w:spacing w:val="-1"/>
          <w:sz w:val="24"/>
        </w:rPr>
        <w:t> </w:t>
      </w:r>
      <w:r>
        <w:rPr>
          <w:sz w:val="24"/>
        </w:rPr>
        <w:t>useful</w:t>
      </w:r>
      <w:r>
        <w:rPr>
          <w:spacing w:val="-1"/>
          <w:sz w:val="24"/>
        </w:rPr>
        <w:t> </w:t>
      </w:r>
      <w:r>
        <w:rPr>
          <w:sz w:val="24"/>
        </w:rPr>
        <w:t>to</w:t>
      </w:r>
      <w:r>
        <w:rPr>
          <w:spacing w:val="-3"/>
          <w:sz w:val="24"/>
        </w:rPr>
        <w:t> </w:t>
      </w:r>
      <w:r>
        <w:rPr>
          <w:sz w:val="24"/>
        </w:rPr>
        <w:t>train</w:t>
      </w:r>
      <w:r>
        <w:rPr>
          <w:spacing w:val="-1"/>
          <w:sz w:val="24"/>
        </w:rPr>
        <w:t> </w:t>
      </w:r>
      <w:r>
        <w:rPr>
          <w:sz w:val="24"/>
        </w:rPr>
        <w:t>the</w:t>
      </w:r>
      <w:r>
        <w:rPr>
          <w:spacing w:val="-1"/>
          <w:sz w:val="24"/>
        </w:rPr>
        <w:t> </w:t>
      </w:r>
      <w:r>
        <w:rPr>
          <w:sz w:val="24"/>
        </w:rPr>
        <w:t>teachers at</w:t>
      </w:r>
      <w:r>
        <w:rPr>
          <w:spacing w:val="19"/>
          <w:sz w:val="24"/>
        </w:rPr>
        <w:t> </w:t>
      </w:r>
      <w:r>
        <w:rPr>
          <w:sz w:val="24"/>
        </w:rPr>
        <w:t>this</w:t>
      </w:r>
      <w:r>
        <w:rPr>
          <w:spacing w:val="19"/>
          <w:sz w:val="24"/>
        </w:rPr>
        <w:t> </w:t>
      </w:r>
      <w:r>
        <w:rPr>
          <w:sz w:val="24"/>
        </w:rPr>
        <w:t>level</w:t>
      </w:r>
      <w:r>
        <w:rPr>
          <w:spacing w:val="20"/>
          <w:sz w:val="24"/>
        </w:rPr>
        <w:t> </w:t>
      </w:r>
      <w:r>
        <w:rPr>
          <w:sz w:val="24"/>
        </w:rPr>
        <w:t>in</w:t>
      </w:r>
      <w:r>
        <w:rPr>
          <w:spacing w:val="19"/>
          <w:sz w:val="24"/>
        </w:rPr>
        <w:t> </w:t>
      </w:r>
      <w:r>
        <w:rPr>
          <w:sz w:val="24"/>
        </w:rPr>
        <w:t>a</w:t>
      </w:r>
      <w:r>
        <w:rPr>
          <w:spacing w:val="19"/>
          <w:sz w:val="24"/>
        </w:rPr>
        <w:t> </w:t>
      </w:r>
      <w:r>
        <w:rPr>
          <w:sz w:val="24"/>
        </w:rPr>
        <w:t>combined</w:t>
      </w:r>
      <w:r>
        <w:rPr>
          <w:spacing w:val="20"/>
          <w:sz w:val="24"/>
        </w:rPr>
        <w:t> </w:t>
      </w:r>
      <w:r>
        <w:rPr>
          <w:sz w:val="24"/>
        </w:rPr>
        <w:t>course</w:t>
      </w:r>
      <w:r>
        <w:rPr>
          <w:spacing w:val="19"/>
          <w:sz w:val="24"/>
        </w:rPr>
        <w:t> </w:t>
      </w:r>
      <w:r>
        <w:rPr>
          <w:sz w:val="24"/>
        </w:rPr>
        <w:t>for</w:t>
      </w:r>
      <w:r>
        <w:rPr>
          <w:spacing w:val="20"/>
          <w:sz w:val="24"/>
        </w:rPr>
        <w:t> </w:t>
      </w:r>
      <w:r>
        <w:rPr>
          <w:sz w:val="24"/>
        </w:rPr>
        <w:t>pre-primary</w:t>
      </w:r>
      <w:r>
        <w:rPr>
          <w:spacing w:val="19"/>
          <w:sz w:val="24"/>
        </w:rPr>
        <w:t> </w:t>
      </w:r>
      <w:r>
        <w:rPr>
          <w:sz w:val="24"/>
        </w:rPr>
        <w:t>and</w:t>
      </w:r>
      <w:r>
        <w:rPr>
          <w:spacing w:val="19"/>
          <w:sz w:val="24"/>
        </w:rPr>
        <w:t> </w:t>
      </w:r>
      <w:r>
        <w:rPr>
          <w:sz w:val="24"/>
        </w:rPr>
        <w:t>primary</w:t>
      </w:r>
      <w:r>
        <w:rPr>
          <w:spacing w:val="20"/>
          <w:sz w:val="24"/>
        </w:rPr>
        <w:t> </w:t>
      </w:r>
      <w:r>
        <w:rPr>
          <w:sz w:val="24"/>
        </w:rPr>
        <w:t>schools.</w:t>
      </w:r>
      <w:r>
        <w:rPr>
          <w:spacing w:val="19"/>
          <w:sz w:val="24"/>
        </w:rPr>
        <w:t> </w:t>
      </w:r>
      <w:r>
        <w:rPr>
          <w:sz w:val="24"/>
        </w:rPr>
        <w:t>Similarly,</w:t>
      </w:r>
      <w:r>
        <w:rPr>
          <w:spacing w:val="20"/>
          <w:sz w:val="24"/>
        </w:rPr>
        <w:t> </w:t>
      </w:r>
      <w:r>
        <w:rPr>
          <w:spacing w:val="-2"/>
          <w:sz w:val="24"/>
        </w:rPr>
        <w:t>there</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should be combined courses which prepare teachers both for primary and secondary schools. We recommend that further details of these courses should be worked out, on a high priority basis, by the Department of Teacher Education of the NCERT, in collaboration with the National Association of Teacher Educators.</w:t>
      </w:r>
    </w:p>
    <w:p>
      <w:pPr>
        <w:pStyle w:val="BodyText"/>
        <w:spacing w:before="4"/>
      </w:pPr>
    </w:p>
    <w:p>
      <w:pPr>
        <w:pStyle w:val="ListParagraph"/>
        <w:numPr>
          <w:ilvl w:val="1"/>
          <w:numId w:val="76"/>
        </w:numPr>
        <w:tabs>
          <w:tab w:pos="709" w:val="left" w:leader="none"/>
        </w:tabs>
        <w:spacing w:line="240" w:lineRule="auto" w:before="0" w:after="0"/>
        <w:ind w:left="160" w:right="496" w:firstLine="0"/>
        <w:jc w:val="both"/>
        <w:rPr>
          <w:b/>
          <w:sz w:val="24"/>
        </w:rPr>
      </w:pPr>
      <w:r>
        <w:rPr>
          <w:b/>
          <w:sz w:val="24"/>
        </w:rPr>
        <w:t>Revision and Improvement of Curricula. </w:t>
      </w:r>
      <w:r>
        <w:rPr>
          <w:sz w:val="24"/>
        </w:rPr>
        <w:t>The time has come when teacher educators at all levels must review their curricula and programmes of work, particularly</w:t>
      </w:r>
      <w:r>
        <w:rPr>
          <w:spacing w:val="40"/>
          <w:sz w:val="24"/>
        </w:rPr>
        <w:t> </w:t>
      </w:r>
      <w:r>
        <w:rPr>
          <w:sz w:val="24"/>
        </w:rPr>
        <w:t>in view of our recommendations for the development of school education. The present curricula at the different stages have grown out of the traditional ones by accretion of subjects and topics, and lack of organic unity as well as functional utility. These must be revised in the light of the fundamental objective of preparing teachers for their varied responsibilities in an evolving system of education. They must not err either on the side</w:t>
      </w:r>
      <w:r>
        <w:rPr>
          <w:spacing w:val="40"/>
          <w:sz w:val="24"/>
        </w:rPr>
        <w:t> </w:t>
      </w:r>
      <w:r>
        <w:rPr>
          <w:sz w:val="24"/>
        </w:rPr>
        <w:t>of teaching specific methods and 'tricks of the trade' only, or on the side of teaching something too general and theoretical and far removed from the teacher's actual job. The basis underlying a teacher's varied functions must be examined and courses giving a grounding in the basic subjects must be developed.</w:t>
      </w:r>
    </w:p>
    <w:p>
      <w:pPr>
        <w:pStyle w:val="BodyText"/>
        <w:spacing w:before="4"/>
      </w:pPr>
    </w:p>
    <w:p>
      <w:pPr>
        <w:pStyle w:val="ListParagraph"/>
        <w:numPr>
          <w:ilvl w:val="1"/>
          <w:numId w:val="76"/>
        </w:numPr>
        <w:tabs>
          <w:tab w:pos="755" w:val="left" w:leader="none"/>
        </w:tabs>
        <w:spacing w:line="240" w:lineRule="auto" w:before="0" w:after="0"/>
        <w:ind w:left="160" w:right="495" w:firstLine="0"/>
        <w:jc w:val="both"/>
        <w:rPr>
          <w:b/>
          <w:sz w:val="24"/>
        </w:rPr>
      </w:pPr>
      <w:r>
        <w:rPr>
          <w:b/>
          <w:sz w:val="24"/>
        </w:rPr>
        <w:t>Curriculum for the Professional Education of Primary Teachers. </w:t>
      </w:r>
      <w:r>
        <w:rPr>
          <w:sz w:val="24"/>
        </w:rPr>
        <w:t>This Curriculum is now divided into two parts. The theoretical portion includes principles of education, child development or child psychology, methods of teaching, </w:t>
      </w:r>
      <w:r>
        <w:rPr>
          <w:sz w:val="24"/>
        </w:rPr>
        <w:t>school organization and health education; and the practical work includes craft, practice- teaching and activities of community living. We have no fault to find with this group of subjects. We, however, wish to stress that the subject-matter presented under the various heads in theory should be of direct relevance to the task that a teacher is called upon to perform in the school, that relationships among the different subjects should be worked out, and that they should be taught in an integrated manner. We have already stressed the need for providing adequate knowledge of subject-matter and for relating it to methods and materials of teaching. Student-teachers should understand the objectives and implications of the school syllabus and should have the necessary insight for developing its concepts in a way that will be meaningful to children.</w:t>
      </w:r>
    </w:p>
    <w:p>
      <w:pPr>
        <w:pStyle w:val="BodyText"/>
        <w:spacing w:before="4"/>
      </w:pPr>
    </w:p>
    <w:p>
      <w:pPr>
        <w:pStyle w:val="ListParagraph"/>
        <w:numPr>
          <w:ilvl w:val="1"/>
          <w:numId w:val="76"/>
        </w:numPr>
        <w:tabs>
          <w:tab w:pos="693" w:val="left" w:leader="none"/>
        </w:tabs>
        <w:spacing w:line="240" w:lineRule="auto" w:before="0" w:after="0"/>
        <w:ind w:left="160" w:right="494" w:firstLine="0"/>
        <w:jc w:val="both"/>
        <w:rPr>
          <w:sz w:val="24"/>
        </w:rPr>
      </w:pPr>
      <w:r>
        <w:rPr>
          <w:sz w:val="24"/>
        </w:rPr>
        <w:t>There is, besides, a need for a continuing programme of general education for primary student-teachers. They need courses which will help them to build up a proper perspective of life, of our cultural heritage and of problems and aspirations of the nation as</w:t>
      </w:r>
      <w:r>
        <w:rPr>
          <w:spacing w:val="-1"/>
          <w:sz w:val="24"/>
        </w:rPr>
        <w:t> </w:t>
      </w:r>
      <w:r>
        <w:rPr>
          <w:sz w:val="24"/>
        </w:rPr>
        <w:t>well</w:t>
      </w:r>
      <w:r>
        <w:rPr>
          <w:spacing w:val="-1"/>
          <w:sz w:val="24"/>
        </w:rPr>
        <w:t> </w:t>
      </w:r>
      <w:r>
        <w:rPr>
          <w:sz w:val="24"/>
        </w:rPr>
        <w:t>as</w:t>
      </w:r>
      <w:r>
        <w:rPr>
          <w:spacing w:val="-1"/>
          <w:sz w:val="24"/>
        </w:rPr>
        <w:t> </w:t>
      </w:r>
      <w:r>
        <w:rPr>
          <w:sz w:val="24"/>
        </w:rPr>
        <w:t>of</w:t>
      </w:r>
      <w:r>
        <w:rPr>
          <w:spacing w:val="-1"/>
          <w:sz w:val="24"/>
        </w:rPr>
        <w:t> </w:t>
      </w:r>
      <w:r>
        <w:rPr>
          <w:sz w:val="24"/>
        </w:rPr>
        <w:t>human</w:t>
      </w:r>
      <w:r>
        <w:rPr>
          <w:spacing w:val="-1"/>
          <w:sz w:val="24"/>
        </w:rPr>
        <w:t> </w:t>
      </w:r>
      <w:r>
        <w:rPr>
          <w:sz w:val="24"/>
        </w:rPr>
        <w:t>culture</w:t>
      </w:r>
      <w:r>
        <w:rPr>
          <w:spacing w:val="-1"/>
          <w:sz w:val="24"/>
        </w:rPr>
        <w:t> </w:t>
      </w:r>
      <w:r>
        <w:rPr>
          <w:sz w:val="24"/>
        </w:rPr>
        <w:t>and</w:t>
      </w:r>
      <w:r>
        <w:rPr>
          <w:spacing w:val="-1"/>
          <w:sz w:val="24"/>
        </w:rPr>
        <w:t> </w:t>
      </w:r>
      <w:r>
        <w:rPr>
          <w:sz w:val="24"/>
        </w:rPr>
        <w:t>civilization</w:t>
      </w:r>
      <w:r>
        <w:rPr>
          <w:spacing w:val="-5"/>
          <w:sz w:val="24"/>
        </w:rPr>
        <w:t> </w:t>
      </w:r>
      <w:r>
        <w:rPr>
          <w:sz w:val="24"/>
        </w:rPr>
        <w:t>ill</w:t>
      </w:r>
      <w:r>
        <w:rPr>
          <w:spacing w:val="-1"/>
          <w:sz w:val="24"/>
        </w:rPr>
        <w:t> </w:t>
      </w:r>
      <w:r>
        <w:rPr>
          <w:sz w:val="24"/>
        </w:rPr>
        <w:t>general.</w:t>
      </w:r>
      <w:r>
        <w:rPr>
          <w:spacing w:val="-1"/>
          <w:sz w:val="24"/>
        </w:rPr>
        <w:t> </w:t>
      </w:r>
      <w:r>
        <w:rPr>
          <w:sz w:val="24"/>
        </w:rPr>
        <w:t>Community</w:t>
      </w:r>
      <w:r>
        <w:rPr>
          <w:spacing w:val="-1"/>
          <w:sz w:val="24"/>
        </w:rPr>
        <w:t> </w:t>
      </w:r>
      <w:r>
        <w:rPr>
          <w:sz w:val="24"/>
        </w:rPr>
        <w:t>living</w:t>
      </w:r>
      <w:r>
        <w:rPr>
          <w:spacing w:val="-1"/>
          <w:sz w:val="24"/>
        </w:rPr>
        <w:t> </w:t>
      </w:r>
      <w:r>
        <w:rPr>
          <w:sz w:val="24"/>
        </w:rPr>
        <w:t>programmes,</w:t>
      </w:r>
      <w:r>
        <w:rPr>
          <w:spacing w:val="-1"/>
          <w:sz w:val="24"/>
        </w:rPr>
        <w:t> </w:t>
      </w:r>
      <w:r>
        <w:rPr>
          <w:sz w:val="24"/>
        </w:rPr>
        <w:t>if organized properly, can develop a sense of responsibility, the capacity for cooperative living and a desire for social service. These would prove to be useful when the teacher is called upon to organize such activities in his school.</w:t>
      </w:r>
    </w:p>
    <w:p>
      <w:pPr>
        <w:pStyle w:val="BodyText"/>
        <w:spacing w:before="5"/>
      </w:pPr>
    </w:p>
    <w:p>
      <w:pPr>
        <w:pStyle w:val="ListParagraph"/>
        <w:numPr>
          <w:ilvl w:val="1"/>
          <w:numId w:val="76"/>
        </w:numPr>
        <w:tabs>
          <w:tab w:pos="641" w:val="left" w:leader="none"/>
        </w:tabs>
        <w:spacing w:line="240" w:lineRule="auto" w:before="0" w:after="0"/>
        <w:ind w:left="159" w:right="496" w:firstLine="0"/>
        <w:jc w:val="both"/>
        <w:rPr>
          <w:sz w:val="24"/>
        </w:rPr>
      </w:pPr>
      <w:r>
        <w:rPr>
          <w:sz w:val="24"/>
        </w:rPr>
        <w:t>We</w:t>
      </w:r>
      <w:r>
        <w:rPr>
          <w:spacing w:val="-1"/>
          <w:sz w:val="24"/>
        </w:rPr>
        <w:t> </w:t>
      </w:r>
      <w:r>
        <w:rPr>
          <w:sz w:val="24"/>
        </w:rPr>
        <w:t>have</w:t>
      </w:r>
      <w:r>
        <w:rPr>
          <w:spacing w:val="-1"/>
          <w:sz w:val="24"/>
        </w:rPr>
        <w:t> </w:t>
      </w:r>
      <w:r>
        <w:rPr>
          <w:sz w:val="24"/>
        </w:rPr>
        <w:t>already</w:t>
      </w:r>
      <w:r>
        <w:rPr>
          <w:spacing w:val="-1"/>
          <w:sz w:val="24"/>
        </w:rPr>
        <w:t> </w:t>
      </w:r>
      <w:r>
        <w:rPr>
          <w:sz w:val="24"/>
        </w:rPr>
        <w:t>spoken</w:t>
      </w:r>
      <w:r>
        <w:rPr>
          <w:spacing w:val="-1"/>
          <w:sz w:val="24"/>
        </w:rPr>
        <w:t> </w:t>
      </w:r>
      <w:r>
        <w:rPr>
          <w:sz w:val="24"/>
        </w:rPr>
        <w:t>about</w:t>
      </w:r>
      <w:r>
        <w:rPr>
          <w:spacing w:val="-1"/>
          <w:sz w:val="24"/>
        </w:rPr>
        <w:t> </w:t>
      </w:r>
      <w:r>
        <w:rPr>
          <w:sz w:val="24"/>
        </w:rPr>
        <w:t>the</w:t>
      </w:r>
      <w:r>
        <w:rPr>
          <w:spacing w:val="-1"/>
          <w:sz w:val="24"/>
        </w:rPr>
        <w:t> </w:t>
      </w:r>
      <w:r>
        <w:rPr>
          <w:sz w:val="24"/>
        </w:rPr>
        <w:t>organization</w:t>
      </w:r>
      <w:r>
        <w:rPr>
          <w:spacing w:val="-1"/>
          <w:sz w:val="24"/>
        </w:rPr>
        <w:t> </w:t>
      </w:r>
      <w:r>
        <w:rPr>
          <w:sz w:val="24"/>
        </w:rPr>
        <w:t>of</w:t>
      </w:r>
      <w:r>
        <w:rPr>
          <w:spacing w:val="-1"/>
          <w:sz w:val="24"/>
        </w:rPr>
        <w:t> </w:t>
      </w:r>
      <w:r>
        <w:rPr>
          <w:sz w:val="24"/>
        </w:rPr>
        <w:t>practice-</w:t>
      </w:r>
      <w:r>
        <w:rPr>
          <w:spacing w:val="-1"/>
          <w:sz w:val="24"/>
        </w:rPr>
        <w:t> </w:t>
      </w:r>
      <w:r>
        <w:rPr>
          <w:sz w:val="24"/>
        </w:rPr>
        <w:t>teaching. We would like to reiterate that in keeping with the goals of education in a modern society, the emphasis in</w:t>
      </w:r>
      <w:r>
        <w:rPr>
          <w:spacing w:val="-1"/>
          <w:sz w:val="24"/>
        </w:rPr>
        <w:t> </w:t>
      </w:r>
      <w:r>
        <w:rPr>
          <w:sz w:val="24"/>
        </w:rPr>
        <w:t>practice-teaching</w:t>
      </w:r>
      <w:r>
        <w:rPr>
          <w:spacing w:val="-1"/>
          <w:sz w:val="24"/>
        </w:rPr>
        <w:t> </w:t>
      </w:r>
      <w:r>
        <w:rPr>
          <w:sz w:val="24"/>
        </w:rPr>
        <w:t>and</w:t>
      </w:r>
      <w:r>
        <w:rPr>
          <w:spacing w:val="-1"/>
          <w:sz w:val="24"/>
        </w:rPr>
        <w:t> </w:t>
      </w:r>
      <w:r>
        <w:rPr>
          <w:sz w:val="24"/>
        </w:rPr>
        <w:t>in</w:t>
      </w:r>
      <w:r>
        <w:rPr>
          <w:spacing w:val="-1"/>
          <w:sz w:val="24"/>
        </w:rPr>
        <w:t> </w:t>
      </w:r>
      <w:r>
        <w:rPr>
          <w:sz w:val="24"/>
        </w:rPr>
        <w:t>courses</w:t>
      </w:r>
      <w:r>
        <w:rPr>
          <w:spacing w:val="-1"/>
          <w:sz w:val="24"/>
        </w:rPr>
        <w:t> </w:t>
      </w:r>
      <w:r>
        <w:rPr>
          <w:sz w:val="24"/>
        </w:rPr>
        <w:t>on</w:t>
      </w:r>
      <w:r>
        <w:rPr>
          <w:spacing w:val="-1"/>
          <w:sz w:val="24"/>
        </w:rPr>
        <w:t> </w:t>
      </w:r>
      <w:r>
        <w:rPr>
          <w:sz w:val="24"/>
        </w:rPr>
        <w:t>methods</w:t>
      </w:r>
      <w:r>
        <w:rPr>
          <w:spacing w:val="-3"/>
          <w:sz w:val="24"/>
        </w:rPr>
        <w:t> </w:t>
      </w:r>
      <w:r>
        <w:rPr>
          <w:sz w:val="24"/>
        </w:rPr>
        <w:t>and</w:t>
      </w:r>
      <w:r>
        <w:rPr>
          <w:spacing w:val="-1"/>
          <w:sz w:val="24"/>
        </w:rPr>
        <w:t> </w:t>
      </w:r>
      <w:r>
        <w:rPr>
          <w:sz w:val="24"/>
        </w:rPr>
        <w:t>materials</w:t>
      </w:r>
      <w:r>
        <w:rPr>
          <w:spacing w:val="-1"/>
          <w:sz w:val="24"/>
        </w:rPr>
        <w:t> </w:t>
      </w:r>
      <w:r>
        <w:rPr>
          <w:sz w:val="24"/>
        </w:rPr>
        <w:t>should</w:t>
      </w:r>
      <w:r>
        <w:rPr>
          <w:spacing w:val="-1"/>
          <w:sz w:val="24"/>
        </w:rPr>
        <w:t> </w:t>
      </w:r>
      <w:r>
        <w:rPr>
          <w:sz w:val="24"/>
        </w:rPr>
        <w:t>be</w:t>
      </w:r>
      <w:r>
        <w:rPr>
          <w:spacing w:val="-1"/>
          <w:sz w:val="24"/>
        </w:rPr>
        <w:t> </w:t>
      </w:r>
      <w:r>
        <w:rPr>
          <w:sz w:val="24"/>
        </w:rPr>
        <w:t>on</w:t>
      </w:r>
      <w:r>
        <w:rPr>
          <w:spacing w:val="-1"/>
          <w:sz w:val="24"/>
        </w:rPr>
        <w:t> </w:t>
      </w:r>
      <w:r>
        <w:rPr>
          <w:sz w:val="24"/>
        </w:rPr>
        <w:t>developing</w:t>
      </w:r>
      <w:r>
        <w:rPr>
          <w:spacing w:val="-1"/>
          <w:sz w:val="24"/>
        </w:rPr>
        <w:t> </w:t>
      </w:r>
      <w:r>
        <w:rPr>
          <w:sz w:val="24"/>
        </w:rPr>
        <w:t>the problem-solving abilities of pupils, using assimilation and understanding of fundamental facts only as a basis. These abilities should first be developed in the student-teachers themselves by teacher educators. No separate demonstration or exposition of the methods would be as effective as their use in the students' own learning.</w:t>
      </w:r>
    </w:p>
    <w:p>
      <w:pPr>
        <w:spacing w:after="0" w:line="240" w:lineRule="auto"/>
        <w:jc w:val="both"/>
        <w:rPr>
          <w:sz w:val="24"/>
        </w:rPr>
        <w:sectPr>
          <w:pgSz w:w="12240" w:h="15840"/>
          <w:pgMar w:header="0" w:footer="743" w:top="1360" w:bottom="940" w:left="1640" w:right="1300"/>
        </w:sectPr>
      </w:pPr>
    </w:p>
    <w:p>
      <w:pPr>
        <w:pStyle w:val="ListParagraph"/>
        <w:numPr>
          <w:ilvl w:val="1"/>
          <w:numId w:val="76"/>
        </w:numPr>
        <w:tabs>
          <w:tab w:pos="664" w:val="left" w:leader="none"/>
        </w:tabs>
        <w:spacing w:line="240" w:lineRule="auto" w:before="76" w:after="0"/>
        <w:ind w:left="159" w:right="495" w:firstLine="0"/>
        <w:jc w:val="both"/>
        <w:rPr>
          <w:b/>
          <w:sz w:val="24"/>
        </w:rPr>
      </w:pPr>
      <w:r>
        <w:rPr>
          <w:b/>
          <w:sz w:val="24"/>
        </w:rPr>
        <w:t>Curriculum for the Professional Education of Secondary Teachers. </w:t>
      </w:r>
      <w:r>
        <w:rPr>
          <w:sz w:val="24"/>
        </w:rPr>
        <w:t>At present the course at this level comprises a study of the foundations of education-philosophical, psychological and sociological-school organization, methods of teaching, practice- teaching and practical work. There is need here to eliminate irrelevant matter and to</w:t>
      </w:r>
      <w:r>
        <w:rPr>
          <w:spacing w:val="80"/>
          <w:sz w:val="24"/>
        </w:rPr>
        <w:t> </w:t>
      </w:r>
      <w:r>
        <w:rPr>
          <w:sz w:val="24"/>
        </w:rPr>
        <w:t>relate the curriculum closely to the teacher's responsibilities and to Indian conditions, problems and studies. The professional as well as general education courses should</w:t>
      </w:r>
      <w:r>
        <w:rPr>
          <w:spacing w:val="40"/>
          <w:sz w:val="24"/>
        </w:rPr>
        <w:t> </w:t>
      </w:r>
      <w:r>
        <w:rPr>
          <w:sz w:val="24"/>
        </w:rPr>
        <w:t>enable the student to understand and appreciate the nature of forces- social, political, religious, economic and technological-which are tending to transform modem Indian society, and the educational problems emanating from this transformation and the role of education in giving direction and purpose to it. Moreover, student-teachers at this level need to be provided with specific learning experiences in constructing achievement and diagnostic tests, in spotting talent, in developing enrichment programme, in diagnosing difficulties of under- achievers and in planning remedial programmes.</w:t>
      </w:r>
    </w:p>
    <w:p>
      <w:pPr>
        <w:pStyle w:val="BodyText"/>
        <w:spacing w:before="4"/>
      </w:pPr>
    </w:p>
    <w:p>
      <w:pPr>
        <w:pStyle w:val="ListParagraph"/>
        <w:numPr>
          <w:ilvl w:val="1"/>
          <w:numId w:val="76"/>
        </w:numPr>
        <w:tabs>
          <w:tab w:pos="647" w:val="left" w:leader="none"/>
        </w:tabs>
        <w:spacing w:line="240" w:lineRule="auto" w:before="0" w:after="0"/>
        <w:ind w:left="159" w:right="495" w:firstLine="0"/>
        <w:jc w:val="both"/>
        <w:rPr>
          <w:sz w:val="24"/>
        </w:rPr>
      </w:pPr>
      <w:r>
        <w:rPr>
          <w:sz w:val="24"/>
        </w:rPr>
        <w:t>The total programme of teacher education at this level also needs to be organized in the spirit of a community enterprise. The process of interaction between the different elements comprising the college community should be conducive to the enrichment of each one's personality. This is obviously applicable to training institutions at other levels </w:t>
      </w:r>
      <w:r>
        <w:rPr>
          <w:spacing w:val="-2"/>
          <w:sz w:val="24"/>
        </w:rPr>
        <w:t>also.</w:t>
      </w:r>
    </w:p>
    <w:p>
      <w:pPr>
        <w:pStyle w:val="BodyText"/>
        <w:spacing w:before="4"/>
      </w:pPr>
    </w:p>
    <w:p>
      <w:pPr>
        <w:pStyle w:val="ListParagraph"/>
        <w:numPr>
          <w:ilvl w:val="1"/>
          <w:numId w:val="76"/>
        </w:numPr>
        <w:tabs>
          <w:tab w:pos="694" w:val="left" w:leader="none"/>
        </w:tabs>
        <w:spacing w:line="240" w:lineRule="auto" w:before="0" w:after="0"/>
        <w:ind w:left="159" w:right="496" w:firstLine="0"/>
        <w:jc w:val="both"/>
        <w:rPr>
          <w:b/>
          <w:sz w:val="24"/>
        </w:rPr>
      </w:pPr>
      <w:r>
        <w:rPr>
          <w:b/>
          <w:sz w:val="24"/>
        </w:rPr>
        <w:t>General Observations. </w:t>
      </w:r>
      <w:r>
        <w:rPr>
          <w:sz w:val="24"/>
        </w:rPr>
        <w:t>We must make it clear that we do not expect training institutions to provide all the knowledge, skills and methods that will be required for carrying out various programmes. We cannot aim at turning out a finished product-a teacher who would be equipped fully with all that he may need for carrying out his responsibilities for all time. A complete training to meet all anticipated situations is neither</w:t>
      </w:r>
      <w:r>
        <w:rPr>
          <w:spacing w:val="-1"/>
          <w:sz w:val="24"/>
        </w:rPr>
        <w:t> </w:t>
      </w:r>
      <w:r>
        <w:rPr>
          <w:sz w:val="24"/>
        </w:rPr>
        <w:t>possible</w:t>
      </w:r>
      <w:r>
        <w:rPr>
          <w:spacing w:val="-1"/>
          <w:sz w:val="24"/>
        </w:rPr>
        <w:t> </w:t>
      </w:r>
      <w:r>
        <w:rPr>
          <w:sz w:val="24"/>
        </w:rPr>
        <w:t>nor</w:t>
      </w:r>
      <w:r>
        <w:rPr>
          <w:spacing w:val="-1"/>
          <w:sz w:val="24"/>
        </w:rPr>
        <w:t> </w:t>
      </w:r>
      <w:r>
        <w:rPr>
          <w:sz w:val="24"/>
        </w:rPr>
        <w:t>desirable.</w:t>
      </w:r>
      <w:r>
        <w:rPr>
          <w:spacing w:val="-1"/>
          <w:sz w:val="24"/>
        </w:rPr>
        <w:t> </w:t>
      </w:r>
      <w:r>
        <w:rPr>
          <w:sz w:val="24"/>
        </w:rPr>
        <w:t>The</w:t>
      </w:r>
      <w:r>
        <w:rPr>
          <w:spacing w:val="-1"/>
          <w:sz w:val="24"/>
        </w:rPr>
        <w:t> </w:t>
      </w:r>
      <w:r>
        <w:rPr>
          <w:sz w:val="24"/>
        </w:rPr>
        <w:t>more</w:t>
      </w:r>
      <w:r>
        <w:rPr>
          <w:spacing w:val="-1"/>
          <w:sz w:val="24"/>
        </w:rPr>
        <w:t> </w:t>
      </w:r>
      <w:r>
        <w:rPr>
          <w:sz w:val="24"/>
        </w:rPr>
        <w:t>dynamic</w:t>
      </w:r>
      <w:r>
        <w:rPr>
          <w:spacing w:val="-1"/>
          <w:sz w:val="24"/>
        </w:rPr>
        <w:t> </w:t>
      </w:r>
      <w:r>
        <w:rPr>
          <w:sz w:val="24"/>
        </w:rPr>
        <w:t>a</w:t>
      </w:r>
      <w:r>
        <w:rPr>
          <w:spacing w:val="-1"/>
          <w:sz w:val="24"/>
        </w:rPr>
        <w:t> </w:t>
      </w:r>
      <w:r>
        <w:rPr>
          <w:sz w:val="24"/>
        </w:rPr>
        <w:t>vocation,</w:t>
      </w:r>
      <w:r>
        <w:rPr>
          <w:spacing w:val="-1"/>
          <w:sz w:val="24"/>
        </w:rPr>
        <w:t> </w:t>
      </w:r>
      <w:r>
        <w:rPr>
          <w:sz w:val="24"/>
        </w:rPr>
        <w:t>the</w:t>
      </w:r>
      <w:r>
        <w:rPr>
          <w:spacing w:val="-1"/>
          <w:sz w:val="24"/>
        </w:rPr>
        <w:t> </w:t>
      </w:r>
      <w:r>
        <w:rPr>
          <w:sz w:val="24"/>
        </w:rPr>
        <w:t>less</w:t>
      </w:r>
      <w:r>
        <w:rPr>
          <w:spacing w:val="-1"/>
          <w:sz w:val="24"/>
        </w:rPr>
        <w:t> </w:t>
      </w:r>
      <w:r>
        <w:rPr>
          <w:sz w:val="24"/>
        </w:rPr>
        <w:t>chances</w:t>
      </w:r>
      <w:r>
        <w:rPr>
          <w:spacing w:val="-1"/>
          <w:sz w:val="24"/>
        </w:rPr>
        <w:t> </w:t>
      </w:r>
      <w:r>
        <w:rPr>
          <w:sz w:val="24"/>
        </w:rPr>
        <w:t>there</w:t>
      </w:r>
      <w:r>
        <w:rPr>
          <w:spacing w:val="-1"/>
          <w:sz w:val="24"/>
        </w:rPr>
        <w:t> </w:t>
      </w:r>
      <w:r>
        <w:rPr>
          <w:sz w:val="24"/>
        </w:rPr>
        <w:t>are</w:t>
      </w:r>
      <w:r>
        <w:rPr>
          <w:spacing w:val="-1"/>
          <w:sz w:val="24"/>
        </w:rPr>
        <w:t> </w:t>
      </w:r>
      <w:r>
        <w:rPr>
          <w:sz w:val="24"/>
        </w:rPr>
        <w:t>of giving a complete initial training. What is important in a teacher education programme is to develop in the student insight and understanding, the capacity to learn, and resourcefulness. When there is need for specific orientation, in- service programmes can be organized.</w:t>
      </w:r>
    </w:p>
    <w:p>
      <w:pPr>
        <w:pStyle w:val="BodyText"/>
        <w:spacing w:before="4"/>
      </w:pPr>
    </w:p>
    <w:p>
      <w:pPr>
        <w:pStyle w:val="ListParagraph"/>
        <w:numPr>
          <w:ilvl w:val="1"/>
          <w:numId w:val="76"/>
        </w:numPr>
        <w:tabs>
          <w:tab w:pos="663" w:val="left" w:leader="none"/>
        </w:tabs>
        <w:spacing w:line="240" w:lineRule="auto" w:before="0" w:after="0"/>
        <w:ind w:left="159" w:right="496" w:firstLine="0"/>
        <w:jc w:val="both"/>
        <w:rPr>
          <w:sz w:val="24"/>
        </w:rPr>
      </w:pPr>
      <w:r>
        <w:rPr>
          <w:sz w:val="24"/>
        </w:rPr>
        <w:t>The curriculum and programme of activities to be followed in training </w:t>
      </w:r>
      <w:r>
        <w:rPr>
          <w:sz w:val="24"/>
        </w:rPr>
        <w:t>institutions must be such as will meet the requirements of the national system of education. Teacher education curricula and courses at all levels will need to be revised from this point of view.</w:t>
      </w:r>
      <w:r>
        <w:rPr>
          <w:spacing w:val="-2"/>
          <w:sz w:val="24"/>
        </w:rPr>
        <w:t> </w:t>
      </w:r>
      <w:r>
        <w:rPr>
          <w:sz w:val="24"/>
        </w:rPr>
        <w:t>This</w:t>
      </w:r>
      <w:r>
        <w:rPr>
          <w:spacing w:val="-2"/>
          <w:sz w:val="24"/>
        </w:rPr>
        <w:t> </w:t>
      </w:r>
      <w:r>
        <w:rPr>
          <w:sz w:val="24"/>
        </w:rPr>
        <w:t>should</w:t>
      </w:r>
      <w:r>
        <w:rPr>
          <w:spacing w:val="-2"/>
          <w:sz w:val="24"/>
        </w:rPr>
        <w:t> </w:t>
      </w:r>
      <w:r>
        <w:rPr>
          <w:sz w:val="24"/>
        </w:rPr>
        <w:t>be</w:t>
      </w:r>
      <w:r>
        <w:rPr>
          <w:spacing w:val="-2"/>
          <w:sz w:val="24"/>
        </w:rPr>
        <w:t> </w:t>
      </w:r>
      <w:r>
        <w:rPr>
          <w:sz w:val="24"/>
        </w:rPr>
        <w:t>one</w:t>
      </w:r>
      <w:r>
        <w:rPr>
          <w:spacing w:val="-2"/>
          <w:sz w:val="24"/>
        </w:rPr>
        <w:t> </w:t>
      </w:r>
      <w:r>
        <w:rPr>
          <w:sz w:val="24"/>
        </w:rPr>
        <w:t>of</w:t>
      </w:r>
      <w:r>
        <w:rPr>
          <w:spacing w:val="-2"/>
          <w:sz w:val="24"/>
        </w:rPr>
        <w:t> </w:t>
      </w:r>
      <w:r>
        <w:rPr>
          <w:sz w:val="24"/>
        </w:rPr>
        <w:t>the</w:t>
      </w:r>
      <w:r>
        <w:rPr>
          <w:spacing w:val="-2"/>
          <w:sz w:val="24"/>
        </w:rPr>
        <w:t> </w:t>
      </w:r>
      <w:r>
        <w:rPr>
          <w:sz w:val="24"/>
        </w:rPr>
        <w:t>earliest</w:t>
      </w:r>
      <w:r>
        <w:rPr>
          <w:spacing w:val="-2"/>
          <w:sz w:val="24"/>
        </w:rPr>
        <w:t> </w:t>
      </w:r>
      <w:r>
        <w:rPr>
          <w:sz w:val="24"/>
        </w:rPr>
        <w:t>and</w:t>
      </w:r>
      <w:r>
        <w:rPr>
          <w:spacing w:val="-2"/>
          <w:sz w:val="24"/>
        </w:rPr>
        <w:t> </w:t>
      </w:r>
      <w:r>
        <w:rPr>
          <w:sz w:val="24"/>
        </w:rPr>
        <w:t>the</w:t>
      </w:r>
      <w:r>
        <w:rPr>
          <w:spacing w:val="-2"/>
          <w:sz w:val="24"/>
        </w:rPr>
        <w:t> </w:t>
      </w:r>
      <w:r>
        <w:rPr>
          <w:sz w:val="24"/>
        </w:rPr>
        <w:t>most</w:t>
      </w:r>
      <w:r>
        <w:rPr>
          <w:spacing w:val="-2"/>
          <w:sz w:val="24"/>
        </w:rPr>
        <w:t> </w:t>
      </w:r>
      <w:r>
        <w:rPr>
          <w:sz w:val="24"/>
        </w:rPr>
        <w:t>significant</w:t>
      </w:r>
      <w:r>
        <w:rPr>
          <w:spacing w:val="-2"/>
          <w:sz w:val="24"/>
        </w:rPr>
        <w:t> </w:t>
      </w:r>
      <w:r>
        <w:rPr>
          <w:sz w:val="24"/>
        </w:rPr>
        <w:t>tasks</w:t>
      </w:r>
      <w:r>
        <w:rPr>
          <w:spacing w:val="-2"/>
          <w:sz w:val="24"/>
        </w:rPr>
        <w:t> </w:t>
      </w:r>
      <w:r>
        <w:rPr>
          <w:sz w:val="24"/>
        </w:rPr>
        <w:t>to</w:t>
      </w:r>
      <w:r>
        <w:rPr>
          <w:spacing w:val="-2"/>
          <w:sz w:val="24"/>
        </w:rPr>
        <w:t> </w:t>
      </w:r>
      <w:r>
        <w:rPr>
          <w:sz w:val="24"/>
        </w:rPr>
        <w:t>be</w:t>
      </w:r>
      <w:r>
        <w:rPr>
          <w:spacing w:val="-2"/>
          <w:sz w:val="24"/>
        </w:rPr>
        <w:t> </w:t>
      </w:r>
      <w:r>
        <w:rPr>
          <w:sz w:val="24"/>
        </w:rPr>
        <w:t>undertaken</w:t>
      </w:r>
      <w:r>
        <w:rPr>
          <w:spacing w:val="-2"/>
          <w:sz w:val="24"/>
        </w:rPr>
        <w:t> </w:t>
      </w:r>
      <w:r>
        <w:rPr>
          <w:sz w:val="24"/>
        </w:rPr>
        <w:t>by the State Boards of Teacher Education and the Standing Committee of the UGC on Teacher Education whose establishment is discussed later in this chapter. We would like to suggest that the ground should be prepared for this by leading teacher educators coming</w:t>
      </w:r>
      <w:r>
        <w:rPr>
          <w:spacing w:val="-1"/>
          <w:sz w:val="24"/>
        </w:rPr>
        <w:t> </w:t>
      </w:r>
      <w:r>
        <w:rPr>
          <w:sz w:val="24"/>
        </w:rPr>
        <w:t>together</w:t>
      </w:r>
      <w:r>
        <w:rPr>
          <w:spacing w:val="-1"/>
          <w:sz w:val="24"/>
        </w:rPr>
        <w:t> </w:t>
      </w:r>
      <w:r>
        <w:rPr>
          <w:sz w:val="24"/>
        </w:rPr>
        <w:t>to</w:t>
      </w:r>
      <w:r>
        <w:rPr>
          <w:spacing w:val="-1"/>
          <w:sz w:val="24"/>
        </w:rPr>
        <w:t> </w:t>
      </w:r>
      <w:r>
        <w:rPr>
          <w:sz w:val="24"/>
        </w:rPr>
        <w:t>discuss</w:t>
      </w:r>
      <w:r>
        <w:rPr>
          <w:spacing w:val="-1"/>
          <w:sz w:val="24"/>
        </w:rPr>
        <w:t> </w:t>
      </w:r>
      <w:r>
        <w:rPr>
          <w:sz w:val="24"/>
        </w:rPr>
        <w:t>the</w:t>
      </w:r>
      <w:r>
        <w:rPr>
          <w:spacing w:val="-1"/>
          <w:sz w:val="24"/>
        </w:rPr>
        <w:t> </w:t>
      </w:r>
      <w:r>
        <w:rPr>
          <w:sz w:val="24"/>
        </w:rPr>
        <w:t>curricula</w:t>
      </w:r>
      <w:r>
        <w:rPr>
          <w:spacing w:val="-1"/>
          <w:sz w:val="24"/>
        </w:rPr>
        <w:t> </w:t>
      </w:r>
      <w:r>
        <w:rPr>
          <w:sz w:val="24"/>
        </w:rPr>
        <w:t>for</w:t>
      </w:r>
      <w:r>
        <w:rPr>
          <w:spacing w:val="-1"/>
          <w:sz w:val="24"/>
        </w:rPr>
        <w:t> </w:t>
      </w:r>
      <w:r>
        <w:rPr>
          <w:sz w:val="24"/>
        </w:rPr>
        <w:t>the</w:t>
      </w:r>
      <w:r>
        <w:rPr>
          <w:spacing w:val="-2"/>
          <w:sz w:val="24"/>
        </w:rPr>
        <w:t> </w:t>
      </w:r>
      <w:r>
        <w:rPr>
          <w:sz w:val="24"/>
        </w:rPr>
        <w:t>professional</w:t>
      </w:r>
      <w:r>
        <w:rPr>
          <w:spacing w:val="-2"/>
          <w:sz w:val="24"/>
        </w:rPr>
        <w:t> </w:t>
      </w:r>
      <w:r>
        <w:rPr>
          <w:sz w:val="24"/>
        </w:rPr>
        <w:t>preparation</w:t>
      </w:r>
      <w:r>
        <w:rPr>
          <w:spacing w:val="-1"/>
          <w:sz w:val="24"/>
        </w:rPr>
        <w:t> </w:t>
      </w:r>
      <w:r>
        <w:rPr>
          <w:sz w:val="24"/>
        </w:rPr>
        <w:t>of</w:t>
      </w:r>
      <w:r>
        <w:rPr>
          <w:spacing w:val="-1"/>
          <w:sz w:val="24"/>
        </w:rPr>
        <w:t> </w:t>
      </w:r>
      <w:r>
        <w:rPr>
          <w:sz w:val="24"/>
        </w:rPr>
        <w:t>teachers</w:t>
      </w:r>
      <w:r>
        <w:rPr>
          <w:spacing w:val="-1"/>
          <w:sz w:val="24"/>
        </w:rPr>
        <w:t> </w:t>
      </w:r>
      <w:r>
        <w:rPr>
          <w:sz w:val="24"/>
        </w:rPr>
        <w:t>in</w:t>
      </w:r>
      <w:r>
        <w:rPr>
          <w:spacing w:val="-1"/>
          <w:sz w:val="24"/>
        </w:rPr>
        <w:t> </w:t>
      </w:r>
      <w:r>
        <w:rPr>
          <w:sz w:val="24"/>
        </w:rPr>
        <w:t>the light of our recommendations regarding the entire system and programme of school education, including curricula, methods of work, activities and examinations.</w:t>
      </w:r>
    </w:p>
    <w:p>
      <w:pPr>
        <w:pStyle w:val="BodyText"/>
        <w:spacing w:before="5"/>
      </w:pPr>
    </w:p>
    <w:p>
      <w:pPr>
        <w:pStyle w:val="ListParagraph"/>
        <w:numPr>
          <w:ilvl w:val="1"/>
          <w:numId w:val="76"/>
        </w:numPr>
        <w:tabs>
          <w:tab w:pos="652" w:val="left" w:leader="none"/>
        </w:tabs>
        <w:spacing w:line="240" w:lineRule="auto" w:before="0" w:after="0"/>
        <w:ind w:left="159" w:right="498" w:firstLine="0"/>
        <w:jc w:val="both"/>
        <w:rPr>
          <w:b/>
          <w:sz w:val="24"/>
        </w:rPr>
      </w:pPr>
      <w:r>
        <w:rPr>
          <w:b/>
          <w:sz w:val="24"/>
        </w:rPr>
        <w:t>Postgraduate Courses. </w:t>
      </w:r>
      <w:r>
        <w:rPr>
          <w:sz w:val="24"/>
        </w:rPr>
        <w:t>There is urgent need to improve the Master's or the second degree courses in education. We agree with the Review Committee on Education (appointed by the UGC) which has systematically reviewed these courses, that the existing courses for Master's degree in education lack effective and thoughtful direction</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pPr>
      <w:r>
        <w:rPr/>
        <w:t>and that they are mostly ornamental except for service in a training college. The existing courses are not closely linked with professional needs at a higher level nor do they have the depth and intensity necessary for the study of education as an academic discipline. They appear to have grown out of the B.Ed. courses without any clear idea of their </w:t>
      </w:r>
      <w:r>
        <w:rPr>
          <w:spacing w:val="-2"/>
        </w:rPr>
        <w:t>purpose.</w:t>
      </w:r>
    </w:p>
    <w:p>
      <w:pPr>
        <w:pStyle w:val="BodyText"/>
        <w:spacing w:before="4"/>
      </w:pPr>
    </w:p>
    <w:p>
      <w:pPr>
        <w:pStyle w:val="ListParagraph"/>
        <w:numPr>
          <w:ilvl w:val="1"/>
          <w:numId w:val="76"/>
        </w:numPr>
        <w:tabs>
          <w:tab w:pos="655" w:val="left" w:leader="none"/>
        </w:tabs>
        <w:spacing w:line="240" w:lineRule="auto" w:before="0" w:after="0"/>
        <w:ind w:left="159" w:right="495" w:firstLine="0"/>
        <w:jc w:val="both"/>
        <w:rPr>
          <w:sz w:val="24"/>
        </w:rPr>
      </w:pPr>
      <w:r>
        <w:rPr>
          <w:sz w:val="24"/>
        </w:rPr>
        <w:t>In our opinion, the general purpose of the postgraduate studies in education should be to enable the student to undertake a deeper, scientific and academic study in some specific field requiring special knowledge and initiative. A postgraduate course of studies should include (1) core courses to provide the student with a perspective for the study of education and educational problems and to familiarize him with scientific ways of studying them, (2) courses in areas of specialization related to some field such as educational planning and administration, teacher education, guidance and counselling, educational evaluation, or psychological foundations of education, (3) the study of the methodology of research, and (4) a dissertation. The organization of the course should be flexible and allow for a wide choice to suit different purposes.</w:t>
      </w:r>
    </w:p>
    <w:p>
      <w:pPr>
        <w:pStyle w:val="BodyText"/>
        <w:spacing w:before="4"/>
      </w:pPr>
    </w:p>
    <w:p>
      <w:pPr>
        <w:pStyle w:val="ListParagraph"/>
        <w:numPr>
          <w:ilvl w:val="1"/>
          <w:numId w:val="76"/>
        </w:numPr>
        <w:tabs>
          <w:tab w:pos="652" w:val="left" w:leader="none"/>
        </w:tabs>
        <w:spacing w:line="240" w:lineRule="auto" w:before="0" w:after="0"/>
        <w:ind w:left="159" w:right="496" w:firstLine="0"/>
        <w:jc w:val="both"/>
        <w:rPr>
          <w:sz w:val="24"/>
        </w:rPr>
      </w:pPr>
      <w:r>
        <w:rPr>
          <w:sz w:val="24"/>
        </w:rPr>
        <w:t>A postgraduate degree in education is not a necessary qualification for the teaching profession and should be taken only by persons of ability and special interest. It is also necessary to maintain the highest standards at this level because most of the teacher educators</w:t>
      </w:r>
      <w:r>
        <w:rPr>
          <w:spacing w:val="-2"/>
          <w:sz w:val="24"/>
        </w:rPr>
        <w:t> </w:t>
      </w:r>
      <w:r>
        <w:rPr>
          <w:sz w:val="24"/>
        </w:rPr>
        <w:t>would</w:t>
      </w:r>
      <w:r>
        <w:rPr>
          <w:spacing w:val="-2"/>
          <w:sz w:val="24"/>
        </w:rPr>
        <w:t> </w:t>
      </w:r>
      <w:r>
        <w:rPr>
          <w:sz w:val="24"/>
        </w:rPr>
        <w:t>come</w:t>
      </w:r>
      <w:r>
        <w:rPr>
          <w:spacing w:val="-2"/>
          <w:sz w:val="24"/>
        </w:rPr>
        <w:t> </w:t>
      </w:r>
      <w:r>
        <w:rPr>
          <w:sz w:val="24"/>
        </w:rPr>
        <w:t>out</w:t>
      </w:r>
      <w:r>
        <w:rPr>
          <w:spacing w:val="-2"/>
          <w:sz w:val="24"/>
        </w:rPr>
        <w:t> </w:t>
      </w:r>
      <w:r>
        <w:rPr>
          <w:sz w:val="24"/>
        </w:rPr>
        <w:t>of</w:t>
      </w:r>
      <w:r>
        <w:rPr>
          <w:spacing w:val="-2"/>
          <w:sz w:val="24"/>
        </w:rPr>
        <w:t> </w:t>
      </w:r>
      <w:r>
        <w:rPr>
          <w:sz w:val="24"/>
        </w:rPr>
        <w:t>these</w:t>
      </w:r>
      <w:r>
        <w:rPr>
          <w:spacing w:val="-2"/>
          <w:sz w:val="24"/>
        </w:rPr>
        <w:t> </w:t>
      </w:r>
      <w:r>
        <w:rPr>
          <w:sz w:val="24"/>
        </w:rPr>
        <w:t>courses.</w:t>
      </w:r>
      <w:r>
        <w:rPr>
          <w:spacing w:val="-2"/>
          <w:sz w:val="24"/>
        </w:rPr>
        <w:t> </w:t>
      </w:r>
      <w:r>
        <w:rPr>
          <w:sz w:val="24"/>
        </w:rPr>
        <w:t>This</w:t>
      </w:r>
      <w:r>
        <w:rPr>
          <w:spacing w:val="-2"/>
          <w:sz w:val="24"/>
        </w:rPr>
        <w:t> </w:t>
      </w:r>
      <w:r>
        <w:rPr>
          <w:sz w:val="24"/>
        </w:rPr>
        <w:t>would</w:t>
      </w:r>
      <w:r>
        <w:rPr>
          <w:spacing w:val="-3"/>
          <w:sz w:val="24"/>
        </w:rPr>
        <w:t> </w:t>
      </w:r>
      <w:r>
        <w:rPr>
          <w:sz w:val="24"/>
        </w:rPr>
        <w:t>need</w:t>
      </w:r>
      <w:r>
        <w:rPr>
          <w:spacing w:val="-2"/>
          <w:sz w:val="24"/>
        </w:rPr>
        <w:t> </w:t>
      </w:r>
      <w:r>
        <w:rPr>
          <w:sz w:val="24"/>
        </w:rPr>
        <w:t>the</w:t>
      </w:r>
      <w:r>
        <w:rPr>
          <w:spacing w:val="-3"/>
          <w:sz w:val="24"/>
        </w:rPr>
        <w:t> </w:t>
      </w:r>
      <w:r>
        <w:rPr>
          <w:sz w:val="24"/>
        </w:rPr>
        <w:t>upgrading</w:t>
      </w:r>
      <w:r>
        <w:rPr>
          <w:spacing w:val="-2"/>
          <w:sz w:val="24"/>
        </w:rPr>
        <w:t> </w:t>
      </w:r>
      <w:r>
        <w:rPr>
          <w:sz w:val="24"/>
        </w:rPr>
        <w:t>of</w:t>
      </w:r>
      <w:r>
        <w:rPr>
          <w:spacing w:val="-2"/>
          <w:sz w:val="24"/>
        </w:rPr>
        <w:t> </w:t>
      </w:r>
      <w:r>
        <w:rPr>
          <w:sz w:val="24"/>
        </w:rPr>
        <w:t>the</w:t>
      </w:r>
      <w:r>
        <w:rPr>
          <w:spacing w:val="-2"/>
          <w:sz w:val="24"/>
        </w:rPr>
        <w:t> </w:t>
      </w:r>
      <w:r>
        <w:rPr>
          <w:sz w:val="24"/>
        </w:rPr>
        <w:t>level</w:t>
      </w:r>
      <w:r>
        <w:rPr>
          <w:spacing w:val="-2"/>
          <w:sz w:val="24"/>
        </w:rPr>
        <w:t> </w:t>
      </w:r>
      <w:r>
        <w:rPr>
          <w:sz w:val="24"/>
        </w:rPr>
        <w:t>of students, staff and institutions. Surveys reveal that the intellectual and academic caliber</w:t>
      </w:r>
      <w:r>
        <w:rPr>
          <w:spacing w:val="40"/>
          <w:sz w:val="24"/>
        </w:rPr>
        <w:t> </w:t>
      </w:r>
      <w:r>
        <w:rPr>
          <w:sz w:val="24"/>
        </w:rPr>
        <w:t>of entrants to the M.Ed. course is not high. This follows from the fact that the B.Ed. is considered to be a necessary qualification for admission to the M.Ed. course and not many first or second class graduates choose to go in for the B.Ed. course because of the poor prospects in the teaching profession. We recommend that there should be a rigorous selection of students-the postgraduate course should be taken only by those whose academic and professional record is of a high order-at least a good second class in both the degrees. The staff in charge of postgraduate work should also have special competence and the university committees granting recognition to such staff should be strict in the Selection, and grant recognition only after interviewing the persons concerned. it should be remembered that every one who lectures at the B.Ed. level is not necessarily suitable for postgraduate work which needs a deeper academic study and sustained intellectual effort. Similarly, postgraduate work should not be looked upon as</w:t>
      </w:r>
      <w:r>
        <w:rPr>
          <w:spacing w:val="40"/>
          <w:sz w:val="24"/>
        </w:rPr>
        <w:t> </w:t>
      </w:r>
      <w:r>
        <w:rPr>
          <w:sz w:val="24"/>
        </w:rPr>
        <w:t>an essential function of all teacher training institutions. Only those institutions which</w:t>
      </w:r>
      <w:r>
        <w:rPr>
          <w:spacing w:val="40"/>
          <w:sz w:val="24"/>
        </w:rPr>
        <w:t> </w:t>
      </w:r>
      <w:r>
        <w:rPr>
          <w:sz w:val="24"/>
        </w:rPr>
        <w:t>have a competent staff suitable for the purpose and the needed facilities, should undertake, it.</w:t>
      </w:r>
    </w:p>
    <w:p>
      <w:pPr>
        <w:pStyle w:val="BodyText"/>
        <w:spacing w:before="4"/>
      </w:pPr>
    </w:p>
    <w:p>
      <w:pPr>
        <w:pStyle w:val="ListParagraph"/>
        <w:numPr>
          <w:ilvl w:val="1"/>
          <w:numId w:val="76"/>
        </w:numPr>
        <w:tabs>
          <w:tab w:pos="667" w:val="left" w:leader="none"/>
        </w:tabs>
        <w:spacing w:line="240" w:lineRule="auto" w:before="0" w:after="0"/>
        <w:ind w:left="159" w:right="498" w:firstLine="0"/>
        <w:jc w:val="both"/>
        <w:rPr>
          <w:sz w:val="24"/>
        </w:rPr>
      </w:pPr>
      <w:r>
        <w:rPr>
          <w:sz w:val="24"/>
        </w:rPr>
        <w:t>We think that the period of two academic terms over which this course generally extends is too short to do justice to the study of the subject, preparation of a dissertation and for activities like discussions, study-groups and seminars. It would be desirable </w:t>
      </w:r>
      <w:r>
        <w:rPr>
          <w:sz w:val="24"/>
        </w:rPr>
        <w:t>to increase the duration of the course to three academic terms.</w:t>
      </w:r>
    </w:p>
    <w:p>
      <w:pPr>
        <w:pStyle w:val="BodyText"/>
        <w:spacing w:before="5"/>
      </w:pPr>
    </w:p>
    <w:p>
      <w:pPr>
        <w:pStyle w:val="ListParagraph"/>
        <w:numPr>
          <w:ilvl w:val="1"/>
          <w:numId w:val="76"/>
        </w:numPr>
        <w:tabs>
          <w:tab w:pos="675" w:val="left" w:leader="none"/>
        </w:tabs>
        <w:spacing w:line="240" w:lineRule="auto" w:before="0" w:after="0"/>
        <w:ind w:left="159" w:right="497" w:firstLine="0"/>
        <w:jc w:val="both"/>
        <w:rPr>
          <w:sz w:val="24"/>
        </w:rPr>
      </w:pPr>
      <w:r>
        <w:rPr>
          <w:sz w:val="24"/>
        </w:rPr>
        <w:t>We consider that the development of educational research will go a long way </w:t>
      </w:r>
      <w:r>
        <w:rPr>
          <w:sz w:val="24"/>
        </w:rPr>
        <w:t>in preparing persons competent to work at the postgraduate level. Every postgraduate lecturer</w:t>
      </w:r>
      <w:r>
        <w:rPr>
          <w:spacing w:val="29"/>
          <w:sz w:val="24"/>
        </w:rPr>
        <w:t> </w:t>
      </w:r>
      <w:r>
        <w:rPr>
          <w:sz w:val="24"/>
        </w:rPr>
        <w:t>need</w:t>
      </w:r>
      <w:r>
        <w:rPr>
          <w:spacing w:val="30"/>
          <w:sz w:val="24"/>
        </w:rPr>
        <w:t> </w:t>
      </w:r>
      <w:r>
        <w:rPr>
          <w:sz w:val="24"/>
        </w:rPr>
        <w:t>not</w:t>
      </w:r>
      <w:r>
        <w:rPr>
          <w:spacing w:val="30"/>
          <w:sz w:val="24"/>
        </w:rPr>
        <w:t> </w:t>
      </w:r>
      <w:r>
        <w:rPr>
          <w:sz w:val="24"/>
        </w:rPr>
        <w:t>be</w:t>
      </w:r>
      <w:r>
        <w:rPr>
          <w:spacing w:val="30"/>
          <w:sz w:val="24"/>
        </w:rPr>
        <w:t> </w:t>
      </w:r>
      <w:r>
        <w:rPr>
          <w:sz w:val="24"/>
        </w:rPr>
        <w:t>a</w:t>
      </w:r>
      <w:r>
        <w:rPr>
          <w:spacing w:val="30"/>
          <w:sz w:val="24"/>
        </w:rPr>
        <w:t> </w:t>
      </w:r>
      <w:r>
        <w:rPr>
          <w:sz w:val="24"/>
        </w:rPr>
        <w:t>research</w:t>
      </w:r>
      <w:r>
        <w:rPr>
          <w:spacing w:val="30"/>
          <w:sz w:val="24"/>
        </w:rPr>
        <w:t> </w:t>
      </w:r>
      <w:r>
        <w:rPr>
          <w:sz w:val="24"/>
        </w:rPr>
        <w:t>worker.</w:t>
      </w:r>
      <w:r>
        <w:rPr>
          <w:spacing w:val="30"/>
          <w:sz w:val="24"/>
        </w:rPr>
        <w:t> </w:t>
      </w:r>
      <w:r>
        <w:rPr>
          <w:sz w:val="24"/>
        </w:rPr>
        <w:t>But</w:t>
      </w:r>
      <w:r>
        <w:rPr>
          <w:spacing w:val="28"/>
          <w:sz w:val="24"/>
        </w:rPr>
        <w:t> </w:t>
      </w:r>
      <w:r>
        <w:rPr>
          <w:sz w:val="24"/>
        </w:rPr>
        <w:t>he</w:t>
      </w:r>
      <w:r>
        <w:rPr>
          <w:spacing w:val="28"/>
          <w:sz w:val="24"/>
        </w:rPr>
        <w:t> </w:t>
      </w:r>
      <w:r>
        <w:rPr>
          <w:sz w:val="24"/>
        </w:rPr>
        <w:t>must</w:t>
      </w:r>
      <w:r>
        <w:rPr>
          <w:spacing w:val="29"/>
          <w:sz w:val="24"/>
        </w:rPr>
        <w:t> </w:t>
      </w:r>
      <w:r>
        <w:rPr>
          <w:sz w:val="24"/>
        </w:rPr>
        <w:t>at</w:t>
      </w:r>
      <w:r>
        <w:rPr>
          <w:spacing w:val="29"/>
          <w:sz w:val="24"/>
        </w:rPr>
        <w:t> </w:t>
      </w:r>
      <w:r>
        <w:rPr>
          <w:sz w:val="24"/>
        </w:rPr>
        <w:t>least</w:t>
      </w:r>
      <w:r>
        <w:rPr>
          <w:spacing w:val="29"/>
          <w:sz w:val="24"/>
        </w:rPr>
        <w:t> </w:t>
      </w:r>
      <w:r>
        <w:rPr>
          <w:sz w:val="24"/>
        </w:rPr>
        <w:t>have</w:t>
      </w:r>
      <w:r>
        <w:rPr>
          <w:spacing w:val="29"/>
          <w:sz w:val="24"/>
        </w:rPr>
        <w:t> </w:t>
      </w:r>
      <w:r>
        <w:rPr>
          <w:sz w:val="24"/>
        </w:rPr>
        <w:t>made</w:t>
      </w:r>
      <w:r>
        <w:rPr>
          <w:spacing w:val="29"/>
          <w:sz w:val="24"/>
        </w:rPr>
        <w:t> </w:t>
      </w:r>
      <w:r>
        <w:rPr>
          <w:sz w:val="24"/>
        </w:rPr>
        <w:t>a</w:t>
      </w:r>
      <w:r>
        <w:rPr>
          <w:spacing w:val="29"/>
          <w:sz w:val="24"/>
        </w:rPr>
        <w:t> </w:t>
      </w:r>
      <w:r>
        <w:rPr>
          <w:sz w:val="24"/>
        </w:rPr>
        <w:t>study</w:t>
      </w:r>
      <w:r>
        <w:rPr>
          <w:spacing w:val="29"/>
          <w:sz w:val="24"/>
        </w:rPr>
        <w:t> </w:t>
      </w:r>
      <w:r>
        <w:rPr>
          <w:sz w:val="24"/>
        </w:rPr>
        <w:t>of</w:t>
      </w:r>
      <w:r>
        <w:rPr>
          <w:spacing w:val="29"/>
          <w:sz w:val="24"/>
        </w:rPr>
        <w:t> </w:t>
      </w:r>
      <w:r>
        <w:rPr>
          <w:spacing w:val="-5"/>
          <w:sz w:val="24"/>
        </w:rPr>
        <w:t>the</w:t>
      </w:r>
    </w:p>
    <w:p>
      <w:pPr>
        <w:spacing w:after="0" w:line="240" w:lineRule="auto"/>
        <w:jc w:val="both"/>
        <w:rPr>
          <w:sz w:val="24"/>
        </w:rPr>
        <w:sectPr>
          <w:pgSz w:w="12240" w:h="15840"/>
          <w:pgMar w:header="0" w:footer="743" w:top="1360" w:bottom="940" w:left="1640" w:right="1300"/>
        </w:sectPr>
      </w:pPr>
    </w:p>
    <w:p>
      <w:pPr>
        <w:pStyle w:val="BodyText"/>
        <w:spacing w:before="76"/>
        <w:ind w:left="159" w:right="498"/>
        <w:jc w:val="both"/>
        <w:rPr>
          <w:b/>
        </w:rPr>
      </w:pPr>
      <w:r>
        <w:rPr/>
        <w:t>findings of research in his special field. We propose to deal with research in education in detail elsewhere.</w:t>
      </w:r>
      <w:r>
        <w:rPr>
          <w:b/>
          <w:vertAlign w:val="superscript"/>
        </w:rPr>
        <w:t>37</w:t>
      </w:r>
    </w:p>
    <w:p>
      <w:pPr>
        <w:pStyle w:val="BodyText"/>
        <w:spacing w:before="6"/>
        <w:rPr>
          <w:b/>
        </w:rPr>
      </w:pPr>
    </w:p>
    <w:p>
      <w:pPr>
        <w:pStyle w:val="Heading1"/>
        <w:spacing w:before="1"/>
        <w:ind w:left="292"/>
      </w:pPr>
      <w:r>
        <w:rPr/>
        <w:t>IMPROVING</w:t>
      </w:r>
      <w:r>
        <w:rPr>
          <w:spacing w:val="-6"/>
        </w:rPr>
        <w:t> </w:t>
      </w:r>
      <w:r>
        <w:rPr/>
        <w:t>THE</w:t>
      </w:r>
      <w:r>
        <w:rPr>
          <w:spacing w:val="-5"/>
        </w:rPr>
        <w:t> </w:t>
      </w:r>
      <w:r>
        <w:rPr/>
        <w:t>QUALITY</w:t>
      </w:r>
      <w:r>
        <w:rPr>
          <w:spacing w:val="-5"/>
        </w:rPr>
        <w:t> </w:t>
      </w:r>
      <w:r>
        <w:rPr/>
        <w:t>OF</w:t>
      </w:r>
      <w:r>
        <w:rPr>
          <w:spacing w:val="-5"/>
        </w:rPr>
        <w:t> </w:t>
      </w:r>
      <w:r>
        <w:rPr/>
        <w:t>TRAINING</w:t>
      </w:r>
      <w:r>
        <w:rPr>
          <w:spacing w:val="-5"/>
        </w:rPr>
        <w:t> </w:t>
      </w:r>
      <w:r>
        <w:rPr>
          <w:spacing w:val="-2"/>
        </w:rPr>
        <w:t>INSTITUTIONS</w:t>
      </w:r>
    </w:p>
    <w:p>
      <w:pPr>
        <w:pStyle w:val="BodyText"/>
        <w:spacing w:before="2"/>
        <w:rPr>
          <w:b/>
        </w:rPr>
      </w:pPr>
    </w:p>
    <w:p>
      <w:pPr>
        <w:pStyle w:val="ListParagraph"/>
        <w:numPr>
          <w:ilvl w:val="1"/>
          <w:numId w:val="76"/>
        </w:numPr>
        <w:tabs>
          <w:tab w:pos="677" w:val="left" w:leader="none"/>
        </w:tabs>
        <w:spacing w:line="240" w:lineRule="auto" w:before="0" w:after="0"/>
        <w:ind w:left="160" w:right="496" w:firstLine="0"/>
        <w:jc w:val="both"/>
        <w:rPr>
          <w:sz w:val="24"/>
        </w:rPr>
      </w:pPr>
      <w:r>
        <w:rPr>
          <w:sz w:val="24"/>
        </w:rPr>
        <w:t>If the training programmes are to be improved on the lines recommended in the earlier sections, an essential precondition is the improvement of training institutions. We shall discuss the two main categories of training institutions-those for secondary teachers and those for primary teachers-and show how their staff, students and facilities can be improved. These recommendations will apply, mutatis mutandis, to other categories of training institutions.</w:t>
      </w:r>
    </w:p>
    <w:p>
      <w:pPr>
        <w:pStyle w:val="BodyText"/>
        <w:spacing w:before="4"/>
      </w:pPr>
    </w:p>
    <w:p>
      <w:pPr>
        <w:pStyle w:val="ListParagraph"/>
        <w:numPr>
          <w:ilvl w:val="1"/>
          <w:numId w:val="76"/>
        </w:numPr>
        <w:tabs>
          <w:tab w:pos="642" w:val="left" w:leader="none"/>
        </w:tabs>
        <w:spacing w:line="240" w:lineRule="auto" w:before="0" w:after="0"/>
        <w:ind w:left="160" w:right="496" w:firstLine="0"/>
        <w:jc w:val="both"/>
        <w:rPr>
          <w:b/>
          <w:sz w:val="24"/>
        </w:rPr>
      </w:pPr>
      <w:r>
        <w:rPr>
          <w:b/>
          <w:sz w:val="24"/>
        </w:rPr>
        <w:t>Training</w:t>
      </w:r>
      <w:r>
        <w:rPr>
          <w:b/>
          <w:spacing w:val="-1"/>
          <w:sz w:val="24"/>
        </w:rPr>
        <w:t> </w:t>
      </w:r>
      <w:r>
        <w:rPr>
          <w:b/>
          <w:sz w:val="24"/>
        </w:rPr>
        <w:t>Institutions</w:t>
      </w:r>
      <w:r>
        <w:rPr>
          <w:b/>
          <w:spacing w:val="-1"/>
          <w:sz w:val="24"/>
        </w:rPr>
        <w:t> </w:t>
      </w:r>
      <w:r>
        <w:rPr>
          <w:b/>
          <w:sz w:val="24"/>
        </w:rPr>
        <w:t>for</w:t>
      </w:r>
      <w:r>
        <w:rPr>
          <w:b/>
          <w:spacing w:val="-1"/>
          <w:sz w:val="24"/>
        </w:rPr>
        <w:t> </w:t>
      </w:r>
      <w:r>
        <w:rPr>
          <w:b/>
          <w:sz w:val="24"/>
        </w:rPr>
        <w:t>Secondary</w:t>
      </w:r>
      <w:r>
        <w:rPr>
          <w:b/>
          <w:spacing w:val="-1"/>
          <w:sz w:val="24"/>
        </w:rPr>
        <w:t> </w:t>
      </w:r>
      <w:r>
        <w:rPr>
          <w:b/>
          <w:sz w:val="24"/>
        </w:rPr>
        <w:t>Teachers</w:t>
      </w:r>
      <w:r>
        <w:rPr>
          <w:b/>
          <w:spacing w:val="-1"/>
          <w:sz w:val="24"/>
        </w:rPr>
        <w:t> </w:t>
      </w:r>
      <w:r>
        <w:rPr>
          <w:b/>
          <w:sz w:val="24"/>
        </w:rPr>
        <w:t>Staff:</w:t>
      </w:r>
      <w:r>
        <w:rPr>
          <w:b/>
          <w:spacing w:val="-3"/>
          <w:sz w:val="24"/>
        </w:rPr>
        <w:t> </w:t>
      </w:r>
      <w:r>
        <w:rPr>
          <w:sz w:val="24"/>
        </w:rPr>
        <w:t>The</w:t>
      </w:r>
      <w:r>
        <w:rPr>
          <w:spacing w:val="-1"/>
          <w:sz w:val="24"/>
        </w:rPr>
        <w:t> </w:t>
      </w:r>
      <w:r>
        <w:rPr>
          <w:sz w:val="24"/>
        </w:rPr>
        <w:t>staff</w:t>
      </w:r>
      <w:r>
        <w:rPr>
          <w:spacing w:val="-1"/>
          <w:sz w:val="24"/>
        </w:rPr>
        <w:t> </w:t>
      </w:r>
      <w:r>
        <w:rPr>
          <w:sz w:val="24"/>
        </w:rPr>
        <w:t>of</w:t>
      </w:r>
      <w:r>
        <w:rPr>
          <w:spacing w:val="-1"/>
          <w:sz w:val="24"/>
        </w:rPr>
        <w:t> </w:t>
      </w:r>
      <w:r>
        <w:rPr>
          <w:sz w:val="24"/>
        </w:rPr>
        <w:t>these</w:t>
      </w:r>
      <w:r>
        <w:rPr>
          <w:spacing w:val="-1"/>
          <w:sz w:val="24"/>
        </w:rPr>
        <w:t> </w:t>
      </w:r>
      <w:r>
        <w:rPr>
          <w:sz w:val="24"/>
        </w:rPr>
        <w:t>institutions is 'inadequately prepared for its task. A study has revealed that 40 per cent of the staff in these -institutions have only a B.A. degree in addition to the B.Ed. 58 per cent hold a Master's degree in education or in an academic subject; and only 2 per cent have a doctoral degree. In our opinion, the staff of these institutions should have a double Master's degree, in an academic subject and in education, and a fair proportion (say, 10 per cent) should also have a doctorate. They should also have studied teacher education</w:t>
      </w:r>
      <w:r>
        <w:rPr>
          <w:spacing w:val="40"/>
          <w:sz w:val="24"/>
        </w:rPr>
        <w:t> </w:t>
      </w:r>
      <w:r>
        <w:rPr>
          <w:sz w:val="24"/>
        </w:rPr>
        <w:t>as a special subject at the M.Ed. or through a special education course. Salary scales should be the same as for lecturers, readers and professors in arts and science colleges; but two advance increments should be given in recognition of the professional training </w:t>
      </w:r>
      <w:r>
        <w:rPr>
          <w:spacing w:val="-2"/>
          <w:sz w:val="24"/>
        </w:rPr>
        <w:t>received.</w:t>
      </w:r>
    </w:p>
    <w:p>
      <w:pPr>
        <w:pStyle w:val="BodyText"/>
        <w:spacing w:before="3"/>
      </w:pPr>
    </w:p>
    <w:p>
      <w:pPr>
        <w:pStyle w:val="ListParagraph"/>
        <w:numPr>
          <w:ilvl w:val="1"/>
          <w:numId w:val="76"/>
        </w:numPr>
        <w:tabs>
          <w:tab w:pos="691" w:val="left" w:leader="none"/>
        </w:tabs>
        <w:spacing w:line="240" w:lineRule="auto" w:before="1" w:after="0"/>
        <w:ind w:left="160" w:right="498" w:firstLine="0"/>
        <w:jc w:val="both"/>
        <w:rPr>
          <w:sz w:val="24"/>
        </w:rPr>
      </w:pPr>
      <w:r>
        <w:rPr>
          <w:sz w:val="24"/>
        </w:rPr>
        <w:t>We make the following additional recommendations: (1) The supply of trained teachers qualified to work in these institutions should be quickly and greatly increased</w:t>
      </w:r>
      <w:r>
        <w:rPr>
          <w:spacing w:val="-1"/>
          <w:sz w:val="24"/>
        </w:rPr>
        <w:t> </w:t>
      </w:r>
      <w:r>
        <w:rPr>
          <w:sz w:val="24"/>
        </w:rPr>
        <w:t>by securing a substantial increase in the output of Ph.D.s, M.Ed.s and M.A.s in Education.</w:t>
      </w:r>
    </w:p>
    <w:p>
      <w:pPr>
        <w:pStyle w:val="BodyText"/>
        <w:spacing w:before="3"/>
      </w:pPr>
    </w:p>
    <w:p>
      <w:pPr>
        <w:pStyle w:val="BodyText"/>
        <w:ind w:left="160" w:right="497"/>
        <w:jc w:val="both"/>
      </w:pPr>
      <w:r>
        <w:rPr/>
        <w:t>An adequate number of scholarships should be available to attract good students to these courses; and it should be the main responsibility of the schools of education recommended earlier to train them.</w:t>
      </w:r>
    </w:p>
    <w:p>
      <w:pPr>
        <w:pStyle w:val="BodyText"/>
        <w:spacing w:before="4"/>
      </w:pPr>
    </w:p>
    <w:p>
      <w:pPr>
        <w:pStyle w:val="ListParagraph"/>
        <w:numPr>
          <w:ilvl w:val="0"/>
          <w:numId w:val="78"/>
        </w:numPr>
        <w:tabs>
          <w:tab w:pos="571" w:val="left" w:leader="none"/>
        </w:tabs>
        <w:spacing w:line="240" w:lineRule="auto" w:before="0" w:after="0"/>
        <w:ind w:left="160" w:right="497" w:firstLine="0"/>
        <w:jc w:val="both"/>
        <w:rPr>
          <w:sz w:val="24"/>
        </w:rPr>
      </w:pPr>
      <w:r>
        <w:rPr>
          <w:sz w:val="24"/>
        </w:rPr>
        <w:t>Insistence on professional qualification in education often debars teachers with specialization in other disciplines from working on the staff of training institutions, although they could have helped to raise standards. This requirement should be relaxed. In subjects like educational. psychology, sociology, science or mathematics, it would be desirable to appoint qualified specialists in these subjects even though they may not have professional training.</w:t>
      </w:r>
    </w:p>
    <w:p>
      <w:pPr>
        <w:pStyle w:val="BodyText"/>
        <w:spacing w:before="5"/>
      </w:pPr>
    </w:p>
    <w:p>
      <w:pPr>
        <w:pStyle w:val="ListParagraph"/>
        <w:numPr>
          <w:ilvl w:val="0"/>
          <w:numId w:val="78"/>
        </w:numPr>
        <w:tabs>
          <w:tab w:pos="553" w:val="left" w:leader="none"/>
        </w:tabs>
        <w:spacing w:line="240" w:lineRule="auto" w:before="0" w:after="0"/>
        <w:ind w:left="160" w:right="495" w:firstLine="0"/>
        <w:jc w:val="both"/>
        <w:rPr>
          <w:sz w:val="24"/>
        </w:rPr>
      </w:pPr>
      <w:r>
        <w:rPr>
          <w:sz w:val="24"/>
        </w:rPr>
        <w:t>In government institutions, the staff is generally 'interchangeable with inspecting officers and very often it is the weak and undesirable persons that are transferred to training institutions. It is essential that the best and the most competent persons available are selected for the faculty of training institutions.</w:t>
      </w:r>
    </w:p>
    <w:p>
      <w:pPr>
        <w:pStyle w:val="BodyText"/>
        <w:spacing w:before="5"/>
      </w:pPr>
    </w:p>
    <w:p>
      <w:pPr>
        <w:pStyle w:val="BodyText"/>
        <w:ind w:left="160"/>
        <w:jc w:val="both"/>
      </w:pPr>
      <w:r>
        <w:rPr>
          <w:b/>
          <w:vertAlign w:val="superscript"/>
        </w:rPr>
        <w:t>37</w:t>
      </w:r>
      <w:r>
        <w:rPr>
          <w:vertAlign w:val="baseline"/>
        </w:rPr>
        <w:t>Chapter</w:t>
      </w:r>
      <w:r>
        <w:rPr>
          <w:spacing w:val="-3"/>
          <w:vertAlign w:val="baseline"/>
        </w:rPr>
        <w:t> </w:t>
      </w:r>
      <w:r>
        <w:rPr>
          <w:spacing w:val="-4"/>
          <w:vertAlign w:val="baseline"/>
        </w:rPr>
        <w:t>XII.</w:t>
      </w:r>
    </w:p>
    <w:p>
      <w:pPr>
        <w:spacing w:after="0"/>
        <w:jc w:val="both"/>
        <w:sectPr>
          <w:pgSz w:w="12240" w:h="15840"/>
          <w:pgMar w:header="0" w:footer="743" w:top="1360" w:bottom="940" w:left="1640" w:right="1300"/>
        </w:sectPr>
      </w:pPr>
    </w:p>
    <w:p>
      <w:pPr>
        <w:pStyle w:val="ListParagraph"/>
        <w:numPr>
          <w:ilvl w:val="0"/>
          <w:numId w:val="78"/>
        </w:numPr>
        <w:tabs>
          <w:tab w:pos="536" w:val="left" w:leader="none"/>
        </w:tabs>
        <w:spacing w:line="240" w:lineRule="auto" w:before="76" w:after="0"/>
        <w:ind w:left="160" w:right="498" w:firstLine="0"/>
        <w:jc w:val="both"/>
        <w:rPr>
          <w:sz w:val="24"/>
        </w:rPr>
      </w:pPr>
      <w:r>
        <w:rPr>
          <w:sz w:val="24"/>
        </w:rPr>
        <w:t>Adequate programmes of summer institutes should be organized for the in-service education of the training institution staff</w:t>
      </w:r>
    </w:p>
    <w:p>
      <w:pPr>
        <w:pStyle w:val="BodyText"/>
        <w:spacing w:before="4"/>
      </w:pPr>
    </w:p>
    <w:p>
      <w:pPr>
        <w:pStyle w:val="ListParagraph"/>
        <w:numPr>
          <w:ilvl w:val="1"/>
          <w:numId w:val="76"/>
        </w:numPr>
        <w:tabs>
          <w:tab w:pos="662" w:val="left" w:leader="none"/>
        </w:tabs>
        <w:spacing w:line="240" w:lineRule="auto" w:before="0" w:after="0"/>
        <w:ind w:left="160" w:right="496" w:firstLine="0"/>
        <w:jc w:val="both"/>
        <w:rPr>
          <w:b/>
          <w:sz w:val="24"/>
        </w:rPr>
      </w:pPr>
      <w:r>
        <w:rPr>
          <w:b/>
          <w:sz w:val="24"/>
        </w:rPr>
        <w:t>Students. </w:t>
      </w:r>
      <w:r>
        <w:rPr>
          <w:sz w:val="24"/>
        </w:rPr>
        <w:t>Unfortunately, the subject-knowledge of the graduate teachers who now join the profession or come to training institutions leaves much to be desired. there are several reasons for this:</w:t>
      </w:r>
    </w:p>
    <w:p>
      <w:pPr>
        <w:pStyle w:val="BodyText"/>
        <w:spacing w:before="5"/>
      </w:pPr>
    </w:p>
    <w:p>
      <w:pPr>
        <w:pStyle w:val="ListParagraph"/>
        <w:numPr>
          <w:ilvl w:val="2"/>
          <w:numId w:val="76"/>
        </w:numPr>
        <w:tabs>
          <w:tab w:pos="317" w:val="left" w:leader="none"/>
        </w:tabs>
        <w:spacing w:line="240" w:lineRule="auto" w:before="0" w:after="0"/>
        <w:ind w:left="160" w:right="497" w:firstLine="0"/>
        <w:jc w:val="both"/>
        <w:rPr>
          <w:sz w:val="24"/>
        </w:rPr>
      </w:pPr>
      <w:r>
        <w:rPr>
          <w:sz w:val="24"/>
        </w:rPr>
        <w:t>In many States, there is no rule that a secondary school teacher should teach only that subject which he has studied for his degree. and very often teachers are called upon to teach subjects which they learnt only at the secondary school. This is commonly the case with graduates of philosophy, sociology, or economics, which subjects are not included</w:t>
      </w:r>
      <w:r>
        <w:rPr>
          <w:spacing w:val="40"/>
          <w:sz w:val="24"/>
        </w:rPr>
        <w:t> </w:t>
      </w:r>
      <w:r>
        <w:rPr>
          <w:sz w:val="24"/>
        </w:rPr>
        <w:t>in the school curriculum.</w:t>
      </w:r>
    </w:p>
    <w:p>
      <w:pPr>
        <w:pStyle w:val="BodyText"/>
        <w:spacing w:before="4"/>
      </w:pPr>
    </w:p>
    <w:p>
      <w:pPr>
        <w:pStyle w:val="ListParagraph"/>
        <w:numPr>
          <w:ilvl w:val="2"/>
          <w:numId w:val="76"/>
        </w:numPr>
        <w:tabs>
          <w:tab w:pos="381" w:val="left" w:leader="none"/>
        </w:tabs>
        <w:spacing w:line="240" w:lineRule="auto" w:before="0" w:after="0"/>
        <w:ind w:left="160" w:right="497" w:firstLine="0"/>
        <w:jc w:val="both"/>
        <w:rPr>
          <w:sz w:val="24"/>
        </w:rPr>
      </w:pPr>
      <w:r>
        <w:rPr>
          <w:sz w:val="24"/>
        </w:rPr>
        <w:t>The facilities at the university stage for certain subjects like geography are so 'inadequate that these subjects are taught mostly by amateurs who have first to learn the subject themselves.</w:t>
      </w:r>
    </w:p>
    <w:p>
      <w:pPr>
        <w:pStyle w:val="BodyText"/>
        <w:spacing w:before="3"/>
      </w:pPr>
    </w:p>
    <w:p>
      <w:pPr>
        <w:pStyle w:val="ListParagraph"/>
        <w:numPr>
          <w:ilvl w:val="2"/>
          <w:numId w:val="76"/>
        </w:numPr>
        <w:tabs>
          <w:tab w:pos="313" w:val="left" w:leader="none"/>
        </w:tabs>
        <w:spacing w:line="240" w:lineRule="auto" w:before="0" w:after="0"/>
        <w:ind w:left="160" w:right="497" w:firstLine="0"/>
        <w:jc w:val="both"/>
        <w:rPr>
          <w:sz w:val="24"/>
        </w:rPr>
      </w:pPr>
      <w:r>
        <w:rPr>
          <w:sz w:val="24"/>
        </w:rPr>
        <w:t>A very large proportion of graduates who join the teaching profession have taken their degree only in the third class and often have inadequate knowledge even of the subject in which they hold a degree.</w:t>
      </w:r>
    </w:p>
    <w:p>
      <w:pPr>
        <w:pStyle w:val="BodyText"/>
        <w:spacing w:before="4"/>
      </w:pPr>
    </w:p>
    <w:p>
      <w:pPr>
        <w:pStyle w:val="ListParagraph"/>
        <w:numPr>
          <w:ilvl w:val="2"/>
          <w:numId w:val="76"/>
        </w:numPr>
        <w:tabs>
          <w:tab w:pos="302" w:val="left" w:leader="none"/>
        </w:tabs>
        <w:spacing w:line="240" w:lineRule="auto" w:before="0" w:after="0"/>
        <w:ind w:left="160" w:right="497" w:firstLine="0"/>
        <w:jc w:val="both"/>
        <w:rPr>
          <w:sz w:val="24"/>
        </w:rPr>
      </w:pPr>
      <w:r>
        <w:rPr>
          <w:sz w:val="24"/>
        </w:rPr>
        <w:t>An adequate number of teachers holding the postgraduate degree is not available for the higher secondary stage.</w:t>
      </w:r>
    </w:p>
    <w:p>
      <w:pPr>
        <w:pStyle w:val="BodyText"/>
        <w:spacing w:before="6"/>
      </w:pPr>
    </w:p>
    <w:p>
      <w:pPr>
        <w:pStyle w:val="ListParagraph"/>
        <w:numPr>
          <w:ilvl w:val="2"/>
          <w:numId w:val="76"/>
        </w:numPr>
        <w:tabs>
          <w:tab w:pos="299" w:val="left" w:leader="none"/>
        </w:tabs>
        <w:spacing w:line="240" w:lineRule="auto" w:before="0" w:after="0"/>
        <w:ind w:left="299" w:right="0" w:hanging="139"/>
        <w:jc w:val="both"/>
        <w:rPr>
          <w:sz w:val="24"/>
        </w:rPr>
      </w:pPr>
      <w:r>
        <w:rPr>
          <w:sz w:val="24"/>
        </w:rPr>
        <w:t>There</w:t>
      </w:r>
      <w:r>
        <w:rPr>
          <w:spacing w:val="-1"/>
          <w:sz w:val="24"/>
        </w:rPr>
        <w:t> </w:t>
      </w:r>
      <w:r>
        <w:rPr>
          <w:sz w:val="24"/>
        </w:rPr>
        <w:t>is</w:t>
      </w:r>
      <w:r>
        <w:rPr>
          <w:spacing w:val="-1"/>
          <w:sz w:val="24"/>
        </w:rPr>
        <w:t> </w:t>
      </w:r>
      <w:r>
        <w:rPr>
          <w:sz w:val="24"/>
        </w:rPr>
        <w:t>an</w:t>
      </w:r>
      <w:r>
        <w:rPr>
          <w:spacing w:val="-3"/>
          <w:sz w:val="24"/>
        </w:rPr>
        <w:t> </w:t>
      </w:r>
      <w:r>
        <w:rPr>
          <w:sz w:val="24"/>
        </w:rPr>
        <w:t>acute shortage</w:t>
      </w:r>
      <w:r>
        <w:rPr>
          <w:spacing w:val="-1"/>
          <w:sz w:val="24"/>
        </w:rPr>
        <w:t> </w:t>
      </w:r>
      <w:r>
        <w:rPr>
          <w:sz w:val="24"/>
        </w:rPr>
        <w:t>of</w:t>
      </w:r>
      <w:r>
        <w:rPr>
          <w:spacing w:val="-1"/>
          <w:sz w:val="24"/>
        </w:rPr>
        <w:t> </w:t>
      </w:r>
      <w:r>
        <w:rPr>
          <w:sz w:val="24"/>
        </w:rPr>
        <w:t>teachers in</w:t>
      </w:r>
      <w:r>
        <w:rPr>
          <w:spacing w:val="-1"/>
          <w:sz w:val="24"/>
        </w:rPr>
        <w:t> </w:t>
      </w:r>
      <w:r>
        <w:rPr>
          <w:sz w:val="24"/>
        </w:rPr>
        <w:t>subjects</w:t>
      </w:r>
      <w:r>
        <w:rPr>
          <w:spacing w:val="-1"/>
          <w:sz w:val="24"/>
        </w:rPr>
        <w:t> </w:t>
      </w:r>
      <w:r>
        <w:rPr>
          <w:sz w:val="24"/>
        </w:rPr>
        <w:t>like mathematics,</w:t>
      </w:r>
      <w:r>
        <w:rPr>
          <w:spacing w:val="-1"/>
          <w:sz w:val="24"/>
        </w:rPr>
        <w:t> </w:t>
      </w:r>
      <w:r>
        <w:rPr>
          <w:sz w:val="24"/>
        </w:rPr>
        <w:t>science</w:t>
      </w:r>
      <w:r>
        <w:rPr>
          <w:spacing w:val="-1"/>
          <w:sz w:val="24"/>
        </w:rPr>
        <w:t> </w:t>
      </w:r>
      <w:r>
        <w:rPr>
          <w:sz w:val="24"/>
        </w:rPr>
        <w:t>and </w:t>
      </w:r>
      <w:r>
        <w:rPr>
          <w:spacing w:val="-2"/>
          <w:sz w:val="24"/>
        </w:rPr>
        <w:t>English.</w:t>
      </w:r>
    </w:p>
    <w:p>
      <w:pPr>
        <w:pStyle w:val="BodyText"/>
        <w:spacing w:before="2"/>
      </w:pPr>
    </w:p>
    <w:p>
      <w:pPr>
        <w:pStyle w:val="BodyText"/>
        <w:spacing w:before="1"/>
        <w:ind w:left="159" w:right="496"/>
        <w:jc w:val="both"/>
      </w:pPr>
      <w:r>
        <w:rPr/>
        <w:t>These deficiencies in subject-knowledge become serious hurdles to progress when it is proposed to upgrade the curricula of secondary schools substantially. The obvious long- range</w:t>
      </w:r>
      <w:r>
        <w:rPr>
          <w:spacing w:val="-1"/>
        </w:rPr>
        <w:t> </w:t>
      </w:r>
      <w:r>
        <w:rPr/>
        <w:t>solution</w:t>
      </w:r>
      <w:r>
        <w:rPr>
          <w:spacing w:val="-1"/>
        </w:rPr>
        <w:t> </w:t>
      </w:r>
      <w:r>
        <w:rPr/>
        <w:t>is</w:t>
      </w:r>
      <w:r>
        <w:rPr>
          <w:spacing w:val="-1"/>
        </w:rPr>
        <w:t> </w:t>
      </w:r>
      <w:r>
        <w:rPr/>
        <w:t>to</w:t>
      </w:r>
      <w:r>
        <w:rPr>
          <w:spacing w:val="-1"/>
        </w:rPr>
        <w:t> </w:t>
      </w:r>
      <w:r>
        <w:rPr/>
        <w:t>improve</w:t>
      </w:r>
      <w:r>
        <w:rPr>
          <w:spacing w:val="-1"/>
        </w:rPr>
        <w:t> </w:t>
      </w:r>
      <w:r>
        <w:rPr/>
        <w:t>standards</w:t>
      </w:r>
      <w:r>
        <w:rPr>
          <w:spacing w:val="-1"/>
        </w:rPr>
        <w:t> </w:t>
      </w:r>
      <w:r>
        <w:rPr/>
        <w:t>at</w:t>
      </w:r>
      <w:r>
        <w:rPr>
          <w:spacing w:val="-1"/>
        </w:rPr>
        <w:t> </w:t>
      </w:r>
      <w:r>
        <w:rPr/>
        <w:t>the</w:t>
      </w:r>
      <w:r>
        <w:rPr>
          <w:spacing w:val="-6"/>
        </w:rPr>
        <w:t> </w:t>
      </w:r>
      <w:r>
        <w:rPr/>
        <w:t>degree</w:t>
      </w:r>
      <w:r>
        <w:rPr>
          <w:spacing w:val="-1"/>
        </w:rPr>
        <w:t> </w:t>
      </w:r>
      <w:r>
        <w:rPr/>
        <w:t>stage</w:t>
      </w:r>
      <w:r>
        <w:rPr>
          <w:spacing w:val="-1"/>
        </w:rPr>
        <w:t> </w:t>
      </w:r>
      <w:r>
        <w:rPr/>
        <w:t>and</w:t>
      </w:r>
      <w:r>
        <w:rPr>
          <w:spacing w:val="-3"/>
        </w:rPr>
        <w:t> </w:t>
      </w:r>
      <w:r>
        <w:rPr/>
        <w:t>to</w:t>
      </w:r>
      <w:r>
        <w:rPr>
          <w:spacing w:val="-1"/>
        </w:rPr>
        <w:t> </w:t>
      </w:r>
      <w:r>
        <w:rPr/>
        <w:t>raise</w:t>
      </w:r>
      <w:r>
        <w:rPr>
          <w:spacing w:val="-1"/>
        </w:rPr>
        <w:t> </w:t>
      </w:r>
      <w:r>
        <w:rPr/>
        <w:t>the</w:t>
      </w:r>
      <w:r>
        <w:rPr>
          <w:spacing w:val="-1"/>
        </w:rPr>
        <w:t> </w:t>
      </w:r>
      <w:r>
        <w:rPr/>
        <w:t>remuneration</w:t>
      </w:r>
      <w:r>
        <w:rPr>
          <w:spacing w:val="-1"/>
        </w:rPr>
        <w:t> </w:t>
      </w:r>
      <w:r>
        <w:rPr/>
        <w:t>of teachers so that competent persons join the profession in adequate numbers. This is what we have recommended. But in the transitional period when large numbers of teachers with inadequate subject- knowledge are already in service or will join it in the next few years, the following additional measures would be needed:</w:t>
      </w:r>
    </w:p>
    <w:p>
      <w:pPr>
        <w:pStyle w:val="BodyText"/>
        <w:spacing w:before="3"/>
      </w:pPr>
    </w:p>
    <w:p>
      <w:pPr>
        <w:pStyle w:val="ListParagraph"/>
        <w:numPr>
          <w:ilvl w:val="0"/>
          <w:numId w:val="79"/>
        </w:numPr>
        <w:tabs>
          <w:tab w:pos="507" w:val="left" w:leader="none"/>
        </w:tabs>
        <w:spacing w:line="240" w:lineRule="auto" w:before="0" w:after="0"/>
        <w:ind w:left="160" w:right="497" w:firstLine="0"/>
        <w:jc w:val="both"/>
        <w:rPr>
          <w:sz w:val="24"/>
        </w:rPr>
      </w:pPr>
      <w:r>
        <w:rPr>
          <w:sz w:val="24"/>
        </w:rPr>
        <w:t>Universities should adopt a rule that no student would be allowed to specialize in the teaching of a subject unless he has studied it for his first degree or obtained an equivalent qualification prior to training. Similarly, all States and Union Territories should adopt a rule that teachers in secondary schools will ordinarily teach only those subjects which they had studied in academic and professional courses. Such rules already exist in some States and deserve to be universally adopted.</w:t>
      </w:r>
    </w:p>
    <w:p>
      <w:pPr>
        <w:pStyle w:val="BodyText"/>
        <w:spacing w:before="4"/>
      </w:pPr>
    </w:p>
    <w:p>
      <w:pPr>
        <w:pStyle w:val="ListParagraph"/>
        <w:numPr>
          <w:ilvl w:val="0"/>
          <w:numId w:val="79"/>
        </w:numPr>
        <w:tabs>
          <w:tab w:pos="515" w:val="left" w:leader="none"/>
        </w:tabs>
        <w:spacing w:line="240" w:lineRule="auto" w:before="0" w:after="0"/>
        <w:ind w:left="160" w:right="497" w:firstLine="0"/>
        <w:jc w:val="both"/>
        <w:rPr>
          <w:sz w:val="24"/>
        </w:rPr>
      </w:pPr>
      <w:r>
        <w:rPr>
          <w:sz w:val="24"/>
        </w:rPr>
        <w:t>If teachers are required to teach other subjects, they should do so only after taking a special course in the subject, either by correspondence or in summer institutes. Universities</w:t>
      </w:r>
      <w:r>
        <w:rPr>
          <w:spacing w:val="-4"/>
          <w:sz w:val="24"/>
        </w:rPr>
        <w:t> </w:t>
      </w:r>
      <w:r>
        <w:rPr>
          <w:sz w:val="24"/>
        </w:rPr>
        <w:t>should</w:t>
      </w:r>
      <w:r>
        <w:rPr>
          <w:spacing w:val="-4"/>
          <w:sz w:val="24"/>
        </w:rPr>
        <w:t> </w:t>
      </w:r>
      <w:r>
        <w:rPr>
          <w:sz w:val="24"/>
        </w:rPr>
        <w:t>institute</w:t>
      </w:r>
      <w:r>
        <w:rPr>
          <w:spacing w:val="-4"/>
          <w:sz w:val="24"/>
        </w:rPr>
        <w:t> </w:t>
      </w:r>
      <w:r>
        <w:rPr>
          <w:sz w:val="24"/>
        </w:rPr>
        <w:t>correspondence</w:t>
      </w:r>
      <w:r>
        <w:rPr>
          <w:spacing w:val="-4"/>
          <w:sz w:val="24"/>
        </w:rPr>
        <w:t> </w:t>
      </w:r>
      <w:r>
        <w:rPr>
          <w:sz w:val="24"/>
        </w:rPr>
        <w:t>courses</w:t>
      </w:r>
      <w:r>
        <w:rPr>
          <w:spacing w:val="-4"/>
          <w:sz w:val="24"/>
        </w:rPr>
        <w:t> </w:t>
      </w:r>
      <w:r>
        <w:rPr>
          <w:sz w:val="24"/>
        </w:rPr>
        <w:t>for</w:t>
      </w:r>
      <w:r>
        <w:rPr>
          <w:spacing w:val="-4"/>
          <w:sz w:val="24"/>
        </w:rPr>
        <w:t> </w:t>
      </w:r>
      <w:r>
        <w:rPr>
          <w:sz w:val="24"/>
        </w:rPr>
        <w:t>awarding</w:t>
      </w:r>
      <w:r>
        <w:rPr>
          <w:spacing w:val="-4"/>
          <w:sz w:val="24"/>
        </w:rPr>
        <w:t> </w:t>
      </w:r>
      <w:r>
        <w:rPr>
          <w:sz w:val="24"/>
        </w:rPr>
        <w:t>diplomas</w:t>
      </w:r>
      <w:r>
        <w:rPr>
          <w:spacing w:val="-4"/>
          <w:sz w:val="24"/>
        </w:rPr>
        <w:t> </w:t>
      </w:r>
      <w:r>
        <w:rPr>
          <w:sz w:val="24"/>
        </w:rPr>
        <w:t>in</w:t>
      </w:r>
      <w:r>
        <w:rPr>
          <w:spacing w:val="-4"/>
          <w:sz w:val="24"/>
        </w:rPr>
        <w:t> </w:t>
      </w:r>
      <w:r>
        <w:rPr>
          <w:sz w:val="24"/>
        </w:rPr>
        <w:t>the</w:t>
      </w:r>
      <w:r>
        <w:rPr>
          <w:spacing w:val="-4"/>
          <w:sz w:val="24"/>
        </w:rPr>
        <w:t> </w:t>
      </w:r>
      <w:r>
        <w:rPr>
          <w:sz w:val="24"/>
        </w:rPr>
        <w:t>content of</w:t>
      </w:r>
      <w:r>
        <w:rPr>
          <w:spacing w:val="26"/>
          <w:sz w:val="24"/>
        </w:rPr>
        <w:t> </w:t>
      </w:r>
      <w:r>
        <w:rPr>
          <w:sz w:val="24"/>
        </w:rPr>
        <w:t>school</w:t>
      </w:r>
      <w:r>
        <w:rPr>
          <w:spacing w:val="26"/>
          <w:sz w:val="24"/>
        </w:rPr>
        <w:t> </w:t>
      </w:r>
      <w:r>
        <w:rPr>
          <w:sz w:val="24"/>
        </w:rPr>
        <w:t>subjects.</w:t>
      </w:r>
      <w:r>
        <w:rPr>
          <w:spacing w:val="26"/>
          <w:sz w:val="24"/>
        </w:rPr>
        <w:t> </w:t>
      </w:r>
      <w:r>
        <w:rPr>
          <w:sz w:val="24"/>
        </w:rPr>
        <w:t>It</w:t>
      </w:r>
      <w:r>
        <w:rPr>
          <w:spacing w:val="26"/>
          <w:sz w:val="24"/>
        </w:rPr>
        <w:t> </w:t>
      </w:r>
      <w:r>
        <w:rPr>
          <w:sz w:val="24"/>
        </w:rPr>
        <w:t>should</w:t>
      </w:r>
      <w:r>
        <w:rPr>
          <w:spacing w:val="26"/>
          <w:sz w:val="24"/>
        </w:rPr>
        <w:t> </w:t>
      </w:r>
      <w:r>
        <w:rPr>
          <w:sz w:val="24"/>
        </w:rPr>
        <w:t>also</w:t>
      </w:r>
      <w:r>
        <w:rPr>
          <w:spacing w:val="26"/>
          <w:sz w:val="24"/>
        </w:rPr>
        <w:t> </w:t>
      </w:r>
      <w:r>
        <w:rPr>
          <w:sz w:val="24"/>
        </w:rPr>
        <w:t>be</w:t>
      </w:r>
      <w:r>
        <w:rPr>
          <w:spacing w:val="26"/>
          <w:sz w:val="24"/>
        </w:rPr>
        <w:t> </w:t>
      </w:r>
      <w:r>
        <w:rPr>
          <w:sz w:val="24"/>
        </w:rPr>
        <w:t>open</w:t>
      </w:r>
      <w:r>
        <w:rPr>
          <w:spacing w:val="26"/>
          <w:sz w:val="24"/>
        </w:rPr>
        <w:t> </w:t>
      </w:r>
      <w:r>
        <w:rPr>
          <w:sz w:val="24"/>
        </w:rPr>
        <w:t>to</w:t>
      </w:r>
      <w:r>
        <w:rPr>
          <w:spacing w:val="26"/>
          <w:sz w:val="24"/>
        </w:rPr>
        <w:t> </w:t>
      </w:r>
      <w:r>
        <w:rPr>
          <w:sz w:val="24"/>
        </w:rPr>
        <w:t>teachers</w:t>
      </w:r>
      <w:r>
        <w:rPr>
          <w:spacing w:val="26"/>
          <w:sz w:val="24"/>
        </w:rPr>
        <w:t> </w:t>
      </w:r>
      <w:r>
        <w:rPr>
          <w:sz w:val="24"/>
        </w:rPr>
        <w:t>to</w:t>
      </w:r>
      <w:r>
        <w:rPr>
          <w:spacing w:val="26"/>
          <w:sz w:val="24"/>
        </w:rPr>
        <w:t> </w:t>
      </w:r>
      <w:r>
        <w:rPr>
          <w:sz w:val="24"/>
        </w:rPr>
        <w:t>study</w:t>
      </w:r>
      <w:r>
        <w:rPr>
          <w:spacing w:val="26"/>
          <w:sz w:val="24"/>
        </w:rPr>
        <w:t> </w:t>
      </w:r>
      <w:r>
        <w:rPr>
          <w:sz w:val="24"/>
        </w:rPr>
        <w:t>privately</w:t>
      </w:r>
      <w:r>
        <w:rPr>
          <w:spacing w:val="26"/>
          <w:sz w:val="24"/>
        </w:rPr>
        <w:t> </w:t>
      </w:r>
      <w:r>
        <w:rPr>
          <w:sz w:val="24"/>
        </w:rPr>
        <w:t>and</w:t>
      </w:r>
      <w:r>
        <w:rPr>
          <w:spacing w:val="26"/>
          <w:sz w:val="24"/>
        </w:rPr>
        <w:t> </w:t>
      </w:r>
      <w:r>
        <w:rPr>
          <w:sz w:val="24"/>
        </w:rPr>
        <w:t>take</w:t>
      </w:r>
      <w:r>
        <w:rPr>
          <w:spacing w:val="26"/>
          <w:sz w:val="24"/>
        </w:rPr>
        <w:t> </w:t>
      </w:r>
      <w:r>
        <w:rPr>
          <w:sz w:val="24"/>
        </w:rPr>
        <w:t>these</w:t>
      </w:r>
    </w:p>
    <w:p>
      <w:pPr>
        <w:spacing w:after="0" w:line="240" w:lineRule="auto"/>
        <w:jc w:val="both"/>
        <w:rPr>
          <w:sz w:val="24"/>
        </w:rPr>
        <w:sectPr>
          <w:pgSz w:w="12240" w:h="15840"/>
          <w:pgMar w:header="0" w:footer="743" w:top="1360" w:bottom="940" w:left="1640" w:right="1300"/>
        </w:sectPr>
      </w:pPr>
    </w:p>
    <w:p>
      <w:pPr>
        <w:pStyle w:val="BodyText"/>
        <w:spacing w:before="76"/>
        <w:ind w:left="160" w:right="515"/>
      </w:pPr>
      <w:r>
        <w:rPr/>
        <w:t>diplomas. In addition, a large programme of summer institutes should be organized for</w:t>
      </w:r>
      <w:r>
        <w:rPr>
          <w:spacing w:val="80"/>
        </w:rPr>
        <w:t> </w:t>
      </w:r>
      <w:r>
        <w:rPr/>
        <w:t>the purpose.</w:t>
      </w:r>
    </w:p>
    <w:p>
      <w:pPr>
        <w:pStyle w:val="BodyText"/>
        <w:spacing w:before="4"/>
      </w:pPr>
    </w:p>
    <w:p>
      <w:pPr>
        <w:pStyle w:val="ListParagraph"/>
        <w:numPr>
          <w:ilvl w:val="0"/>
          <w:numId w:val="79"/>
        </w:numPr>
        <w:tabs>
          <w:tab w:pos="536" w:val="left" w:leader="none"/>
        </w:tabs>
        <w:spacing w:line="240" w:lineRule="auto" w:before="0" w:after="0"/>
        <w:ind w:left="159" w:right="497" w:firstLine="0"/>
        <w:jc w:val="both"/>
        <w:rPr>
          <w:sz w:val="24"/>
        </w:rPr>
      </w:pPr>
      <w:r>
        <w:rPr>
          <w:sz w:val="24"/>
        </w:rPr>
        <w:t>The output of postgraduate degree holders in school subjects should be increased. Liberal scholarships to cover the entire cost of education should be given at the postgraduate and undergraduate stages in scarcity areas like science, mathematics and English</w:t>
      </w:r>
      <w:r>
        <w:rPr>
          <w:spacing w:val="-3"/>
          <w:sz w:val="24"/>
        </w:rPr>
        <w:t> </w:t>
      </w:r>
      <w:r>
        <w:rPr>
          <w:sz w:val="24"/>
        </w:rPr>
        <w:t>on</w:t>
      </w:r>
      <w:r>
        <w:rPr>
          <w:spacing w:val="-3"/>
          <w:sz w:val="24"/>
        </w:rPr>
        <w:t> </w:t>
      </w:r>
      <w:r>
        <w:rPr>
          <w:sz w:val="24"/>
        </w:rPr>
        <w:t>condition</w:t>
      </w:r>
      <w:r>
        <w:rPr>
          <w:spacing w:val="-3"/>
          <w:sz w:val="24"/>
        </w:rPr>
        <w:t> </w:t>
      </w:r>
      <w:r>
        <w:rPr>
          <w:sz w:val="24"/>
        </w:rPr>
        <w:t>that</w:t>
      </w:r>
      <w:r>
        <w:rPr>
          <w:spacing w:val="-3"/>
          <w:sz w:val="24"/>
        </w:rPr>
        <w:t> </w:t>
      </w:r>
      <w:r>
        <w:rPr>
          <w:sz w:val="24"/>
        </w:rPr>
        <w:t>the</w:t>
      </w:r>
      <w:r>
        <w:rPr>
          <w:spacing w:val="-3"/>
          <w:sz w:val="24"/>
        </w:rPr>
        <w:t> </w:t>
      </w:r>
      <w:r>
        <w:rPr>
          <w:sz w:val="24"/>
        </w:rPr>
        <w:t>scholarship</w:t>
      </w:r>
      <w:r>
        <w:rPr>
          <w:spacing w:val="-3"/>
          <w:sz w:val="24"/>
        </w:rPr>
        <w:t> </w:t>
      </w:r>
      <w:r>
        <w:rPr>
          <w:sz w:val="24"/>
        </w:rPr>
        <w:t>holder,</w:t>
      </w:r>
      <w:r>
        <w:rPr>
          <w:spacing w:val="-3"/>
          <w:sz w:val="24"/>
        </w:rPr>
        <w:t> </w:t>
      </w:r>
      <w:r>
        <w:rPr>
          <w:sz w:val="24"/>
        </w:rPr>
        <w:t>on</w:t>
      </w:r>
      <w:r>
        <w:rPr>
          <w:spacing w:val="-3"/>
          <w:sz w:val="24"/>
        </w:rPr>
        <w:t> </w:t>
      </w:r>
      <w:r>
        <w:rPr>
          <w:sz w:val="24"/>
        </w:rPr>
        <w:t>completion</w:t>
      </w:r>
      <w:r>
        <w:rPr>
          <w:spacing w:val="-3"/>
          <w:sz w:val="24"/>
        </w:rPr>
        <w:t> </w:t>
      </w:r>
      <w:r>
        <w:rPr>
          <w:sz w:val="24"/>
        </w:rPr>
        <w:t>of</w:t>
      </w:r>
      <w:r>
        <w:rPr>
          <w:spacing w:val="-3"/>
          <w:sz w:val="24"/>
        </w:rPr>
        <w:t> </w:t>
      </w:r>
      <w:r>
        <w:rPr>
          <w:sz w:val="24"/>
        </w:rPr>
        <w:t>the</w:t>
      </w:r>
      <w:r>
        <w:rPr>
          <w:spacing w:val="-3"/>
          <w:sz w:val="24"/>
        </w:rPr>
        <w:t> </w:t>
      </w:r>
      <w:r>
        <w:rPr>
          <w:sz w:val="24"/>
        </w:rPr>
        <w:t>course,</w:t>
      </w:r>
      <w:r>
        <w:rPr>
          <w:spacing w:val="-3"/>
          <w:sz w:val="24"/>
        </w:rPr>
        <w:t> </w:t>
      </w:r>
      <w:r>
        <w:rPr>
          <w:sz w:val="24"/>
        </w:rPr>
        <w:t>teaches</w:t>
      </w:r>
      <w:r>
        <w:rPr>
          <w:spacing w:val="-3"/>
          <w:sz w:val="24"/>
        </w:rPr>
        <w:t> </w:t>
      </w:r>
      <w:r>
        <w:rPr>
          <w:sz w:val="24"/>
        </w:rPr>
        <w:t>in</w:t>
      </w:r>
      <w:r>
        <w:rPr>
          <w:spacing w:val="-3"/>
          <w:sz w:val="24"/>
        </w:rPr>
        <w:t> </w:t>
      </w:r>
      <w:r>
        <w:rPr>
          <w:sz w:val="24"/>
        </w:rPr>
        <w:t>a secondary school for not less than five years. There should be adequate provision of stipends to other students, covering about 25 per cent of the enrolment. They should be supplemented by loan scholarships, available on an adequate scale. One-tenth of the loan should be written off for every year of service as a teacher after training.</w:t>
      </w:r>
    </w:p>
    <w:p>
      <w:pPr>
        <w:pStyle w:val="BodyText"/>
        <w:spacing w:before="4"/>
      </w:pPr>
    </w:p>
    <w:p>
      <w:pPr>
        <w:pStyle w:val="ListParagraph"/>
        <w:numPr>
          <w:ilvl w:val="0"/>
          <w:numId w:val="79"/>
        </w:numPr>
        <w:tabs>
          <w:tab w:pos="595" w:val="left" w:leader="none"/>
        </w:tabs>
        <w:spacing w:line="240" w:lineRule="auto" w:before="0" w:after="0"/>
        <w:ind w:left="159" w:right="497" w:firstLine="60"/>
        <w:jc w:val="both"/>
        <w:rPr>
          <w:sz w:val="24"/>
        </w:rPr>
      </w:pPr>
      <w:r>
        <w:rPr>
          <w:sz w:val="24"/>
        </w:rPr>
        <w:t>Secondary training institutions do not attract students holding 'good' degrees (i.e., first class and high second class in important subjects) in adequate numbers. Even in the best training institutions, they are less than 20 per cent and in most institutions, they form only a very small minority. Attempts should be made to attract first and good second</w:t>
      </w:r>
      <w:r>
        <w:rPr>
          <w:spacing w:val="40"/>
          <w:sz w:val="24"/>
        </w:rPr>
        <w:t> </w:t>
      </w:r>
      <w:r>
        <w:rPr>
          <w:sz w:val="24"/>
        </w:rPr>
        <w:t>class students each of whom should be given an adequate scholarship to cover the total costs of training.</w:t>
      </w:r>
    </w:p>
    <w:p>
      <w:pPr>
        <w:pStyle w:val="BodyText"/>
        <w:spacing w:before="5"/>
      </w:pPr>
    </w:p>
    <w:p>
      <w:pPr>
        <w:pStyle w:val="ListParagraph"/>
        <w:numPr>
          <w:ilvl w:val="1"/>
          <w:numId w:val="76"/>
        </w:numPr>
        <w:tabs>
          <w:tab w:pos="696" w:val="left" w:leader="none"/>
        </w:tabs>
        <w:spacing w:line="240" w:lineRule="auto" w:before="0" w:after="0"/>
        <w:ind w:left="159" w:right="497" w:firstLine="0"/>
        <w:jc w:val="both"/>
        <w:rPr>
          <w:b/>
          <w:sz w:val="24"/>
        </w:rPr>
      </w:pPr>
      <w:r>
        <w:rPr>
          <w:b/>
          <w:sz w:val="24"/>
        </w:rPr>
        <w:t>Facilities. </w:t>
      </w:r>
      <w:r>
        <w:rPr>
          <w:sz w:val="24"/>
        </w:rPr>
        <w:t>Hostel accommodation is usually provided for about 25 per cent of students and residential accommodation for at least the principal and one member of the staff. We recommend that hostel facilities should be substantially increased, and residential accommodation for at least half the staff should be provided. This will be all the more necessary when big institutions are established and institutions are opened in rural areas. The provision of other facilities, e.g., libraries, laboratories, audio-visual aids and workshops or craftrooms is far from satisfactory. An intensive effort will have to be made to improve them.</w:t>
      </w:r>
    </w:p>
    <w:p>
      <w:pPr>
        <w:pStyle w:val="BodyText"/>
        <w:spacing w:before="4"/>
      </w:pPr>
    </w:p>
    <w:p>
      <w:pPr>
        <w:pStyle w:val="ListParagraph"/>
        <w:numPr>
          <w:ilvl w:val="1"/>
          <w:numId w:val="76"/>
        </w:numPr>
        <w:tabs>
          <w:tab w:pos="709" w:val="left" w:leader="none"/>
        </w:tabs>
        <w:spacing w:line="240" w:lineRule="auto" w:before="0" w:after="0"/>
        <w:ind w:left="159" w:right="496" w:firstLine="0"/>
        <w:jc w:val="both"/>
        <w:rPr>
          <w:b/>
          <w:sz w:val="24"/>
        </w:rPr>
      </w:pPr>
      <w:r>
        <w:rPr>
          <w:b/>
          <w:sz w:val="24"/>
        </w:rPr>
        <w:t>Institutions for Primary Teachers. </w:t>
      </w:r>
      <w:r>
        <w:rPr>
          <w:sz w:val="24"/>
        </w:rPr>
        <w:t>The condition of training institutions for primary teachers is very depressing and their standards even more unsatisfactory than those of secondary training institutions. A supreme effort is needed, on a high priority basis, to improve the situation.</w:t>
      </w:r>
    </w:p>
    <w:p>
      <w:pPr>
        <w:pStyle w:val="BodyText"/>
        <w:spacing w:before="3"/>
      </w:pPr>
    </w:p>
    <w:p>
      <w:pPr>
        <w:pStyle w:val="ListParagraph"/>
        <w:numPr>
          <w:ilvl w:val="1"/>
          <w:numId w:val="76"/>
        </w:numPr>
        <w:tabs>
          <w:tab w:pos="691" w:val="left" w:leader="none"/>
        </w:tabs>
        <w:spacing w:line="240" w:lineRule="auto" w:before="0" w:after="0"/>
        <w:ind w:left="159" w:right="496" w:firstLine="0"/>
        <w:jc w:val="both"/>
        <w:rPr>
          <w:b/>
          <w:sz w:val="24"/>
        </w:rPr>
      </w:pPr>
      <w:r>
        <w:rPr>
          <w:b/>
          <w:sz w:val="24"/>
        </w:rPr>
        <w:t>Staff. </w:t>
      </w:r>
      <w:r>
        <w:rPr>
          <w:sz w:val="24"/>
        </w:rPr>
        <w:t>The majority of the staff is recruited from among teachers of secondary schools. These have naturally been trained for work at the secondary stage and are, in consequence, inadequately trained for preparing teachers for primary schools. Their pay scales correspond to those of secondary school teachers and are often lower than those prevailing in higher secondary schools. Good secondary teachers are not prepared </w:t>
      </w:r>
      <w:r>
        <w:rPr>
          <w:sz w:val="24"/>
        </w:rPr>
        <w:t>to</w:t>
      </w:r>
      <w:r>
        <w:rPr>
          <w:spacing w:val="40"/>
          <w:sz w:val="24"/>
        </w:rPr>
        <w:t> </w:t>
      </w:r>
      <w:r>
        <w:rPr>
          <w:sz w:val="24"/>
        </w:rPr>
        <w:t>work in primary training institutions because of the loss of private tuitions and because the work-load is extremely heavy. Some of the staff of these institutions is drawn from</w:t>
      </w:r>
      <w:r>
        <w:rPr>
          <w:spacing w:val="40"/>
          <w:sz w:val="24"/>
        </w:rPr>
        <w:t> </w:t>
      </w:r>
      <w:r>
        <w:rPr>
          <w:sz w:val="24"/>
        </w:rPr>
        <w:t>the inspectorate. Even in these cases, good inspecting officers with prospects before them are not attracted. Most of these difficulties will disappear when the status of these institutions is upgraded to collegiate level. We recommend that the staff should hold, besides the B.Ed. degree, a Master's degree either in education or in an academic subject and should be entitled to receive the same scales of salary as lecturers in arts and science colleges,</w:t>
      </w:r>
      <w:r>
        <w:rPr>
          <w:spacing w:val="23"/>
          <w:sz w:val="24"/>
        </w:rPr>
        <w:t> </w:t>
      </w:r>
      <w:r>
        <w:rPr>
          <w:sz w:val="24"/>
        </w:rPr>
        <w:t>with</w:t>
      </w:r>
      <w:r>
        <w:rPr>
          <w:spacing w:val="24"/>
          <w:sz w:val="24"/>
        </w:rPr>
        <w:t> </w:t>
      </w:r>
      <w:r>
        <w:rPr>
          <w:sz w:val="24"/>
        </w:rPr>
        <w:t>two</w:t>
      </w:r>
      <w:r>
        <w:rPr>
          <w:spacing w:val="23"/>
          <w:sz w:val="24"/>
        </w:rPr>
        <w:t> </w:t>
      </w:r>
      <w:r>
        <w:rPr>
          <w:sz w:val="24"/>
        </w:rPr>
        <w:t>advance</w:t>
      </w:r>
      <w:r>
        <w:rPr>
          <w:spacing w:val="24"/>
          <w:sz w:val="24"/>
        </w:rPr>
        <w:t> </w:t>
      </w:r>
      <w:r>
        <w:rPr>
          <w:sz w:val="24"/>
        </w:rPr>
        <w:t>increments</w:t>
      </w:r>
      <w:r>
        <w:rPr>
          <w:spacing w:val="24"/>
          <w:sz w:val="24"/>
        </w:rPr>
        <w:t> </w:t>
      </w:r>
      <w:r>
        <w:rPr>
          <w:sz w:val="24"/>
        </w:rPr>
        <w:t>in</w:t>
      </w:r>
      <w:r>
        <w:rPr>
          <w:spacing w:val="23"/>
          <w:sz w:val="24"/>
        </w:rPr>
        <w:t> </w:t>
      </w:r>
      <w:r>
        <w:rPr>
          <w:sz w:val="24"/>
        </w:rPr>
        <w:t>recognition</w:t>
      </w:r>
      <w:r>
        <w:rPr>
          <w:spacing w:val="24"/>
          <w:sz w:val="24"/>
        </w:rPr>
        <w:t> </w:t>
      </w:r>
      <w:r>
        <w:rPr>
          <w:sz w:val="24"/>
        </w:rPr>
        <w:t>of</w:t>
      </w:r>
      <w:r>
        <w:rPr>
          <w:spacing w:val="24"/>
          <w:sz w:val="24"/>
        </w:rPr>
        <w:t> </w:t>
      </w:r>
      <w:r>
        <w:rPr>
          <w:sz w:val="24"/>
        </w:rPr>
        <w:t>their</w:t>
      </w:r>
      <w:r>
        <w:rPr>
          <w:spacing w:val="23"/>
          <w:sz w:val="24"/>
        </w:rPr>
        <w:t> </w:t>
      </w:r>
      <w:r>
        <w:rPr>
          <w:sz w:val="24"/>
        </w:rPr>
        <w:t>professional</w:t>
      </w:r>
      <w:r>
        <w:rPr>
          <w:spacing w:val="25"/>
          <w:sz w:val="24"/>
        </w:rPr>
        <w:t> </w:t>
      </w:r>
      <w:r>
        <w:rPr>
          <w:sz w:val="24"/>
        </w:rPr>
        <w:t>training.</w:t>
      </w:r>
      <w:r>
        <w:rPr>
          <w:spacing w:val="24"/>
          <w:sz w:val="24"/>
        </w:rPr>
        <w:t> </w:t>
      </w:r>
      <w:r>
        <w:rPr>
          <w:spacing w:val="-5"/>
          <w:sz w:val="24"/>
        </w:rPr>
        <w:t>We</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also recommend that the staff of these training institutions should be adequately trained for their work of preparing primary teachers through special orientation or induction courses which should include experience of primary school work. We welcome the programme initiated by State Institutes of Education for this purpose.</w:t>
      </w:r>
    </w:p>
    <w:p>
      <w:pPr>
        <w:pStyle w:val="BodyText"/>
        <w:spacing w:before="4"/>
      </w:pPr>
    </w:p>
    <w:p>
      <w:pPr>
        <w:pStyle w:val="ListParagraph"/>
        <w:numPr>
          <w:ilvl w:val="1"/>
          <w:numId w:val="76"/>
        </w:numPr>
        <w:tabs>
          <w:tab w:pos="644" w:val="left" w:leader="none"/>
        </w:tabs>
        <w:spacing w:line="240" w:lineRule="auto" w:before="0" w:after="0"/>
        <w:ind w:left="160" w:right="497" w:firstLine="0"/>
        <w:jc w:val="both"/>
        <w:rPr>
          <w:b/>
          <w:sz w:val="24"/>
        </w:rPr>
      </w:pPr>
      <w:r>
        <w:rPr>
          <w:b/>
          <w:sz w:val="24"/>
        </w:rPr>
        <w:t>Students. </w:t>
      </w:r>
      <w:r>
        <w:rPr>
          <w:sz w:val="24"/>
        </w:rPr>
        <w:t>The general education of primary teachers is far less satisfactory than that of the secondary teachers. This will be seen from Table 4.1 and chart on page 147.</w:t>
      </w:r>
    </w:p>
    <w:p>
      <w:pPr>
        <w:pStyle w:val="BodyText"/>
        <w:spacing w:before="5"/>
      </w:pPr>
    </w:p>
    <w:p>
      <w:pPr>
        <w:pStyle w:val="ListParagraph"/>
        <w:numPr>
          <w:ilvl w:val="1"/>
          <w:numId w:val="76"/>
        </w:numPr>
        <w:tabs>
          <w:tab w:pos="650" w:val="left" w:leader="none"/>
        </w:tabs>
        <w:spacing w:line="240" w:lineRule="auto" w:before="0" w:after="0"/>
        <w:ind w:left="159" w:right="496" w:firstLine="0"/>
        <w:jc w:val="both"/>
        <w:rPr>
          <w:sz w:val="24"/>
        </w:rPr>
      </w:pPr>
      <w:r>
        <w:rPr>
          <w:sz w:val="24"/>
        </w:rPr>
        <w:t>It will be seen that qualified teachers (i.e. graduates and those who have completed the secondary school course) formed only 10.3 per cent of the total number of teachers in the lower primary schools in 1950-51 and this proportion increased to 51.0 per cent only in 1965-66. In the higher primary schools, the proportion of qualified teachers rose from</w:t>
      </w:r>
    </w:p>
    <w:p>
      <w:pPr>
        <w:pStyle w:val="BodyText"/>
        <w:ind w:left="159" w:right="496"/>
        <w:jc w:val="both"/>
      </w:pPr>
      <w:r>
        <w:rPr/>
        <w:t>47.2 per cent in 1950-51 to only 60.0 per cent in 1965-66. The number of unqualified teachers is thus being reduced very slowly. At the present rate, it may take another 20-25 years to ensure that every primary teacher has had at least ten years of general education.</w:t>
      </w:r>
    </w:p>
    <w:p>
      <w:pPr>
        <w:pStyle w:val="BodyText"/>
        <w:spacing w:before="4"/>
      </w:pPr>
    </w:p>
    <w:p>
      <w:pPr>
        <w:pStyle w:val="ListParagraph"/>
        <w:numPr>
          <w:ilvl w:val="1"/>
          <w:numId w:val="76"/>
        </w:numPr>
        <w:tabs>
          <w:tab w:pos="640" w:val="left" w:leader="none"/>
        </w:tabs>
        <w:spacing w:line="240" w:lineRule="auto" w:before="0" w:after="0"/>
        <w:ind w:left="160" w:right="497" w:firstLine="0"/>
        <w:jc w:val="both"/>
        <w:rPr>
          <w:sz w:val="24"/>
        </w:rPr>
      </w:pPr>
      <w:r>
        <w:rPr>
          <w:sz w:val="24"/>
        </w:rPr>
        <w:t>This</w:t>
      </w:r>
      <w:r>
        <w:rPr>
          <w:spacing w:val="-2"/>
          <w:sz w:val="24"/>
        </w:rPr>
        <w:t> </w:t>
      </w:r>
      <w:r>
        <w:rPr>
          <w:sz w:val="24"/>
        </w:rPr>
        <w:t>slow</w:t>
      </w:r>
      <w:r>
        <w:rPr>
          <w:spacing w:val="-2"/>
          <w:sz w:val="24"/>
        </w:rPr>
        <w:t> </w:t>
      </w:r>
      <w:r>
        <w:rPr>
          <w:sz w:val="24"/>
        </w:rPr>
        <w:t>progress</w:t>
      </w:r>
      <w:r>
        <w:rPr>
          <w:spacing w:val="-2"/>
          <w:sz w:val="24"/>
        </w:rPr>
        <w:t> </w:t>
      </w:r>
      <w:r>
        <w:rPr>
          <w:sz w:val="24"/>
        </w:rPr>
        <w:t>is</w:t>
      </w:r>
      <w:r>
        <w:rPr>
          <w:spacing w:val="-2"/>
          <w:sz w:val="24"/>
        </w:rPr>
        <w:t> </w:t>
      </w:r>
      <w:r>
        <w:rPr>
          <w:sz w:val="24"/>
        </w:rPr>
        <w:t>due</w:t>
      </w:r>
      <w:r>
        <w:rPr>
          <w:spacing w:val="-2"/>
          <w:sz w:val="24"/>
        </w:rPr>
        <w:t> </w:t>
      </w:r>
      <w:r>
        <w:rPr>
          <w:sz w:val="24"/>
        </w:rPr>
        <w:t>to</w:t>
      </w:r>
      <w:r>
        <w:rPr>
          <w:spacing w:val="-2"/>
          <w:sz w:val="24"/>
        </w:rPr>
        <w:t> </w:t>
      </w:r>
      <w:r>
        <w:rPr>
          <w:sz w:val="24"/>
        </w:rPr>
        <w:t>two</w:t>
      </w:r>
      <w:r>
        <w:rPr>
          <w:spacing w:val="-2"/>
          <w:sz w:val="24"/>
        </w:rPr>
        <w:t> </w:t>
      </w:r>
      <w:r>
        <w:rPr>
          <w:sz w:val="24"/>
        </w:rPr>
        <w:t>main</w:t>
      </w:r>
      <w:r>
        <w:rPr>
          <w:spacing w:val="-2"/>
          <w:sz w:val="24"/>
        </w:rPr>
        <w:t> </w:t>
      </w:r>
      <w:r>
        <w:rPr>
          <w:sz w:val="24"/>
        </w:rPr>
        <w:t>reasons:</w:t>
      </w:r>
      <w:r>
        <w:rPr>
          <w:spacing w:val="-1"/>
          <w:sz w:val="24"/>
        </w:rPr>
        <w:t> </w:t>
      </w:r>
      <w:r>
        <w:rPr>
          <w:sz w:val="24"/>
        </w:rPr>
        <w:t>the</w:t>
      </w:r>
      <w:r>
        <w:rPr>
          <w:spacing w:val="-1"/>
          <w:sz w:val="24"/>
        </w:rPr>
        <w:t> </w:t>
      </w:r>
      <w:r>
        <w:rPr>
          <w:sz w:val="24"/>
        </w:rPr>
        <w:t>first</w:t>
      </w:r>
      <w:r>
        <w:rPr>
          <w:spacing w:val="-1"/>
          <w:sz w:val="24"/>
        </w:rPr>
        <w:t> </w:t>
      </w:r>
      <w:r>
        <w:rPr>
          <w:sz w:val="24"/>
        </w:rPr>
        <w:t>is</w:t>
      </w:r>
      <w:r>
        <w:rPr>
          <w:spacing w:val="-1"/>
          <w:sz w:val="24"/>
        </w:rPr>
        <w:t> </w:t>
      </w:r>
      <w:r>
        <w:rPr>
          <w:sz w:val="24"/>
        </w:rPr>
        <w:t>that</w:t>
      </w:r>
      <w:r>
        <w:rPr>
          <w:spacing w:val="-4"/>
          <w:sz w:val="24"/>
        </w:rPr>
        <w:t> </w:t>
      </w:r>
      <w:r>
        <w:rPr>
          <w:sz w:val="24"/>
        </w:rPr>
        <w:t>new</w:t>
      </w:r>
      <w:r>
        <w:rPr>
          <w:spacing w:val="-2"/>
          <w:sz w:val="24"/>
        </w:rPr>
        <w:t> </w:t>
      </w:r>
      <w:r>
        <w:rPr>
          <w:sz w:val="24"/>
        </w:rPr>
        <w:t>recruitment</w:t>
      </w:r>
      <w:r>
        <w:rPr>
          <w:spacing w:val="-2"/>
          <w:sz w:val="24"/>
        </w:rPr>
        <w:t> </w:t>
      </w:r>
      <w:r>
        <w:rPr>
          <w:sz w:val="24"/>
        </w:rPr>
        <w:t>is</w:t>
      </w:r>
      <w:r>
        <w:rPr>
          <w:spacing w:val="-2"/>
          <w:sz w:val="24"/>
        </w:rPr>
        <w:t> </w:t>
      </w:r>
      <w:r>
        <w:rPr>
          <w:sz w:val="24"/>
        </w:rPr>
        <w:t>not strictly limited to those who have completed the secondary school, partly because such teachers are not available in certain areas (e.g., tribal localities), partly for </w:t>
      </w:r>
      <w:r>
        <w:rPr>
          <w:sz w:val="24"/>
        </w:rPr>
        <w:t>social considerations (e.g., recruitment of women teachers or teachers from backward classes), and partly for financial considerations- unqualified teachers cost less.</w:t>
      </w:r>
      <w:r>
        <w:rPr>
          <w:b/>
          <w:sz w:val="24"/>
          <w:vertAlign w:val="superscript"/>
        </w:rPr>
        <w:t>38</w:t>
      </w:r>
      <w:r>
        <w:rPr>
          <w:b/>
          <w:sz w:val="24"/>
          <w:vertAlign w:val="baseline"/>
        </w:rPr>
        <w:t> </w:t>
      </w:r>
      <w:r>
        <w:rPr>
          <w:sz w:val="24"/>
          <w:vertAlign w:val="baseline"/>
        </w:rPr>
        <w:t>The second and the more important reason is that no attempt has been made to upgrade the qualifications of teachers in service. Since rapid improvements are needed, we make the following </w:t>
      </w:r>
      <w:r>
        <w:rPr>
          <w:spacing w:val="-2"/>
          <w:sz w:val="24"/>
          <w:vertAlign w:val="baseline"/>
        </w:rPr>
        <w:t>recommendations:</w:t>
      </w:r>
    </w:p>
    <w:p>
      <w:pPr>
        <w:pStyle w:val="BodyText"/>
        <w:spacing w:before="3"/>
      </w:pPr>
    </w:p>
    <w:p>
      <w:pPr>
        <w:pStyle w:val="ListParagraph"/>
        <w:numPr>
          <w:ilvl w:val="0"/>
          <w:numId w:val="80"/>
        </w:numPr>
        <w:tabs>
          <w:tab w:pos="505" w:val="left" w:leader="none"/>
        </w:tabs>
        <w:spacing w:line="240" w:lineRule="auto" w:before="1" w:after="0"/>
        <w:ind w:left="159" w:right="497" w:firstLine="0"/>
        <w:jc w:val="both"/>
        <w:rPr>
          <w:sz w:val="24"/>
        </w:rPr>
      </w:pPr>
      <w:r>
        <w:rPr>
          <w:sz w:val="24"/>
        </w:rPr>
        <w:t>All new appointments of primary teachers should be restricted to those who have had at least ten years of general education. Exceptions should be made, if qualified persons are not available, only in the case of women teachers or teachers for tribal areas.</w:t>
      </w:r>
    </w:p>
    <w:p>
      <w:pPr>
        <w:pStyle w:val="BodyText"/>
        <w:spacing w:before="3"/>
      </w:pPr>
    </w:p>
    <w:p>
      <w:pPr>
        <w:pStyle w:val="ListParagraph"/>
        <w:numPr>
          <w:ilvl w:val="0"/>
          <w:numId w:val="80"/>
        </w:numPr>
        <w:tabs>
          <w:tab w:pos="522" w:val="left" w:leader="none"/>
        </w:tabs>
        <w:spacing w:line="240" w:lineRule="auto" w:before="0" w:after="0"/>
        <w:ind w:left="159" w:right="495" w:firstLine="0"/>
        <w:jc w:val="both"/>
        <w:rPr>
          <w:sz w:val="24"/>
        </w:rPr>
      </w:pPr>
      <w:r>
        <w:rPr>
          <w:sz w:val="24"/>
        </w:rPr>
        <w:t>Far greater emphasis should be placed on helping unqualified teachers in service to improve their qualifications by providing correspondence courses and allowing liberal concessions for study leave.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
      </w:pPr>
    </w:p>
    <w:p>
      <w:pPr>
        <w:pStyle w:val="BodyText"/>
        <w:ind w:left="160" w:right="497"/>
        <w:jc w:val="both"/>
      </w:pPr>
      <w:r>
        <w:rPr>
          <w:b/>
          <w:vertAlign w:val="superscript"/>
        </w:rPr>
        <w:t>38</w:t>
      </w:r>
      <w:r>
        <w:rPr>
          <w:vertAlign w:val="baseline"/>
        </w:rPr>
        <w:t>At present, about 75 per cent of all the new recruitment at this stage is that of qualified </w:t>
      </w:r>
      <w:r>
        <w:rPr>
          <w:spacing w:val="-2"/>
          <w:vertAlign w:val="baseline"/>
        </w:rPr>
        <w:t>teachers.</w:t>
      </w:r>
    </w:p>
    <w:p>
      <w:pPr>
        <w:spacing w:after="0"/>
        <w:jc w:val="both"/>
        <w:sectPr>
          <w:pgSz w:w="12240" w:h="15840"/>
          <w:pgMar w:header="0" w:footer="743" w:top="1360" w:bottom="940" w:left="1640" w:right="1300"/>
        </w:sectPr>
      </w:pPr>
    </w:p>
    <w:p>
      <w:pPr>
        <w:pStyle w:val="BodyText"/>
        <w:spacing w:line="30" w:lineRule="exact"/>
        <w:ind w:left="160"/>
        <w:rPr>
          <w:sz w:val="3"/>
        </w:rPr>
      </w:pPr>
      <w:r>
        <w:rPr/>
        <mc:AlternateContent>
          <mc:Choice Requires="wps">
            <w:drawing>
              <wp:anchor distT="0" distB="0" distL="0" distR="0" allowOverlap="1" layoutInCell="1" locked="0" behindDoc="0" simplePos="0" relativeHeight="15742976">
                <wp:simplePos x="0" y="0"/>
                <wp:positionH relativeFrom="page">
                  <wp:posOffset>1143000</wp:posOffset>
                </wp:positionH>
                <wp:positionV relativeFrom="page">
                  <wp:posOffset>8398002</wp:posOffset>
                </wp:positionV>
                <wp:extent cx="5486400" cy="1905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486400" cy="19050"/>
                          <a:chExt cx="5486400" cy="19050"/>
                        </a:xfrm>
                      </wpg:grpSpPr>
                      <wps:wsp>
                        <wps:cNvPr id="152" name="Graphic 15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53" name="Graphic 153"/>
                        <wps:cNvSpPr/>
                        <wps:spPr>
                          <a:xfrm>
                            <a:off x="0" y="0"/>
                            <a:ext cx="5483860" cy="3175"/>
                          </a:xfrm>
                          <a:custGeom>
                            <a:avLst/>
                            <a:gdLst/>
                            <a:ahLst/>
                            <a:cxnLst/>
                            <a:rect l="l" t="t" r="r" b="b"/>
                            <a:pathLst>
                              <a:path w="5483860" h="3175">
                                <a:moveTo>
                                  <a:pt x="5483352" y="0"/>
                                </a:moveTo>
                                <a:lnTo>
                                  <a:pt x="0" y="0"/>
                                </a:lnTo>
                                <a:lnTo>
                                  <a:pt x="0" y="3047"/>
                                </a:lnTo>
                                <a:lnTo>
                                  <a:pt x="5483352" y="3047"/>
                                </a:lnTo>
                                <a:lnTo>
                                  <a:pt x="5483352" y="0"/>
                                </a:lnTo>
                                <a:close/>
                              </a:path>
                            </a:pathLst>
                          </a:custGeom>
                          <a:solidFill>
                            <a:srgbClr val="ACA89A"/>
                          </a:solidFill>
                        </wps:spPr>
                        <wps:bodyPr wrap="square" lIns="0" tIns="0" rIns="0" bIns="0" rtlCol="0">
                          <a:prstTxWarp prst="textNoShape">
                            <a:avLst/>
                          </a:prstTxWarp>
                          <a:noAutofit/>
                        </wps:bodyPr>
                      </wps:wsp>
                      <wps:wsp>
                        <wps:cNvPr id="154" name="Graphic 154"/>
                        <wps:cNvSpPr/>
                        <wps:spPr>
                          <a:xfrm>
                            <a:off x="0" y="16002"/>
                            <a:ext cx="5486400" cy="3175"/>
                          </a:xfrm>
                          <a:custGeom>
                            <a:avLst/>
                            <a:gdLst/>
                            <a:ahLst/>
                            <a:cxnLst/>
                            <a:rect l="l" t="t" r="r" b="b"/>
                            <a:pathLst>
                              <a:path w="5486400" h="3175">
                                <a:moveTo>
                                  <a:pt x="5486400" y="0"/>
                                </a:moveTo>
                                <a:lnTo>
                                  <a:pt x="0" y="0"/>
                                </a:lnTo>
                                <a:lnTo>
                                  <a:pt x="0" y="3047"/>
                                </a:lnTo>
                                <a:lnTo>
                                  <a:pt x="5486400" y="3047"/>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661.26001pt;width:432pt;height:1.5pt;mso-position-horizontal-relative:page;mso-position-vertical-relative:page;z-index:15742976" id="docshapegroup146" coordorigin="1800,13225" coordsize="8640,30">
                <v:rect style="position:absolute;left:1800;top:13225;width:8640;height:30" id="docshape147" filled="true" fillcolor="#808080" stroked="false">
                  <v:fill type="solid"/>
                </v:rect>
                <v:rect style="position:absolute;left:1800;top:13225;width:8636;height:5" id="docshape148" filled="true" fillcolor="#aca89a" stroked="false">
                  <v:fill type="solid"/>
                </v:rect>
                <v:rect style="position:absolute;left:1800;top:13250;width:8640;height:5" id="docshape149" filled="true" fillcolor="#f1efe2" stroked="false">
                  <v:fill type="solid"/>
                </v:rect>
                <w10:wrap type="none"/>
              </v:group>
            </w:pict>
          </mc:Fallback>
        </mc:AlternateContent>
      </w:r>
      <w:r>
        <w:rPr>
          <w:position w:val="0"/>
          <w:sz w:val="3"/>
        </w:rPr>
        <mc:AlternateContent>
          <mc:Choice Requires="wps">
            <w:drawing>
              <wp:inline distT="0" distB="0" distL="0" distR="0">
                <wp:extent cx="5486400" cy="19050"/>
                <wp:effectExtent l="0" t="0" r="0" b="9525"/>
                <wp:docPr id="155" name="Group 155"/>
                <wp:cNvGraphicFramePr>
                  <a:graphicFrameLocks/>
                </wp:cNvGraphicFramePr>
                <a:graphic>
                  <a:graphicData uri="http://schemas.microsoft.com/office/word/2010/wordprocessingGroup">
                    <wpg:wgp>
                      <wpg:cNvPr id="155" name="Group 155"/>
                      <wpg:cNvGrpSpPr/>
                      <wpg:grpSpPr>
                        <a:xfrm>
                          <a:off x="0" y="0"/>
                          <a:ext cx="5486400" cy="19050"/>
                          <a:chExt cx="5486400" cy="19050"/>
                        </a:xfrm>
                      </wpg:grpSpPr>
                      <wps:wsp>
                        <wps:cNvPr id="156" name="Graphic 15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57" name="Graphic 157"/>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58" name="Graphic 158"/>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59" name="Graphic 159"/>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60" name="Graphic 160"/>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61" name="Graphic 161"/>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62" name="Graphic 162"/>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inline>
            </w:drawing>
          </mc:Choice>
          <mc:Fallback>
            <w:pict>
              <v:group style="width:432pt;height:1.5pt;mso-position-horizontal-relative:char;mso-position-vertical-relative:line" id="docshapegroup150" coordorigin="0,0" coordsize="8640,30">
                <v:rect style="position:absolute;left:0;top:0;width:8640;height:30" id="docshape151" filled="true" fillcolor="#808080" stroked="false">
                  <v:fill type="solid"/>
                </v:rect>
                <v:shape style="position:absolute;left:0;top:0;width:8636;height:5" id="docshape152" coordorigin="0,0" coordsize="8636,5" path="m8635,0l5,0,0,0,0,5,5,5,8635,5,8635,0xe" filled="true" fillcolor="#aca89a" stroked="false">
                  <v:path arrowok="t"/>
                  <v:fill type="solid"/>
                </v:shape>
                <v:rect style="position:absolute;left:8635;top:0;width:5;height:5" id="docshape153" filled="true" fillcolor="#f1efe2" stroked="false">
                  <v:fill type="solid"/>
                </v:rect>
                <v:shape style="position:absolute;left:0;top:0;width:8640;height:26" id="docshape154" coordorigin="0,0" coordsize="8640,26" path="m5,5l0,5,0,25,5,25,5,5xm8640,0l8635,0,8635,5,8640,5,8640,0xe" filled="true" fillcolor="#aca89a" stroked="false">
                  <v:path arrowok="t"/>
                  <v:fill type="solid"/>
                </v:shape>
                <v:rect style="position:absolute;left:8635;top:4;width:5;height:21" id="docshape155" filled="true" fillcolor="#f1efe2" stroked="false">
                  <v:fill type="solid"/>
                </v:rect>
                <v:rect style="position:absolute;left:0;top:25;width:5;height:5" id="docshape156" filled="true" fillcolor="#aca89a" stroked="false">
                  <v:fill type="solid"/>
                </v:rect>
                <v:shape style="position:absolute;left:0;top:25;width:8640;height:5" id="docshape157" coordorigin="0,25" coordsize="8640,5" path="m8640,25l8635,25,0,25,0,30,8635,30,8640,30,8640,25xe" filled="true" fillcolor="#f1efe2" stroked="false">
                  <v:path arrowok="t"/>
                  <v:fill type="solid"/>
                </v:shape>
              </v:group>
            </w:pict>
          </mc:Fallback>
        </mc:AlternateContent>
      </w:r>
      <w:r>
        <w:rPr>
          <w:position w:val="0"/>
          <w:sz w:val="3"/>
        </w:rPr>
      </w:r>
    </w:p>
    <w:p>
      <w:pPr>
        <w:pStyle w:val="BodyText"/>
        <w:spacing w:before="42"/>
        <w:ind w:left="3445" w:right="1493" w:hanging="2292"/>
      </w:pPr>
      <w:r>
        <w:rPr/>
        <w:t>TABLE</w:t>
      </w:r>
      <w:r>
        <w:rPr>
          <w:spacing w:val="-7"/>
        </w:rPr>
        <w:t> </w:t>
      </w:r>
      <w:r>
        <w:rPr/>
        <w:t>4.1.</w:t>
      </w:r>
      <w:r>
        <w:rPr>
          <w:spacing w:val="-7"/>
        </w:rPr>
        <w:t> </w:t>
      </w:r>
      <w:r>
        <w:rPr/>
        <w:t>GENERAL</w:t>
      </w:r>
      <w:r>
        <w:rPr>
          <w:spacing w:val="-7"/>
        </w:rPr>
        <w:t> </w:t>
      </w:r>
      <w:r>
        <w:rPr/>
        <w:t>EDUCATION</w:t>
      </w:r>
      <w:r>
        <w:rPr>
          <w:spacing w:val="-7"/>
        </w:rPr>
        <w:t> </w:t>
      </w:r>
      <w:r>
        <w:rPr/>
        <w:t>OF</w:t>
      </w:r>
      <w:r>
        <w:rPr>
          <w:spacing w:val="-7"/>
        </w:rPr>
        <w:t> </w:t>
      </w:r>
      <w:r>
        <w:rPr/>
        <w:t>PRIMARY</w:t>
      </w:r>
      <w:r>
        <w:rPr>
          <w:spacing w:val="-7"/>
        </w:rPr>
        <w:t> </w:t>
      </w:r>
      <w:r>
        <w:rPr/>
        <w:t>TEACHERS (1950-51 to 1965-66)</w:t>
      </w:r>
    </w:p>
    <w:p>
      <w:pPr>
        <w:pStyle w:val="BodyText"/>
        <w:spacing w:before="6"/>
        <w:rPr>
          <w:sz w:val="18"/>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50"/>
        <w:gridCol w:w="1437"/>
        <w:gridCol w:w="1879"/>
        <w:gridCol w:w="1794"/>
        <w:gridCol w:w="1491"/>
        <w:gridCol w:w="240"/>
      </w:tblGrid>
      <w:tr>
        <w:trPr>
          <w:trHeight w:val="329" w:hRule="atLeast"/>
        </w:trPr>
        <w:tc>
          <w:tcPr>
            <w:tcW w:w="1850" w:type="dxa"/>
            <w:tcBorders>
              <w:top w:val="single" w:sz="12" w:space="0" w:color="808080"/>
            </w:tcBorders>
          </w:tcPr>
          <w:p>
            <w:pPr>
              <w:pStyle w:val="TableParagraph"/>
              <w:spacing w:line="261" w:lineRule="exact" w:before="48"/>
              <w:ind w:left="50"/>
              <w:rPr>
                <w:sz w:val="24"/>
              </w:rPr>
            </w:pPr>
            <w:r>
              <w:rPr>
                <w:spacing w:val="-4"/>
                <w:sz w:val="24"/>
              </w:rPr>
              <w:t>Year</w:t>
            </w:r>
          </w:p>
        </w:tc>
        <w:tc>
          <w:tcPr>
            <w:tcW w:w="1437" w:type="dxa"/>
            <w:tcBorders>
              <w:top w:val="single" w:sz="12" w:space="0" w:color="808080"/>
            </w:tcBorders>
          </w:tcPr>
          <w:p>
            <w:pPr>
              <w:pStyle w:val="TableParagraph"/>
              <w:spacing w:line="261" w:lineRule="exact" w:before="48"/>
              <w:ind w:left="31"/>
              <w:rPr>
                <w:sz w:val="24"/>
              </w:rPr>
            </w:pPr>
            <w:r>
              <w:rPr>
                <w:spacing w:val="-2"/>
                <w:sz w:val="24"/>
              </w:rPr>
              <w:t>Graduates</w:t>
            </w:r>
          </w:p>
        </w:tc>
        <w:tc>
          <w:tcPr>
            <w:tcW w:w="1879" w:type="dxa"/>
            <w:tcBorders>
              <w:top w:val="single" w:sz="12" w:space="0" w:color="808080"/>
            </w:tcBorders>
          </w:tcPr>
          <w:p>
            <w:pPr>
              <w:pStyle w:val="TableParagraph"/>
              <w:spacing w:line="261" w:lineRule="exact" w:before="48"/>
              <w:ind w:left="426"/>
              <w:rPr>
                <w:sz w:val="24"/>
              </w:rPr>
            </w:pPr>
            <w:r>
              <w:rPr>
                <w:spacing w:val="-2"/>
                <w:sz w:val="24"/>
              </w:rPr>
              <w:t>Completed</w:t>
            </w:r>
          </w:p>
        </w:tc>
        <w:tc>
          <w:tcPr>
            <w:tcW w:w="1794" w:type="dxa"/>
            <w:tcBorders>
              <w:top w:val="single" w:sz="12" w:space="0" w:color="808080"/>
            </w:tcBorders>
          </w:tcPr>
          <w:p>
            <w:pPr>
              <w:pStyle w:val="TableParagraph"/>
              <w:spacing w:line="261" w:lineRule="exact" w:before="48"/>
              <w:ind w:left="378"/>
              <w:rPr>
                <w:sz w:val="24"/>
              </w:rPr>
            </w:pPr>
            <w:r>
              <w:rPr>
                <w:spacing w:val="-5"/>
                <w:sz w:val="24"/>
              </w:rPr>
              <w:t>Not</w:t>
            </w:r>
          </w:p>
        </w:tc>
        <w:tc>
          <w:tcPr>
            <w:tcW w:w="1731" w:type="dxa"/>
            <w:gridSpan w:val="2"/>
            <w:tcBorders>
              <w:top w:val="single" w:sz="12" w:space="0" w:color="808080"/>
            </w:tcBorders>
          </w:tcPr>
          <w:p>
            <w:pPr>
              <w:pStyle w:val="TableParagraph"/>
              <w:spacing w:line="261" w:lineRule="exact" w:before="48"/>
              <w:ind w:left="416"/>
              <w:rPr>
                <w:sz w:val="24"/>
              </w:rPr>
            </w:pPr>
            <w:r>
              <w:rPr>
                <w:spacing w:val="-5"/>
                <w:sz w:val="24"/>
              </w:rPr>
              <w:t>All</w:t>
            </w:r>
          </w:p>
        </w:tc>
      </w:tr>
      <w:tr>
        <w:trPr>
          <w:trHeight w:val="275" w:hRule="atLeast"/>
        </w:trPr>
        <w:tc>
          <w:tcPr>
            <w:tcW w:w="1850" w:type="dxa"/>
          </w:tcPr>
          <w:p>
            <w:pPr>
              <w:pStyle w:val="TableParagraph"/>
              <w:rPr>
                <w:sz w:val="20"/>
              </w:rPr>
            </w:pPr>
          </w:p>
        </w:tc>
        <w:tc>
          <w:tcPr>
            <w:tcW w:w="1437" w:type="dxa"/>
          </w:tcPr>
          <w:p>
            <w:pPr>
              <w:pStyle w:val="TableParagraph"/>
              <w:spacing w:line="256" w:lineRule="exact"/>
              <w:ind w:left="30"/>
              <w:rPr>
                <w:sz w:val="24"/>
              </w:rPr>
            </w:pPr>
            <w:r>
              <w:rPr>
                <w:sz w:val="24"/>
              </w:rPr>
              <w:t>and</w:t>
            </w:r>
            <w:r>
              <w:rPr>
                <w:spacing w:val="-1"/>
                <w:sz w:val="24"/>
              </w:rPr>
              <w:t> </w:t>
            </w:r>
            <w:r>
              <w:rPr>
                <w:spacing w:val="-2"/>
                <w:sz w:val="24"/>
              </w:rPr>
              <w:t>above</w:t>
            </w:r>
          </w:p>
        </w:tc>
        <w:tc>
          <w:tcPr>
            <w:tcW w:w="1879" w:type="dxa"/>
          </w:tcPr>
          <w:p>
            <w:pPr>
              <w:pStyle w:val="TableParagraph"/>
              <w:spacing w:line="256" w:lineRule="exact"/>
              <w:ind w:left="425"/>
              <w:rPr>
                <w:sz w:val="24"/>
              </w:rPr>
            </w:pPr>
            <w:r>
              <w:rPr>
                <w:spacing w:val="-2"/>
                <w:sz w:val="24"/>
              </w:rPr>
              <w:t>secondary</w:t>
            </w:r>
          </w:p>
        </w:tc>
        <w:tc>
          <w:tcPr>
            <w:tcW w:w="1794" w:type="dxa"/>
          </w:tcPr>
          <w:p>
            <w:pPr>
              <w:pStyle w:val="TableParagraph"/>
              <w:spacing w:line="256" w:lineRule="exact"/>
              <w:ind w:left="378"/>
              <w:rPr>
                <w:sz w:val="24"/>
              </w:rPr>
            </w:pPr>
            <w:r>
              <w:rPr>
                <w:spacing w:val="-2"/>
                <w:sz w:val="24"/>
              </w:rPr>
              <w:t>completed</w:t>
            </w:r>
          </w:p>
        </w:tc>
        <w:tc>
          <w:tcPr>
            <w:tcW w:w="1731" w:type="dxa"/>
            <w:gridSpan w:val="2"/>
          </w:tcPr>
          <w:p>
            <w:pPr>
              <w:pStyle w:val="TableParagraph"/>
              <w:spacing w:line="256" w:lineRule="exact"/>
              <w:ind w:left="415"/>
              <w:rPr>
                <w:sz w:val="24"/>
              </w:rPr>
            </w:pPr>
            <w:r>
              <w:rPr>
                <w:spacing w:val="-2"/>
                <w:sz w:val="24"/>
              </w:rPr>
              <w:t>teachers</w:t>
            </w:r>
          </w:p>
        </w:tc>
      </w:tr>
      <w:tr>
        <w:trPr>
          <w:trHeight w:val="275" w:hRule="atLeast"/>
        </w:trPr>
        <w:tc>
          <w:tcPr>
            <w:tcW w:w="1850" w:type="dxa"/>
          </w:tcPr>
          <w:p>
            <w:pPr>
              <w:pStyle w:val="TableParagraph"/>
              <w:rPr>
                <w:sz w:val="20"/>
              </w:rPr>
            </w:pPr>
          </w:p>
        </w:tc>
        <w:tc>
          <w:tcPr>
            <w:tcW w:w="1437" w:type="dxa"/>
          </w:tcPr>
          <w:p>
            <w:pPr>
              <w:pStyle w:val="TableParagraph"/>
              <w:rPr>
                <w:sz w:val="20"/>
              </w:rPr>
            </w:pPr>
          </w:p>
        </w:tc>
        <w:tc>
          <w:tcPr>
            <w:tcW w:w="1879" w:type="dxa"/>
          </w:tcPr>
          <w:p>
            <w:pPr>
              <w:pStyle w:val="TableParagraph"/>
              <w:spacing w:line="256" w:lineRule="exact"/>
              <w:ind w:left="426"/>
              <w:rPr>
                <w:sz w:val="24"/>
              </w:rPr>
            </w:pPr>
            <w:r>
              <w:rPr>
                <w:sz w:val="24"/>
              </w:rPr>
              <w:t>School </w:t>
            </w:r>
            <w:r>
              <w:rPr>
                <w:spacing w:val="-5"/>
                <w:sz w:val="24"/>
              </w:rPr>
              <w:t>and</w:t>
            </w:r>
          </w:p>
        </w:tc>
        <w:tc>
          <w:tcPr>
            <w:tcW w:w="1794" w:type="dxa"/>
          </w:tcPr>
          <w:p>
            <w:pPr>
              <w:pStyle w:val="TableParagraph"/>
              <w:spacing w:line="256" w:lineRule="exact"/>
              <w:ind w:left="379"/>
              <w:rPr>
                <w:sz w:val="24"/>
              </w:rPr>
            </w:pPr>
            <w:r>
              <w:rPr>
                <w:spacing w:val="-2"/>
                <w:sz w:val="24"/>
              </w:rPr>
              <w:t>secondary</w:t>
            </w:r>
          </w:p>
        </w:tc>
        <w:tc>
          <w:tcPr>
            <w:tcW w:w="1731" w:type="dxa"/>
            <w:gridSpan w:val="2"/>
          </w:tcPr>
          <w:p>
            <w:pPr>
              <w:pStyle w:val="TableParagraph"/>
              <w:rPr>
                <w:sz w:val="20"/>
              </w:rPr>
            </w:pPr>
          </w:p>
        </w:tc>
      </w:tr>
      <w:tr>
        <w:trPr>
          <w:trHeight w:val="275" w:hRule="atLeast"/>
        </w:trPr>
        <w:tc>
          <w:tcPr>
            <w:tcW w:w="1850" w:type="dxa"/>
          </w:tcPr>
          <w:p>
            <w:pPr>
              <w:pStyle w:val="TableParagraph"/>
              <w:rPr>
                <w:sz w:val="20"/>
              </w:rPr>
            </w:pPr>
          </w:p>
        </w:tc>
        <w:tc>
          <w:tcPr>
            <w:tcW w:w="1437" w:type="dxa"/>
          </w:tcPr>
          <w:p>
            <w:pPr>
              <w:pStyle w:val="TableParagraph"/>
              <w:rPr>
                <w:sz w:val="20"/>
              </w:rPr>
            </w:pPr>
          </w:p>
        </w:tc>
        <w:tc>
          <w:tcPr>
            <w:tcW w:w="1879" w:type="dxa"/>
          </w:tcPr>
          <w:p>
            <w:pPr>
              <w:pStyle w:val="TableParagraph"/>
              <w:spacing w:line="256" w:lineRule="exact"/>
              <w:ind w:left="425"/>
              <w:rPr>
                <w:sz w:val="24"/>
              </w:rPr>
            </w:pPr>
            <w:r>
              <w:rPr>
                <w:spacing w:val="-2"/>
                <w:sz w:val="24"/>
              </w:rPr>
              <w:t>under-</w:t>
            </w:r>
          </w:p>
        </w:tc>
        <w:tc>
          <w:tcPr>
            <w:tcW w:w="1794" w:type="dxa"/>
          </w:tcPr>
          <w:p>
            <w:pPr>
              <w:pStyle w:val="TableParagraph"/>
              <w:spacing w:line="256" w:lineRule="exact"/>
              <w:ind w:left="378"/>
              <w:rPr>
                <w:sz w:val="24"/>
              </w:rPr>
            </w:pPr>
            <w:r>
              <w:rPr>
                <w:spacing w:val="-2"/>
                <w:sz w:val="24"/>
              </w:rPr>
              <w:t>school</w:t>
            </w:r>
          </w:p>
        </w:tc>
        <w:tc>
          <w:tcPr>
            <w:tcW w:w="1731" w:type="dxa"/>
            <w:gridSpan w:val="2"/>
          </w:tcPr>
          <w:p>
            <w:pPr>
              <w:pStyle w:val="TableParagraph"/>
              <w:rPr>
                <w:sz w:val="20"/>
              </w:rPr>
            </w:pPr>
          </w:p>
        </w:tc>
      </w:tr>
      <w:tr>
        <w:trPr>
          <w:trHeight w:val="270" w:hRule="atLeast"/>
        </w:trPr>
        <w:tc>
          <w:tcPr>
            <w:tcW w:w="1850" w:type="dxa"/>
          </w:tcPr>
          <w:p>
            <w:pPr>
              <w:pStyle w:val="TableParagraph"/>
              <w:rPr>
                <w:sz w:val="20"/>
              </w:rPr>
            </w:pPr>
          </w:p>
        </w:tc>
        <w:tc>
          <w:tcPr>
            <w:tcW w:w="1437" w:type="dxa"/>
          </w:tcPr>
          <w:p>
            <w:pPr>
              <w:pStyle w:val="TableParagraph"/>
              <w:rPr>
                <w:sz w:val="20"/>
              </w:rPr>
            </w:pPr>
          </w:p>
        </w:tc>
        <w:tc>
          <w:tcPr>
            <w:tcW w:w="1879" w:type="dxa"/>
          </w:tcPr>
          <w:p>
            <w:pPr>
              <w:pStyle w:val="TableParagraph"/>
              <w:spacing w:line="251" w:lineRule="exact"/>
              <w:ind w:left="426"/>
              <w:rPr>
                <w:sz w:val="24"/>
              </w:rPr>
            </w:pPr>
            <w:r>
              <w:rPr>
                <w:spacing w:val="-2"/>
                <w:sz w:val="24"/>
              </w:rPr>
              <w:t>graduates</w:t>
            </w:r>
          </w:p>
        </w:tc>
        <w:tc>
          <w:tcPr>
            <w:tcW w:w="1794" w:type="dxa"/>
          </w:tcPr>
          <w:p>
            <w:pPr>
              <w:pStyle w:val="TableParagraph"/>
              <w:rPr>
                <w:sz w:val="20"/>
              </w:rPr>
            </w:pPr>
          </w:p>
        </w:tc>
        <w:tc>
          <w:tcPr>
            <w:tcW w:w="1731" w:type="dxa"/>
            <w:gridSpan w:val="2"/>
          </w:tcPr>
          <w:p>
            <w:pPr>
              <w:pStyle w:val="TableParagraph"/>
              <w:rPr>
                <w:sz w:val="20"/>
              </w:rPr>
            </w:pPr>
          </w:p>
        </w:tc>
      </w:tr>
      <w:tr>
        <w:trPr>
          <w:trHeight w:val="551" w:hRule="atLeast"/>
        </w:trPr>
        <w:tc>
          <w:tcPr>
            <w:tcW w:w="8691" w:type="dxa"/>
            <w:gridSpan w:val="6"/>
          </w:tcPr>
          <w:p>
            <w:pPr>
              <w:pStyle w:val="TableParagraph"/>
              <w:spacing w:before="2"/>
              <w:rPr>
                <w:sz w:val="17"/>
              </w:rPr>
            </w:pPr>
          </w:p>
          <w:p>
            <w:pPr>
              <w:pStyle w:val="TableParagraph"/>
              <w:spacing w:line="30" w:lineRule="exact"/>
              <w:ind w:left="50" w:right="-72"/>
              <w:rPr>
                <w:sz w:val="3"/>
              </w:rPr>
            </w:pPr>
            <w:r>
              <w:rPr>
                <w:position w:val="0"/>
                <w:sz w:val="3"/>
              </w:rPr>
              <mc:AlternateContent>
                <mc:Choice Requires="wps">
                  <w:drawing>
                    <wp:inline distT="0" distB="0" distL="0" distR="0">
                      <wp:extent cx="5486400" cy="19050"/>
                      <wp:effectExtent l="0" t="0" r="0" b="9525"/>
                      <wp:docPr id="163" name="Group 163"/>
                      <wp:cNvGraphicFramePr>
                        <a:graphicFrameLocks/>
                      </wp:cNvGraphicFramePr>
                      <a:graphic>
                        <a:graphicData uri="http://schemas.microsoft.com/office/word/2010/wordprocessingGroup">
                          <wpg:wgp>
                            <wpg:cNvPr id="163" name="Group 163"/>
                            <wpg:cNvGrpSpPr/>
                            <wpg:grpSpPr>
                              <a:xfrm>
                                <a:off x="0" y="0"/>
                                <a:ext cx="5486400" cy="19050"/>
                                <a:chExt cx="5486400" cy="19050"/>
                              </a:xfrm>
                            </wpg:grpSpPr>
                            <wps:wsp>
                              <wps:cNvPr id="164" name="Graphic 164"/>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65" name="Graphic 165"/>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66" name="Graphic 166"/>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67" name="Graphic 167"/>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68" name="Graphic 168"/>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69" name="Graphic 169"/>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70" name="Graphic 170"/>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inline>
                  </w:drawing>
                </mc:Choice>
                <mc:Fallback>
                  <w:pict>
                    <v:group style="width:432pt;height:1.5pt;mso-position-horizontal-relative:char;mso-position-vertical-relative:line" id="docshapegroup158" coordorigin="0,0" coordsize="8640,30">
                      <v:rect style="position:absolute;left:0;top:0;width:8640;height:30" id="docshape159" filled="true" fillcolor="#808080" stroked="false">
                        <v:fill type="solid"/>
                      </v:rect>
                      <v:shape style="position:absolute;left:0;top:0;width:8636;height:5" id="docshape160" coordorigin="0,0" coordsize="8636,5" path="m8635,0l5,0,0,0,0,5,5,5,8635,5,8635,0xe" filled="true" fillcolor="#aca89a" stroked="false">
                        <v:path arrowok="t"/>
                        <v:fill type="solid"/>
                      </v:shape>
                      <v:rect style="position:absolute;left:8635;top:0;width:5;height:5" id="docshape161" filled="true" fillcolor="#f1efe2" stroked="false">
                        <v:fill type="solid"/>
                      </v:rect>
                      <v:shape style="position:absolute;left:0;top:0;width:8640;height:26" id="docshape162" coordorigin="0,0" coordsize="8640,26" path="m5,5l0,5,0,25,5,25,5,5xm8640,0l8635,0,8635,5,8640,5,8640,0xe" filled="true" fillcolor="#aca89a" stroked="false">
                        <v:path arrowok="t"/>
                        <v:fill type="solid"/>
                      </v:shape>
                      <v:rect style="position:absolute;left:8635;top:4;width:5;height:21" id="docshape163" filled="true" fillcolor="#f1efe2" stroked="false">
                        <v:fill type="solid"/>
                      </v:rect>
                      <v:rect style="position:absolute;left:0;top:25;width:5;height:5" id="docshape164" filled="true" fillcolor="#aca89a" stroked="false">
                        <v:fill type="solid"/>
                      </v:rect>
                      <v:shape style="position:absolute;left:0;top:25;width:8640;height:5" id="docshape165" coordorigin="0,25" coordsize="8640,5" path="m8640,25l8635,25,0,25,0,30,8635,30,8640,30,8640,25xe" filled="true" fillcolor="#f1efe2" stroked="false">
                        <v:path arrowok="t"/>
                        <v:fill type="solid"/>
                      </v:shape>
                    </v:group>
                  </w:pict>
                </mc:Fallback>
              </mc:AlternateContent>
            </w:r>
            <w:r>
              <w:rPr>
                <w:position w:val="0"/>
                <w:sz w:val="3"/>
              </w:rPr>
            </w:r>
          </w:p>
          <w:p>
            <w:pPr>
              <w:pStyle w:val="TableParagraph"/>
              <w:spacing w:line="256" w:lineRule="exact" w:before="48"/>
              <w:ind w:left="47"/>
              <w:jc w:val="center"/>
              <w:rPr>
                <w:sz w:val="24"/>
              </w:rPr>
            </w:pPr>
            <w:r>
              <w:rPr>
                <w:sz w:val="24"/>
              </w:rPr>
              <w:t>LOWER</w:t>
            </w:r>
            <w:r>
              <w:rPr>
                <w:spacing w:val="-5"/>
                <w:sz w:val="24"/>
              </w:rPr>
              <w:t> </w:t>
            </w:r>
            <w:r>
              <w:rPr>
                <w:sz w:val="24"/>
              </w:rPr>
              <w:t>PRIMARY</w:t>
            </w:r>
            <w:r>
              <w:rPr>
                <w:spacing w:val="-5"/>
                <w:sz w:val="24"/>
              </w:rPr>
              <w:t> </w:t>
            </w:r>
            <w:r>
              <w:rPr>
                <w:spacing w:val="-2"/>
                <w:sz w:val="24"/>
              </w:rPr>
              <w:t>SCHOOLS</w:t>
            </w:r>
          </w:p>
        </w:tc>
      </w:tr>
      <w:tr>
        <w:trPr>
          <w:trHeight w:val="281" w:hRule="atLeast"/>
        </w:trPr>
        <w:tc>
          <w:tcPr>
            <w:tcW w:w="1850" w:type="dxa"/>
          </w:tcPr>
          <w:p>
            <w:pPr>
              <w:pStyle w:val="TableParagraph"/>
              <w:spacing w:line="251" w:lineRule="exact"/>
              <w:ind w:left="50"/>
              <w:rPr>
                <w:sz w:val="24"/>
              </w:rPr>
            </w:pPr>
            <w:r>
              <w:rPr>
                <w:sz w:val="24"/>
              </w:rPr>
              <w:t>1950-</w:t>
            </w:r>
            <w:r>
              <w:rPr>
                <w:spacing w:val="-5"/>
                <w:sz w:val="24"/>
              </w:rPr>
              <w:t>51</w:t>
            </w:r>
          </w:p>
        </w:tc>
        <w:tc>
          <w:tcPr>
            <w:tcW w:w="1437" w:type="dxa"/>
          </w:tcPr>
          <w:p>
            <w:pPr>
              <w:pStyle w:val="TableParagraph"/>
              <w:rPr>
                <w:sz w:val="20"/>
              </w:rPr>
            </w:pPr>
          </w:p>
        </w:tc>
        <w:tc>
          <w:tcPr>
            <w:tcW w:w="1879" w:type="dxa"/>
          </w:tcPr>
          <w:p>
            <w:pPr>
              <w:pStyle w:val="TableParagraph"/>
              <w:rPr>
                <w:sz w:val="20"/>
              </w:rPr>
            </w:pPr>
          </w:p>
        </w:tc>
        <w:tc>
          <w:tcPr>
            <w:tcW w:w="1794" w:type="dxa"/>
          </w:tcPr>
          <w:p>
            <w:pPr>
              <w:pStyle w:val="TableParagraph"/>
              <w:rPr>
                <w:sz w:val="20"/>
              </w:rPr>
            </w:pPr>
          </w:p>
        </w:tc>
        <w:tc>
          <w:tcPr>
            <w:tcW w:w="1731" w:type="dxa"/>
            <w:gridSpan w:val="2"/>
          </w:tcPr>
          <w:p>
            <w:pPr>
              <w:pStyle w:val="TableParagraph"/>
              <w:rPr>
                <w:sz w:val="20"/>
              </w:rPr>
            </w:pPr>
          </w:p>
        </w:tc>
      </w:tr>
      <w:tr>
        <w:trPr>
          <w:trHeight w:val="275" w:hRule="atLeast"/>
        </w:trPr>
        <w:tc>
          <w:tcPr>
            <w:tcW w:w="1850" w:type="dxa"/>
          </w:tcPr>
          <w:p>
            <w:pPr>
              <w:pStyle w:val="TableParagraph"/>
              <w:spacing w:line="256" w:lineRule="exact"/>
              <w:ind w:left="50"/>
              <w:rPr>
                <w:sz w:val="24"/>
              </w:rPr>
            </w:pPr>
            <w:r>
              <w:rPr>
                <w:spacing w:val="-5"/>
                <w:sz w:val="24"/>
              </w:rPr>
              <w:t>Men</w:t>
            </w:r>
          </w:p>
        </w:tc>
        <w:tc>
          <w:tcPr>
            <w:tcW w:w="1437" w:type="dxa"/>
          </w:tcPr>
          <w:p>
            <w:pPr>
              <w:pStyle w:val="TableParagraph"/>
              <w:spacing w:line="256" w:lineRule="exact"/>
              <w:ind w:left="31"/>
              <w:rPr>
                <w:sz w:val="24"/>
              </w:rPr>
            </w:pPr>
            <w:r>
              <w:rPr>
                <w:spacing w:val="-5"/>
                <w:sz w:val="24"/>
              </w:rPr>
              <w:t>898</w:t>
            </w:r>
          </w:p>
        </w:tc>
        <w:tc>
          <w:tcPr>
            <w:tcW w:w="1879" w:type="dxa"/>
          </w:tcPr>
          <w:p>
            <w:pPr>
              <w:pStyle w:val="TableParagraph"/>
              <w:spacing w:line="256" w:lineRule="exact"/>
              <w:ind w:left="426"/>
              <w:rPr>
                <w:sz w:val="24"/>
              </w:rPr>
            </w:pPr>
            <w:r>
              <w:rPr>
                <w:spacing w:val="-2"/>
                <w:sz w:val="24"/>
              </w:rPr>
              <w:t>44,730</w:t>
            </w:r>
          </w:p>
        </w:tc>
        <w:tc>
          <w:tcPr>
            <w:tcW w:w="1794" w:type="dxa"/>
          </w:tcPr>
          <w:p>
            <w:pPr>
              <w:pStyle w:val="TableParagraph"/>
              <w:spacing w:line="256" w:lineRule="exact"/>
              <w:ind w:left="379"/>
              <w:rPr>
                <w:sz w:val="24"/>
              </w:rPr>
            </w:pPr>
            <w:r>
              <w:rPr>
                <w:spacing w:val="-2"/>
                <w:sz w:val="24"/>
              </w:rPr>
              <w:t>410,009</w:t>
            </w:r>
          </w:p>
        </w:tc>
        <w:tc>
          <w:tcPr>
            <w:tcW w:w="1731" w:type="dxa"/>
            <w:gridSpan w:val="2"/>
          </w:tcPr>
          <w:p>
            <w:pPr>
              <w:pStyle w:val="TableParagraph"/>
              <w:spacing w:line="256" w:lineRule="exact"/>
              <w:ind w:left="417"/>
              <w:rPr>
                <w:sz w:val="24"/>
              </w:rPr>
            </w:pPr>
            <w:r>
              <w:rPr>
                <w:spacing w:val="-2"/>
                <w:sz w:val="24"/>
              </w:rPr>
              <w:t>455,637</w:t>
            </w:r>
          </w:p>
        </w:tc>
      </w:tr>
      <w:tr>
        <w:trPr>
          <w:trHeight w:val="413" w:hRule="atLeast"/>
        </w:trPr>
        <w:tc>
          <w:tcPr>
            <w:tcW w:w="1850" w:type="dxa"/>
          </w:tcPr>
          <w:p>
            <w:pPr>
              <w:pStyle w:val="TableParagraph"/>
              <w:rPr>
                <w:sz w:val="22"/>
              </w:rPr>
            </w:pPr>
          </w:p>
        </w:tc>
        <w:tc>
          <w:tcPr>
            <w:tcW w:w="1437" w:type="dxa"/>
          </w:tcPr>
          <w:p>
            <w:pPr>
              <w:pStyle w:val="TableParagraph"/>
              <w:spacing w:line="271" w:lineRule="exact"/>
              <w:ind w:left="32"/>
              <w:rPr>
                <w:sz w:val="24"/>
              </w:rPr>
            </w:pPr>
            <w:r>
              <w:rPr>
                <w:spacing w:val="-2"/>
                <w:sz w:val="24"/>
              </w:rPr>
              <w:t>(0.2)</w:t>
            </w:r>
          </w:p>
        </w:tc>
        <w:tc>
          <w:tcPr>
            <w:tcW w:w="1879" w:type="dxa"/>
          </w:tcPr>
          <w:p>
            <w:pPr>
              <w:pStyle w:val="TableParagraph"/>
              <w:spacing w:line="271" w:lineRule="exact"/>
              <w:ind w:left="427"/>
              <w:rPr>
                <w:sz w:val="24"/>
              </w:rPr>
            </w:pPr>
            <w:r>
              <w:rPr>
                <w:spacing w:val="-2"/>
                <w:sz w:val="24"/>
              </w:rPr>
              <w:t>(9.8)</w:t>
            </w:r>
          </w:p>
        </w:tc>
        <w:tc>
          <w:tcPr>
            <w:tcW w:w="1794" w:type="dxa"/>
          </w:tcPr>
          <w:p>
            <w:pPr>
              <w:pStyle w:val="TableParagraph"/>
              <w:spacing w:line="271" w:lineRule="exact"/>
              <w:ind w:left="380"/>
              <w:rPr>
                <w:sz w:val="24"/>
              </w:rPr>
            </w:pPr>
            <w:r>
              <w:rPr>
                <w:spacing w:val="-2"/>
                <w:sz w:val="24"/>
              </w:rPr>
              <w:t>(90.0)</w:t>
            </w:r>
          </w:p>
        </w:tc>
        <w:tc>
          <w:tcPr>
            <w:tcW w:w="1731" w:type="dxa"/>
            <w:gridSpan w:val="2"/>
          </w:tcPr>
          <w:p>
            <w:pPr>
              <w:pStyle w:val="TableParagraph"/>
              <w:spacing w:line="271" w:lineRule="exact"/>
              <w:ind w:left="417"/>
              <w:rPr>
                <w:sz w:val="24"/>
              </w:rPr>
            </w:pPr>
            <w:r>
              <w:rPr>
                <w:spacing w:val="-2"/>
                <w:sz w:val="24"/>
              </w:rPr>
              <w:t>(100)</w:t>
            </w:r>
          </w:p>
        </w:tc>
      </w:tr>
      <w:tr>
        <w:trPr>
          <w:trHeight w:val="414" w:hRule="atLeast"/>
        </w:trPr>
        <w:tc>
          <w:tcPr>
            <w:tcW w:w="1850" w:type="dxa"/>
          </w:tcPr>
          <w:p>
            <w:pPr>
              <w:pStyle w:val="TableParagraph"/>
              <w:spacing w:line="261" w:lineRule="exact" w:before="133"/>
              <w:ind w:left="50"/>
              <w:rPr>
                <w:sz w:val="24"/>
              </w:rPr>
            </w:pPr>
            <w:r>
              <w:rPr>
                <w:spacing w:val="-2"/>
                <w:sz w:val="24"/>
              </w:rPr>
              <w:t>Women</w:t>
            </w:r>
          </w:p>
        </w:tc>
        <w:tc>
          <w:tcPr>
            <w:tcW w:w="1437" w:type="dxa"/>
          </w:tcPr>
          <w:p>
            <w:pPr>
              <w:pStyle w:val="TableParagraph"/>
              <w:spacing w:line="261" w:lineRule="exact" w:before="133"/>
              <w:ind w:left="31"/>
              <w:rPr>
                <w:sz w:val="24"/>
              </w:rPr>
            </w:pPr>
            <w:r>
              <w:rPr>
                <w:spacing w:val="-5"/>
                <w:sz w:val="24"/>
              </w:rPr>
              <w:t>410</w:t>
            </w:r>
          </w:p>
        </w:tc>
        <w:tc>
          <w:tcPr>
            <w:tcW w:w="1879" w:type="dxa"/>
          </w:tcPr>
          <w:p>
            <w:pPr>
              <w:pStyle w:val="TableParagraph"/>
              <w:spacing w:line="261" w:lineRule="exact" w:before="133"/>
              <w:ind w:left="425"/>
              <w:rPr>
                <w:sz w:val="24"/>
              </w:rPr>
            </w:pPr>
            <w:r>
              <w:rPr>
                <w:spacing w:val="-2"/>
                <w:sz w:val="24"/>
              </w:rPr>
              <w:t>9,670</w:t>
            </w:r>
          </w:p>
        </w:tc>
        <w:tc>
          <w:tcPr>
            <w:tcW w:w="1794" w:type="dxa"/>
          </w:tcPr>
          <w:p>
            <w:pPr>
              <w:pStyle w:val="TableParagraph"/>
              <w:spacing w:line="261" w:lineRule="exact" w:before="133"/>
              <w:ind w:left="379"/>
              <w:rPr>
                <w:sz w:val="24"/>
              </w:rPr>
            </w:pPr>
            <w:r>
              <w:rPr>
                <w:spacing w:val="-2"/>
                <w:sz w:val="24"/>
              </w:rPr>
              <w:t>72,201</w:t>
            </w:r>
          </w:p>
        </w:tc>
        <w:tc>
          <w:tcPr>
            <w:tcW w:w="1731" w:type="dxa"/>
            <w:gridSpan w:val="2"/>
          </w:tcPr>
          <w:p>
            <w:pPr>
              <w:pStyle w:val="TableParagraph"/>
              <w:spacing w:line="261" w:lineRule="exact" w:before="133"/>
              <w:ind w:left="418"/>
              <w:rPr>
                <w:sz w:val="24"/>
              </w:rPr>
            </w:pPr>
            <w:r>
              <w:rPr>
                <w:spacing w:val="-2"/>
                <w:sz w:val="24"/>
              </w:rPr>
              <w:t>82,281</w:t>
            </w:r>
          </w:p>
        </w:tc>
      </w:tr>
      <w:tr>
        <w:trPr>
          <w:trHeight w:val="536" w:hRule="atLeast"/>
        </w:trPr>
        <w:tc>
          <w:tcPr>
            <w:tcW w:w="1850" w:type="dxa"/>
          </w:tcPr>
          <w:p>
            <w:pPr>
              <w:pStyle w:val="TableParagraph"/>
              <w:rPr>
                <w:sz w:val="22"/>
              </w:rPr>
            </w:pPr>
          </w:p>
        </w:tc>
        <w:tc>
          <w:tcPr>
            <w:tcW w:w="1437" w:type="dxa"/>
            <w:tcBorders>
              <w:bottom w:val="single" w:sz="4" w:space="0" w:color="000000"/>
            </w:tcBorders>
          </w:tcPr>
          <w:p>
            <w:pPr>
              <w:pStyle w:val="TableParagraph"/>
              <w:spacing w:line="271" w:lineRule="exact"/>
              <w:ind w:left="32"/>
              <w:rPr>
                <w:sz w:val="24"/>
              </w:rPr>
            </w:pPr>
            <w:r>
              <w:rPr>
                <w:spacing w:val="-2"/>
                <w:sz w:val="24"/>
              </w:rPr>
              <w:t>(0.5)</w:t>
            </w:r>
          </w:p>
        </w:tc>
        <w:tc>
          <w:tcPr>
            <w:tcW w:w="1879" w:type="dxa"/>
            <w:tcBorders>
              <w:bottom w:val="single" w:sz="4" w:space="0" w:color="000000"/>
            </w:tcBorders>
          </w:tcPr>
          <w:p>
            <w:pPr>
              <w:pStyle w:val="TableParagraph"/>
              <w:spacing w:line="271" w:lineRule="exact"/>
              <w:ind w:left="425"/>
              <w:rPr>
                <w:sz w:val="24"/>
              </w:rPr>
            </w:pPr>
            <w:r>
              <w:rPr>
                <w:spacing w:val="-2"/>
                <w:sz w:val="24"/>
              </w:rPr>
              <w:t>(11.8)</w:t>
            </w:r>
          </w:p>
        </w:tc>
        <w:tc>
          <w:tcPr>
            <w:tcW w:w="1794" w:type="dxa"/>
            <w:tcBorders>
              <w:bottom w:val="single" w:sz="4" w:space="0" w:color="000000"/>
            </w:tcBorders>
          </w:tcPr>
          <w:p>
            <w:pPr>
              <w:pStyle w:val="TableParagraph"/>
              <w:spacing w:line="271" w:lineRule="exact"/>
              <w:ind w:left="380"/>
              <w:rPr>
                <w:sz w:val="24"/>
              </w:rPr>
            </w:pPr>
            <w:r>
              <w:rPr>
                <w:spacing w:val="-2"/>
                <w:sz w:val="24"/>
              </w:rPr>
              <w:t>(87.7)</w:t>
            </w:r>
          </w:p>
        </w:tc>
        <w:tc>
          <w:tcPr>
            <w:tcW w:w="1731" w:type="dxa"/>
            <w:gridSpan w:val="2"/>
          </w:tcPr>
          <w:p>
            <w:pPr>
              <w:pStyle w:val="TableParagraph"/>
              <w:spacing w:line="271" w:lineRule="exact"/>
              <w:ind w:left="417"/>
              <w:rPr>
                <w:sz w:val="24"/>
              </w:rPr>
            </w:pPr>
            <w:r>
              <w:rPr>
                <w:spacing w:val="-2"/>
                <w:sz w:val="24"/>
              </w:rPr>
              <w:t>(100)</w:t>
            </w:r>
          </w:p>
        </w:tc>
      </w:tr>
      <w:tr>
        <w:trPr>
          <w:trHeight w:val="281" w:hRule="atLeast"/>
        </w:trPr>
        <w:tc>
          <w:tcPr>
            <w:tcW w:w="1850" w:type="dxa"/>
          </w:tcPr>
          <w:p>
            <w:pPr>
              <w:pStyle w:val="TableParagraph"/>
              <w:spacing w:line="261" w:lineRule="exact"/>
              <w:ind w:left="50"/>
              <w:rPr>
                <w:sz w:val="24"/>
              </w:rPr>
            </w:pPr>
            <w:r>
              <w:rPr>
                <w:spacing w:val="-2"/>
                <w:sz w:val="24"/>
              </w:rPr>
              <w:t>TOTAL</w:t>
            </w:r>
          </w:p>
        </w:tc>
        <w:tc>
          <w:tcPr>
            <w:tcW w:w="1437" w:type="dxa"/>
            <w:tcBorders>
              <w:top w:val="single" w:sz="4" w:space="0" w:color="000000"/>
            </w:tcBorders>
          </w:tcPr>
          <w:p>
            <w:pPr>
              <w:pStyle w:val="TableParagraph"/>
              <w:spacing w:line="261" w:lineRule="exact"/>
              <w:ind w:left="33"/>
              <w:rPr>
                <w:sz w:val="24"/>
              </w:rPr>
            </w:pPr>
            <w:r>
              <w:rPr>
                <w:spacing w:val="-2"/>
                <w:sz w:val="24"/>
              </w:rPr>
              <w:t>1,308</w:t>
            </w:r>
          </w:p>
        </w:tc>
        <w:tc>
          <w:tcPr>
            <w:tcW w:w="1879" w:type="dxa"/>
            <w:tcBorders>
              <w:top w:val="single" w:sz="4" w:space="0" w:color="000000"/>
            </w:tcBorders>
          </w:tcPr>
          <w:p>
            <w:pPr>
              <w:pStyle w:val="TableParagraph"/>
              <w:spacing w:line="261" w:lineRule="exact"/>
              <w:ind w:left="427"/>
              <w:rPr>
                <w:sz w:val="24"/>
              </w:rPr>
            </w:pPr>
            <w:r>
              <w:rPr>
                <w:spacing w:val="-2"/>
                <w:sz w:val="24"/>
              </w:rPr>
              <w:t>54,400</w:t>
            </w:r>
          </w:p>
        </w:tc>
        <w:tc>
          <w:tcPr>
            <w:tcW w:w="1794" w:type="dxa"/>
            <w:tcBorders>
              <w:top w:val="single" w:sz="4" w:space="0" w:color="000000"/>
            </w:tcBorders>
          </w:tcPr>
          <w:p>
            <w:pPr>
              <w:pStyle w:val="TableParagraph"/>
              <w:spacing w:line="261" w:lineRule="exact"/>
              <w:ind w:left="381"/>
              <w:rPr>
                <w:sz w:val="24"/>
              </w:rPr>
            </w:pPr>
            <w:r>
              <w:rPr>
                <w:spacing w:val="-2"/>
                <w:sz w:val="24"/>
              </w:rPr>
              <w:t>482,210</w:t>
            </w:r>
          </w:p>
        </w:tc>
        <w:tc>
          <w:tcPr>
            <w:tcW w:w="1731" w:type="dxa"/>
            <w:gridSpan w:val="2"/>
            <w:tcBorders>
              <w:top w:val="single" w:sz="4" w:space="0" w:color="000000"/>
            </w:tcBorders>
          </w:tcPr>
          <w:p>
            <w:pPr>
              <w:pStyle w:val="TableParagraph"/>
              <w:spacing w:line="261" w:lineRule="exact"/>
              <w:ind w:left="419"/>
              <w:rPr>
                <w:sz w:val="24"/>
              </w:rPr>
            </w:pPr>
            <w:r>
              <w:rPr>
                <w:spacing w:val="-2"/>
                <w:sz w:val="24"/>
              </w:rPr>
              <w:t>537,918</w:t>
            </w:r>
          </w:p>
        </w:tc>
      </w:tr>
      <w:tr>
        <w:trPr>
          <w:trHeight w:val="270" w:hRule="atLeast"/>
        </w:trPr>
        <w:tc>
          <w:tcPr>
            <w:tcW w:w="1850" w:type="dxa"/>
          </w:tcPr>
          <w:p>
            <w:pPr>
              <w:pStyle w:val="TableParagraph"/>
              <w:rPr>
                <w:sz w:val="20"/>
              </w:rPr>
            </w:pPr>
          </w:p>
        </w:tc>
        <w:tc>
          <w:tcPr>
            <w:tcW w:w="1437" w:type="dxa"/>
          </w:tcPr>
          <w:p>
            <w:pPr>
              <w:pStyle w:val="TableParagraph"/>
              <w:spacing w:line="251" w:lineRule="exact"/>
              <w:ind w:left="32"/>
              <w:rPr>
                <w:sz w:val="24"/>
              </w:rPr>
            </w:pPr>
            <w:r>
              <w:rPr>
                <w:spacing w:val="-2"/>
                <w:sz w:val="24"/>
              </w:rPr>
              <w:t>(0.3)</w:t>
            </w:r>
          </w:p>
        </w:tc>
        <w:tc>
          <w:tcPr>
            <w:tcW w:w="1879" w:type="dxa"/>
          </w:tcPr>
          <w:p>
            <w:pPr>
              <w:pStyle w:val="TableParagraph"/>
              <w:spacing w:line="251" w:lineRule="exact"/>
              <w:ind w:left="427"/>
              <w:rPr>
                <w:sz w:val="24"/>
              </w:rPr>
            </w:pPr>
            <w:r>
              <w:rPr>
                <w:spacing w:val="-2"/>
                <w:sz w:val="24"/>
              </w:rPr>
              <w:t>(10.1)</w:t>
            </w:r>
          </w:p>
        </w:tc>
        <w:tc>
          <w:tcPr>
            <w:tcW w:w="1794" w:type="dxa"/>
          </w:tcPr>
          <w:p>
            <w:pPr>
              <w:pStyle w:val="TableParagraph"/>
              <w:spacing w:line="251" w:lineRule="exact"/>
              <w:ind w:left="380"/>
              <w:rPr>
                <w:sz w:val="24"/>
              </w:rPr>
            </w:pPr>
            <w:r>
              <w:rPr>
                <w:spacing w:val="-2"/>
                <w:sz w:val="24"/>
              </w:rPr>
              <w:t>(89.6)</w:t>
            </w:r>
          </w:p>
        </w:tc>
        <w:tc>
          <w:tcPr>
            <w:tcW w:w="1731" w:type="dxa"/>
            <w:gridSpan w:val="2"/>
          </w:tcPr>
          <w:p>
            <w:pPr>
              <w:pStyle w:val="TableParagraph"/>
              <w:spacing w:line="251" w:lineRule="exact"/>
              <w:ind w:left="417"/>
              <w:rPr>
                <w:sz w:val="24"/>
              </w:rPr>
            </w:pPr>
            <w:r>
              <w:rPr>
                <w:spacing w:val="-2"/>
                <w:sz w:val="24"/>
              </w:rPr>
              <w:t>(100)</w:t>
            </w:r>
          </w:p>
        </w:tc>
      </w:tr>
      <w:tr>
        <w:trPr>
          <w:trHeight w:val="552" w:hRule="atLeast"/>
        </w:trPr>
        <w:tc>
          <w:tcPr>
            <w:tcW w:w="8691" w:type="dxa"/>
            <w:gridSpan w:val="6"/>
          </w:tcPr>
          <w:p>
            <w:pPr>
              <w:pStyle w:val="TableParagraph"/>
              <w:spacing w:before="2"/>
              <w:rPr>
                <w:sz w:val="17"/>
              </w:rPr>
            </w:pPr>
          </w:p>
          <w:p>
            <w:pPr>
              <w:pStyle w:val="TableParagraph"/>
              <w:spacing w:line="30" w:lineRule="exact"/>
              <w:ind w:left="50" w:right="-72"/>
              <w:rPr>
                <w:sz w:val="3"/>
              </w:rPr>
            </w:pPr>
            <w:r>
              <w:rPr>
                <w:position w:val="0"/>
                <w:sz w:val="3"/>
              </w:rPr>
              <mc:AlternateContent>
                <mc:Choice Requires="wps">
                  <w:drawing>
                    <wp:inline distT="0" distB="0" distL="0" distR="0">
                      <wp:extent cx="5486400" cy="19050"/>
                      <wp:effectExtent l="0" t="0" r="0" b="9525"/>
                      <wp:docPr id="171" name="Group 171"/>
                      <wp:cNvGraphicFramePr>
                        <a:graphicFrameLocks/>
                      </wp:cNvGraphicFramePr>
                      <a:graphic>
                        <a:graphicData uri="http://schemas.microsoft.com/office/word/2010/wordprocessingGroup">
                          <wpg:wgp>
                            <wpg:cNvPr id="171" name="Group 171"/>
                            <wpg:cNvGrpSpPr/>
                            <wpg:grpSpPr>
                              <a:xfrm>
                                <a:off x="0" y="0"/>
                                <a:ext cx="5486400" cy="19050"/>
                                <a:chExt cx="5486400" cy="19050"/>
                              </a:xfrm>
                            </wpg:grpSpPr>
                            <wps:wsp>
                              <wps:cNvPr id="172" name="Graphic 17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73" name="Graphic 173"/>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174" name="Graphic 174"/>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175" name="Graphic 175"/>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176" name="Graphic 176"/>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77" name="Graphic 177"/>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78" name="Graphic 178"/>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inline>
                  </w:drawing>
                </mc:Choice>
                <mc:Fallback>
                  <w:pict>
                    <v:group style="width:432pt;height:1.5pt;mso-position-horizontal-relative:char;mso-position-vertical-relative:line" id="docshapegroup166" coordorigin="0,0" coordsize="8640,30">
                      <v:rect style="position:absolute;left:0;top:0;width:8640;height:30" id="docshape167" filled="true" fillcolor="#808080" stroked="false">
                        <v:fill type="solid"/>
                      </v:rect>
                      <v:shape style="position:absolute;left:0;top:0;width:8636;height:5" id="docshape168" coordorigin="0,0" coordsize="8636,5" path="m8635,0l5,0,0,0,0,5,5,5,8635,5,8635,0xe" filled="true" fillcolor="#aca89a" stroked="false">
                        <v:path arrowok="t"/>
                        <v:fill type="solid"/>
                      </v:shape>
                      <v:rect style="position:absolute;left:8635;top:0;width:5;height:5" id="docshape169" filled="true" fillcolor="#f1efe2" stroked="false">
                        <v:fill type="solid"/>
                      </v:rect>
                      <v:shape style="position:absolute;left:0;top:0;width:8640;height:26" id="docshape170" coordorigin="0,0" coordsize="8640,26" path="m5,5l0,5,0,25,5,25,5,5xm8640,0l8635,0,8635,5,8640,5,8640,0xe" filled="true" fillcolor="#aca89a" stroked="false">
                        <v:path arrowok="t"/>
                        <v:fill type="solid"/>
                      </v:shape>
                      <v:rect style="position:absolute;left:8635;top:4;width:5;height:21" id="docshape171" filled="true" fillcolor="#f1efe2" stroked="false">
                        <v:fill type="solid"/>
                      </v:rect>
                      <v:rect style="position:absolute;left:0;top:25;width:5;height:5" id="docshape172" filled="true" fillcolor="#aca89a" stroked="false">
                        <v:fill type="solid"/>
                      </v:rect>
                      <v:shape style="position:absolute;left:0;top:25;width:8640;height:5" id="docshape173" coordorigin="0,25" coordsize="8640,5" path="m8640,25l8635,25,0,25,0,30,8635,30,8640,30,8640,25xe" filled="true" fillcolor="#f1efe2" stroked="false">
                        <v:path arrowok="t"/>
                        <v:fill type="solid"/>
                      </v:shape>
                    </v:group>
                  </w:pict>
                </mc:Fallback>
              </mc:AlternateContent>
            </w:r>
            <w:r>
              <w:rPr>
                <w:position w:val="0"/>
                <w:sz w:val="3"/>
              </w:rPr>
            </w:r>
          </w:p>
          <w:p>
            <w:pPr>
              <w:pStyle w:val="TableParagraph"/>
              <w:spacing w:line="256" w:lineRule="exact" w:before="48"/>
              <w:ind w:left="50"/>
              <w:rPr>
                <w:sz w:val="24"/>
              </w:rPr>
            </w:pPr>
            <w:r>
              <w:rPr>
                <w:sz w:val="24"/>
              </w:rPr>
              <w:t>1965-66 </w:t>
            </w:r>
            <w:r>
              <w:rPr>
                <w:spacing w:val="-2"/>
                <w:sz w:val="24"/>
              </w:rPr>
              <w:t>(estimated)</w:t>
            </w:r>
          </w:p>
        </w:tc>
      </w:tr>
      <w:tr>
        <w:trPr>
          <w:trHeight w:val="281" w:hRule="atLeast"/>
        </w:trPr>
        <w:tc>
          <w:tcPr>
            <w:tcW w:w="1850" w:type="dxa"/>
          </w:tcPr>
          <w:p>
            <w:pPr>
              <w:pStyle w:val="TableParagraph"/>
              <w:spacing w:line="251" w:lineRule="exact"/>
              <w:ind w:left="50"/>
              <w:rPr>
                <w:sz w:val="24"/>
              </w:rPr>
            </w:pPr>
            <w:r>
              <w:rPr>
                <w:spacing w:val="-5"/>
                <w:sz w:val="24"/>
              </w:rPr>
              <w:t>Men</w:t>
            </w:r>
          </w:p>
        </w:tc>
        <w:tc>
          <w:tcPr>
            <w:tcW w:w="1437" w:type="dxa"/>
          </w:tcPr>
          <w:p>
            <w:pPr>
              <w:pStyle w:val="TableParagraph"/>
              <w:spacing w:line="251" w:lineRule="exact"/>
              <w:ind w:left="31"/>
              <w:rPr>
                <w:sz w:val="24"/>
              </w:rPr>
            </w:pPr>
            <w:r>
              <w:rPr>
                <w:spacing w:val="-2"/>
                <w:sz w:val="24"/>
              </w:rPr>
              <w:t>7,100</w:t>
            </w:r>
          </w:p>
        </w:tc>
        <w:tc>
          <w:tcPr>
            <w:tcW w:w="1879" w:type="dxa"/>
          </w:tcPr>
          <w:p>
            <w:pPr>
              <w:pStyle w:val="TableParagraph"/>
              <w:spacing w:line="251" w:lineRule="exact"/>
              <w:ind w:left="426"/>
              <w:rPr>
                <w:sz w:val="24"/>
              </w:rPr>
            </w:pPr>
            <w:r>
              <w:rPr>
                <w:spacing w:val="-2"/>
                <w:sz w:val="24"/>
              </w:rPr>
              <w:t>430,650</w:t>
            </w:r>
          </w:p>
        </w:tc>
        <w:tc>
          <w:tcPr>
            <w:tcW w:w="1794" w:type="dxa"/>
          </w:tcPr>
          <w:p>
            <w:pPr>
              <w:pStyle w:val="TableParagraph"/>
              <w:spacing w:line="251" w:lineRule="exact"/>
              <w:ind w:left="379"/>
              <w:rPr>
                <w:sz w:val="24"/>
              </w:rPr>
            </w:pPr>
            <w:r>
              <w:rPr>
                <w:spacing w:val="-2"/>
                <w:sz w:val="24"/>
              </w:rPr>
              <w:t>412,250</w:t>
            </w:r>
          </w:p>
        </w:tc>
        <w:tc>
          <w:tcPr>
            <w:tcW w:w="1491" w:type="dxa"/>
          </w:tcPr>
          <w:p>
            <w:pPr>
              <w:pStyle w:val="TableParagraph"/>
              <w:spacing w:line="251" w:lineRule="exact"/>
              <w:ind w:left="417"/>
              <w:rPr>
                <w:sz w:val="24"/>
              </w:rPr>
            </w:pPr>
            <w:r>
              <w:rPr>
                <w:spacing w:val="-2"/>
                <w:sz w:val="24"/>
              </w:rPr>
              <w:t>850,000</w:t>
            </w:r>
          </w:p>
        </w:tc>
        <w:tc>
          <w:tcPr>
            <w:tcW w:w="240" w:type="dxa"/>
          </w:tcPr>
          <w:p>
            <w:pPr>
              <w:pStyle w:val="TableParagraph"/>
              <w:rPr>
                <w:sz w:val="20"/>
              </w:rPr>
            </w:pPr>
          </w:p>
        </w:tc>
      </w:tr>
      <w:tr>
        <w:trPr>
          <w:trHeight w:val="413" w:hRule="atLeast"/>
        </w:trPr>
        <w:tc>
          <w:tcPr>
            <w:tcW w:w="1850" w:type="dxa"/>
          </w:tcPr>
          <w:p>
            <w:pPr>
              <w:pStyle w:val="TableParagraph"/>
              <w:rPr>
                <w:sz w:val="22"/>
              </w:rPr>
            </w:pPr>
          </w:p>
        </w:tc>
        <w:tc>
          <w:tcPr>
            <w:tcW w:w="1437" w:type="dxa"/>
          </w:tcPr>
          <w:p>
            <w:pPr>
              <w:pStyle w:val="TableParagraph"/>
              <w:spacing w:line="271" w:lineRule="exact"/>
              <w:ind w:left="32"/>
              <w:rPr>
                <w:sz w:val="24"/>
              </w:rPr>
            </w:pPr>
            <w:r>
              <w:rPr>
                <w:spacing w:val="-2"/>
                <w:sz w:val="24"/>
              </w:rPr>
              <w:t>(0.8)</w:t>
            </w:r>
          </w:p>
        </w:tc>
        <w:tc>
          <w:tcPr>
            <w:tcW w:w="1879" w:type="dxa"/>
          </w:tcPr>
          <w:p>
            <w:pPr>
              <w:pStyle w:val="TableParagraph"/>
              <w:spacing w:line="271" w:lineRule="exact"/>
              <w:ind w:left="425"/>
              <w:rPr>
                <w:sz w:val="24"/>
              </w:rPr>
            </w:pPr>
            <w:r>
              <w:rPr>
                <w:spacing w:val="-2"/>
                <w:sz w:val="24"/>
              </w:rPr>
              <w:t>(50.7)</w:t>
            </w:r>
          </w:p>
        </w:tc>
        <w:tc>
          <w:tcPr>
            <w:tcW w:w="1794" w:type="dxa"/>
          </w:tcPr>
          <w:p>
            <w:pPr>
              <w:pStyle w:val="TableParagraph"/>
              <w:spacing w:line="271" w:lineRule="exact"/>
              <w:ind w:left="380"/>
              <w:rPr>
                <w:sz w:val="24"/>
              </w:rPr>
            </w:pPr>
            <w:r>
              <w:rPr>
                <w:spacing w:val="-2"/>
                <w:sz w:val="24"/>
              </w:rPr>
              <w:t>(48.5)</w:t>
            </w:r>
          </w:p>
        </w:tc>
        <w:tc>
          <w:tcPr>
            <w:tcW w:w="1491" w:type="dxa"/>
          </w:tcPr>
          <w:p>
            <w:pPr>
              <w:pStyle w:val="TableParagraph"/>
              <w:spacing w:line="271" w:lineRule="exact"/>
              <w:ind w:left="417"/>
              <w:rPr>
                <w:sz w:val="24"/>
              </w:rPr>
            </w:pPr>
            <w:r>
              <w:rPr>
                <w:spacing w:val="-2"/>
                <w:sz w:val="24"/>
              </w:rPr>
              <w:t>(100)</w:t>
            </w:r>
          </w:p>
        </w:tc>
        <w:tc>
          <w:tcPr>
            <w:tcW w:w="240" w:type="dxa"/>
          </w:tcPr>
          <w:p>
            <w:pPr>
              <w:pStyle w:val="TableParagraph"/>
              <w:rPr>
                <w:sz w:val="22"/>
              </w:rPr>
            </w:pPr>
          </w:p>
        </w:tc>
      </w:tr>
      <w:tr>
        <w:trPr>
          <w:trHeight w:val="413" w:hRule="atLeast"/>
        </w:trPr>
        <w:tc>
          <w:tcPr>
            <w:tcW w:w="1850" w:type="dxa"/>
          </w:tcPr>
          <w:p>
            <w:pPr>
              <w:pStyle w:val="TableParagraph"/>
              <w:spacing w:line="260" w:lineRule="exact" w:before="133"/>
              <w:ind w:left="50"/>
              <w:rPr>
                <w:sz w:val="24"/>
              </w:rPr>
            </w:pPr>
            <w:r>
              <w:rPr>
                <w:spacing w:val="-2"/>
                <w:sz w:val="24"/>
              </w:rPr>
              <w:t>Women</w:t>
            </w:r>
          </w:p>
        </w:tc>
        <w:tc>
          <w:tcPr>
            <w:tcW w:w="1437" w:type="dxa"/>
          </w:tcPr>
          <w:p>
            <w:pPr>
              <w:pStyle w:val="TableParagraph"/>
              <w:spacing w:line="260" w:lineRule="exact" w:before="133"/>
              <w:ind w:left="31"/>
              <w:rPr>
                <w:sz w:val="24"/>
              </w:rPr>
            </w:pPr>
            <w:r>
              <w:rPr>
                <w:spacing w:val="-2"/>
                <w:sz w:val="24"/>
              </w:rPr>
              <w:t>3,400</w:t>
            </w:r>
          </w:p>
        </w:tc>
        <w:tc>
          <w:tcPr>
            <w:tcW w:w="1879" w:type="dxa"/>
          </w:tcPr>
          <w:p>
            <w:pPr>
              <w:pStyle w:val="TableParagraph"/>
              <w:spacing w:line="260" w:lineRule="exact" w:before="133"/>
              <w:ind w:left="425"/>
              <w:rPr>
                <w:sz w:val="24"/>
              </w:rPr>
            </w:pPr>
            <w:r>
              <w:rPr>
                <w:spacing w:val="-2"/>
                <w:sz w:val="24"/>
              </w:rPr>
              <w:t>94,350</w:t>
            </w:r>
          </w:p>
        </w:tc>
        <w:tc>
          <w:tcPr>
            <w:tcW w:w="1794" w:type="dxa"/>
          </w:tcPr>
          <w:p>
            <w:pPr>
              <w:pStyle w:val="TableParagraph"/>
              <w:spacing w:line="260" w:lineRule="exact" w:before="133"/>
              <w:ind w:left="379"/>
              <w:rPr>
                <w:sz w:val="24"/>
              </w:rPr>
            </w:pPr>
            <w:r>
              <w:rPr>
                <w:spacing w:val="-2"/>
                <w:sz w:val="24"/>
              </w:rPr>
              <w:t>102,250</w:t>
            </w:r>
          </w:p>
        </w:tc>
        <w:tc>
          <w:tcPr>
            <w:tcW w:w="1491" w:type="dxa"/>
          </w:tcPr>
          <w:p>
            <w:pPr>
              <w:pStyle w:val="TableParagraph"/>
              <w:spacing w:line="260" w:lineRule="exact" w:before="133"/>
              <w:ind w:left="418"/>
              <w:rPr>
                <w:sz w:val="24"/>
              </w:rPr>
            </w:pPr>
            <w:r>
              <w:rPr>
                <w:spacing w:val="-2"/>
                <w:sz w:val="24"/>
              </w:rPr>
              <w:t>200,000</w:t>
            </w:r>
          </w:p>
        </w:tc>
        <w:tc>
          <w:tcPr>
            <w:tcW w:w="240" w:type="dxa"/>
          </w:tcPr>
          <w:p>
            <w:pPr>
              <w:pStyle w:val="TableParagraph"/>
              <w:rPr>
                <w:sz w:val="22"/>
              </w:rPr>
            </w:pPr>
          </w:p>
        </w:tc>
      </w:tr>
      <w:tr>
        <w:trPr>
          <w:trHeight w:val="536" w:hRule="atLeast"/>
        </w:trPr>
        <w:tc>
          <w:tcPr>
            <w:tcW w:w="1850" w:type="dxa"/>
          </w:tcPr>
          <w:p>
            <w:pPr>
              <w:pStyle w:val="TableParagraph"/>
              <w:rPr>
                <w:sz w:val="22"/>
              </w:rPr>
            </w:pPr>
          </w:p>
        </w:tc>
        <w:tc>
          <w:tcPr>
            <w:tcW w:w="1437" w:type="dxa"/>
            <w:tcBorders>
              <w:bottom w:val="single" w:sz="4" w:space="0" w:color="000000"/>
            </w:tcBorders>
          </w:tcPr>
          <w:p>
            <w:pPr>
              <w:pStyle w:val="TableParagraph"/>
              <w:spacing w:line="270" w:lineRule="exact"/>
              <w:ind w:left="32"/>
              <w:rPr>
                <w:sz w:val="24"/>
              </w:rPr>
            </w:pPr>
            <w:r>
              <w:rPr>
                <w:spacing w:val="-2"/>
                <w:sz w:val="24"/>
              </w:rPr>
              <w:t>(1.7)</w:t>
            </w:r>
          </w:p>
        </w:tc>
        <w:tc>
          <w:tcPr>
            <w:tcW w:w="1879" w:type="dxa"/>
            <w:tcBorders>
              <w:bottom w:val="single" w:sz="4" w:space="0" w:color="000000"/>
            </w:tcBorders>
          </w:tcPr>
          <w:p>
            <w:pPr>
              <w:pStyle w:val="TableParagraph"/>
              <w:spacing w:line="270" w:lineRule="exact"/>
              <w:ind w:left="425"/>
              <w:rPr>
                <w:sz w:val="24"/>
              </w:rPr>
            </w:pPr>
            <w:r>
              <w:rPr>
                <w:spacing w:val="-2"/>
                <w:sz w:val="24"/>
              </w:rPr>
              <w:t>(47.2)</w:t>
            </w:r>
          </w:p>
        </w:tc>
        <w:tc>
          <w:tcPr>
            <w:tcW w:w="1794" w:type="dxa"/>
            <w:tcBorders>
              <w:bottom w:val="single" w:sz="4" w:space="0" w:color="000000"/>
            </w:tcBorders>
          </w:tcPr>
          <w:p>
            <w:pPr>
              <w:pStyle w:val="TableParagraph"/>
              <w:spacing w:line="270" w:lineRule="exact"/>
              <w:ind w:left="380"/>
              <w:rPr>
                <w:sz w:val="24"/>
              </w:rPr>
            </w:pPr>
            <w:r>
              <w:rPr>
                <w:spacing w:val="-2"/>
                <w:sz w:val="24"/>
              </w:rPr>
              <w:t>(51.1)</w:t>
            </w:r>
          </w:p>
        </w:tc>
        <w:tc>
          <w:tcPr>
            <w:tcW w:w="1491" w:type="dxa"/>
            <w:tcBorders>
              <w:bottom w:val="single" w:sz="4" w:space="0" w:color="000000"/>
            </w:tcBorders>
          </w:tcPr>
          <w:p>
            <w:pPr>
              <w:pStyle w:val="TableParagraph"/>
              <w:spacing w:line="270" w:lineRule="exact"/>
              <w:ind w:left="417"/>
              <w:rPr>
                <w:sz w:val="24"/>
              </w:rPr>
            </w:pPr>
            <w:r>
              <w:rPr>
                <w:spacing w:val="-2"/>
                <w:sz w:val="24"/>
              </w:rPr>
              <w:t>(100)</w:t>
            </w:r>
          </w:p>
        </w:tc>
        <w:tc>
          <w:tcPr>
            <w:tcW w:w="240" w:type="dxa"/>
          </w:tcPr>
          <w:p>
            <w:pPr>
              <w:pStyle w:val="TableParagraph"/>
              <w:rPr>
                <w:sz w:val="22"/>
              </w:rPr>
            </w:pPr>
          </w:p>
        </w:tc>
      </w:tr>
      <w:tr>
        <w:trPr>
          <w:trHeight w:val="281" w:hRule="atLeast"/>
        </w:trPr>
        <w:tc>
          <w:tcPr>
            <w:tcW w:w="1850" w:type="dxa"/>
          </w:tcPr>
          <w:p>
            <w:pPr>
              <w:pStyle w:val="TableParagraph"/>
              <w:spacing w:line="261" w:lineRule="exact"/>
              <w:ind w:left="50"/>
              <w:rPr>
                <w:sz w:val="24"/>
              </w:rPr>
            </w:pPr>
            <w:r>
              <w:rPr>
                <w:spacing w:val="-2"/>
                <w:sz w:val="24"/>
              </w:rPr>
              <w:t>TOTAL</w:t>
            </w:r>
          </w:p>
        </w:tc>
        <w:tc>
          <w:tcPr>
            <w:tcW w:w="1437" w:type="dxa"/>
            <w:tcBorders>
              <w:top w:val="single" w:sz="4" w:space="0" w:color="000000"/>
            </w:tcBorders>
          </w:tcPr>
          <w:p>
            <w:pPr>
              <w:pStyle w:val="TableParagraph"/>
              <w:spacing w:line="261" w:lineRule="exact"/>
              <w:ind w:left="33"/>
              <w:rPr>
                <w:sz w:val="24"/>
              </w:rPr>
            </w:pPr>
            <w:r>
              <w:rPr>
                <w:spacing w:val="-2"/>
                <w:sz w:val="24"/>
              </w:rPr>
              <w:t>10,500</w:t>
            </w:r>
          </w:p>
        </w:tc>
        <w:tc>
          <w:tcPr>
            <w:tcW w:w="1879" w:type="dxa"/>
            <w:tcBorders>
              <w:top w:val="single" w:sz="4" w:space="0" w:color="000000"/>
            </w:tcBorders>
          </w:tcPr>
          <w:p>
            <w:pPr>
              <w:pStyle w:val="TableParagraph"/>
              <w:spacing w:line="261" w:lineRule="exact"/>
              <w:ind w:left="427"/>
              <w:rPr>
                <w:sz w:val="24"/>
              </w:rPr>
            </w:pPr>
            <w:r>
              <w:rPr>
                <w:spacing w:val="-2"/>
                <w:sz w:val="24"/>
              </w:rPr>
              <w:t>525,000</w:t>
            </w:r>
          </w:p>
        </w:tc>
        <w:tc>
          <w:tcPr>
            <w:tcW w:w="1794" w:type="dxa"/>
            <w:tcBorders>
              <w:top w:val="single" w:sz="4" w:space="0" w:color="000000"/>
            </w:tcBorders>
          </w:tcPr>
          <w:p>
            <w:pPr>
              <w:pStyle w:val="TableParagraph"/>
              <w:spacing w:line="261" w:lineRule="exact"/>
              <w:ind w:left="381"/>
              <w:rPr>
                <w:sz w:val="24"/>
              </w:rPr>
            </w:pPr>
            <w:r>
              <w:rPr>
                <w:spacing w:val="-2"/>
                <w:sz w:val="24"/>
              </w:rPr>
              <w:t>514,500</w:t>
            </w:r>
          </w:p>
        </w:tc>
        <w:tc>
          <w:tcPr>
            <w:tcW w:w="1491" w:type="dxa"/>
            <w:tcBorders>
              <w:top w:val="single" w:sz="4" w:space="0" w:color="000000"/>
            </w:tcBorders>
          </w:tcPr>
          <w:p>
            <w:pPr>
              <w:pStyle w:val="TableParagraph"/>
              <w:spacing w:line="261" w:lineRule="exact"/>
              <w:ind w:left="419"/>
              <w:rPr>
                <w:sz w:val="24"/>
              </w:rPr>
            </w:pPr>
            <w:r>
              <w:rPr>
                <w:spacing w:val="-2"/>
                <w:sz w:val="24"/>
              </w:rPr>
              <w:t>1,050,000</w:t>
            </w:r>
          </w:p>
        </w:tc>
        <w:tc>
          <w:tcPr>
            <w:tcW w:w="240" w:type="dxa"/>
          </w:tcPr>
          <w:p>
            <w:pPr>
              <w:pStyle w:val="TableParagraph"/>
              <w:rPr>
                <w:sz w:val="20"/>
              </w:rPr>
            </w:pPr>
          </w:p>
        </w:tc>
      </w:tr>
      <w:tr>
        <w:trPr>
          <w:trHeight w:val="270" w:hRule="atLeast"/>
        </w:trPr>
        <w:tc>
          <w:tcPr>
            <w:tcW w:w="1850" w:type="dxa"/>
          </w:tcPr>
          <w:p>
            <w:pPr>
              <w:pStyle w:val="TableParagraph"/>
              <w:rPr>
                <w:sz w:val="20"/>
              </w:rPr>
            </w:pPr>
          </w:p>
        </w:tc>
        <w:tc>
          <w:tcPr>
            <w:tcW w:w="1437" w:type="dxa"/>
          </w:tcPr>
          <w:p>
            <w:pPr>
              <w:pStyle w:val="TableParagraph"/>
              <w:spacing w:line="251" w:lineRule="exact"/>
              <w:ind w:left="32"/>
              <w:rPr>
                <w:sz w:val="24"/>
              </w:rPr>
            </w:pPr>
            <w:r>
              <w:rPr>
                <w:spacing w:val="-2"/>
                <w:sz w:val="24"/>
              </w:rPr>
              <w:t>(1.0)</w:t>
            </w:r>
          </w:p>
        </w:tc>
        <w:tc>
          <w:tcPr>
            <w:tcW w:w="1879" w:type="dxa"/>
          </w:tcPr>
          <w:p>
            <w:pPr>
              <w:pStyle w:val="TableParagraph"/>
              <w:spacing w:line="251" w:lineRule="exact"/>
              <w:ind w:left="426"/>
              <w:rPr>
                <w:sz w:val="24"/>
              </w:rPr>
            </w:pPr>
            <w:r>
              <w:rPr>
                <w:spacing w:val="-2"/>
                <w:sz w:val="24"/>
              </w:rPr>
              <w:t>(50.0)</w:t>
            </w:r>
          </w:p>
        </w:tc>
        <w:tc>
          <w:tcPr>
            <w:tcW w:w="1794" w:type="dxa"/>
          </w:tcPr>
          <w:p>
            <w:pPr>
              <w:pStyle w:val="TableParagraph"/>
              <w:spacing w:line="251" w:lineRule="exact"/>
              <w:ind w:left="380"/>
              <w:rPr>
                <w:sz w:val="24"/>
              </w:rPr>
            </w:pPr>
            <w:r>
              <w:rPr>
                <w:spacing w:val="-2"/>
                <w:sz w:val="24"/>
              </w:rPr>
              <w:t>(49.0)</w:t>
            </w:r>
          </w:p>
        </w:tc>
        <w:tc>
          <w:tcPr>
            <w:tcW w:w="1491" w:type="dxa"/>
          </w:tcPr>
          <w:p>
            <w:pPr>
              <w:pStyle w:val="TableParagraph"/>
              <w:spacing w:line="251" w:lineRule="exact"/>
              <w:ind w:left="417"/>
              <w:rPr>
                <w:sz w:val="24"/>
              </w:rPr>
            </w:pPr>
            <w:r>
              <w:rPr>
                <w:spacing w:val="-2"/>
                <w:sz w:val="24"/>
              </w:rPr>
              <w:t>(100)</w:t>
            </w:r>
          </w:p>
        </w:tc>
        <w:tc>
          <w:tcPr>
            <w:tcW w:w="240" w:type="dxa"/>
          </w:tcPr>
          <w:p>
            <w:pPr>
              <w:pStyle w:val="TableParagraph"/>
              <w:rPr>
                <w:sz w:val="20"/>
              </w:rPr>
            </w:pPr>
          </w:p>
        </w:tc>
      </w:tr>
    </w:tbl>
    <w:p>
      <w:pPr>
        <w:pStyle w:val="BodyText"/>
        <w:spacing w:before="9"/>
        <w:rPr>
          <w:sz w:val="14"/>
        </w:rPr>
      </w:pPr>
      <w:r>
        <w:rPr/>
        <mc:AlternateContent>
          <mc:Choice Requires="wps">
            <w:drawing>
              <wp:anchor distT="0" distB="0" distL="0" distR="0" allowOverlap="1" layoutInCell="1" locked="0" behindDoc="1" simplePos="0" relativeHeight="487601664">
                <wp:simplePos x="0" y="0"/>
                <wp:positionH relativeFrom="page">
                  <wp:posOffset>1143000</wp:posOffset>
                </wp:positionH>
                <wp:positionV relativeFrom="paragraph">
                  <wp:posOffset>123697</wp:posOffset>
                </wp:positionV>
                <wp:extent cx="5486400" cy="19050"/>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5486400" cy="19050"/>
                          <a:chExt cx="5486400" cy="19050"/>
                        </a:xfrm>
                      </wpg:grpSpPr>
                      <wps:wsp>
                        <wps:cNvPr id="180" name="Graphic 18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81" name="Graphic 18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82" name="Graphic 18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83" name="Graphic 183"/>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84" name="Graphic 18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85" name="Graphic 18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86" name="Graphic 18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739980pt;width:432pt;height:1.5pt;mso-position-horizontal-relative:page;mso-position-vertical-relative:paragraph;z-index:-15714816;mso-wrap-distance-left:0;mso-wrap-distance-right:0" id="docshapegroup174" coordorigin="1800,195" coordsize="8640,30">
                <v:rect style="position:absolute;left:1800;top:194;width:8640;height:30" id="docshape175" filled="true" fillcolor="#808080" stroked="false">
                  <v:fill type="solid"/>
                </v:rect>
                <v:shape style="position:absolute;left:1800;top:194;width:8636;height:5" id="docshape176" coordorigin="1800,195" coordsize="8636,5" path="m10435,195l1805,195,1800,195,1800,200,1805,200,10435,200,10435,195xe" filled="true" fillcolor="#aca89a" stroked="false">
                  <v:path arrowok="t"/>
                  <v:fill type="solid"/>
                </v:shape>
                <v:rect style="position:absolute;left:10435;top:194;width:5;height:5" id="docshape177" filled="true" fillcolor="#f1efe2" stroked="false">
                  <v:fill type="solid"/>
                </v:rect>
                <v:shape style="position:absolute;left:1800;top:194;width:8640;height:26" id="docshape178" coordorigin="1800,195" coordsize="8640,26" path="m1805,200l1800,200,1800,220,1805,220,1805,200xm10440,195l10435,195,10435,200,10440,200,10440,195xe" filled="true" fillcolor="#aca89a" stroked="false">
                  <v:path arrowok="t"/>
                  <v:fill type="solid"/>
                </v:shape>
                <v:rect style="position:absolute;left:10435;top:199;width:5;height:21" id="docshape179" filled="true" fillcolor="#f1efe2" stroked="false">
                  <v:fill type="solid"/>
                </v:rect>
                <v:rect style="position:absolute;left:1800;top:220;width:5;height:5" id="docshape180" filled="true" fillcolor="#aca89a" stroked="false">
                  <v:fill type="solid"/>
                </v:rect>
                <v:shape style="position:absolute;left:1800;top:220;width:8640;height:5" id="docshape181" coordorigin="1800,220" coordsize="8640,5" path="m10440,220l10435,220,1800,220,1800,225,10435,225,10440,225,10440,220xe" filled="true" fillcolor="#f1efe2" stroked="false">
                  <v:path arrowok="t"/>
                  <v:fill type="solid"/>
                </v:shape>
                <w10:wrap type="topAndBottom"/>
              </v:group>
            </w:pict>
          </mc:Fallback>
        </mc:AlternateContent>
      </w:r>
    </w:p>
    <w:p>
      <w:pPr>
        <w:pStyle w:val="BodyText"/>
        <w:spacing w:before="48"/>
        <w:ind w:left="2560"/>
      </w:pPr>
      <w:r>
        <w:rPr/>
        <w:t>HIGHER</w:t>
      </w:r>
      <w:r>
        <w:rPr>
          <w:spacing w:val="-7"/>
        </w:rPr>
        <w:t> </w:t>
      </w:r>
      <w:r>
        <w:rPr/>
        <w:t>PRIMARY</w:t>
      </w:r>
      <w:r>
        <w:rPr>
          <w:spacing w:val="-6"/>
        </w:rPr>
        <w:t> </w:t>
      </w:r>
      <w:r>
        <w:rPr>
          <w:spacing w:val="-2"/>
        </w:rPr>
        <w:t>SCHOOLS</w:t>
      </w:r>
    </w:p>
    <w:p>
      <w:pPr>
        <w:pStyle w:val="BodyText"/>
        <w:spacing w:before="56"/>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2"/>
        <w:gridCol w:w="1245"/>
        <w:gridCol w:w="1892"/>
        <w:gridCol w:w="1832"/>
        <w:gridCol w:w="1356"/>
      </w:tblGrid>
      <w:tr>
        <w:trPr>
          <w:trHeight w:val="546" w:hRule="atLeast"/>
        </w:trPr>
        <w:tc>
          <w:tcPr>
            <w:tcW w:w="1882" w:type="dxa"/>
          </w:tcPr>
          <w:p>
            <w:pPr>
              <w:pStyle w:val="TableParagraph"/>
              <w:spacing w:line="266" w:lineRule="exact"/>
              <w:ind w:left="50"/>
              <w:rPr>
                <w:sz w:val="24"/>
              </w:rPr>
            </w:pPr>
            <w:r>
              <w:rPr>
                <w:sz w:val="24"/>
              </w:rPr>
              <w:t>1950-</w:t>
            </w:r>
            <w:r>
              <w:rPr>
                <w:spacing w:val="-5"/>
                <w:sz w:val="24"/>
              </w:rPr>
              <w:t>51</w:t>
            </w:r>
          </w:p>
          <w:p>
            <w:pPr>
              <w:pStyle w:val="TableParagraph"/>
              <w:spacing w:line="261" w:lineRule="exact"/>
              <w:ind w:left="50"/>
              <w:rPr>
                <w:sz w:val="24"/>
              </w:rPr>
            </w:pPr>
            <w:r>
              <w:rPr>
                <w:spacing w:val="-5"/>
                <w:sz w:val="24"/>
              </w:rPr>
              <w:t>Men</w:t>
            </w:r>
          </w:p>
        </w:tc>
        <w:tc>
          <w:tcPr>
            <w:tcW w:w="1245" w:type="dxa"/>
          </w:tcPr>
          <w:p>
            <w:pPr>
              <w:pStyle w:val="TableParagraph"/>
              <w:spacing w:line="261" w:lineRule="exact" w:before="266"/>
              <w:ind w:left="-1"/>
              <w:rPr>
                <w:sz w:val="24"/>
              </w:rPr>
            </w:pPr>
            <w:r>
              <w:rPr>
                <w:spacing w:val="-2"/>
                <w:sz w:val="24"/>
              </w:rPr>
              <w:t>3,920</w:t>
            </w:r>
          </w:p>
        </w:tc>
        <w:tc>
          <w:tcPr>
            <w:tcW w:w="1892" w:type="dxa"/>
          </w:tcPr>
          <w:p>
            <w:pPr>
              <w:pStyle w:val="TableParagraph"/>
              <w:spacing w:line="261" w:lineRule="exact" w:before="266"/>
              <w:ind w:left="586"/>
              <w:rPr>
                <w:sz w:val="24"/>
              </w:rPr>
            </w:pPr>
            <w:r>
              <w:rPr>
                <w:spacing w:val="-2"/>
                <w:sz w:val="24"/>
              </w:rPr>
              <w:t>31,267</w:t>
            </w:r>
          </w:p>
        </w:tc>
        <w:tc>
          <w:tcPr>
            <w:tcW w:w="1832" w:type="dxa"/>
          </w:tcPr>
          <w:p>
            <w:pPr>
              <w:pStyle w:val="TableParagraph"/>
              <w:spacing w:line="261" w:lineRule="exact" w:before="266"/>
              <w:ind w:left="526"/>
              <w:rPr>
                <w:sz w:val="24"/>
              </w:rPr>
            </w:pPr>
            <w:r>
              <w:rPr>
                <w:spacing w:val="-2"/>
                <w:sz w:val="24"/>
              </w:rPr>
              <w:t>37,422</w:t>
            </w:r>
          </w:p>
        </w:tc>
        <w:tc>
          <w:tcPr>
            <w:tcW w:w="1356" w:type="dxa"/>
          </w:tcPr>
          <w:p>
            <w:pPr>
              <w:pStyle w:val="TableParagraph"/>
              <w:spacing w:line="261" w:lineRule="exact" w:before="266"/>
              <w:ind w:left="526"/>
              <w:rPr>
                <w:sz w:val="24"/>
              </w:rPr>
            </w:pPr>
            <w:r>
              <w:rPr>
                <w:spacing w:val="-2"/>
                <w:sz w:val="24"/>
              </w:rPr>
              <w:t>72,609</w:t>
            </w:r>
          </w:p>
        </w:tc>
      </w:tr>
      <w:tr>
        <w:trPr>
          <w:trHeight w:val="414" w:hRule="atLeast"/>
        </w:trPr>
        <w:tc>
          <w:tcPr>
            <w:tcW w:w="1882" w:type="dxa"/>
          </w:tcPr>
          <w:p>
            <w:pPr>
              <w:pStyle w:val="TableParagraph"/>
              <w:rPr>
                <w:sz w:val="22"/>
              </w:rPr>
            </w:pPr>
          </w:p>
        </w:tc>
        <w:tc>
          <w:tcPr>
            <w:tcW w:w="1245" w:type="dxa"/>
          </w:tcPr>
          <w:p>
            <w:pPr>
              <w:pStyle w:val="TableParagraph"/>
              <w:spacing w:line="271" w:lineRule="exact"/>
              <w:rPr>
                <w:sz w:val="24"/>
              </w:rPr>
            </w:pPr>
            <w:r>
              <w:rPr>
                <w:spacing w:val="-2"/>
                <w:sz w:val="24"/>
              </w:rPr>
              <w:t>(5.4)</w:t>
            </w:r>
          </w:p>
        </w:tc>
        <w:tc>
          <w:tcPr>
            <w:tcW w:w="1892" w:type="dxa"/>
          </w:tcPr>
          <w:p>
            <w:pPr>
              <w:pStyle w:val="TableParagraph"/>
              <w:spacing w:line="271" w:lineRule="exact"/>
              <w:ind w:left="586"/>
              <w:rPr>
                <w:sz w:val="24"/>
              </w:rPr>
            </w:pPr>
            <w:r>
              <w:rPr>
                <w:spacing w:val="-2"/>
                <w:sz w:val="24"/>
              </w:rPr>
              <w:t>(43.1)</w:t>
            </w:r>
          </w:p>
        </w:tc>
        <w:tc>
          <w:tcPr>
            <w:tcW w:w="1832" w:type="dxa"/>
          </w:tcPr>
          <w:p>
            <w:pPr>
              <w:pStyle w:val="TableParagraph"/>
              <w:spacing w:line="271" w:lineRule="exact"/>
              <w:ind w:left="527"/>
              <w:rPr>
                <w:sz w:val="24"/>
              </w:rPr>
            </w:pPr>
            <w:r>
              <w:rPr>
                <w:spacing w:val="-2"/>
                <w:sz w:val="24"/>
              </w:rPr>
              <w:t>(51.5)</w:t>
            </w:r>
          </w:p>
        </w:tc>
        <w:tc>
          <w:tcPr>
            <w:tcW w:w="1356" w:type="dxa"/>
          </w:tcPr>
          <w:p>
            <w:pPr>
              <w:pStyle w:val="TableParagraph"/>
              <w:spacing w:line="271" w:lineRule="exact"/>
              <w:ind w:left="526"/>
              <w:rPr>
                <w:sz w:val="24"/>
              </w:rPr>
            </w:pPr>
            <w:r>
              <w:rPr>
                <w:spacing w:val="-2"/>
                <w:sz w:val="24"/>
              </w:rPr>
              <w:t>(100)</w:t>
            </w:r>
          </w:p>
        </w:tc>
      </w:tr>
      <w:tr>
        <w:trPr>
          <w:trHeight w:val="414" w:hRule="atLeast"/>
        </w:trPr>
        <w:tc>
          <w:tcPr>
            <w:tcW w:w="1882" w:type="dxa"/>
          </w:tcPr>
          <w:p>
            <w:pPr>
              <w:pStyle w:val="TableParagraph"/>
              <w:spacing w:line="261" w:lineRule="exact" w:before="133"/>
              <w:ind w:left="50"/>
              <w:rPr>
                <w:sz w:val="24"/>
              </w:rPr>
            </w:pPr>
            <w:r>
              <w:rPr>
                <w:spacing w:val="-2"/>
                <w:sz w:val="24"/>
              </w:rPr>
              <w:t>Women</w:t>
            </w:r>
          </w:p>
        </w:tc>
        <w:tc>
          <w:tcPr>
            <w:tcW w:w="1245" w:type="dxa"/>
          </w:tcPr>
          <w:p>
            <w:pPr>
              <w:pStyle w:val="TableParagraph"/>
              <w:spacing w:line="261" w:lineRule="exact" w:before="133"/>
              <w:ind w:left="-1"/>
              <w:rPr>
                <w:sz w:val="24"/>
              </w:rPr>
            </w:pPr>
            <w:r>
              <w:rPr>
                <w:spacing w:val="-5"/>
                <w:sz w:val="24"/>
              </w:rPr>
              <w:t>887</w:t>
            </w:r>
          </w:p>
        </w:tc>
        <w:tc>
          <w:tcPr>
            <w:tcW w:w="1892" w:type="dxa"/>
          </w:tcPr>
          <w:p>
            <w:pPr>
              <w:pStyle w:val="TableParagraph"/>
              <w:spacing w:line="261" w:lineRule="exact" w:before="133"/>
              <w:ind w:left="585"/>
              <w:rPr>
                <w:sz w:val="24"/>
              </w:rPr>
            </w:pPr>
            <w:r>
              <w:rPr>
                <w:spacing w:val="-2"/>
                <w:sz w:val="24"/>
              </w:rPr>
              <w:t>4,323</w:t>
            </w:r>
          </w:p>
        </w:tc>
        <w:tc>
          <w:tcPr>
            <w:tcW w:w="1832" w:type="dxa"/>
          </w:tcPr>
          <w:p>
            <w:pPr>
              <w:pStyle w:val="TableParagraph"/>
              <w:spacing w:line="261" w:lineRule="exact" w:before="133"/>
              <w:ind w:left="526"/>
              <w:rPr>
                <w:sz w:val="24"/>
              </w:rPr>
            </w:pPr>
            <w:r>
              <w:rPr>
                <w:spacing w:val="-2"/>
                <w:sz w:val="24"/>
              </w:rPr>
              <w:t>7,677</w:t>
            </w:r>
          </w:p>
        </w:tc>
        <w:tc>
          <w:tcPr>
            <w:tcW w:w="1356" w:type="dxa"/>
          </w:tcPr>
          <w:p>
            <w:pPr>
              <w:pStyle w:val="TableParagraph"/>
              <w:spacing w:line="261" w:lineRule="exact" w:before="133"/>
              <w:ind w:left="527"/>
              <w:rPr>
                <w:sz w:val="24"/>
              </w:rPr>
            </w:pPr>
            <w:r>
              <w:rPr>
                <w:spacing w:val="-2"/>
                <w:sz w:val="24"/>
              </w:rPr>
              <w:t>12,887</w:t>
            </w:r>
          </w:p>
        </w:tc>
      </w:tr>
      <w:tr>
        <w:trPr>
          <w:trHeight w:val="536" w:hRule="atLeast"/>
        </w:trPr>
        <w:tc>
          <w:tcPr>
            <w:tcW w:w="1882" w:type="dxa"/>
          </w:tcPr>
          <w:p>
            <w:pPr>
              <w:pStyle w:val="TableParagraph"/>
              <w:rPr>
                <w:sz w:val="22"/>
              </w:rPr>
            </w:pPr>
          </w:p>
        </w:tc>
        <w:tc>
          <w:tcPr>
            <w:tcW w:w="1245" w:type="dxa"/>
            <w:tcBorders>
              <w:bottom w:val="single" w:sz="4" w:space="0" w:color="000000"/>
            </w:tcBorders>
          </w:tcPr>
          <w:p>
            <w:pPr>
              <w:pStyle w:val="TableParagraph"/>
              <w:spacing w:line="271" w:lineRule="exact"/>
              <w:rPr>
                <w:sz w:val="24"/>
              </w:rPr>
            </w:pPr>
            <w:r>
              <w:rPr>
                <w:spacing w:val="-2"/>
                <w:sz w:val="24"/>
              </w:rPr>
              <w:t>(6.9)</w:t>
            </w:r>
          </w:p>
        </w:tc>
        <w:tc>
          <w:tcPr>
            <w:tcW w:w="1892" w:type="dxa"/>
            <w:tcBorders>
              <w:bottom w:val="single" w:sz="4" w:space="0" w:color="000000"/>
            </w:tcBorders>
          </w:tcPr>
          <w:p>
            <w:pPr>
              <w:pStyle w:val="TableParagraph"/>
              <w:spacing w:line="271" w:lineRule="exact"/>
              <w:ind w:left="586"/>
              <w:rPr>
                <w:sz w:val="24"/>
              </w:rPr>
            </w:pPr>
            <w:r>
              <w:rPr>
                <w:spacing w:val="-2"/>
                <w:sz w:val="24"/>
              </w:rPr>
              <w:t>(33.5)</w:t>
            </w:r>
          </w:p>
        </w:tc>
        <w:tc>
          <w:tcPr>
            <w:tcW w:w="1832" w:type="dxa"/>
            <w:tcBorders>
              <w:bottom w:val="single" w:sz="4" w:space="0" w:color="000000"/>
            </w:tcBorders>
          </w:tcPr>
          <w:p>
            <w:pPr>
              <w:pStyle w:val="TableParagraph"/>
              <w:spacing w:line="271" w:lineRule="exact"/>
              <w:ind w:left="527"/>
              <w:rPr>
                <w:sz w:val="24"/>
              </w:rPr>
            </w:pPr>
            <w:r>
              <w:rPr>
                <w:spacing w:val="-2"/>
                <w:sz w:val="24"/>
              </w:rPr>
              <w:t>(59.6)</w:t>
            </w:r>
          </w:p>
        </w:tc>
        <w:tc>
          <w:tcPr>
            <w:tcW w:w="1356" w:type="dxa"/>
            <w:tcBorders>
              <w:bottom w:val="single" w:sz="4" w:space="0" w:color="000000"/>
            </w:tcBorders>
          </w:tcPr>
          <w:p>
            <w:pPr>
              <w:pStyle w:val="TableParagraph"/>
              <w:spacing w:line="271" w:lineRule="exact"/>
              <w:ind w:left="526"/>
              <w:rPr>
                <w:sz w:val="24"/>
              </w:rPr>
            </w:pPr>
            <w:r>
              <w:rPr>
                <w:spacing w:val="-2"/>
                <w:sz w:val="24"/>
              </w:rPr>
              <w:t>(100)</w:t>
            </w:r>
          </w:p>
        </w:tc>
      </w:tr>
      <w:tr>
        <w:trPr>
          <w:trHeight w:val="281" w:hRule="atLeast"/>
        </w:trPr>
        <w:tc>
          <w:tcPr>
            <w:tcW w:w="1882" w:type="dxa"/>
          </w:tcPr>
          <w:p>
            <w:pPr>
              <w:pStyle w:val="TableParagraph"/>
              <w:spacing w:line="261" w:lineRule="exact"/>
              <w:ind w:left="50"/>
              <w:rPr>
                <w:sz w:val="24"/>
              </w:rPr>
            </w:pPr>
            <w:r>
              <w:rPr>
                <w:spacing w:val="-2"/>
                <w:sz w:val="24"/>
              </w:rPr>
              <w:t>TOTAL</w:t>
            </w:r>
          </w:p>
        </w:tc>
        <w:tc>
          <w:tcPr>
            <w:tcW w:w="1245" w:type="dxa"/>
            <w:tcBorders>
              <w:top w:val="single" w:sz="4" w:space="0" w:color="000000"/>
            </w:tcBorders>
          </w:tcPr>
          <w:p>
            <w:pPr>
              <w:pStyle w:val="TableParagraph"/>
              <w:spacing w:line="261" w:lineRule="exact"/>
              <w:ind w:left="1"/>
              <w:rPr>
                <w:sz w:val="24"/>
              </w:rPr>
            </w:pPr>
            <w:r>
              <w:rPr>
                <w:spacing w:val="-2"/>
                <w:sz w:val="24"/>
              </w:rPr>
              <w:t>4,807</w:t>
            </w:r>
          </w:p>
        </w:tc>
        <w:tc>
          <w:tcPr>
            <w:tcW w:w="1892" w:type="dxa"/>
            <w:tcBorders>
              <w:top w:val="single" w:sz="4" w:space="0" w:color="000000"/>
            </w:tcBorders>
          </w:tcPr>
          <w:p>
            <w:pPr>
              <w:pStyle w:val="TableParagraph"/>
              <w:spacing w:line="261" w:lineRule="exact"/>
              <w:ind w:left="587"/>
              <w:rPr>
                <w:sz w:val="24"/>
              </w:rPr>
            </w:pPr>
            <w:r>
              <w:rPr>
                <w:spacing w:val="-2"/>
                <w:sz w:val="24"/>
              </w:rPr>
              <w:t>35,590</w:t>
            </w:r>
          </w:p>
        </w:tc>
        <w:tc>
          <w:tcPr>
            <w:tcW w:w="1832" w:type="dxa"/>
            <w:tcBorders>
              <w:top w:val="single" w:sz="4" w:space="0" w:color="000000"/>
            </w:tcBorders>
          </w:tcPr>
          <w:p>
            <w:pPr>
              <w:pStyle w:val="TableParagraph"/>
              <w:spacing w:line="261" w:lineRule="exact"/>
              <w:ind w:left="528"/>
              <w:rPr>
                <w:sz w:val="24"/>
              </w:rPr>
            </w:pPr>
            <w:r>
              <w:rPr>
                <w:spacing w:val="-2"/>
                <w:sz w:val="24"/>
              </w:rPr>
              <w:t>45,099</w:t>
            </w:r>
          </w:p>
        </w:tc>
        <w:tc>
          <w:tcPr>
            <w:tcW w:w="1356" w:type="dxa"/>
            <w:tcBorders>
              <w:top w:val="single" w:sz="4" w:space="0" w:color="000000"/>
            </w:tcBorders>
          </w:tcPr>
          <w:p>
            <w:pPr>
              <w:pStyle w:val="TableParagraph"/>
              <w:spacing w:line="261" w:lineRule="exact"/>
              <w:ind w:left="528"/>
              <w:rPr>
                <w:sz w:val="24"/>
              </w:rPr>
            </w:pPr>
            <w:r>
              <w:rPr>
                <w:spacing w:val="-2"/>
                <w:sz w:val="24"/>
              </w:rPr>
              <w:t>85,496</w:t>
            </w:r>
          </w:p>
        </w:tc>
      </w:tr>
      <w:tr>
        <w:trPr>
          <w:trHeight w:val="270" w:hRule="atLeast"/>
        </w:trPr>
        <w:tc>
          <w:tcPr>
            <w:tcW w:w="1882" w:type="dxa"/>
          </w:tcPr>
          <w:p>
            <w:pPr>
              <w:pStyle w:val="TableParagraph"/>
              <w:rPr>
                <w:sz w:val="20"/>
              </w:rPr>
            </w:pPr>
          </w:p>
        </w:tc>
        <w:tc>
          <w:tcPr>
            <w:tcW w:w="1245" w:type="dxa"/>
          </w:tcPr>
          <w:p>
            <w:pPr>
              <w:pStyle w:val="TableParagraph"/>
              <w:spacing w:line="251" w:lineRule="exact"/>
              <w:rPr>
                <w:sz w:val="24"/>
              </w:rPr>
            </w:pPr>
            <w:r>
              <w:rPr>
                <w:spacing w:val="-2"/>
                <w:sz w:val="24"/>
              </w:rPr>
              <w:t>(5.6)</w:t>
            </w:r>
          </w:p>
        </w:tc>
        <w:tc>
          <w:tcPr>
            <w:tcW w:w="1892" w:type="dxa"/>
          </w:tcPr>
          <w:p>
            <w:pPr>
              <w:pStyle w:val="TableParagraph"/>
              <w:spacing w:line="251" w:lineRule="exact"/>
              <w:ind w:left="586"/>
              <w:rPr>
                <w:sz w:val="24"/>
              </w:rPr>
            </w:pPr>
            <w:r>
              <w:rPr>
                <w:spacing w:val="-2"/>
                <w:sz w:val="24"/>
              </w:rPr>
              <w:t>(41.6)</w:t>
            </w:r>
          </w:p>
        </w:tc>
        <w:tc>
          <w:tcPr>
            <w:tcW w:w="1832" w:type="dxa"/>
          </w:tcPr>
          <w:p>
            <w:pPr>
              <w:pStyle w:val="TableParagraph"/>
              <w:spacing w:line="251" w:lineRule="exact"/>
              <w:ind w:left="527"/>
              <w:rPr>
                <w:sz w:val="24"/>
              </w:rPr>
            </w:pPr>
            <w:r>
              <w:rPr>
                <w:spacing w:val="-2"/>
                <w:sz w:val="24"/>
              </w:rPr>
              <w:t>(52.8)</w:t>
            </w:r>
          </w:p>
        </w:tc>
        <w:tc>
          <w:tcPr>
            <w:tcW w:w="1356" w:type="dxa"/>
          </w:tcPr>
          <w:p>
            <w:pPr>
              <w:pStyle w:val="TableParagraph"/>
              <w:spacing w:line="251" w:lineRule="exact"/>
              <w:ind w:left="526"/>
              <w:rPr>
                <w:sz w:val="24"/>
              </w:rPr>
            </w:pPr>
            <w:r>
              <w:rPr>
                <w:spacing w:val="-2"/>
                <w:sz w:val="24"/>
              </w:rPr>
              <w:t>(100)</w:t>
            </w:r>
          </w:p>
        </w:tc>
      </w:tr>
      <w:tr>
        <w:trPr>
          <w:trHeight w:val="551" w:hRule="atLeast"/>
        </w:trPr>
        <w:tc>
          <w:tcPr>
            <w:tcW w:w="8207" w:type="dxa"/>
            <w:gridSpan w:val="5"/>
          </w:tcPr>
          <w:p>
            <w:pPr>
              <w:pStyle w:val="TableParagraph"/>
              <w:rPr>
                <w:sz w:val="24"/>
              </w:rPr>
            </w:pPr>
          </w:p>
          <w:p>
            <w:pPr>
              <w:pStyle w:val="TableParagraph"/>
              <w:spacing w:line="256" w:lineRule="exact"/>
              <w:ind w:left="50"/>
              <w:rPr>
                <w:sz w:val="24"/>
              </w:rPr>
            </w:pPr>
            <w:r>
              <w:rPr>
                <w:sz w:val="24"/>
              </w:rPr>
              <w:t>1965-66 </w:t>
            </w:r>
            <w:r>
              <w:rPr>
                <w:spacing w:val="-2"/>
                <w:sz w:val="24"/>
              </w:rPr>
              <w:t>(estimated)</w:t>
            </w:r>
          </w:p>
        </w:tc>
      </w:tr>
      <w:tr>
        <w:trPr>
          <w:trHeight w:val="281" w:hRule="atLeast"/>
        </w:trPr>
        <w:tc>
          <w:tcPr>
            <w:tcW w:w="1882" w:type="dxa"/>
          </w:tcPr>
          <w:p>
            <w:pPr>
              <w:pStyle w:val="TableParagraph"/>
              <w:spacing w:line="251" w:lineRule="exact"/>
              <w:ind w:left="50"/>
              <w:rPr>
                <w:sz w:val="24"/>
              </w:rPr>
            </w:pPr>
            <w:r>
              <w:rPr>
                <w:spacing w:val="-5"/>
                <w:sz w:val="24"/>
              </w:rPr>
              <w:t>Men</w:t>
            </w:r>
          </w:p>
        </w:tc>
        <w:tc>
          <w:tcPr>
            <w:tcW w:w="1245" w:type="dxa"/>
          </w:tcPr>
          <w:p>
            <w:pPr>
              <w:pStyle w:val="TableParagraph"/>
              <w:spacing w:line="251" w:lineRule="exact"/>
              <w:ind w:left="-1"/>
              <w:rPr>
                <w:sz w:val="24"/>
              </w:rPr>
            </w:pPr>
            <w:r>
              <w:rPr>
                <w:spacing w:val="-2"/>
                <w:sz w:val="24"/>
              </w:rPr>
              <w:t>23,500</w:t>
            </w:r>
          </w:p>
        </w:tc>
        <w:tc>
          <w:tcPr>
            <w:tcW w:w="1892" w:type="dxa"/>
          </w:tcPr>
          <w:p>
            <w:pPr>
              <w:pStyle w:val="TableParagraph"/>
              <w:spacing w:line="251" w:lineRule="exact"/>
              <w:ind w:left="586"/>
              <w:rPr>
                <w:sz w:val="24"/>
              </w:rPr>
            </w:pPr>
            <w:r>
              <w:rPr>
                <w:spacing w:val="-2"/>
                <w:sz w:val="24"/>
              </w:rPr>
              <w:t>212,200</w:t>
            </w:r>
          </w:p>
        </w:tc>
        <w:tc>
          <w:tcPr>
            <w:tcW w:w="1832" w:type="dxa"/>
          </w:tcPr>
          <w:p>
            <w:pPr>
              <w:pStyle w:val="TableParagraph"/>
              <w:spacing w:line="251" w:lineRule="exact"/>
              <w:ind w:left="526"/>
              <w:rPr>
                <w:sz w:val="24"/>
              </w:rPr>
            </w:pPr>
            <w:r>
              <w:rPr>
                <w:spacing w:val="-2"/>
                <w:sz w:val="24"/>
              </w:rPr>
              <w:t>144,300</w:t>
            </w:r>
          </w:p>
        </w:tc>
        <w:tc>
          <w:tcPr>
            <w:tcW w:w="1356" w:type="dxa"/>
          </w:tcPr>
          <w:p>
            <w:pPr>
              <w:pStyle w:val="TableParagraph"/>
              <w:spacing w:line="251" w:lineRule="exact"/>
              <w:ind w:left="526"/>
              <w:rPr>
                <w:sz w:val="24"/>
              </w:rPr>
            </w:pPr>
            <w:r>
              <w:rPr>
                <w:spacing w:val="-2"/>
                <w:sz w:val="24"/>
              </w:rPr>
              <w:t>380,000</w:t>
            </w:r>
          </w:p>
        </w:tc>
      </w:tr>
      <w:tr>
        <w:trPr>
          <w:trHeight w:val="270" w:hRule="atLeast"/>
        </w:trPr>
        <w:tc>
          <w:tcPr>
            <w:tcW w:w="1882" w:type="dxa"/>
          </w:tcPr>
          <w:p>
            <w:pPr>
              <w:pStyle w:val="TableParagraph"/>
              <w:rPr>
                <w:sz w:val="20"/>
              </w:rPr>
            </w:pPr>
          </w:p>
        </w:tc>
        <w:tc>
          <w:tcPr>
            <w:tcW w:w="1245" w:type="dxa"/>
          </w:tcPr>
          <w:p>
            <w:pPr>
              <w:pStyle w:val="TableParagraph"/>
              <w:spacing w:line="251" w:lineRule="exact"/>
              <w:rPr>
                <w:sz w:val="24"/>
              </w:rPr>
            </w:pPr>
            <w:r>
              <w:rPr>
                <w:spacing w:val="-2"/>
                <w:sz w:val="24"/>
              </w:rPr>
              <w:t>(6.2)</w:t>
            </w:r>
          </w:p>
        </w:tc>
        <w:tc>
          <w:tcPr>
            <w:tcW w:w="1892" w:type="dxa"/>
          </w:tcPr>
          <w:p>
            <w:pPr>
              <w:pStyle w:val="TableParagraph"/>
              <w:spacing w:line="251" w:lineRule="exact"/>
              <w:ind w:left="586"/>
              <w:rPr>
                <w:sz w:val="24"/>
              </w:rPr>
            </w:pPr>
            <w:r>
              <w:rPr>
                <w:spacing w:val="-2"/>
                <w:sz w:val="24"/>
              </w:rPr>
              <w:t>(55.8)</w:t>
            </w:r>
          </w:p>
        </w:tc>
        <w:tc>
          <w:tcPr>
            <w:tcW w:w="1832" w:type="dxa"/>
          </w:tcPr>
          <w:p>
            <w:pPr>
              <w:pStyle w:val="TableParagraph"/>
              <w:spacing w:line="251" w:lineRule="exact"/>
              <w:ind w:left="527"/>
              <w:rPr>
                <w:sz w:val="24"/>
              </w:rPr>
            </w:pPr>
            <w:r>
              <w:rPr>
                <w:spacing w:val="-2"/>
                <w:sz w:val="24"/>
              </w:rPr>
              <w:t>(38.0)</w:t>
            </w:r>
          </w:p>
        </w:tc>
        <w:tc>
          <w:tcPr>
            <w:tcW w:w="1356" w:type="dxa"/>
          </w:tcPr>
          <w:p>
            <w:pPr>
              <w:pStyle w:val="TableParagraph"/>
              <w:spacing w:line="251" w:lineRule="exact"/>
              <w:ind w:left="526"/>
              <w:rPr>
                <w:sz w:val="24"/>
              </w:rPr>
            </w:pPr>
            <w:r>
              <w:rPr>
                <w:spacing w:val="-2"/>
                <w:sz w:val="24"/>
              </w:rPr>
              <w:t>(100)</w:t>
            </w:r>
          </w:p>
        </w:tc>
      </w:tr>
    </w:tbl>
    <w:p>
      <w:pPr>
        <w:spacing w:after="0" w:line="251" w:lineRule="exact"/>
        <w:rPr>
          <w:sz w:val="24"/>
        </w:rPr>
        <w:sectPr>
          <w:pgSz w:w="12240" w:h="15840"/>
          <w:pgMar w:header="0" w:footer="743" w:top="1640" w:bottom="1578" w:left="1640" w:right="1300"/>
        </w:sect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5"/>
        <w:gridCol w:w="1075"/>
        <w:gridCol w:w="1749"/>
        <w:gridCol w:w="1682"/>
        <w:gridCol w:w="2357"/>
      </w:tblGrid>
      <w:tr>
        <w:trPr>
          <w:trHeight w:val="270" w:hRule="atLeast"/>
        </w:trPr>
        <w:tc>
          <w:tcPr>
            <w:tcW w:w="1775" w:type="dxa"/>
          </w:tcPr>
          <w:p>
            <w:pPr>
              <w:pStyle w:val="TableParagraph"/>
              <w:spacing w:line="251" w:lineRule="exact"/>
              <w:ind w:left="-3"/>
              <w:rPr>
                <w:sz w:val="24"/>
              </w:rPr>
            </w:pPr>
            <w:r>
              <w:rPr>
                <w:spacing w:val="-2"/>
                <w:sz w:val="24"/>
              </w:rPr>
              <w:t>Women</w:t>
            </w:r>
          </w:p>
        </w:tc>
        <w:tc>
          <w:tcPr>
            <w:tcW w:w="1075" w:type="dxa"/>
          </w:tcPr>
          <w:p>
            <w:pPr>
              <w:pStyle w:val="TableParagraph"/>
              <w:spacing w:line="251" w:lineRule="exact"/>
              <w:ind w:left="53"/>
              <w:rPr>
                <w:sz w:val="24"/>
              </w:rPr>
            </w:pPr>
            <w:r>
              <w:rPr>
                <w:spacing w:val="-2"/>
                <w:sz w:val="24"/>
              </w:rPr>
              <w:t>7,700</w:t>
            </w:r>
          </w:p>
        </w:tc>
        <w:tc>
          <w:tcPr>
            <w:tcW w:w="1749" w:type="dxa"/>
          </w:tcPr>
          <w:p>
            <w:pPr>
              <w:pStyle w:val="TableParagraph"/>
              <w:spacing w:line="251" w:lineRule="exact"/>
              <w:ind w:left="810"/>
              <w:rPr>
                <w:sz w:val="24"/>
              </w:rPr>
            </w:pPr>
            <w:r>
              <w:rPr>
                <w:spacing w:val="-2"/>
                <w:sz w:val="24"/>
              </w:rPr>
              <w:t>68,600</w:t>
            </w:r>
          </w:p>
        </w:tc>
        <w:tc>
          <w:tcPr>
            <w:tcW w:w="1682" w:type="dxa"/>
          </w:tcPr>
          <w:p>
            <w:pPr>
              <w:pStyle w:val="TableParagraph"/>
              <w:spacing w:line="251" w:lineRule="exact"/>
              <w:ind w:left="894"/>
              <w:rPr>
                <w:sz w:val="24"/>
              </w:rPr>
            </w:pPr>
            <w:r>
              <w:rPr>
                <w:spacing w:val="-2"/>
                <w:sz w:val="24"/>
              </w:rPr>
              <w:t>63,700</w:t>
            </w:r>
          </w:p>
        </w:tc>
        <w:tc>
          <w:tcPr>
            <w:tcW w:w="2357" w:type="dxa"/>
          </w:tcPr>
          <w:p>
            <w:pPr>
              <w:pStyle w:val="TableParagraph"/>
              <w:spacing w:line="251" w:lineRule="exact"/>
              <w:ind w:left="1044"/>
              <w:rPr>
                <w:sz w:val="24"/>
              </w:rPr>
            </w:pPr>
            <w:r>
              <w:rPr>
                <w:spacing w:val="-2"/>
                <w:sz w:val="24"/>
              </w:rPr>
              <w:t>140,000</w:t>
            </w:r>
          </w:p>
        </w:tc>
      </w:tr>
      <w:tr>
        <w:trPr>
          <w:trHeight w:val="536" w:hRule="atLeast"/>
        </w:trPr>
        <w:tc>
          <w:tcPr>
            <w:tcW w:w="1775" w:type="dxa"/>
          </w:tcPr>
          <w:p>
            <w:pPr>
              <w:pStyle w:val="TableParagraph"/>
              <w:rPr>
                <w:sz w:val="24"/>
              </w:rPr>
            </w:pPr>
          </w:p>
        </w:tc>
        <w:tc>
          <w:tcPr>
            <w:tcW w:w="1075" w:type="dxa"/>
            <w:tcBorders>
              <w:bottom w:val="single" w:sz="4" w:space="0" w:color="000000"/>
            </w:tcBorders>
          </w:tcPr>
          <w:p>
            <w:pPr>
              <w:pStyle w:val="TableParagraph"/>
              <w:spacing w:line="271" w:lineRule="exact"/>
              <w:ind w:left="54"/>
              <w:rPr>
                <w:sz w:val="24"/>
              </w:rPr>
            </w:pPr>
            <w:r>
              <w:rPr>
                <w:spacing w:val="-2"/>
                <w:sz w:val="24"/>
              </w:rPr>
              <w:t>(5.5)</w:t>
            </w:r>
          </w:p>
        </w:tc>
        <w:tc>
          <w:tcPr>
            <w:tcW w:w="1749" w:type="dxa"/>
            <w:tcBorders>
              <w:bottom w:val="single" w:sz="4" w:space="0" w:color="000000"/>
            </w:tcBorders>
          </w:tcPr>
          <w:p>
            <w:pPr>
              <w:pStyle w:val="TableParagraph"/>
              <w:spacing w:line="271" w:lineRule="exact"/>
              <w:ind w:left="810"/>
              <w:rPr>
                <w:sz w:val="24"/>
              </w:rPr>
            </w:pPr>
            <w:r>
              <w:rPr>
                <w:spacing w:val="-2"/>
                <w:sz w:val="24"/>
              </w:rPr>
              <w:t>(49.0)</w:t>
            </w:r>
          </w:p>
        </w:tc>
        <w:tc>
          <w:tcPr>
            <w:tcW w:w="1682" w:type="dxa"/>
            <w:tcBorders>
              <w:bottom w:val="single" w:sz="4" w:space="0" w:color="000000"/>
            </w:tcBorders>
          </w:tcPr>
          <w:p>
            <w:pPr>
              <w:pStyle w:val="TableParagraph"/>
              <w:spacing w:line="271" w:lineRule="exact"/>
              <w:ind w:left="894"/>
              <w:rPr>
                <w:sz w:val="24"/>
              </w:rPr>
            </w:pPr>
            <w:r>
              <w:rPr>
                <w:spacing w:val="-2"/>
                <w:sz w:val="24"/>
              </w:rPr>
              <w:t>(45.5)</w:t>
            </w:r>
          </w:p>
        </w:tc>
        <w:tc>
          <w:tcPr>
            <w:tcW w:w="2357" w:type="dxa"/>
            <w:tcBorders>
              <w:bottom w:val="single" w:sz="4" w:space="0" w:color="000000"/>
            </w:tcBorders>
          </w:tcPr>
          <w:p>
            <w:pPr>
              <w:pStyle w:val="TableParagraph"/>
              <w:spacing w:line="271" w:lineRule="exact"/>
              <w:ind w:left="250"/>
              <w:jc w:val="center"/>
              <w:rPr>
                <w:sz w:val="24"/>
              </w:rPr>
            </w:pPr>
            <w:r>
              <w:rPr>
                <w:spacing w:val="-2"/>
                <w:sz w:val="24"/>
              </w:rPr>
              <w:t>(100)</w:t>
            </w:r>
          </w:p>
        </w:tc>
      </w:tr>
      <w:tr>
        <w:trPr>
          <w:trHeight w:val="281" w:hRule="atLeast"/>
        </w:trPr>
        <w:tc>
          <w:tcPr>
            <w:tcW w:w="1775" w:type="dxa"/>
          </w:tcPr>
          <w:p>
            <w:pPr>
              <w:pStyle w:val="TableParagraph"/>
              <w:spacing w:line="261" w:lineRule="exact"/>
              <w:ind w:left="-3"/>
              <w:rPr>
                <w:sz w:val="24"/>
              </w:rPr>
            </w:pPr>
            <w:r>
              <w:rPr>
                <w:spacing w:val="-2"/>
                <w:sz w:val="24"/>
              </w:rPr>
              <w:t>TOTAL</w:t>
            </w:r>
          </w:p>
        </w:tc>
        <w:tc>
          <w:tcPr>
            <w:tcW w:w="1075" w:type="dxa"/>
            <w:tcBorders>
              <w:top w:val="single" w:sz="4" w:space="0" w:color="000000"/>
            </w:tcBorders>
          </w:tcPr>
          <w:p>
            <w:pPr>
              <w:pStyle w:val="TableParagraph"/>
              <w:spacing w:line="261" w:lineRule="exact"/>
              <w:ind w:left="55"/>
              <w:rPr>
                <w:sz w:val="24"/>
              </w:rPr>
            </w:pPr>
            <w:r>
              <w:rPr>
                <w:spacing w:val="-2"/>
                <w:sz w:val="24"/>
              </w:rPr>
              <w:t>31,200</w:t>
            </w:r>
          </w:p>
        </w:tc>
        <w:tc>
          <w:tcPr>
            <w:tcW w:w="1749" w:type="dxa"/>
            <w:tcBorders>
              <w:top w:val="single" w:sz="4" w:space="0" w:color="000000"/>
            </w:tcBorders>
          </w:tcPr>
          <w:p>
            <w:pPr>
              <w:pStyle w:val="TableParagraph"/>
              <w:spacing w:line="261" w:lineRule="exact"/>
              <w:ind w:right="154"/>
              <w:jc w:val="right"/>
              <w:rPr>
                <w:sz w:val="24"/>
              </w:rPr>
            </w:pPr>
            <w:r>
              <w:rPr>
                <w:spacing w:val="-2"/>
                <w:sz w:val="24"/>
              </w:rPr>
              <w:t>280,800</w:t>
            </w:r>
          </w:p>
        </w:tc>
        <w:tc>
          <w:tcPr>
            <w:tcW w:w="1682" w:type="dxa"/>
            <w:tcBorders>
              <w:top w:val="single" w:sz="4" w:space="0" w:color="000000"/>
            </w:tcBorders>
          </w:tcPr>
          <w:p>
            <w:pPr>
              <w:pStyle w:val="TableParagraph"/>
              <w:spacing w:line="261" w:lineRule="exact"/>
              <w:ind w:left="895"/>
              <w:rPr>
                <w:sz w:val="24"/>
              </w:rPr>
            </w:pPr>
            <w:r>
              <w:rPr>
                <w:spacing w:val="-2"/>
                <w:sz w:val="24"/>
              </w:rPr>
              <w:t>208,400</w:t>
            </w:r>
          </w:p>
        </w:tc>
        <w:tc>
          <w:tcPr>
            <w:tcW w:w="2357" w:type="dxa"/>
            <w:tcBorders>
              <w:top w:val="single" w:sz="4" w:space="0" w:color="000000"/>
            </w:tcBorders>
          </w:tcPr>
          <w:p>
            <w:pPr>
              <w:pStyle w:val="TableParagraph"/>
              <w:spacing w:line="261" w:lineRule="exact"/>
              <w:ind w:left="1046"/>
              <w:rPr>
                <w:sz w:val="24"/>
              </w:rPr>
            </w:pPr>
            <w:r>
              <w:rPr>
                <w:spacing w:val="-2"/>
                <w:sz w:val="24"/>
              </w:rPr>
              <w:t>520,000</w:t>
            </w:r>
          </w:p>
        </w:tc>
      </w:tr>
      <w:tr>
        <w:trPr>
          <w:trHeight w:val="468" w:hRule="atLeast"/>
        </w:trPr>
        <w:tc>
          <w:tcPr>
            <w:tcW w:w="1775" w:type="dxa"/>
            <w:tcBorders>
              <w:bottom w:val="single" w:sz="12" w:space="0" w:color="808080"/>
            </w:tcBorders>
          </w:tcPr>
          <w:p>
            <w:pPr>
              <w:pStyle w:val="TableParagraph"/>
              <w:rPr>
                <w:sz w:val="24"/>
              </w:rPr>
            </w:pPr>
          </w:p>
        </w:tc>
        <w:tc>
          <w:tcPr>
            <w:tcW w:w="1075" w:type="dxa"/>
            <w:tcBorders>
              <w:bottom w:val="single" w:sz="12" w:space="0" w:color="808080"/>
            </w:tcBorders>
          </w:tcPr>
          <w:p>
            <w:pPr>
              <w:pStyle w:val="TableParagraph"/>
              <w:spacing w:line="271" w:lineRule="exact"/>
              <w:ind w:left="54"/>
              <w:rPr>
                <w:sz w:val="24"/>
              </w:rPr>
            </w:pPr>
            <w:r>
              <w:rPr>
                <w:spacing w:val="-2"/>
                <w:sz w:val="24"/>
              </w:rPr>
              <w:t>(6.0)</w:t>
            </w:r>
          </w:p>
        </w:tc>
        <w:tc>
          <w:tcPr>
            <w:tcW w:w="1749" w:type="dxa"/>
            <w:tcBorders>
              <w:bottom w:val="single" w:sz="12" w:space="0" w:color="808080"/>
            </w:tcBorders>
          </w:tcPr>
          <w:p>
            <w:pPr>
              <w:pStyle w:val="TableParagraph"/>
              <w:spacing w:line="271" w:lineRule="exact"/>
              <w:ind w:left="810"/>
              <w:rPr>
                <w:sz w:val="24"/>
              </w:rPr>
            </w:pPr>
            <w:r>
              <w:rPr>
                <w:spacing w:val="-2"/>
                <w:sz w:val="24"/>
              </w:rPr>
              <w:t>(54.0)</w:t>
            </w:r>
          </w:p>
        </w:tc>
        <w:tc>
          <w:tcPr>
            <w:tcW w:w="1682" w:type="dxa"/>
            <w:tcBorders>
              <w:bottom w:val="single" w:sz="12" w:space="0" w:color="808080"/>
            </w:tcBorders>
          </w:tcPr>
          <w:p>
            <w:pPr>
              <w:pStyle w:val="TableParagraph"/>
              <w:spacing w:line="271" w:lineRule="exact"/>
              <w:ind w:left="894"/>
              <w:rPr>
                <w:sz w:val="24"/>
              </w:rPr>
            </w:pPr>
            <w:r>
              <w:rPr>
                <w:spacing w:val="-2"/>
                <w:sz w:val="24"/>
              </w:rPr>
              <w:t>(40.0)</w:t>
            </w:r>
          </w:p>
        </w:tc>
        <w:tc>
          <w:tcPr>
            <w:tcW w:w="2357" w:type="dxa"/>
            <w:tcBorders>
              <w:bottom w:val="single" w:sz="12" w:space="0" w:color="808080"/>
            </w:tcBorders>
          </w:tcPr>
          <w:p>
            <w:pPr>
              <w:pStyle w:val="TableParagraph"/>
              <w:spacing w:line="271" w:lineRule="exact"/>
              <w:ind w:left="250"/>
              <w:jc w:val="center"/>
              <w:rPr>
                <w:sz w:val="24"/>
              </w:rPr>
            </w:pPr>
            <w:r>
              <w:rPr/>
              <mc:AlternateContent>
                <mc:Choice Requires="wps">
                  <w:drawing>
                    <wp:anchor distT="0" distB="0" distL="0" distR="0" allowOverlap="1" layoutInCell="1" locked="0" behindDoc="0" simplePos="0" relativeHeight="15743488">
                      <wp:simplePos x="0" y="0"/>
                      <wp:positionH relativeFrom="column">
                        <wp:posOffset>1493294</wp:posOffset>
                      </wp:positionH>
                      <wp:positionV relativeFrom="paragraph">
                        <wp:posOffset>297545</wp:posOffset>
                      </wp:positionV>
                      <wp:extent cx="3175" cy="1651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175" cy="16510"/>
                                <a:chExt cx="3175" cy="16510"/>
                              </a:xfrm>
                            </wpg:grpSpPr>
                            <wps:wsp>
                              <wps:cNvPr id="188" name="Graphic 188"/>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17.582214pt;margin-top:23.428778pt;width:.25pt;height:1.3pt;mso-position-horizontal-relative:column;mso-position-vertical-relative:paragraph;z-index:15743488" id="docshapegroup182" coordorigin="2352,469" coordsize="5,26">
                      <v:shape style="position:absolute;left:2351;top:468;width:5;height:26" id="docshape183" coordorigin="2352,469" coordsize="5,26" path="m2356,469l2352,469,2352,473,2352,494,2356,494,2356,473,2356,469xe" filled="true" fillcolor="#f1efe2" stroked="false">
                        <v:path arrowok="t"/>
                        <v:fill type="solid"/>
                      </v:shape>
                      <w10:wrap type="none"/>
                    </v:group>
                  </w:pict>
                </mc:Fallback>
              </mc:AlternateContent>
            </w:r>
            <w:r>
              <w:rPr>
                <w:spacing w:val="-2"/>
                <w:sz w:val="24"/>
              </w:rPr>
              <w:t>(100)</w:t>
            </w:r>
          </w:p>
        </w:tc>
      </w:tr>
      <w:tr>
        <w:trPr>
          <w:trHeight w:val="324" w:hRule="atLeast"/>
        </w:trPr>
        <w:tc>
          <w:tcPr>
            <w:tcW w:w="1775" w:type="dxa"/>
            <w:tcBorders>
              <w:top w:val="single" w:sz="12" w:space="0" w:color="808080"/>
            </w:tcBorders>
          </w:tcPr>
          <w:p>
            <w:pPr>
              <w:pStyle w:val="TableParagraph"/>
              <w:spacing w:line="256" w:lineRule="exact" w:before="48"/>
              <w:ind w:left="-3"/>
              <w:rPr>
                <w:sz w:val="24"/>
              </w:rPr>
            </w:pPr>
            <w:r>
              <w:rPr>
                <w:sz w:val="24"/>
              </w:rPr>
              <w:t>Source.</w:t>
            </w:r>
            <w:r>
              <w:rPr>
                <w:spacing w:val="69"/>
                <w:sz w:val="24"/>
              </w:rPr>
              <w:t> </w:t>
            </w:r>
            <w:r>
              <w:rPr>
                <w:spacing w:val="-2"/>
                <w:sz w:val="24"/>
              </w:rPr>
              <w:t>Statistics</w:t>
            </w:r>
          </w:p>
        </w:tc>
        <w:tc>
          <w:tcPr>
            <w:tcW w:w="1075" w:type="dxa"/>
            <w:tcBorders>
              <w:top w:val="single" w:sz="12" w:space="0" w:color="808080"/>
            </w:tcBorders>
          </w:tcPr>
          <w:p>
            <w:pPr>
              <w:pStyle w:val="TableParagraph"/>
              <w:spacing w:line="256" w:lineRule="exact" w:before="48"/>
              <w:ind w:left="76"/>
              <w:rPr>
                <w:sz w:val="24"/>
              </w:rPr>
            </w:pPr>
            <w:r>
              <w:rPr>
                <w:spacing w:val="-2"/>
                <w:sz w:val="24"/>
              </w:rPr>
              <w:t>published</w:t>
            </w:r>
          </w:p>
        </w:tc>
        <w:tc>
          <w:tcPr>
            <w:tcW w:w="1749" w:type="dxa"/>
            <w:tcBorders>
              <w:top w:val="single" w:sz="12" w:space="0" w:color="808080"/>
            </w:tcBorders>
          </w:tcPr>
          <w:p>
            <w:pPr>
              <w:pStyle w:val="TableParagraph"/>
              <w:spacing w:line="256" w:lineRule="exact" w:before="48"/>
              <w:ind w:right="62"/>
              <w:jc w:val="right"/>
              <w:rPr>
                <w:sz w:val="24"/>
              </w:rPr>
            </w:pPr>
            <w:r>
              <w:rPr>
                <w:sz w:val="24"/>
              </w:rPr>
              <w:t>by</w:t>
            </w:r>
            <w:r>
              <w:rPr>
                <w:spacing w:val="67"/>
                <w:sz w:val="24"/>
              </w:rPr>
              <w:t> </w:t>
            </w:r>
            <w:r>
              <w:rPr>
                <w:sz w:val="24"/>
              </w:rPr>
              <w:t>the</w:t>
            </w:r>
            <w:r>
              <w:rPr>
                <w:spacing w:val="69"/>
                <w:sz w:val="24"/>
              </w:rPr>
              <w:t> </w:t>
            </w:r>
            <w:r>
              <w:rPr>
                <w:spacing w:val="-2"/>
                <w:sz w:val="24"/>
              </w:rPr>
              <w:t>Ministry</w:t>
            </w:r>
          </w:p>
        </w:tc>
        <w:tc>
          <w:tcPr>
            <w:tcW w:w="1682" w:type="dxa"/>
            <w:tcBorders>
              <w:top w:val="single" w:sz="12" w:space="0" w:color="808080"/>
            </w:tcBorders>
          </w:tcPr>
          <w:p>
            <w:pPr>
              <w:pStyle w:val="TableParagraph"/>
              <w:spacing w:line="256" w:lineRule="exact" w:before="48"/>
              <w:ind w:left="65"/>
              <w:rPr>
                <w:sz w:val="24"/>
              </w:rPr>
            </w:pPr>
            <w:r>
              <w:rPr>
                <w:sz w:val="24"/>
              </w:rPr>
              <w:t>of</w:t>
            </w:r>
            <w:r>
              <w:rPr>
                <w:spacing w:val="69"/>
                <w:sz w:val="24"/>
              </w:rPr>
              <w:t> </w:t>
            </w:r>
            <w:r>
              <w:rPr>
                <w:spacing w:val="-2"/>
                <w:sz w:val="24"/>
              </w:rPr>
              <w:t>Education.</w:t>
            </w:r>
          </w:p>
        </w:tc>
        <w:tc>
          <w:tcPr>
            <w:tcW w:w="2357" w:type="dxa"/>
            <w:tcBorders>
              <w:top w:val="single" w:sz="12" w:space="0" w:color="808080"/>
            </w:tcBorders>
          </w:tcPr>
          <w:p>
            <w:pPr>
              <w:pStyle w:val="TableParagraph"/>
              <w:spacing w:line="256" w:lineRule="exact" w:before="48"/>
              <w:ind w:left="6"/>
              <w:rPr>
                <w:sz w:val="24"/>
              </w:rPr>
            </w:pPr>
            <w:r>
              <w:rPr>
                <w:sz w:val="24"/>
              </w:rPr>
              <w:t>Those</w:t>
            </w:r>
            <w:r>
              <w:rPr>
                <w:spacing w:val="69"/>
                <w:sz w:val="24"/>
              </w:rPr>
              <w:t> </w:t>
            </w:r>
            <w:r>
              <w:rPr>
                <w:sz w:val="24"/>
              </w:rPr>
              <w:t>for</w:t>
            </w:r>
            <w:r>
              <w:rPr>
                <w:spacing w:val="69"/>
                <w:sz w:val="24"/>
              </w:rPr>
              <w:t> </w:t>
            </w:r>
            <w:r>
              <w:rPr>
                <w:sz w:val="24"/>
              </w:rPr>
              <w:t>1965-66</w:t>
            </w:r>
            <w:r>
              <w:rPr>
                <w:spacing w:val="69"/>
                <w:sz w:val="24"/>
              </w:rPr>
              <w:t> </w:t>
            </w:r>
            <w:r>
              <w:rPr>
                <w:spacing w:val="-5"/>
                <w:sz w:val="24"/>
              </w:rPr>
              <w:t>are</w:t>
            </w:r>
          </w:p>
        </w:tc>
      </w:tr>
    </w:tbl>
    <w:p>
      <w:pPr>
        <w:pStyle w:val="BodyText"/>
        <w:spacing w:before="25"/>
        <w:ind w:left="159"/>
        <w:jc w:val="both"/>
      </w:pPr>
      <w:r>
        <w:rPr/>
        <mc:AlternateContent>
          <mc:Choice Requires="wps">
            <w:drawing>
              <wp:anchor distT="0" distB="0" distL="0" distR="0" allowOverlap="1" layoutInCell="1" locked="0" behindDoc="0" simplePos="0" relativeHeight="15744000">
                <wp:simplePos x="0" y="0"/>
                <wp:positionH relativeFrom="page">
                  <wp:posOffset>1143000</wp:posOffset>
                </wp:positionH>
                <wp:positionV relativeFrom="paragraph">
                  <wp:posOffset>-205613</wp:posOffset>
                </wp:positionV>
                <wp:extent cx="3175" cy="1333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16.190001pt;width:.24001pt;height:1.02pt;mso-position-horizontal-relative:page;mso-position-vertical-relative:paragraph;z-index:15744000" id="docshape184" filled="true" fillcolor="#aca89a" stroked="false">
                <v:fill type="solid"/>
                <w10:wrap type="none"/>
              </v:rect>
            </w:pict>
          </mc:Fallback>
        </mc:AlternateContent>
      </w:r>
      <w:r>
        <w:rPr/>
        <w:t>estimates</w:t>
      </w:r>
      <w:r>
        <w:rPr>
          <w:spacing w:val="-2"/>
        </w:rPr>
        <w:t> </w:t>
      </w:r>
      <w:r>
        <w:rPr/>
        <w:t>made</w:t>
      </w:r>
      <w:r>
        <w:rPr>
          <w:spacing w:val="-1"/>
        </w:rPr>
        <w:t> </w:t>
      </w:r>
      <w:r>
        <w:rPr/>
        <w:t>in</w:t>
      </w:r>
      <w:r>
        <w:rPr>
          <w:spacing w:val="-1"/>
        </w:rPr>
        <w:t> </w:t>
      </w:r>
      <w:r>
        <w:rPr/>
        <w:t>the</w:t>
      </w:r>
      <w:r>
        <w:rPr>
          <w:spacing w:val="-1"/>
        </w:rPr>
        <w:t> </w:t>
      </w:r>
      <w:r>
        <w:rPr/>
        <w:t>Commission</w:t>
      </w:r>
      <w:r>
        <w:rPr>
          <w:spacing w:val="-1"/>
        </w:rPr>
        <w:t> </w:t>
      </w:r>
      <w:r>
        <w:rPr>
          <w:spacing w:val="-2"/>
        </w:rPr>
        <w:t>Secretariat.</w:t>
      </w:r>
    </w:p>
    <w:p>
      <w:pPr>
        <w:pStyle w:val="BodyText"/>
        <w:ind w:left="159"/>
        <w:jc w:val="both"/>
      </w:pPr>
      <w:r>
        <w:rPr/>
        <w:t>N.B.</w:t>
      </w:r>
      <w:r>
        <w:rPr>
          <w:spacing w:val="-2"/>
        </w:rPr>
        <w:t> </w:t>
      </w:r>
      <w:r>
        <w:rPr/>
        <w:t>The</w:t>
      </w:r>
      <w:r>
        <w:rPr>
          <w:spacing w:val="-1"/>
        </w:rPr>
        <w:t> </w:t>
      </w:r>
      <w:r>
        <w:rPr/>
        <w:t>figures</w:t>
      </w:r>
      <w:r>
        <w:rPr>
          <w:spacing w:val="-1"/>
        </w:rPr>
        <w:t> </w:t>
      </w:r>
      <w:r>
        <w:rPr/>
        <w:t>within</w:t>
      </w:r>
      <w:r>
        <w:rPr>
          <w:spacing w:val="-1"/>
        </w:rPr>
        <w:t> </w:t>
      </w:r>
      <w:r>
        <w:rPr/>
        <w:t>brackets</w:t>
      </w:r>
      <w:r>
        <w:rPr>
          <w:spacing w:val="-1"/>
        </w:rPr>
        <w:t> </w:t>
      </w:r>
      <w:r>
        <w:rPr/>
        <w:t>give</w:t>
      </w:r>
      <w:r>
        <w:rPr>
          <w:spacing w:val="-1"/>
        </w:rPr>
        <w:t> </w:t>
      </w:r>
      <w:r>
        <w:rPr/>
        <w:t>percentages</w:t>
      </w:r>
      <w:r>
        <w:rPr>
          <w:spacing w:val="-1"/>
        </w:rPr>
        <w:t> </w:t>
      </w:r>
      <w:r>
        <w:rPr/>
        <w:t>to</w:t>
      </w:r>
      <w:r>
        <w:rPr>
          <w:spacing w:val="-1"/>
        </w:rPr>
        <w:t> </w:t>
      </w:r>
      <w:r>
        <w:rPr>
          <w:spacing w:val="-2"/>
        </w:rPr>
        <w:t>total.</w:t>
      </w:r>
    </w:p>
    <w:p>
      <w:pPr>
        <w:pStyle w:val="BodyText"/>
        <w:spacing w:before="5"/>
      </w:pPr>
    </w:p>
    <w:p>
      <w:pPr>
        <w:pStyle w:val="ListParagraph"/>
        <w:numPr>
          <w:ilvl w:val="1"/>
          <w:numId w:val="76"/>
        </w:numPr>
        <w:tabs>
          <w:tab w:pos="663" w:val="left" w:leader="none"/>
        </w:tabs>
        <w:spacing w:line="240" w:lineRule="auto" w:before="0" w:after="0"/>
        <w:ind w:left="159" w:right="496" w:firstLine="0"/>
        <w:jc w:val="both"/>
        <w:rPr>
          <w:sz w:val="24"/>
        </w:rPr>
      </w:pPr>
      <w:r>
        <w:rPr>
          <w:sz w:val="24"/>
        </w:rPr>
        <w:t>Mainly because of the large diversity in the general education of primary teachers (their qualifications vary from a few M.A.s and B.A.s at one end to non-completion of even primary school at the other), several types of courses have to be organized, depending upon the level of general education of the teachers. Instead of this, teachers with</w:t>
      </w:r>
      <w:r>
        <w:rPr>
          <w:spacing w:val="-2"/>
          <w:sz w:val="24"/>
        </w:rPr>
        <w:t> </w:t>
      </w:r>
      <w:r>
        <w:rPr>
          <w:sz w:val="24"/>
        </w:rPr>
        <w:t>very</w:t>
      </w:r>
      <w:r>
        <w:rPr>
          <w:spacing w:val="-2"/>
          <w:sz w:val="24"/>
        </w:rPr>
        <w:t> </w:t>
      </w:r>
      <w:r>
        <w:rPr>
          <w:sz w:val="24"/>
        </w:rPr>
        <w:t>different</w:t>
      </w:r>
      <w:r>
        <w:rPr>
          <w:spacing w:val="-2"/>
          <w:sz w:val="24"/>
        </w:rPr>
        <w:t> </w:t>
      </w:r>
      <w:r>
        <w:rPr>
          <w:sz w:val="24"/>
        </w:rPr>
        <w:t>qualifications</w:t>
      </w:r>
      <w:r>
        <w:rPr>
          <w:spacing w:val="-2"/>
          <w:sz w:val="24"/>
        </w:rPr>
        <w:t> </w:t>
      </w:r>
      <w:r>
        <w:rPr>
          <w:sz w:val="24"/>
        </w:rPr>
        <w:t>(e.g.,</w:t>
      </w:r>
      <w:r>
        <w:rPr>
          <w:spacing w:val="-2"/>
          <w:sz w:val="24"/>
        </w:rPr>
        <w:t> </w:t>
      </w:r>
      <w:r>
        <w:rPr>
          <w:sz w:val="24"/>
        </w:rPr>
        <w:t>matriculates</w:t>
      </w:r>
      <w:r>
        <w:rPr>
          <w:spacing w:val="-2"/>
          <w:sz w:val="24"/>
        </w:rPr>
        <w:t> </w:t>
      </w:r>
      <w:r>
        <w:rPr>
          <w:sz w:val="24"/>
        </w:rPr>
        <w:t>and</w:t>
      </w:r>
      <w:r>
        <w:rPr>
          <w:spacing w:val="-2"/>
          <w:sz w:val="24"/>
        </w:rPr>
        <w:t> </w:t>
      </w:r>
      <w:r>
        <w:rPr>
          <w:sz w:val="24"/>
        </w:rPr>
        <w:t>those</w:t>
      </w:r>
      <w:r>
        <w:rPr>
          <w:spacing w:val="-3"/>
          <w:sz w:val="24"/>
        </w:rPr>
        <w:t> </w:t>
      </w:r>
      <w:r>
        <w:rPr>
          <w:sz w:val="24"/>
        </w:rPr>
        <w:t>who</w:t>
      </w:r>
      <w:r>
        <w:rPr>
          <w:spacing w:val="-3"/>
          <w:sz w:val="24"/>
        </w:rPr>
        <w:t> </w:t>
      </w:r>
      <w:r>
        <w:rPr>
          <w:sz w:val="24"/>
        </w:rPr>
        <w:t>have</w:t>
      </w:r>
      <w:r>
        <w:rPr>
          <w:spacing w:val="-3"/>
          <w:sz w:val="24"/>
        </w:rPr>
        <w:t> </w:t>
      </w:r>
      <w:r>
        <w:rPr>
          <w:sz w:val="24"/>
        </w:rPr>
        <w:t>passed</w:t>
      </w:r>
      <w:r>
        <w:rPr>
          <w:spacing w:val="-3"/>
          <w:sz w:val="24"/>
        </w:rPr>
        <w:t> </w:t>
      </w:r>
      <w:r>
        <w:rPr>
          <w:sz w:val="24"/>
        </w:rPr>
        <w:t>the</w:t>
      </w:r>
      <w:r>
        <w:rPr>
          <w:spacing w:val="-3"/>
          <w:sz w:val="24"/>
        </w:rPr>
        <w:t> </w:t>
      </w:r>
      <w:r>
        <w:rPr>
          <w:sz w:val="24"/>
        </w:rPr>
        <w:t>higher primary course only) are sometimes grouped together in the same class or course. This should be avoided.</w:t>
      </w:r>
    </w:p>
    <w:p>
      <w:pPr>
        <w:pStyle w:val="BodyText"/>
        <w:spacing w:before="3"/>
      </w:pPr>
    </w:p>
    <w:p>
      <w:pPr>
        <w:pStyle w:val="ListParagraph"/>
        <w:numPr>
          <w:ilvl w:val="1"/>
          <w:numId w:val="76"/>
        </w:numPr>
        <w:tabs>
          <w:tab w:pos="639" w:val="left" w:leader="none"/>
        </w:tabs>
        <w:spacing w:line="240" w:lineRule="auto" w:before="0" w:after="0"/>
        <w:ind w:left="159" w:right="496" w:firstLine="0"/>
        <w:jc w:val="both"/>
        <w:rPr>
          <w:b/>
          <w:sz w:val="24"/>
        </w:rPr>
      </w:pPr>
      <w:r>
        <w:rPr>
          <w:b/>
          <w:sz w:val="24"/>
        </w:rPr>
        <w:t>Other</w:t>
      </w:r>
      <w:r>
        <w:rPr>
          <w:b/>
          <w:spacing w:val="-3"/>
          <w:sz w:val="24"/>
        </w:rPr>
        <w:t> </w:t>
      </w:r>
      <w:r>
        <w:rPr>
          <w:b/>
          <w:sz w:val="24"/>
        </w:rPr>
        <w:t>Facilities.</w:t>
      </w:r>
      <w:r>
        <w:rPr>
          <w:b/>
          <w:spacing w:val="-2"/>
          <w:sz w:val="24"/>
        </w:rPr>
        <w:t> </w:t>
      </w:r>
      <w:r>
        <w:rPr>
          <w:sz w:val="24"/>
        </w:rPr>
        <w:t>In</w:t>
      </w:r>
      <w:r>
        <w:rPr>
          <w:spacing w:val="-2"/>
          <w:sz w:val="24"/>
        </w:rPr>
        <w:t> </w:t>
      </w:r>
      <w:r>
        <w:rPr>
          <w:sz w:val="24"/>
        </w:rPr>
        <w:t>primary</w:t>
      </w:r>
      <w:r>
        <w:rPr>
          <w:spacing w:val="-2"/>
          <w:sz w:val="24"/>
        </w:rPr>
        <w:t> </w:t>
      </w:r>
      <w:r>
        <w:rPr>
          <w:sz w:val="24"/>
        </w:rPr>
        <w:t>training</w:t>
      </w:r>
      <w:r>
        <w:rPr>
          <w:spacing w:val="-2"/>
          <w:sz w:val="24"/>
        </w:rPr>
        <w:t> </w:t>
      </w:r>
      <w:r>
        <w:rPr>
          <w:sz w:val="24"/>
        </w:rPr>
        <w:t>institutions,</w:t>
      </w:r>
      <w:r>
        <w:rPr>
          <w:spacing w:val="-3"/>
          <w:sz w:val="24"/>
        </w:rPr>
        <w:t> </w:t>
      </w:r>
      <w:r>
        <w:rPr>
          <w:sz w:val="24"/>
        </w:rPr>
        <w:t>except</w:t>
      </w:r>
      <w:r>
        <w:rPr>
          <w:spacing w:val="-3"/>
          <w:sz w:val="24"/>
        </w:rPr>
        <w:t> </w:t>
      </w:r>
      <w:r>
        <w:rPr>
          <w:sz w:val="24"/>
        </w:rPr>
        <w:t>in</w:t>
      </w:r>
      <w:r>
        <w:rPr>
          <w:spacing w:val="-3"/>
          <w:sz w:val="24"/>
        </w:rPr>
        <w:t> </w:t>
      </w:r>
      <w:r>
        <w:rPr>
          <w:sz w:val="24"/>
        </w:rPr>
        <w:t>institutions</w:t>
      </w:r>
      <w:r>
        <w:rPr>
          <w:spacing w:val="-3"/>
          <w:sz w:val="24"/>
        </w:rPr>
        <w:t> </w:t>
      </w:r>
      <w:r>
        <w:rPr>
          <w:sz w:val="24"/>
        </w:rPr>
        <w:t>located</w:t>
      </w:r>
      <w:r>
        <w:rPr>
          <w:spacing w:val="-3"/>
          <w:sz w:val="24"/>
        </w:rPr>
        <w:t> </w:t>
      </w:r>
      <w:r>
        <w:rPr>
          <w:sz w:val="24"/>
        </w:rPr>
        <w:t>in</w:t>
      </w:r>
      <w:r>
        <w:rPr>
          <w:spacing w:val="-3"/>
          <w:sz w:val="24"/>
        </w:rPr>
        <w:t> </w:t>
      </w:r>
      <w:r>
        <w:rPr>
          <w:sz w:val="24"/>
        </w:rPr>
        <w:t>big cities, hostel accommodation is required for 80 per cent of the students. Residential accommodation for staff is not provided on an adequate scale at present, the minimum provision generally being for the principal and one member of the staff. Other facilities such as libraries, laboratories, and audio- visual aids are very poor. We recommend a substantial improvement in all these matters on a high priority basis.</w:t>
      </w:r>
    </w:p>
    <w:p>
      <w:pPr>
        <w:pStyle w:val="BodyText"/>
        <w:spacing w:before="6"/>
      </w:pPr>
    </w:p>
    <w:p>
      <w:pPr>
        <w:pStyle w:val="ListParagraph"/>
        <w:numPr>
          <w:ilvl w:val="1"/>
          <w:numId w:val="76"/>
        </w:numPr>
        <w:tabs>
          <w:tab w:pos="635" w:val="left" w:leader="none"/>
        </w:tabs>
        <w:spacing w:line="240" w:lineRule="auto" w:before="0" w:after="0"/>
        <w:ind w:left="635" w:right="0" w:hanging="476"/>
        <w:jc w:val="both"/>
        <w:rPr>
          <w:b/>
          <w:sz w:val="24"/>
        </w:rPr>
      </w:pPr>
      <w:r>
        <w:rPr>
          <w:b/>
          <w:sz w:val="24"/>
        </w:rPr>
        <w:t>Tuition</w:t>
      </w:r>
      <w:r>
        <w:rPr>
          <w:b/>
          <w:spacing w:val="-4"/>
          <w:sz w:val="24"/>
        </w:rPr>
        <w:t> </w:t>
      </w:r>
      <w:r>
        <w:rPr>
          <w:b/>
          <w:sz w:val="24"/>
        </w:rPr>
        <w:t>Fees.</w:t>
      </w:r>
      <w:r>
        <w:rPr>
          <w:b/>
          <w:spacing w:val="-2"/>
          <w:sz w:val="24"/>
        </w:rPr>
        <w:t> </w:t>
      </w:r>
      <w:r>
        <w:rPr>
          <w:sz w:val="24"/>
        </w:rPr>
        <w:t>Tuition</w:t>
      </w:r>
      <w:r>
        <w:rPr>
          <w:spacing w:val="-2"/>
          <w:sz w:val="24"/>
        </w:rPr>
        <w:t> </w:t>
      </w:r>
      <w:r>
        <w:rPr>
          <w:sz w:val="24"/>
        </w:rPr>
        <w:t>fees</w:t>
      </w:r>
      <w:r>
        <w:rPr>
          <w:spacing w:val="-2"/>
          <w:sz w:val="24"/>
        </w:rPr>
        <w:t> </w:t>
      </w:r>
      <w:r>
        <w:rPr>
          <w:sz w:val="24"/>
        </w:rPr>
        <w:t>in</w:t>
      </w:r>
      <w:r>
        <w:rPr>
          <w:spacing w:val="-2"/>
          <w:sz w:val="24"/>
        </w:rPr>
        <w:t> </w:t>
      </w:r>
      <w:r>
        <w:rPr>
          <w:sz w:val="24"/>
        </w:rPr>
        <w:t>all</w:t>
      </w:r>
      <w:r>
        <w:rPr>
          <w:spacing w:val="-3"/>
          <w:sz w:val="24"/>
        </w:rPr>
        <w:t> </w:t>
      </w:r>
      <w:r>
        <w:rPr>
          <w:sz w:val="24"/>
        </w:rPr>
        <w:t>training</w:t>
      </w:r>
      <w:r>
        <w:rPr>
          <w:spacing w:val="-2"/>
          <w:sz w:val="24"/>
        </w:rPr>
        <w:t> </w:t>
      </w:r>
      <w:r>
        <w:rPr>
          <w:sz w:val="24"/>
        </w:rPr>
        <w:t>institutions</w:t>
      </w:r>
      <w:r>
        <w:rPr>
          <w:spacing w:val="-2"/>
          <w:sz w:val="24"/>
        </w:rPr>
        <w:t> </w:t>
      </w:r>
      <w:r>
        <w:rPr>
          <w:sz w:val="24"/>
        </w:rPr>
        <w:t>should</w:t>
      </w:r>
      <w:r>
        <w:rPr>
          <w:spacing w:val="-2"/>
          <w:sz w:val="24"/>
        </w:rPr>
        <w:t> </w:t>
      </w:r>
      <w:r>
        <w:rPr>
          <w:sz w:val="24"/>
        </w:rPr>
        <w:t>be</w:t>
      </w:r>
      <w:r>
        <w:rPr>
          <w:spacing w:val="-2"/>
          <w:sz w:val="24"/>
        </w:rPr>
        <w:t> abolished.</w:t>
      </w:r>
    </w:p>
    <w:p>
      <w:pPr>
        <w:pStyle w:val="BodyText"/>
        <w:spacing w:before="2"/>
      </w:pPr>
    </w:p>
    <w:p>
      <w:pPr>
        <w:pStyle w:val="ListParagraph"/>
        <w:numPr>
          <w:ilvl w:val="1"/>
          <w:numId w:val="76"/>
        </w:numPr>
        <w:tabs>
          <w:tab w:pos="667" w:val="left" w:leader="none"/>
        </w:tabs>
        <w:spacing w:line="240" w:lineRule="auto" w:before="1" w:after="0"/>
        <w:ind w:left="159" w:right="496" w:firstLine="0"/>
        <w:jc w:val="both"/>
        <w:rPr>
          <w:b/>
          <w:sz w:val="24"/>
        </w:rPr>
      </w:pPr>
      <w:r>
        <w:rPr>
          <w:b/>
          <w:sz w:val="24"/>
        </w:rPr>
        <w:t>Demonstration or Experimental Schools. </w:t>
      </w:r>
      <w:r>
        <w:rPr>
          <w:sz w:val="24"/>
        </w:rPr>
        <w:t>All training institutions should have a demonstration or experimental school which will be used for demonstrations or special </w:t>
      </w:r>
      <w:r>
        <w:rPr>
          <w:spacing w:val="-2"/>
          <w:sz w:val="24"/>
        </w:rPr>
        <w:t>studies.</w:t>
      </w:r>
    </w:p>
    <w:p>
      <w:pPr>
        <w:pStyle w:val="BodyText"/>
        <w:spacing w:before="3"/>
      </w:pPr>
    </w:p>
    <w:p>
      <w:pPr>
        <w:pStyle w:val="ListParagraph"/>
        <w:numPr>
          <w:ilvl w:val="1"/>
          <w:numId w:val="76"/>
        </w:numPr>
        <w:tabs>
          <w:tab w:pos="677" w:val="left" w:leader="none"/>
        </w:tabs>
        <w:spacing w:line="240" w:lineRule="auto" w:before="0" w:after="0"/>
        <w:ind w:left="159" w:right="499" w:firstLine="0"/>
        <w:jc w:val="both"/>
        <w:rPr>
          <w:b/>
          <w:sz w:val="24"/>
        </w:rPr>
      </w:pPr>
      <w:r>
        <w:rPr>
          <w:b/>
          <w:sz w:val="24"/>
        </w:rPr>
        <w:t>Expansion of Training Facilities. </w:t>
      </w:r>
      <w:r>
        <w:rPr>
          <w:sz w:val="24"/>
        </w:rPr>
        <w:t>The magnitude of this problem varies largely from State to State as will be seen from Table 4.2.</w:t>
      </w:r>
    </w:p>
    <w:p>
      <w:pPr>
        <w:pStyle w:val="BodyText"/>
        <w:spacing w:before="4"/>
      </w:pPr>
    </w:p>
    <w:p>
      <w:pPr>
        <w:pStyle w:val="BodyText"/>
        <w:ind w:left="159" w:right="498"/>
        <w:jc w:val="both"/>
      </w:pPr>
      <w:r>
        <w:rPr/>
        <w:t>States like Madras, Kerala and Punjab have a very large proportion of trained teachers at all stages and adequate facilities for teacher education. Others like West Bengal or Assam, have a low percentage of trained teachers and inadequate training facilities at all stages. At the secondary stage, the duration is uniformly one year in all parts of the country; but at the primary stage the duration is one year in nine States, one year plus six months of field work in one State, and two years in six States.</w:t>
      </w:r>
    </w:p>
    <w:p>
      <w:pPr>
        <w:pStyle w:val="BodyText"/>
        <w:spacing w:before="5"/>
      </w:pPr>
    </w:p>
    <w:p>
      <w:pPr>
        <w:pStyle w:val="BodyText"/>
        <w:ind w:left="159" w:right="497"/>
        <w:jc w:val="both"/>
      </w:pPr>
      <w:r>
        <w:rPr/>
        <w:t>The chart on page 149 shows the percentage of trained teachers in different States </w:t>
      </w:r>
      <w:r>
        <w:rPr/>
        <w:t>in </w:t>
      </w:r>
      <w:r>
        <w:rPr>
          <w:spacing w:val="-2"/>
        </w:rPr>
        <w:t>1960-61.</w:t>
      </w:r>
    </w:p>
    <w:p>
      <w:pPr>
        <w:spacing w:after="0"/>
        <w:jc w:val="both"/>
        <w:sectPr>
          <w:type w:val="continuous"/>
          <w:pgSz w:w="12240" w:h="15840"/>
          <w:pgMar w:header="0" w:footer="743" w:top="1700" w:bottom="940" w:left="1640" w:right="1300"/>
        </w:sectPr>
      </w:pPr>
    </w:p>
    <w:p>
      <w:pPr>
        <w:pStyle w:val="BodyText"/>
        <w:spacing w:before="76"/>
        <w:ind w:left="160" w:right="495"/>
        <w:jc w:val="both"/>
      </w:pPr>
      <w:r>
        <w:rPr/>
        <w:t>During the next 20 years, large-scale expansion of training facilities will be needed to cope</w:t>
      </w:r>
      <w:r>
        <w:rPr>
          <w:spacing w:val="-1"/>
        </w:rPr>
        <w:t> </w:t>
      </w:r>
      <w:r>
        <w:rPr/>
        <w:t>with</w:t>
      </w:r>
      <w:r>
        <w:rPr>
          <w:spacing w:val="-1"/>
        </w:rPr>
        <w:t> </w:t>
      </w:r>
      <w:r>
        <w:rPr/>
        <w:t>the</w:t>
      </w:r>
      <w:r>
        <w:rPr>
          <w:spacing w:val="-1"/>
        </w:rPr>
        <w:t> </w:t>
      </w:r>
      <w:r>
        <w:rPr/>
        <w:t>expansion</w:t>
      </w:r>
      <w:r>
        <w:rPr>
          <w:spacing w:val="-1"/>
        </w:rPr>
        <w:t> </w:t>
      </w:r>
      <w:r>
        <w:rPr/>
        <w:t>of</w:t>
      </w:r>
      <w:r>
        <w:rPr>
          <w:spacing w:val="-1"/>
        </w:rPr>
        <w:t> </w:t>
      </w:r>
      <w:r>
        <w:rPr/>
        <w:t>enrolments</w:t>
      </w:r>
      <w:r>
        <w:rPr>
          <w:spacing w:val="-1"/>
        </w:rPr>
        <w:t> </w:t>
      </w:r>
      <w:r>
        <w:rPr/>
        <w:t>at</w:t>
      </w:r>
      <w:r>
        <w:rPr>
          <w:spacing w:val="-1"/>
        </w:rPr>
        <w:t> </w:t>
      </w:r>
      <w:r>
        <w:rPr/>
        <w:t>the</w:t>
      </w:r>
      <w:r>
        <w:rPr>
          <w:spacing w:val="-1"/>
        </w:rPr>
        <w:t> </w:t>
      </w:r>
      <w:r>
        <w:rPr/>
        <w:t>school</w:t>
      </w:r>
      <w:r>
        <w:rPr>
          <w:spacing w:val="-1"/>
        </w:rPr>
        <w:t> </w:t>
      </w:r>
      <w:r>
        <w:rPr/>
        <w:t>stage,</w:t>
      </w:r>
      <w:r>
        <w:rPr>
          <w:spacing w:val="-4"/>
        </w:rPr>
        <w:t> </w:t>
      </w:r>
      <w:r>
        <w:rPr/>
        <w:t>the</w:t>
      </w:r>
      <w:r>
        <w:rPr>
          <w:spacing w:val="-1"/>
        </w:rPr>
        <w:t> </w:t>
      </w:r>
      <w:r>
        <w:rPr/>
        <w:t>lengthening</w:t>
      </w:r>
      <w:r>
        <w:rPr>
          <w:spacing w:val="-1"/>
        </w:rPr>
        <w:t> </w:t>
      </w:r>
      <w:r>
        <w:rPr/>
        <w:t>of</w:t>
      </w:r>
      <w:r>
        <w:rPr>
          <w:spacing w:val="-1"/>
        </w:rPr>
        <w:t> </w:t>
      </w:r>
      <w:r>
        <w:rPr/>
        <w:t>the</w:t>
      </w:r>
      <w:r>
        <w:rPr>
          <w:spacing w:val="-1"/>
        </w:rPr>
        <w:t> </w:t>
      </w:r>
      <w:r>
        <w:rPr/>
        <w:t>duration of the training course for primary teachers, and the need to ensure that every teacher in a primary or a secondary school is either already trained at the time of his appointment</w:t>
      </w:r>
    </w:p>
    <w:p>
      <w:pPr>
        <w:pStyle w:val="BodyText"/>
        <w:spacing w:before="52"/>
        <w:rPr>
          <w:sz w:val="20"/>
        </w:rPr>
      </w:pPr>
      <w:r>
        <w:rPr/>
        <w:drawing>
          <wp:anchor distT="0" distB="0" distL="0" distR="0" allowOverlap="1" layoutInCell="1" locked="0" behindDoc="1" simplePos="0" relativeHeight="487603712">
            <wp:simplePos x="0" y="0"/>
            <wp:positionH relativeFrom="page">
              <wp:posOffset>1533498</wp:posOffset>
            </wp:positionH>
            <wp:positionV relativeFrom="paragraph">
              <wp:posOffset>194569</wp:posOffset>
            </wp:positionV>
            <wp:extent cx="4978493" cy="5403437"/>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12" cstate="print"/>
                    <a:stretch>
                      <a:fillRect/>
                    </a:stretch>
                  </pic:blipFill>
                  <pic:spPr>
                    <a:xfrm>
                      <a:off x="0" y="0"/>
                      <a:ext cx="4978493" cy="5403437"/>
                    </a:xfrm>
                    <a:prstGeom prst="rect">
                      <a:avLst/>
                    </a:prstGeom>
                  </pic:spPr>
                </pic:pic>
              </a:graphicData>
            </a:graphic>
          </wp:anchor>
        </w:drawing>
      </w:r>
    </w:p>
    <w:p>
      <w:pPr>
        <w:spacing w:after="0"/>
        <w:rPr>
          <w:sz w:val="20"/>
        </w:rPr>
        <w:sectPr>
          <w:pgSz w:w="12240" w:h="15840"/>
          <w:pgMar w:header="0" w:footer="743" w:top="1360" w:bottom="940" w:left="1640" w:right="1300"/>
        </w:sectPr>
      </w:pPr>
    </w:p>
    <w:p>
      <w:pPr>
        <w:pStyle w:val="BodyText"/>
        <w:spacing w:before="76"/>
        <w:ind w:left="3529" w:hanging="3099"/>
      </w:pPr>
      <w:r>
        <w:rPr/>
        <w:t>TABLE</w:t>
      </w:r>
      <w:r>
        <w:rPr>
          <w:spacing w:val="-5"/>
        </w:rPr>
        <w:t> </w:t>
      </w:r>
      <w:r>
        <w:rPr/>
        <w:t>4.2.</w:t>
      </w:r>
      <w:r>
        <w:rPr>
          <w:spacing w:val="-4"/>
        </w:rPr>
        <w:t> </w:t>
      </w:r>
      <w:r>
        <w:rPr/>
        <w:t>NUMBER</w:t>
      </w:r>
      <w:r>
        <w:rPr>
          <w:spacing w:val="-5"/>
        </w:rPr>
        <w:t> </w:t>
      </w:r>
      <w:r>
        <w:rPr/>
        <w:t>AND</w:t>
      </w:r>
      <w:r>
        <w:rPr>
          <w:spacing w:val="-5"/>
        </w:rPr>
        <w:t> </w:t>
      </w:r>
      <w:r>
        <w:rPr/>
        <w:t>PERCENTAGE</w:t>
      </w:r>
      <w:r>
        <w:rPr>
          <w:spacing w:val="-5"/>
        </w:rPr>
        <w:t> </w:t>
      </w:r>
      <w:r>
        <w:rPr/>
        <w:t>OF</w:t>
      </w:r>
      <w:r>
        <w:rPr>
          <w:spacing w:val="-5"/>
        </w:rPr>
        <w:t> </w:t>
      </w:r>
      <w:r>
        <w:rPr/>
        <w:t>TRAINED</w:t>
      </w:r>
      <w:r>
        <w:rPr>
          <w:spacing w:val="-5"/>
        </w:rPr>
        <w:t> </w:t>
      </w:r>
      <w:r>
        <w:rPr/>
        <w:t>TEACHERS</w:t>
      </w:r>
      <w:r>
        <w:rPr>
          <w:spacing w:val="-5"/>
        </w:rPr>
        <w:t> </w:t>
      </w:r>
      <w:r>
        <w:rPr/>
        <w:t>IN</w:t>
      </w:r>
      <w:r>
        <w:rPr>
          <w:spacing w:val="-5"/>
        </w:rPr>
        <w:t> </w:t>
      </w:r>
      <w:r>
        <w:rPr/>
        <w:t>THE STATES (1965-66)</w:t>
      </w:r>
    </w:p>
    <w:p>
      <w:pPr>
        <w:pStyle w:val="BodyText"/>
        <w:spacing w:before="1"/>
        <w:rPr>
          <w:sz w:val="15"/>
        </w:rPr>
      </w:pPr>
      <w:r>
        <w:rPr/>
        <mc:AlternateContent>
          <mc:Choice Requires="wps">
            <w:drawing>
              <wp:anchor distT="0" distB="0" distL="0" distR="0" allowOverlap="1" layoutInCell="1" locked="0" behindDoc="1" simplePos="0" relativeHeight="487604224">
                <wp:simplePos x="0" y="0"/>
                <wp:positionH relativeFrom="page">
                  <wp:posOffset>1143000</wp:posOffset>
                </wp:positionH>
                <wp:positionV relativeFrom="paragraph">
                  <wp:posOffset>126013</wp:posOffset>
                </wp:positionV>
                <wp:extent cx="5486400" cy="19050"/>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5486400" cy="19050"/>
                          <a:chExt cx="5486400" cy="19050"/>
                        </a:xfrm>
                      </wpg:grpSpPr>
                      <wps:wsp>
                        <wps:cNvPr id="192" name="Graphic 19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193" name="Graphic 193"/>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194" name="Graphic 194"/>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195" name="Graphic 195"/>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196" name="Graphic 196"/>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197" name="Graphic 197"/>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198" name="Graphic 198"/>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2294pt;width:432pt;height:1.5pt;mso-position-horizontal-relative:page;mso-position-vertical-relative:paragraph;z-index:-15712256;mso-wrap-distance-left:0;mso-wrap-distance-right:0" id="docshapegroup185" coordorigin="1800,198" coordsize="8640,30">
                <v:rect style="position:absolute;left:1800;top:198;width:8640;height:30" id="docshape186" filled="true" fillcolor="#808080" stroked="false">
                  <v:fill type="solid"/>
                </v:rect>
                <v:shape style="position:absolute;left:1800;top:198;width:8636;height:5" id="docshape187" coordorigin="1800,198" coordsize="8636,5" path="m10435,198l1805,198,1800,198,1800,203,1805,203,10435,203,10435,198xe" filled="true" fillcolor="#aca89a" stroked="false">
                  <v:path arrowok="t"/>
                  <v:fill type="solid"/>
                </v:shape>
                <v:rect style="position:absolute;left:10435;top:198;width:5;height:5" id="docshape188" filled="true" fillcolor="#f1efe2" stroked="false">
                  <v:fill type="solid"/>
                </v:rect>
                <v:shape style="position:absolute;left:1800;top:198;width:8640;height:26" id="docshape189" coordorigin="1800,198" coordsize="8640,26" path="m1805,203l1800,203,1800,224,1805,224,1805,203xm10440,198l10435,198,10435,203,10440,203,10440,198xe" filled="true" fillcolor="#aca89a" stroked="false">
                  <v:path arrowok="t"/>
                  <v:fill type="solid"/>
                </v:shape>
                <v:rect style="position:absolute;left:10435;top:203;width:5;height:21" id="docshape190" filled="true" fillcolor="#f1efe2" stroked="false">
                  <v:fill type="solid"/>
                </v:rect>
                <v:rect style="position:absolute;left:1800;top:223;width:5;height:5" id="docshape191" filled="true" fillcolor="#aca89a" stroked="false">
                  <v:fill type="solid"/>
                </v:rect>
                <v:shape style="position:absolute;left:1800;top:223;width:8640;height:5" id="docshape192"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tabs>
          <w:tab w:pos="3823" w:val="left" w:leader="none"/>
        </w:tabs>
        <w:spacing w:before="48"/>
        <w:ind w:left="159"/>
      </w:pPr>
      <w:r>
        <w:rPr/>
        <w:t>Name</w:t>
      </w:r>
      <w:r>
        <w:rPr>
          <w:spacing w:val="-1"/>
        </w:rPr>
        <w:t> </w:t>
      </w:r>
      <w:r>
        <w:rPr/>
        <w:t>of</w:t>
      </w:r>
      <w:r>
        <w:rPr>
          <w:spacing w:val="-1"/>
        </w:rPr>
        <w:t> </w:t>
      </w:r>
      <w:r>
        <w:rPr>
          <w:spacing w:val="-2"/>
        </w:rPr>
        <w:t>State</w:t>
      </w:r>
      <w:r>
        <w:rPr/>
        <w:tab/>
        <w:t>Total</w:t>
      </w:r>
      <w:r>
        <w:rPr>
          <w:spacing w:val="-3"/>
        </w:rPr>
        <w:t> </w:t>
      </w:r>
      <w:r>
        <w:rPr/>
        <w:t>number of</w:t>
      </w:r>
      <w:r>
        <w:rPr>
          <w:spacing w:val="-1"/>
        </w:rPr>
        <w:t> </w:t>
      </w:r>
      <w:r>
        <w:rPr/>
        <w:t>teachers</w:t>
      </w:r>
      <w:r>
        <w:rPr>
          <w:spacing w:val="-1"/>
        </w:rPr>
        <w:t> </w:t>
      </w:r>
      <w:r>
        <w:rPr/>
        <w:t>and </w:t>
      </w:r>
      <w:r>
        <w:rPr>
          <w:spacing w:val="-2"/>
        </w:rPr>
        <w:t>percentage</w:t>
      </w:r>
    </w:p>
    <w:p>
      <w:pPr>
        <w:pStyle w:val="BodyText"/>
        <w:spacing w:before="41"/>
        <w:rPr>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7"/>
        <w:gridCol w:w="1764"/>
        <w:gridCol w:w="1981"/>
        <w:gridCol w:w="2486"/>
      </w:tblGrid>
      <w:tr>
        <w:trPr>
          <w:trHeight w:val="749" w:hRule="atLeast"/>
        </w:trPr>
        <w:tc>
          <w:tcPr>
            <w:tcW w:w="2457" w:type="dxa"/>
            <w:tcBorders>
              <w:bottom w:val="single" w:sz="12" w:space="0" w:color="808080"/>
            </w:tcBorders>
          </w:tcPr>
          <w:p>
            <w:pPr>
              <w:pStyle w:val="TableParagraph"/>
              <w:rPr>
                <w:sz w:val="22"/>
              </w:rPr>
            </w:pPr>
          </w:p>
        </w:tc>
        <w:tc>
          <w:tcPr>
            <w:tcW w:w="1764" w:type="dxa"/>
            <w:tcBorders>
              <w:top w:val="single" w:sz="4" w:space="0" w:color="000000"/>
              <w:bottom w:val="single" w:sz="12" w:space="0" w:color="808080"/>
            </w:tcBorders>
          </w:tcPr>
          <w:p>
            <w:pPr>
              <w:pStyle w:val="TableParagraph"/>
              <w:ind w:left="341" w:right="407"/>
              <w:rPr>
                <w:sz w:val="24"/>
              </w:rPr>
            </w:pPr>
            <w:r>
              <w:rPr>
                <w:spacing w:val="-2"/>
                <w:sz w:val="24"/>
              </w:rPr>
              <w:t>Secondary stage</w:t>
            </w:r>
          </w:p>
        </w:tc>
        <w:tc>
          <w:tcPr>
            <w:tcW w:w="1981" w:type="dxa"/>
            <w:tcBorders>
              <w:top w:val="single" w:sz="4" w:space="0" w:color="000000"/>
              <w:bottom w:val="single" w:sz="12" w:space="0" w:color="808080"/>
            </w:tcBorders>
          </w:tcPr>
          <w:p>
            <w:pPr>
              <w:pStyle w:val="TableParagraph"/>
              <w:ind w:left="409" w:right="254" w:hanging="1"/>
              <w:rPr>
                <w:sz w:val="24"/>
              </w:rPr>
            </w:pPr>
            <w:r>
              <w:rPr>
                <w:spacing w:val="-2"/>
                <w:sz w:val="24"/>
              </w:rPr>
              <w:t>Higher </w:t>
            </w:r>
            <w:r>
              <w:rPr>
                <w:sz w:val="24"/>
              </w:rPr>
              <w:t>primary</w:t>
            </w:r>
            <w:r>
              <w:rPr>
                <w:spacing w:val="-15"/>
                <w:sz w:val="24"/>
              </w:rPr>
              <w:t> </w:t>
            </w:r>
            <w:r>
              <w:rPr>
                <w:sz w:val="24"/>
              </w:rPr>
              <w:t>stage</w:t>
            </w:r>
          </w:p>
        </w:tc>
        <w:tc>
          <w:tcPr>
            <w:tcW w:w="2486" w:type="dxa"/>
            <w:tcBorders>
              <w:top w:val="single" w:sz="4" w:space="0" w:color="000000"/>
              <w:bottom w:val="single" w:sz="12" w:space="0" w:color="808080"/>
            </w:tcBorders>
          </w:tcPr>
          <w:p>
            <w:pPr>
              <w:pStyle w:val="TableParagraph"/>
              <w:ind w:left="258" w:right="910" w:hanging="1"/>
              <w:rPr>
                <w:sz w:val="24"/>
              </w:rPr>
            </w:pPr>
            <w:r>
              <w:rPr>
                <w:spacing w:val="-2"/>
                <w:sz w:val="24"/>
              </w:rPr>
              <w:t>Lower </w:t>
            </w:r>
            <w:r>
              <w:rPr>
                <w:sz w:val="24"/>
              </w:rPr>
              <w:t>primary</w:t>
            </w:r>
            <w:r>
              <w:rPr>
                <w:spacing w:val="-15"/>
                <w:sz w:val="24"/>
              </w:rPr>
              <w:t> </w:t>
            </w:r>
            <w:r>
              <w:rPr>
                <w:sz w:val="24"/>
              </w:rPr>
              <w:t>stage</w:t>
            </w:r>
          </w:p>
        </w:tc>
      </w:tr>
      <w:tr>
        <w:trPr>
          <w:trHeight w:val="329" w:hRule="atLeast"/>
        </w:trPr>
        <w:tc>
          <w:tcPr>
            <w:tcW w:w="2457" w:type="dxa"/>
            <w:tcBorders>
              <w:top w:val="single" w:sz="12" w:space="0" w:color="808080"/>
            </w:tcBorders>
          </w:tcPr>
          <w:p>
            <w:pPr>
              <w:pStyle w:val="TableParagraph"/>
              <w:spacing w:line="261" w:lineRule="exact" w:before="48"/>
              <w:ind w:left="50"/>
              <w:rPr>
                <w:sz w:val="24"/>
              </w:rPr>
            </w:pPr>
            <w:r>
              <w:rPr>
                <w:sz w:val="24"/>
              </w:rPr>
              <w:t>1.</w:t>
            </w:r>
            <w:r>
              <w:rPr>
                <w:spacing w:val="-1"/>
                <w:sz w:val="24"/>
              </w:rPr>
              <w:t> </w:t>
            </w:r>
            <w:r>
              <w:rPr>
                <w:sz w:val="24"/>
              </w:rPr>
              <w:t>Andhra</w:t>
            </w:r>
            <w:r>
              <w:rPr>
                <w:spacing w:val="-1"/>
                <w:sz w:val="24"/>
              </w:rPr>
              <w:t> </w:t>
            </w:r>
            <w:r>
              <w:rPr>
                <w:spacing w:val="-2"/>
                <w:sz w:val="24"/>
              </w:rPr>
              <w:t>Pradesh</w:t>
            </w:r>
          </w:p>
        </w:tc>
        <w:tc>
          <w:tcPr>
            <w:tcW w:w="1764" w:type="dxa"/>
            <w:tcBorders>
              <w:top w:val="single" w:sz="12" w:space="0" w:color="808080"/>
            </w:tcBorders>
          </w:tcPr>
          <w:p>
            <w:pPr>
              <w:pStyle w:val="TableParagraph"/>
              <w:spacing w:line="261" w:lineRule="exact" w:before="48"/>
              <w:ind w:left="340"/>
              <w:rPr>
                <w:sz w:val="24"/>
              </w:rPr>
            </w:pPr>
            <w:r>
              <w:rPr>
                <w:spacing w:val="-2"/>
                <w:sz w:val="24"/>
              </w:rPr>
              <w:t>34,215</w:t>
            </w:r>
          </w:p>
        </w:tc>
        <w:tc>
          <w:tcPr>
            <w:tcW w:w="1981" w:type="dxa"/>
            <w:tcBorders>
              <w:top w:val="single" w:sz="12" w:space="0" w:color="808080"/>
            </w:tcBorders>
          </w:tcPr>
          <w:p>
            <w:pPr>
              <w:pStyle w:val="TableParagraph"/>
              <w:spacing w:line="261" w:lineRule="exact" w:before="48"/>
              <w:ind w:left="408"/>
              <w:rPr>
                <w:sz w:val="24"/>
              </w:rPr>
            </w:pPr>
            <w:r>
              <w:rPr>
                <w:spacing w:val="-2"/>
                <w:sz w:val="24"/>
              </w:rPr>
              <w:t>15,625</w:t>
            </w:r>
          </w:p>
        </w:tc>
        <w:tc>
          <w:tcPr>
            <w:tcW w:w="2486" w:type="dxa"/>
            <w:tcBorders>
              <w:top w:val="single" w:sz="12" w:space="0" w:color="808080"/>
            </w:tcBorders>
          </w:tcPr>
          <w:p>
            <w:pPr>
              <w:pStyle w:val="TableParagraph"/>
              <w:spacing w:line="261" w:lineRule="exact" w:before="48"/>
              <w:ind w:left="258"/>
              <w:rPr>
                <w:sz w:val="24"/>
              </w:rPr>
            </w:pPr>
            <w:r>
              <w:rPr>
                <w:spacing w:val="-2"/>
                <w:sz w:val="24"/>
              </w:rPr>
              <w:t>86,501</w:t>
            </w:r>
          </w:p>
        </w:tc>
      </w:tr>
      <w:tr>
        <w:trPr>
          <w:trHeight w:val="413"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(82.4)</w:t>
            </w:r>
          </w:p>
        </w:tc>
        <w:tc>
          <w:tcPr>
            <w:tcW w:w="1981" w:type="dxa"/>
          </w:tcPr>
          <w:p>
            <w:pPr>
              <w:pStyle w:val="TableParagraph"/>
              <w:spacing w:line="271" w:lineRule="exact"/>
              <w:ind w:left="408"/>
              <w:rPr>
                <w:sz w:val="24"/>
              </w:rPr>
            </w:pPr>
            <w:r>
              <w:rPr>
                <w:spacing w:val="-2"/>
                <w:sz w:val="24"/>
              </w:rPr>
              <w:t>(80.5)</w:t>
            </w:r>
          </w:p>
        </w:tc>
        <w:tc>
          <w:tcPr>
            <w:tcW w:w="2486" w:type="dxa"/>
          </w:tcPr>
          <w:p>
            <w:pPr>
              <w:pStyle w:val="TableParagraph"/>
              <w:spacing w:line="271" w:lineRule="exact"/>
              <w:ind w:left="258"/>
              <w:rPr>
                <w:sz w:val="24"/>
              </w:rPr>
            </w:pPr>
            <w:r>
              <w:rPr>
                <w:spacing w:val="-2"/>
                <w:sz w:val="24"/>
              </w:rPr>
              <w:t>(90.0)</w:t>
            </w:r>
          </w:p>
        </w:tc>
      </w:tr>
      <w:tr>
        <w:trPr>
          <w:trHeight w:val="413" w:hRule="atLeast"/>
        </w:trPr>
        <w:tc>
          <w:tcPr>
            <w:tcW w:w="2457" w:type="dxa"/>
          </w:tcPr>
          <w:p>
            <w:pPr>
              <w:pStyle w:val="TableParagraph"/>
              <w:spacing w:line="261" w:lineRule="exact" w:before="133"/>
              <w:ind w:left="50"/>
              <w:rPr>
                <w:sz w:val="24"/>
              </w:rPr>
            </w:pPr>
            <w:r>
              <w:rPr>
                <w:sz w:val="24"/>
              </w:rPr>
              <w:t>2. </w:t>
            </w:r>
            <w:r>
              <w:rPr>
                <w:spacing w:val="-2"/>
                <w:sz w:val="24"/>
              </w:rPr>
              <w:t>Assam</w:t>
            </w:r>
          </w:p>
        </w:tc>
        <w:tc>
          <w:tcPr>
            <w:tcW w:w="1764" w:type="dxa"/>
          </w:tcPr>
          <w:p>
            <w:pPr>
              <w:pStyle w:val="TableParagraph"/>
              <w:spacing w:line="261" w:lineRule="exact" w:before="133"/>
              <w:ind w:left="340"/>
              <w:rPr>
                <w:sz w:val="24"/>
              </w:rPr>
            </w:pPr>
            <w:r>
              <w:rPr>
                <w:spacing w:val="-2"/>
                <w:sz w:val="24"/>
              </w:rPr>
              <w:t>9,210</w:t>
            </w:r>
          </w:p>
        </w:tc>
        <w:tc>
          <w:tcPr>
            <w:tcW w:w="1981" w:type="dxa"/>
          </w:tcPr>
          <w:p>
            <w:pPr>
              <w:pStyle w:val="TableParagraph"/>
              <w:spacing w:line="261" w:lineRule="exact" w:before="133"/>
              <w:ind w:left="408"/>
              <w:rPr>
                <w:sz w:val="24"/>
              </w:rPr>
            </w:pPr>
            <w:r>
              <w:rPr>
                <w:spacing w:val="-2"/>
                <w:sz w:val="24"/>
              </w:rPr>
              <w:t>14,810</w:t>
            </w:r>
          </w:p>
        </w:tc>
        <w:tc>
          <w:tcPr>
            <w:tcW w:w="2486" w:type="dxa"/>
          </w:tcPr>
          <w:p>
            <w:pPr>
              <w:pStyle w:val="TableParagraph"/>
              <w:spacing w:line="261" w:lineRule="exact" w:before="133"/>
              <w:ind w:left="259"/>
              <w:rPr>
                <w:sz w:val="24"/>
              </w:rPr>
            </w:pPr>
            <w:r>
              <w:rPr>
                <w:spacing w:val="-2"/>
                <w:sz w:val="24"/>
              </w:rPr>
              <w:t>37,500</w:t>
            </w:r>
          </w:p>
        </w:tc>
      </w:tr>
      <w:tr>
        <w:trPr>
          <w:trHeight w:val="413"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(18.6)</w:t>
            </w:r>
          </w:p>
        </w:tc>
        <w:tc>
          <w:tcPr>
            <w:tcW w:w="1981" w:type="dxa"/>
          </w:tcPr>
          <w:p>
            <w:pPr>
              <w:pStyle w:val="TableParagraph"/>
              <w:spacing w:line="271" w:lineRule="exact"/>
              <w:ind w:left="408"/>
              <w:rPr>
                <w:sz w:val="24"/>
              </w:rPr>
            </w:pPr>
            <w:r>
              <w:rPr>
                <w:spacing w:val="-2"/>
                <w:sz w:val="24"/>
              </w:rPr>
              <w:t>(22.4)</w:t>
            </w:r>
          </w:p>
        </w:tc>
        <w:tc>
          <w:tcPr>
            <w:tcW w:w="2486" w:type="dxa"/>
          </w:tcPr>
          <w:p>
            <w:pPr>
              <w:pStyle w:val="TableParagraph"/>
              <w:spacing w:line="271" w:lineRule="exact"/>
              <w:ind w:left="258"/>
              <w:rPr>
                <w:sz w:val="24"/>
              </w:rPr>
            </w:pPr>
            <w:r>
              <w:rPr>
                <w:spacing w:val="-2"/>
                <w:sz w:val="24"/>
              </w:rPr>
              <w:t>(55.0)</w:t>
            </w:r>
          </w:p>
        </w:tc>
      </w:tr>
      <w:tr>
        <w:trPr>
          <w:trHeight w:val="413" w:hRule="atLeast"/>
        </w:trPr>
        <w:tc>
          <w:tcPr>
            <w:tcW w:w="2457" w:type="dxa"/>
          </w:tcPr>
          <w:p>
            <w:pPr>
              <w:pStyle w:val="TableParagraph"/>
              <w:spacing w:line="261" w:lineRule="exact" w:before="133"/>
              <w:ind w:left="50"/>
              <w:rPr>
                <w:sz w:val="24"/>
              </w:rPr>
            </w:pPr>
            <w:r>
              <w:rPr>
                <w:sz w:val="24"/>
              </w:rPr>
              <w:t>3.</w:t>
            </w:r>
            <w:r>
              <w:rPr>
                <w:spacing w:val="-1"/>
                <w:sz w:val="24"/>
              </w:rPr>
              <w:t> </w:t>
            </w:r>
            <w:r>
              <w:rPr>
                <w:spacing w:val="-4"/>
                <w:sz w:val="24"/>
              </w:rPr>
              <w:t>Bihar</w:t>
            </w:r>
          </w:p>
        </w:tc>
        <w:tc>
          <w:tcPr>
            <w:tcW w:w="1764" w:type="dxa"/>
          </w:tcPr>
          <w:p>
            <w:pPr>
              <w:pStyle w:val="TableParagraph"/>
              <w:spacing w:line="261" w:lineRule="exact" w:before="133"/>
              <w:ind w:left="340"/>
              <w:rPr>
                <w:sz w:val="24"/>
              </w:rPr>
            </w:pPr>
            <w:r>
              <w:rPr>
                <w:spacing w:val="-2"/>
                <w:sz w:val="24"/>
              </w:rPr>
              <w:t>24,398</w:t>
            </w:r>
          </w:p>
        </w:tc>
        <w:tc>
          <w:tcPr>
            <w:tcW w:w="1981" w:type="dxa"/>
          </w:tcPr>
          <w:p>
            <w:pPr>
              <w:pStyle w:val="TableParagraph"/>
              <w:spacing w:line="261" w:lineRule="exact" w:before="133"/>
              <w:ind w:left="409"/>
              <w:rPr>
                <w:sz w:val="24"/>
              </w:rPr>
            </w:pPr>
            <w:r>
              <w:rPr>
                <w:spacing w:val="-2"/>
                <w:sz w:val="24"/>
              </w:rPr>
              <w:t>32,918</w:t>
            </w:r>
          </w:p>
        </w:tc>
        <w:tc>
          <w:tcPr>
            <w:tcW w:w="2486" w:type="dxa"/>
          </w:tcPr>
          <w:p>
            <w:pPr>
              <w:pStyle w:val="TableParagraph"/>
              <w:spacing w:line="261" w:lineRule="exact" w:before="133"/>
              <w:ind w:left="259"/>
              <w:rPr>
                <w:sz w:val="24"/>
              </w:rPr>
            </w:pPr>
            <w:r>
              <w:rPr>
                <w:spacing w:val="-2"/>
                <w:sz w:val="24"/>
              </w:rPr>
              <w:t>99,663</w:t>
            </w:r>
          </w:p>
        </w:tc>
      </w:tr>
      <w:tr>
        <w:trPr>
          <w:trHeight w:val="414"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(50.2)</w:t>
            </w:r>
          </w:p>
        </w:tc>
        <w:tc>
          <w:tcPr>
            <w:tcW w:w="1981" w:type="dxa"/>
          </w:tcPr>
          <w:p>
            <w:pPr>
              <w:pStyle w:val="TableParagraph"/>
              <w:spacing w:line="271" w:lineRule="exact"/>
              <w:ind w:left="408"/>
              <w:rPr>
                <w:sz w:val="24"/>
              </w:rPr>
            </w:pPr>
            <w:r>
              <w:rPr>
                <w:spacing w:val="-2"/>
                <w:sz w:val="24"/>
              </w:rPr>
              <w:t>(72.5)</w:t>
            </w:r>
          </w:p>
        </w:tc>
        <w:tc>
          <w:tcPr>
            <w:tcW w:w="2486" w:type="dxa"/>
          </w:tcPr>
          <w:p>
            <w:pPr>
              <w:pStyle w:val="TableParagraph"/>
              <w:spacing w:line="271" w:lineRule="exact"/>
              <w:ind w:left="258"/>
              <w:rPr>
                <w:sz w:val="24"/>
              </w:rPr>
            </w:pPr>
            <w:r>
              <w:rPr>
                <w:spacing w:val="-2"/>
                <w:sz w:val="24"/>
              </w:rPr>
              <w:t>(82.7)</w:t>
            </w:r>
          </w:p>
        </w:tc>
      </w:tr>
      <w:tr>
        <w:trPr>
          <w:trHeight w:val="414" w:hRule="atLeast"/>
        </w:trPr>
        <w:tc>
          <w:tcPr>
            <w:tcW w:w="2457" w:type="dxa"/>
          </w:tcPr>
          <w:p>
            <w:pPr>
              <w:pStyle w:val="TableParagraph"/>
              <w:spacing w:line="261" w:lineRule="exact" w:before="133"/>
              <w:ind w:left="50"/>
              <w:rPr>
                <w:sz w:val="24"/>
              </w:rPr>
            </w:pPr>
            <w:r>
              <w:rPr>
                <w:sz w:val="24"/>
              </w:rPr>
              <w:t>4. </w:t>
            </w:r>
            <w:r>
              <w:rPr>
                <w:spacing w:val="-2"/>
                <w:sz w:val="24"/>
              </w:rPr>
              <w:t>Gujarat</w:t>
            </w:r>
          </w:p>
        </w:tc>
        <w:tc>
          <w:tcPr>
            <w:tcW w:w="1764" w:type="dxa"/>
          </w:tcPr>
          <w:p>
            <w:pPr>
              <w:pStyle w:val="TableParagraph"/>
              <w:spacing w:line="261" w:lineRule="exact" w:before="133"/>
              <w:ind w:left="340"/>
              <w:rPr>
                <w:sz w:val="24"/>
              </w:rPr>
            </w:pPr>
            <w:r>
              <w:rPr>
                <w:spacing w:val="-2"/>
                <w:sz w:val="24"/>
              </w:rPr>
              <w:t>22,290</w:t>
            </w:r>
          </w:p>
        </w:tc>
        <w:tc>
          <w:tcPr>
            <w:tcW w:w="1981" w:type="dxa"/>
          </w:tcPr>
          <w:p>
            <w:pPr>
              <w:pStyle w:val="TableParagraph"/>
              <w:spacing w:line="261" w:lineRule="exact" w:before="133"/>
              <w:ind w:left="409"/>
              <w:rPr>
                <w:sz w:val="24"/>
              </w:rPr>
            </w:pPr>
            <w:r>
              <w:rPr>
                <w:spacing w:val="-2"/>
                <w:sz w:val="24"/>
              </w:rPr>
              <w:t>83,640</w:t>
            </w:r>
          </w:p>
        </w:tc>
        <w:tc>
          <w:tcPr>
            <w:tcW w:w="2486" w:type="dxa"/>
          </w:tcPr>
          <w:p>
            <w:pPr>
              <w:pStyle w:val="TableParagraph"/>
              <w:spacing w:line="261" w:lineRule="exact" w:before="133"/>
              <w:ind w:left="259"/>
              <w:rPr>
                <w:sz w:val="24"/>
              </w:rPr>
            </w:pPr>
            <w:r>
              <w:rPr>
                <w:spacing w:val="-2"/>
                <w:sz w:val="24"/>
              </w:rPr>
              <w:t>Included</w:t>
            </w:r>
          </w:p>
        </w:tc>
      </w:tr>
      <w:tr>
        <w:trPr>
          <w:trHeight w:val="690"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(66.4)</w:t>
            </w:r>
          </w:p>
        </w:tc>
        <w:tc>
          <w:tcPr>
            <w:tcW w:w="1981" w:type="dxa"/>
          </w:tcPr>
          <w:p>
            <w:pPr>
              <w:pStyle w:val="TableParagraph"/>
              <w:spacing w:line="271" w:lineRule="exact"/>
              <w:ind w:left="408"/>
              <w:rPr>
                <w:sz w:val="24"/>
              </w:rPr>
            </w:pPr>
            <w:r>
              <w:rPr>
                <w:spacing w:val="-2"/>
                <w:sz w:val="24"/>
              </w:rPr>
              <w:t>(61.4)</w:t>
            </w:r>
          </w:p>
        </w:tc>
        <w:tc>
          <w:tcPr>
            <w:tcW w:w="2486" w:type="dxa"/>
          </w:tcPr>
          <w:p>
            <w:pPr>
              <w:pStyle w:val="TableParagraph"/>
              <w:ind w:left="259" w:right="1004" w:hanging="2"/>
              <w:rPr>
                <w:sz w:val="24"/>
              </w:rPr>
            </w:pPr>
            <w:r>
              <w:rPr>
                <w:sz w:val="24"/>
              </w:rPr>
              <w:t>under</w:t>
            </w:r>
            <w:r>
              <w:rPr>
                <w:spacing w:val="-15"/>
                <w:sz w:val="24"/>
              </w:rPr>
              <w:t> </w:t>
            </w:r>
            <w:r>
              <w:rPr>
                <w:sz w:val="24"/>
              </w:rPr>
              <w:t>higher </w:t>
            </w:r>
            <w:r>
              <w:rPr>
                <w:spacing w:val="-2"/>
                <w:sz w:val="24"/>
              </w:rPr>
              <w:t>primary</w:t>
            </w:r>
          </w:p>
        </w:tc>
      </w:tr>
      <w:tr>
        <w:trPr>
          <w:trHeight w:val="408" w:hRule="atLeast"/>
        </w:trPr>
        <w:tc>
          <w:tcPr>
            <w:tcW w:w="2457" w:type="dxa"/>
          </w:tcPr>
          <w:p>
            <w:pPr>
              <w:pStyle w:val="TableParagraph"/>
              <w:spacing w:line="256" w:lineRule="exact" w:before="133"/>
              <w:ind w:left="50"/>
              <w:rPr>
                <w:sz w:val="24"/>
              </w:rPr>
            </w:pPr>
            <w:r>
              <w:rPr>
                <w:sz w:val="24"/>
              </w:rPr>
              <w:t>5. Jammu &amp; </w:t>
            </w:r>
            <w:r>
              <w:rPr>
                <w:spacing w:val="-2"/>
                <w:sz w:val="24"/>
              </w:rPr>
              <w:t>Kashmir</w:t>
            </w:r>
          </w:p>
        </w:tc>
        <w:tc>
          <w:tcPr>
            <w:tcW w:w="1764" w:type="dxa"/>
          </w:tcPr>
          <w:p>
            <w:pPr>
              <w:pStyle w:val="TableParagraph"/>
              <w:spacing w:line="256" w:lineRule="exact" w:before="133"/>
              <w:ind w:left="340"/>
              <w:rPr>
                <w:sz w:val="24"/>
              </w:rPr>
            </w:pPr>
            <w:r>
              <w:rPr>
                <w:sz w:val="24"/>
              </w:rPr>
              <w:t>4,613 </w:t>
            </w:r>
            <w:r>
              <w:rPr>
                <w:spacing w:val="-10"/>
                <w:sz w:val="24"/>
              </w:rPr>
              <w:t>a</w:t>
            </w:r>
          </w:p>
        </w:tc>
        <w:tc>
          <w:tcPr>
            <w:tcW w:w="1981" w:type="dxa"/>
          </w:tcPr>
          <w:p>
            <w:pPr>
              <w:pStyle w:val="TableParagraph"/>
              <w:spacing w:line="256" w:lineRule="exact" w:before="133"/>
              <w:ind w:left="409"/>
              <w:rPr>
                <w:sz w:val="24"/>
              </w:rPr>
            </w:pPr>
            <w:r>
              <w:rPr>
                <w:sz w:val="24"/>
              </w:rPr>
              <w:t>3,467 </w:t>
            </w:r>
            <w:r>
              <w:rPr>
                <w:spacing w:val="-10"/>
                <w:sz w:val="24"/>
              </w:rPr>
              <w:t>a</w:t>
            </w:r>
          </w:p>
        </w:tc>
        <w:tc>
          <w:tcPr>
            <w:tcW w:w="2486" w:type="dxa"/>
          </w:tcPr>
          <w:p>
            <w:pPr>
              <w:pStyle w:val="TableParagraph"/>
              <w:spacing w:line="256" w:lineRule="exact" w:before="133"/>
              <w:ind w:left="259"/>
              <w:rPr>
                <w:sz w:val="24"/>
              </w:rPr>
            </w:pPr>
            <w:r>
              <w:rPr>
                <w:sz w:val="24"/>
              </w:rPr>
              <w:t>4,874 </w:t>
            </w:r>
            <w:r>
              <w:rPr>
                <w:spacing w:val="-10"/>
                <w:sz w:val="24"/>
              </w:rPr>
              <w:t>a</w:t>
            </w:r>
          </w:p>
        </w:tc>
      </w:tr>
      <w:tr>
        <w:trPr>
          <w:trHeight w:val="276" w:hRule="atLeast"/>
        </w:trPr>
        <w:tc>
          <w:tcPr>
            <w:tcW w:w="6202" w:type="dxa"/>
            <w:gridSpan w:val="3"/>
          </w:tcPr>
          <w:p>
            <w:pPr>
              <w:pStyle w:val="TableParagraph"/>
              <w:tabs>
                <w:tab w:pos="4629" w:val="left" w:leader="none"/>
              </w:tabs>
              <w:spacing w:line="246" w:lineRule="exact"/>
              <w:ind w:left="2928"/>
              <w:rPr>
                <w:sz w:val="24"/>
              </w:rPr>
            </w:pPr>
            <w:r>
              <w:rPr>
                <w:spacing w:val="-2"/>
                <w:sz w:val="24"/>
              </w:rPr>
              <w:t>(25.6)</w:t>
            </w:r>
            <w:r>
              <w:rPr>
                <w:sz w:val="24"/>
              </w:rPr>
              <w:tab/>
            </w:r>
            <w:r>
              <w:rPr>
                <w:spacing w:val="-2"/>
                <w:sz w:val="24"/>
              </w:rPr>
              <w:t>(54.2)</w:t>
            </w:r>
          </w:p>
        </w:tc>
        <w:tc>
          <w:tcPr>
            <w:tcW w:w="2486" w:type="dxa"/>
          </w:tcPr>
          <w:p>
            <w:pPr>
              <w:pStyle w:val="TableParagraph"/>
              <w:spacing w:line="246" w:lineRule="exact"/>
              <w:ind w:left="258"/>
              <w:rPr>
                <w:sz w:val="24"/>
              </w:rPr>
            </w:pPr>
            <w:r>
              <w:rPr>
                <w:spacing w:val="-2"/>
                <w:sz w:val="24"/>
              </w:rPr>
              <w:t>(54.0)</w:t>
            </w:r>
          </w:p>
        </w:tc>
      </w:tr>
      <w:tr>
        <w:trPr>
          <w:trHeight w:val="557" w:hRule="atLeast"/>
        </w:trPr>
        <w:tc>
          <w:tcPr>
            <w:tcW w:w="2457" w:type="dxa"/>
          </w:tcPr>
          <w:p>
            <w:pPr>
              <w:pStyle w:val="TableParagraph"/>
              <w:rPr>
                <w:sz w:val="24"/>
              </w:rPr>
            </w:pPr>
          </w:p>
          <w:p>
            <w:pPr>
              <w:pStyle w:val="TableParagraph"/>
              <w:spacing w:line="261" w:lineRule="exact"/>
              <w:ind w:left="50"/>
              <w:rPr>
                <w:sz w:val="24"/>
              </w:rPr>
            </w:pPr>
            <w:r>
              <w:rPr>
                <w:sz w:val="24"/>
              </w:rPr>
              <w:t>6.</w:t>
            </w:r>
            <w:r>
              <w:rPr>
                <w:spacing w:val="-1"/>
                <w:sz w:val="24"/>
              </w:rPr>
              <w:t> </w:t>
            </w:r>
            <w:r>
              <w:rPr>
                <w:spacing w:val="-2"/>
                <w:sz w:val="24"/>
              </w:rPr>
              <w:t>Kerala</w:t>
            </w:r>
          </w:p>
        </w:tc>
        <w:tc>
          <w:tcPr>
            <w:tcW w:w="1764" w:type="dxa"/>
          </w:tcPr>
          <w:p>
            <w:pPr>
              <w:pStyle w:val="TableParagraph"/>
              <w:rPr>
                <w:sz w:val="24"/>
              </w:rPr>
            </w:pPr>
          </w:p>
          <w:p>
            <w:pPr>
              <w:pStyle w:val="TableParagraph"/>
              <w:spacing w:line="261" w:lineRule="exact"/>
              <w:ind w:left="340"/>
              <w:rPr>
                <w:sz w:val="24"/>
              </w:rPr>
            </w:pPr>
            <w:r>
              <w:rPr>
                <w:spacing w:val="-2"/>
                <w:sz w:val="24"/>
              </w:rPr>
              <w:t>22,031</w:t>
            </w:r>
          </w:p>
        </w:tc>
        <w:tc>
          <w:tcPr>
            <w:tcW w:w="1981" w:type="dxa"/>
          </w:tcPr>
          <w:p>
            <w:pPr>
              <w:pStyle w:val="TableParagraph"/>
              <w:rPr>
                <w:sz w:val="24"/>
              </w:rPr>
            </w:pPr>
          </w:p>
          <w:p>
            <w:pPr>
              <w:pStyle w:val="TableParagraph"/>
              <w:spacing w:line="261" w:lineRule="exact"/>
              <w:ind w:left="408"/>
              <w:rPr>
                <w:sz w:val="24"/>
              </w:rPr>
            </w:pPr>
            <w:r>
              <w:rPr>
                <w:spacing w:val="-2"/>
                <w:sz w:val="24"/>
              </w:rPr>
              <w:t>39,406</w:t>
            </w:r>
          </w:p>
        </w:tc>
        <w:tc>
          <w:tcPr>
            <w:tcW w:w="2486" w:type="dxa"/>
          </w:tcPr>
          <w:p>
            <w:pPr>
              <w:pStyle w:val="TableParagraph"/>
              <w:rPr>
                <w:sz w:val="24"/>
              </w:rPr>
            </w:pPr>
          </w:p>
          <w:p>
            <w:pPr>
              <w:pStyle w:val="TableParagraph"/>
              <w:spacing w:line="261" w:lineRule="exact"/>
              <w:ind w:left="258"/>
              <w:rPr>
                <w:sz w:val="24"/>
              </w:rPr>
            </w:pPr>
            <w:r>
              <w:rPr>
                <w:spacing w:val="-2"/>
                <w:sz w:val="24"/>
              </w:rPr>
              <w:t>59,703</w:t>
            </w:r>
          </w:p>
        </w:tc>
      </w:tr>
      <w:tr>
        <w:trPr>
          <w:trHeight w:val="413"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(89.0)</w:t>
            </w:r>
          </w:p>
        </w:tc>
        <w:tc>
          <w:tcPr>
            <w:tcW w:w="1981" w:type="dxa"/>
          </w:tcPr>
          <w:p>
            <w:pPr>
              <w:pStyle w:val="TableParagraph"/>
              <w:spacing w:line="271" w:lineRule="exact"/>
              <w:ind w:left="408"/>
              <w:rPr>
                <w:sz w:val="24"/>
              </w:rPr>
            </w:pPr>
            <w:r>
              <w:rPr>
                <w:spacing w:val="-2"/>
                <w:sz w:val="24"/>
              </w:rPr>
              <w:t>(82.7)</w:t>
            </w:r>
          </w:p>
        </w:tc>
        <w:tc>
          <w:tcPr>
            <w:tcW w:w="2486" w:type="dxa"/>
          </w:tcPr>
          <w:p>
            <w:pPr>
              <w:pStyle w:val="TableParagraph"/>
              <w:spacing w:line="271" w:lineRule="exact"/>
              <w:ind w:left="258"/>
              <w:rPr>
                <w:sz w:val="24"/>
              </w:rPr>
            </w:pPr>
            <w:r>
              <w:rPr>
                <w:spacing w:val="-2"/>
                <w:sz w:val="24"/>
              </w:rPr>
              <w:t>(93.0)</w:t>
            </w:r>
          </w:p>
        </w:tc>
      </w:tr>
      <w:tr>
        <w:trPr>
          <w:trHeight w:val="413" w:hRule="atLeast"/>
        </w:trPr>
        <w:tc>
          <w:tcPr>
            <w:tcW w:w="2457" w:type="dxa"/>
          </w:tcPr>
          <w:p>
            <w:pPr>
              <w:pStyle w:val="TableParagraph"/>
              <w:spacing w:line="261" w:lineRule="exact" w:before="132"/>
              <w:ind w:left="50"/>
              <w:rPr>
                <w:sz w:val="24"/>
              </w:rPr>
            </w:pPr>
            <w:r>
              <w:rPr>
                <w:sz w:val="24"/>
              </w:rPr>
              <w:t>7.</w:t>
            </w:r>
            <w:r>
              <w:rPr>
                <w:spacing w:val="-1"/>
                <w:sz w:val="24"/>
              </w:rPr>
              <w:t> </w:t>
            </w:r>
            <w:r>
              <w:rPr>
                <w:sz w:val="24"/>
              </w:rPr>
              <w:t>Madhya</w:t>
            </w:r>
            <w:r>
              <w:rPr>
                <w:spacing w:val="-1"/>
                <w:sz w:val="24"/>
              </w:rPr>
              <w:t> </w:t>
            </w:r>
            <w:r>
              <w:rPr>
                <w:spacing w:val="-2"/>
                <w:sz w:val="24"/>
              </w:rPr>
              <w:t>Pradesh</w:t>
            </w:r>
          </w:p>
        </w:tc>
        <w:tc>
          <w:tcPr>
            <w:tcW w:w="1764" w:type="dxa"/>
          </w:tcPr>
          <w:p>
            <w:pPr>
              <w:pStyle w:val="TableParagraph"/>
              <w:spacing w:line="261" w:lineRule="exact" w:before="132"/>
              <w:ind w:left="340"/>
              <w:rPr>
                <w:sz w:val="24"/>
              </w:rPr>
            </w:pPr>
            <w:r>
              <w:rPr>
                <w:spacing w:val="-2"/>
                <w:sz w:val="24"/>
              </w:rPr>
              <w:t>197,006</w:t>
            </w:r>
          </w:p>
        </w:tc>
        <w:tc>
          <w:tcPr>
            <w:tcW w:w="1981" w:type="dxa"/>
          </w:tcPr>
          <w:p>
            <w:pPr>
              <w:pStyle w:val="TableParagraph"/>
              <w:spacing w:line="261" w:lineRule="exact" w:before="132"/>
              <w:ind w:left="408"/>
              <w:rPr>
                <w:sz w:val="24"/>
              </w:rPr>
            </w:pPr>
            <w:r>
              <w:rPr>
                <w:sz w:val="24"/>
              </w:rPr>
              <w:t>27,961</w:t>
            </w:r>
            <w:r>
              <w:rPr>
                <w:spacing w:val="-1"/>
                <w:sz w:val="24"/>
              </w:rPr>
              <w:t> </w:t>
            </w:r>
            <w:r>
              <w:rPr>
                <w:spacing w:val="-10"/>
                <w:sz w:val="24"/>
              </w:rPr>
              <w:t>b</w:t>
            </w:r>
          </w:p>
        </w:tc>
        <w:tc>
          <w:tcPr>
            <w:tcW w:w="2486" w:type="dxa"/>
          </w:tcPr>
          <w:p>
            <w:pPr>
              <w:pStyle w:val="TableParagraph"/>
              <w:spacing w:line="261" w:lineRule="exact" w:before="132"/>
              <w:ind w:left="257"/>
              <w:rPr>
                <w:sz w:val="24"/>
              </w:rPr>
            </w:pPr>
            <w:r>
              <w:rPr>
                <w:spacing w:val="-2"/>
                <w:sz w:val="24"/>
              </w:rPr>
              <w:t>679,096</w:t>
            </w:r>
          </w:p>
        </w:tc>
      </w:tr>
      <w:tr>
        <w:trPr>
          <w:trHeight w:val="414"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(69.0)</w:t>
            </w:r>
          </w:p>
        </w:tc>
        <w:tc>
          <w:tcPr>
            <w:tcW w:w="1981" w:type="dxa"/>
          </w:tcPr>
          <w:p>
            <w:pPr>
              <w:pStyle w:val="TableParagraph"/>
              <w:spacing w:line="271" w:lineRule="exact"/>
              <w:ind w:left="408"/>
              <w:rPr>
                <w:sz w:val="24"/>
              </w:rPr>
            </w:pPr>
            <w:r>
              <w:rPr>
                <w:spacing w:val="-2"/>
                <w:sz w:val="24"/>
              </w:rPr>
              <w:t>(72.0)</w:t>
            </w:r>
          </w:p>
        </w:tc>
        <w:tc>
          <w:tcPr>
            <w:tcW w:w="2486" w:type="dxa"/>
          </w:tcPr>
          <w:p>
            <w:pPr>
              <w:pStyle w:val="TableParagraph"/>
              <w:spacing w:line="271" w:lineRule="exact"/>
              <w:ind w:left="258"/>
              <w:rPr>
                <w:sz w:val="24"/>
              </w:rPr>
            </w:pPr>
            <w:r>
              <w:rPr>
                <w:spacing w:val="-2"/>
                <w:sz w:val="24"/>
              </w:rPr>
              <w:t>(80.0)</w:t>
            </w:r>
          </w:p>
        </w:tc>
      </w:tr>
      <w:tr>
        <w:trPr>
          <w:trHeight w:val="828" w:hRule="atLeast"/>
        </w:trPr>
        <w:tc>
          <w:tcPr>
            <w:tcW w:w="2457" w:type="dxa"/>
          </w:tcPr>
          <w:p>
            <w:pPr>
              <w:pStyle w:val="TableParagraph"/>
              <w:spacing w:before="133"/>
              <w:ind w:left="50"/>
              <w:rPr>
                <w:sz w:val="24"/>
              </w:rPr>
            </w:pPr>
            <w:r>
              <w:rPr>
                <w:sz w:val="24"/>
              </w:rPr>
              <w:t>8. Madras </w:t>
            </w:r>
            <w:r>
              <w:rPr>
                <w:spacing w:val="-10"/>
                <w:sz w:val="24"/>
              </w:rPr>
              <w:t>c</w:t>
            </w:r>
          </w:p>
        </w:tc>
        <w:tc>
          <w:tcPr>
            <w:tcW w:w="1764" w:type="dxa"/>
          </w:tcPr>
          <w:p>
            <w:pPr>
              <w:pStyle w:val="TableParagraph"/>
              <w:spacing w:before="133"/>
              <w:ind w:left="340"/>
              <w:rPr>
                <w:sz w:val="24"/>
              </w:rPr>
            </w:pPr>
            <w:r>
              <w:rPr>
                <w:sz w:val="24"/>
              </w:rPr>
              <w:t>48,194 </w:t>
            </w:r>
            <w:r>
              <w:rPr>
                <w:spacing w:val="-10"/>
                <w:sz w:val="24"/>
              </w:rPr>
              <w:t>b</w:t>
            </w:r>
          </w:p>
          <w:p>
            <w:pPr>
              <w:pStyle w:val="TableParagraph"/>
              <w:ind w:left="411"/>
              <w:rPr>
                <w:sz w:val="24"/>
              </w:rPr>
            </w:pPr>
            <w:r>
              <w:rPr>
                <w:spacing w:val="-2"/>
                <w:sz w:val="24"/>
              </w:rPr>
              <w:t>(86.3)</w:t>
            </w:r>
          </w:p>
        </w:tc>
        <w:tc>
          <w:tcPr>
            <w:tcW w:w="1981" w:type="dxa"/>
          </w:tcPr>
          <w:p>
            <w:pPr>
              <w:pStyle w:val="TableParagraph"/>
              <w:spacing w:before="133"/>
              <w:ind w:left="408"/>
              <w:rPr>
                <w:sz w:val="24"/>
              </w:rPr>
            </w:pPr>
            <w:r>
              <w:rPr>
                <w:sz w:val="24"/>
              </w:rPr>
              <w:t>59,440 </w:t>
            </w:r>
            <w:r>
              <w:rPr>
                <w:spacing w:val="-10"/>
                <w:sz w:val="24"/>
              </w:rPr>
              <w:t>b</w:t>
            </w:r>
          </w:p>
          <w:p>
            <w:pPr>
              <w:pStyle w:val="TableParagraph"/>
              <w:ind w:left="408"/>
              <w:rPr>
                <w:sz w:val="24"/>
              </w:rPr>
            </w:pPr>
            <w:r>
              <w:rPr>
                <w:spacing w:val="-2"/>
                <w:sz w:val="24"/>
              </w:rPr>
              <w:t>(93.1)</w:t>
            </w:r>
          </w:p>
        </w:tc>
        <w:tc>
          <w:tcPr>
            <w:tcW w:w="2486" w:type="dxa"/>
          </w:tcPr>
          <w:p>
            <w:pPr>
              <w:pStyle w:val="TableParagraph"/>
              <w:spacing w:before="133"/>
              <w:ind w:left="258"/>
              <w:rPr>
                <w:sz w:val="24"/>
              </w:rPr>
            </w:pPr>
            <w:r>
              <w:rPr>
                <w:sz w:val="24"/>
              </w:rPr>
              <w:t>76,638 </w:t>
            </w:r>
            <w:r>
              <w:rPr>
                <w:spacing w:val="-10"/>
                <w:sz w:val="24"/>
              </w:rPr>
              <w:t>b</w:t>
            </w:r>
          </w:p>
          <w:p>
            <w:pPr>
              <w:pStyle w:val="TableParagraph"/>
              <w:ind w:left="258"/>
              <w:rPr>
                <w:sz w:val="24"/>
              </w:rPr>
            </w:pPr>
            <w:r>
              <w:rPr>
                <w:spacing w:val="-2"/>
                <w:sz w:val="24"/>
              </w:rPr>
              <w:t>(96.7)</w:t>
            </w:r>
          </w:p>
        </w:tc>
      </w:tr>
      <w:tr>
        <w:trPr>
          <w:trHeight w:val="408" w:hRule="atLeast"/>
        </w:trPr>
        <w:tc>
          <w:tcPr>
            <w:tcW w:w="2457" w:type="dxa"/>
          </w:tcPr>
          <w:p>
            <w:pPr>
              <w:pStyle w:val="TableParagraph"/>
              <w:spacing w:line="256" w:lineRule="exact" w:before="133"/>
              <w:ind w:left="50"/>
              <w:rPr>
                <w:sz w:val="24"/>
              </w:rPr>
            </w:pPr>
            <w:r>
              <w:rPr>
                <w:sz w:val="24"/>
              </w:rPr>
              <w:t>9. </w:t>
            </w:r>
            <w:r>
              <w:rPr>
                <w:spacing w:val="-2"/>
                <w:sz w:val="24"/>
              </w:rPr>
              <w:t>Maharashtra</w:t>
            </w:r>
          </w:p>
        </w:tc>
        <w:tc>
          <w:tcPr>
            <w:tcW w:w="1764" w:type="dxa"/>
          </w:tcPr>
          <w:p>
            <w:pPr>
              <w:pStyle w:val="TableParagraph"/>
              <w:spacing w:line="256" w:lineRule="exact" w:before="133"/>
              <w:ind w:left="340"/>
              <w:rPr>
                <w:sz w:val="24"/>
              </w:rPr>
            </w:pPr>
            <w:r>
              <w:rPr>
                <w:spacing w:val="-2"/>
                <w:sz w:val="24"/>
              </w:rPr>
              <w:t>48,590</w:t>
            </w:r>
          </w:p>
        </w:tc>
        <w:tc>
          <w:tcPr>
            <w:tcW w:w="1981" w:type="dxa"/>
          </w:tcPr>
          <w:p>
            <w:pPr>
              <w:pStyle w:val="TableParagraph"/>
              <w:spacing w:line="256" w:lineRule="exact" w:before="133"/>
              <w:ind w:left="409"/>
              <w:rPr>
                <w:sz w:val="24"/>
              </w:rPr>
            </w:pPr>
            <w:r>
              <w:rPr>
                <w:spacing w:val="-2"/>
                <w:sz w:val="24"/>
              </w:rPr>
              <w:t>151,500</w:t>
            </w:r>
          </w:p>
        </w:tc>
        <w:tc>
          <w:tcPr>
            <w:tcW w:w="2486" w:type="dxa"/>
          </w:tcPr>
          <w:p>
            <w:pPr>
              <w:pStyle w:val="TableParagraph"/>
              <w:spacing w:line="256" w:lineRule="exact" w:before="133"/>
              <w:ind w:left="259"/>
              <w:rPr>
                <w:sz w:val="24"/>
              </w:rPr>
            </w:pPr>
            <w:r>
              <w:rPr>
                <w:spacing w:val="-2"/>
                <w:sz w:val="24"/>
              </w:rPr>
              <w:t>Included</w:t>
            </w:r>
          </w:p>
        </w:tc>
      </w:tr>
      <w:tr>
        <w:trPr>
          <w:trHeight w:val="276" w:hRule="atLeast"/>
        </w:trPr>
        <w:tc>
          <w:tcPr>
            <w:tcW w:w="6202" w:type="dxa"/>
            <w:gridSpan w:val="3"/>
          </w:tcPr>
          <w:p>
            <w:pPr>
              <w:pStyle w:val="TableParagraph"/>
              <w:tabs>
                <w:tab w:pos="4629" w:val="left" w:leader="none"/>
              </w:tabs>
              <w:spacing w:line="246" w:lineRule="exact"/>
              <w:ind w:left="2928"/>
              <w:rPr>
                <w:sz w:val="24"/>
              </w:rPr>
            </w:pPr>
            <w:r>
              <w:rPr>
                <w:spacing w:val="-2"/>
                <w:sz w:val="24"/>
              </w:rPr>
              <w:t>(71.4)</w:t>
            </w:r>
            <w:r>
              <w:rPr>
                <w:sz w:val="24"/>
              </w:rPr>
              <w:tab/>
            </w:r>
            <w:r>
              <w:rPr>
                <w:spacing w:val="-2"/>
                <w:sz w:val="24"/>
              </w:rPr>
              <w:t>(74.8)</w:t>
            </w:r>
          </w:p>
        </w:tc>
        <w:tc>
          <w:tcPr>
            <w:tcW w:w="2486" w:type="dxa"/>
          </w:tcPr>
          <w:p>
            <w:pPr>
              <w:pStyle w:val="TableParagraph"/>
              <w:spacing w:line="246" w:lineRule="exact"/>
              <w:ind w:left="258"/>
              <w:rPr>
                <w:sz w:val="24"/>
              </w:rPr>
            </w:pPr>
            <w:r>
              <w:rPr>
                <w:sz w:val="24"/>
              </w:rPr>
              <w:t>under</w:t>
            </w:r>
            <w:r>
              <w:rPr>
                <w:spacing w:val="-5"/>
                <w:sz w:val="24"/>
              </w:rPr>
              <w:t> </w:t>
            </w:r>
            <w:r>
              <w:rPr>
                <w:spacing w:val="-2"/>
                <w:sz w:val="24"/>
              </w:rPr>
              <w:t>higher</w:t>
            </w:r>
          </w:p>
        </w:tc>
      </w:tr>
      <w:tr>
        <w:trPr>
          <w:trHeight w:val="419" w:hRule="atLeast"/>
        </w:trPr>
        <w:tc>
          <w:tcPr>
            <w:tcW w:w="2457" w:type="dxa"/>
          </w:tcPr>
          <w:p>
            <w:pPr>
              <w:pStyle w:val="TableParagraph"/>
              <w:rPr>
                <w:sz w:val="22"/>
              </w:rPr>
            </w:pPr>
          </w:p>
        </w:tc>
        <w:tc>
          <w:tcPr>
            <w:tcW w:w="1764" w:type="dxa"/>
          </w:tcPr>
          <w:p>
            <w:pPr>
              <w:pStyle w:val="TableParagraph"/>
              <w:rPr>
                <w:sz w:val="22"/>
              </w:rPr>
            </w:pPr>
          </w:p>
        </w:tc>
        <w:tc>
          <w:tcPr>
            <w:tcW w:w="1981" w:type="dxa"/>
          </w:tcPr>
          <w:p>
            <w:pPr>
              <w:pStyle w:val="TableParagraph"/>
              <w:rPr>
                <w:sz w:val="22"/>
              </w:rPr>
            </w:pPr>
          </w:p>
        </w:tc>
        <w:tc>
          <w:tcPr>
            <w:tcW w:w="2486" w:type="dxa"/>
          </w:tcPr>
          <w:p>
            <w:pPr>
              <w:pStyle w:val="TableParagraph"/>
              <w:spacing w:line="266" w:lineRule="exact"/>
              <w:ind w:left="259"/>
              <w:rPr>
                <w:sz w:val="24"/>
              </w:rPr>
            </w:pPr>
            <w:r>
              <w:rPr>
                <w:spacing w:val="-2"/>
                <w:sz w:val="24"/>
              </w:rPr>
              <w:t>primary</w:t>
            </w:r>
          </w:p>
        </w:tc>
      </w:tr>
      <w:tr>
        <w:trPr>
          <w:trHeight w:val="414" w:hRule="atLeast"/>
        </w:trPr>
        <w:tc>
          <w:tcPr>
            <w:tcW w:w="2457" w:type="dxa"/>
          </w:tcPr>
          <w:p>
            <w:pPr>
              <w:pStyle w:val="TableParagraph"/>
              <w:spacing w:line="261" w:lineRule="exact" w:before="133"/>
              <w:ind w:left="50"/>
              <w:rPr>
                <w:sz w:val="24"/>
              </w:rPr>
            </w:pPr>
            <w:r>
              <w:rPr>
                <w:sz w:val="24"/>
              </w:rPr>
              <w:t>10. </w:t>
            </w:r>
            <w:r>
              <w:rPr>
                <w:spacing w:val="-2"/>
                <w:sz w:val="24"/>
              </w:rPr>
              <w:t>Mysore</w:t>
            </w:r>
          </w:p>
        </w:tc>
        <w:tc>
          <w:tcPr>
            <w:tcW w:w="1764" w:type="dxa"/>
          </w:tcPr>
          <w:p>
            <w:pPr>
              <w:pStyle w:val="TableParagraph"/>
              <w:spacing w:line="261" w:lineRule="exact" w:before="133"/>
              <w:ind w:left="340"/>
              <w:rPr>
                <w:sz w:val="24"/>
              </w:rPr>
            </w:pPr>
            <w:r>
              <w:rPr>
                <w:spacing w:val="-2"/>
                <w:sz w:val="24"/>
              </w:rPr>
              <w:t>10,334</w:t>
            </w:r>
          </w:p>
        </w:tc>
        <w:tc>
          <w:tcPr>
            <w:tcW w:w="1981" w:type="dxa"/>
          </w:tcPr>
          <w:p>
            <w:pPr>
              <w:pStyle w:val="TableParagraph"/>
              <w:spacing w:line="261" w:lineRule="exact" w:before="133"/>
              <w:ind w:left="409"/>
              <w:rPr>
                <w:sz w:val="24"/>
              </w:rPr>
            </w:pPr>
            <w:r>
              <w:rPr>
                <w:spacing w:val="-2"/>
                <w:sz w:val="24"/>
              </w:rPr>
              <w:t>91,952</w:t>
            </w:r>
          </w:p>
        </w:tc>
        <w:tc>
          <w:tcPr>
            <w:tcW w:w="2486" w:type="dxa"/>
          </w:tcPr>
          <w:p>
            <w:pPr>
              <w:pStyle w:val="TableParagraph"/>
              <w:spacing w:line="261" w:lineRule="exact" w:before="133"/>
              <w:ind w:left="259"/>
              <w:rPr>
                <w:sz w:val="24"/>
              </w:rPr>
            </w:pPr>
            <w:r>
              <w:rPr>
                <w:spacing w:val="-2"/>
                <w:sz w:val="24"/>
              </w:rPr>
              <w:t>Included</w:t>
            </w:r>
          </w:p>
        </w:tc>
      </w:tr>
      <w:tr>
        <w:trPr>
          <w:trHeight w:val="690"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(59.5)</w:t>
            </w:r>
          </w:p>
        </w:tc>
        <w:tc>
          <w:tcPr>
            <w:tcW w:w="1981" w:type="dxa"/>
          </w:tcPr>
          <w:p>
            <w:pPr>
              <w:pStyle w:val="TableParagraph"/>
              <w:spacing w:line="271" w:lineRule="exact"/>
              <w:ind w:left="408"/>
              <w:rPr>
                <w:sz w:val="24"/>
              </w:rPr>
            </w:pPr>
            <w:r>
              <w:rPr>
                <w:spacing w:val="-2"/>
                <w:sz w:val="24"/>
              </w:rPr>
              <w:t>(59.9)</w:t>
            </w:r>
          </w:p>
        </w:tc>
        <w:tc>
          <w:tcPr>
            <w:tcW w:w="2486" w:type="dxa"/>
          </w:tcPr>
          <w:p>
            <w:pPr>
              <w:pStyle w:val="TableParagraph"/>
              <w:ind w:left="259" w:right="1004" w:hanging="2"/>
              <w:rPr>
                <w:sz w:val="24"/>
              </w:rPr>
            </w:pPr>
            <w:r>
              <w:rPr>
                <w:sz w:val="24"/>
              </w:rPr>
              <w:t>under</w:t>
            </w:r>
            <w:r>
              <w:rPr>
                <w:spacing w:val="-15"/>
                <w:sz w:val="24"/>
              </w:rPr>
              <w:t> </w:t>
            </w:r>
            <w:r>
              <w:rPr>
                <w:sz w:val="24"/>
              </w:rPr>
              <w:t>higher </w:t>
            </w:r>
            <w:r>
              <w:rPr>
                <w:spacing w:val="-2"/>
                <w:sz w:val="24"/>
              </w:rPr>
              <w:t>primary</w:t>
            </w:r>
          </w:p>
        </w:tc>
      </w:tr>
      <w:tr>
        <w:trPr>
          <w:trHeight w:val="414" w:hRule="atLeast"/>
        </w:trPr>
        <w:tc>
          <w:tcPr>
            <w:tcW w:w="2457" w:type="dxa"/>
          </w:tcPr>
          <w:p>
            <w:pPr>
              <w:pStyle w:val="TableParagraph"/>
              <w:spacing w:line="261" w:lineRule="exact" w:before="133"/>
              <w:ind w:left="50"/>
              <w:rPr>
                <w:sz w:val="24"/>
              </w:rPr>
            </w:pPr>
            <w:r>
              <w:rPr>
                <w:sz w:val="24"/>
              </w:rPr>
              <w:t>11. </w:t>
            </w:r>
            <w:r>
              <w:rPr>
                <w:spacing w:val="-2"/>
                <w:sz w:val="24"/>
              </w:rPr>
              <w:t>Nagaland</w:t>
            </w:r>
          </w:p>
        </w:tc>
        <w:tc>
          <w:tcPr>
            <w:tcW w:w="1764" w:type="dxa"/>
          </w:tcPr>
          <w:p>
            <w:pPr>
              <w:pStyle w:val="TableParagraph"/>
              <w:spacing w:line="261" w:lineRule="exact" w:before="133"/>
              <w:ind w:left="341"/>
              <w:rPr>
                <w:sz w:val="24"/>
              </w:rPr>
            </w:pPr>
            <w:r>
              <w:rPr>
                <w:spacing w:val="-5"/>
                <w:sz w:val="24"/>
              </w:rPr>
              <w:t>309</w:t>
            </w:r>
          </w:p>
        </w:tc>
        <w:tc>
          <w:tcPr>
            <w:tcW w:w="1981" w:type="dxa"/>
          </w:tcPr>
          <w:p>
            <w:pPr>
              <w:pStyle w:val="TableParagraph"/>
              <w:spacing w:line="261" w:lineRule="exact" w:before="133"/>
              <w:ind w:left="409"/>
              <w:rPr>
                <w:sz w:val="24"/>
              </w:rPr>
            </w:pPr>
            <w:r>
              <w:rPr>
                <w:spacing w:val="-5"/>
                <w:sz w:val="24"/>
              </w:rPr>
              <w:t>745</w:t>
            </w:r>
          </w:p>
        </w:tc>
        <w:tc>
          <w:tcPr>
            <w:tcW w:w="2486" w:type="dxa"/>
          </w:tcPr>
          <w:p>
            <w:pPr>
              <w:pStyle w:val="TableParagraph"/>
              <w:spacing w:line="261" w:lineRule="exact" w:before="133"/>
              <w:ind w:left="259"/>
              <w:rPr>
                <w:sz w:val="24"/>
              </w:rPr>
            </w:pPr>
            <w:r>
              <w:rPr>
                <w:spacing w:val="-2"/>
                <w:sz w:val="24"/>
              </w:rPr>
              <w:t>1,764</w:t>
            </w:r>
          </w:p>
        </w:tc>
      </w:tr>
      <w:tr>
        <w:trPr>
          <w:trHeight w:val="414" w:hRule="atLeast"/>
        </w:trPr>
        <w:tc>
          <w:tcPr>
            <w:tcW w:w="2457" w:type="dxa"/>
          </w:tcPr>
          <w:p>
            <w:pPr>
              <w:pStyle w:val="TableParagraph"/>
              <w:rPr>
                <w:sz w:val="22"/>
              </w:rPr>
            </w:pPr>
          </w:p>
        </w:tc>
        <w:tc>
          <w:tcPr>
            <w:tcW w:w="1764" w:type="dxa"/>
          </w:tcPr>
          <w:p>
            <w:pPr>
              <w:pStyle w:val="TableParagraph"/>
              <w:spacing w:line="271" w:lineRule="exact"/>
              <w:ind w:left="411"/>
              <w:rPr>
                <w:sz w:val="24"/>
              </w:rPr>
            </w:pPr>
            <w:r>
              <w:rPr>
                <w:spacing w:val="-2"/>
                <w:sz w:val="24"/>
              </w:rPr>
              <w:t>(15.9)</w:t>
            </w:r>
          </w:p>
        </w:tc>
        <w:tc>
          <w:tcPr>
            <w:tcW w:w="1981" w:type="dxa"/>
          </w:tcPr>
          <w:p>
            <w:pPr>
              <w:pStyle w:val="TableParagraph"/>
              <w:spacing w:line="271" w:lineRule="exact"/>
              <w:ind w:left="408"/>
              <w:rPr>
                <w:sz w:val="24"/>
              </w:rPr>
            </w:pPr>
            <w:r>
              <w:rPr>
                <w:spacing w:val="-2"/>
                <w:sz w:val="24"/>
              </w:rPr>
              <w:t>(8.7)</w:t>
            </w:r>
          </w:p>
        </w:tc>
        <w:tc>
          <w:tcPr>
            <w:tcW w:w="2486" w:type="dxa"/>
          </w:tcPr>
          <w:p>
            <w:pPr>
              <w:pStyle w:val="TableParagraph"/>
              <w:spacing w:line="271" w:lineRule="exact"/>
              <w:ind w:left="258"/>
              <w:rPr>
                <w:sz w:val="24"/>
              </w:rPr>
            </w:pPr>
            <w:r>
              <w:rPr>
                <w:spacing w:val="-2"/>
                <w:sz w:val="24"/>
              </w:rPr>
              <w:t>(20.3)</w:t>
            </w:r>
          </w:p>
        </w:tc>
      </w:tr>
      <w:tr>
        <w:trPr>
          <w:trHeight w:val="684" w:hRule="atLeast"/>
        </w:trPr>
        <w:tc>
          <w:tcPr>
            <w:tcW w:w="2457" w:type="dxa"/>
          </w:tcPr>
          <w:p>
            <w:pPr>
              <w:pStyle w:val="TableParagraph"/>
              <w:spacing w:before="133"/>
              <w:ind w:left="50"/>
              <w:rPr>
                <w:sz w:val="24"/>
              </w:rPr>
            </w:pPr>
            <w:r>
              <w:rPr>
                <w:sz w:val="24"/>
              </w:rPr>
              <w:t>12.</w:t>
            </w:r>
            <w:r>
              <w:rPr>
                <w:spacing w:val="-1"/>
                <w:sz w:val="24"/>
              </w:rPr>
              <w:t> </w:t>
            </w:r>
            <w:r>
              <w:rPr>
                <w:spacing w:val="-2"/>
                <w:sz w:val="24"/>
              </w:rPr>
              <w:t>Orissa</w:t>
            </w:r>
          </w:p>
        </w:tc>
        <w:tc>
          <w:tcPr>
            <w:tcW w:w="1764" w:type="dxa"/>
          </w:tcPr>
          <w:p>
            <w:pPr>
              <w:pStyle w:val="TableParagraph"/>
              <w:spacing w:before="133"/>
              <w:ind w:left="340"/>
              <w:rPr>
                <w:sz w:val="24"/>
              </w:rPr>
            </w:pPr>
            <w:r>
              <w:rPr>
                <w:sz w:val="24"/>
              </w:rPr>
              <w:t>8,</w:t>
            </w:r>
            <w:r>
              <w:rPr>
                <w:spacing w:val="-1"/>
                <w:sz w:val="24"/>
              </w:rPr>
              <w:t> </w:t>
            </w:r>
            <w:r>
              <w:rPr>
                <w:sz w:val="24"/>
              </w:rPr>
              <w:t>461</w:t>
            </w:r>
            <w:r>
              <w:rPr>
                <w:spacing w:val="-1"/>
                <w:sz w:val="24"/>
              </w:rPr>
              <w:t> </w:t>
            </w:r>
            <w:r>
              <w:rPr>
                <w:spacing w:val="-10"/>
                <w:sz w:val="24"/>
              </w:rPr>
              <w:t>b</w:t>
            </w:r>
          </w:p>
          <w:p>
            <w:pPr>
              <w:pStyle w:val="TableParagraph"/>
              <w:spacing w:line="256" w:lineRule="exact"/>
              <w:ind w:left="411"/>
              <w:rPr>
                <w:sz w:val="24"/>
              </w:rPr>
            </w:pPr>
            <w:r>
              <w:rPr>
                <w:spacing w:val="-2"/>
                <w:sz w:val="24"/>
              </w:rPr>
              <w:t>(52.0)</w:t>
            </w:r>
          </w:p>
        </w:tc>
        <w:tc>
          <w:tcPr>
            <w:tcW w:w="1981" w:type="dxa"/>
          </w:tcPr>
          <w:p>
            <w:pPr>
              <w:pStyle w:val="TableParagraph"/>
              <w:spacing w:before="133"/>
              <w:ind w:left="408"/>
              <w:rPr>
                <w:sz w:val="24"/>
              </w:rPr>
            </w:pPr>
            <w:r>
              <w:rPr>
                <w:sz w:val="24"/>
              </w:rPr>
              <w:t>10,322</w:t>
            </w:r>
            <w:r>
              <w:rPr>
                <w:spacing w:val="-1"/>
                <w:sz w:val="24"/>
              </w:rPr>
              <w:t> </w:t>
            </w:r>
            <w:r>
              <w:rPr>
                <w:spacing w:val="-10"/>
                <w:sz w:val="24"/>
              </w:rPr>
              <w:t>b</w:t>
            </w:r>
          </w:p>
          <w:p>
            <w:pPr>
              <w:pStyle w:val="TableParagraph"/>
              <w:spacing w:line="256" w:lineRule="exact"/>
              <w:ind w:left="408"/>
              <w:rPr>
                <w:sz w:val="24"/>
              </w:rPr>
            </w:pPr>
            <w:r>
              <w:rPr>
                <w:spacing w:val="-2"/>
                <w:sz w:val="24"/>
              </w:rPr>
              <w:t>(31.0)</w:t>
            </w:r>
          </w:p>
        </w:tc>
        <w:tc>
          <w:tcPr>
            <w:tcW w:w="2486" w:type="dxa"/>
          </w:tcPr>
          <w:p>
            <w:pPr>
              <w:pStyle w:val="TableParagraph"/>
              <w:spacing w:before="133"/>
              <w:ind w:left="258"/>
              <w:rPr>
                <w:sz w:val="24"/>
              </w:rPr>
            </w:pPr>
            <w:r>
              <w:rPr>
                <w:sz w:val="24"/>
              </w:rPr>
              <w:t>48,339</w:t>
            </w:r>
            <w:r>
              <w:rPr>
                <w:spacing w:val="-1"/>
                <w:sz w:val="24"/>
              </w:rPr>
              <w:t> </w:t>
            </w:r>
            <w:r>
              <w:rPr>
                <w:spacing w:val="-10"/>
                <w:sz w:val="24"/>
              </w:rPr>
              <w:t>b</w:t>
            </w:r>
          </w:p>
          <w:p>
            <w:pPr>
              <w:pStyle w:val="TableParagraph"/>
              <w:spacing w:line="256" w:lineRule="exact"/>
              <w:ind w:left="258"/>
              <w:rPr>
                <w:sz w:val="24"/>
              </w:rPr>
            </w:pPr>
            <w:r>
              <w:rPr>
                <w:spacing w:val="-2"/>
                <w:sz w:val="24"/>
              </w:rPr>
              <w:t>(60.0)</w:t>
            </w:r>
          </w:p>
        </w:tc>
      </w:tr>
    </w:tbl>
    <w:p>
      <w:pPr>
        <w:spacing w:after="0" w:line="256" w:lineRule="exact"/>
        <w:rPr>
          <w:sz w:val="24"/>
        </w:rPr>
        <w:sectPr>
          <w:pgSz w:w="12240" w:h="15840"/>
          <w:pgMar w:header="0" w:footer="743" w:top="1360" w:bottom="1370" w:left="1640" w:right="1300"/>
        </w:sect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9"/>
        <w:gridCol w:w="1825"/>
        <w:gridCol w:w="1832"/>
        <w:gridCol w:w="1386"/>
      </w:tblGrid>
      <w:tr>
        <w:trPr>
          <w:trHeight w:val="684" w:hRule="atLeast"/>
        </w:trPr>
        <w:tc>
          <w:tcPr>
            <w:tcW w:w="2309" w:type="dxa"/>
          </w:tcPr>
          <w:p>
            <w:pPr>
              <w:pStyle w:val="TableParagraph"/>
              <w:spacing w:line="266" w:lineRule="exact"/>
              <w:ind w:left="50"/>
              <w:rPr>
                <w:sz w:val="24"/>
              </w:rPr>
            </w:pPr>
            <w:r>
              <w:rPr>
                <w:sz w:val="24"/>
              </w:rPr>
              <w:t>13. </w:t>
            </w:r>
            <w:r>
              <w:rPr>
                <w:spacing w:val="-2"/>
                <w:sz w:val="24"/>
              </w:rPr>
              <w:t>Punjab</w:t>
            </w:r>
          </w:p>
        </w:tc>
        <w:tc>
          <w:tcPr>
            <w:tcW w:w="1825" w:type="dxa"/>
          </w:tcPr>
          <w:p>
            <w:pPr>
              <w:pStyle w:val="TableParagraph"/>
              <w:spacing w:line="266" w:lineRule="exact"/>
              <w:ind w:left="488"/>
              <w:rPr>
                <w:sz w:val="24"/>
              </w:rPr>
            </w:pPr>
            <w:r>
              <w:rPr>
                <w:sz w:val="24"/>
              </w:rPr>
              <w:t>26,234 </w:t>
            </w:r>
            <w:r>
              <w:rPr>
                <w:spacing w:val="-10"/>
                <w:sz w:val="24"/>
              </w:rPr>
              <w:t>b</w:t>
            </w:r>
          </w:p>
          <w:p>
            <w:pPr>
              <w:pStyle w:val="TableParagraph"/>
              <w:ind w:left="559"/>
              <w:rPr>
                <w:sz w:val="24"/>
              </w:rPr>
            </w:pPr>
            <w:r>
              <w:rPr>
                <w:spacing w:val="-2"/>
                <w:sz w:val="24"/>
              </w:rPr>
              <w:t>(96.0)</w:t>
            </w:r>
          </w:p>
        </w:tc>
        <w:tc>
          <w:tcPr>
            <w:tcW w:w="1832" w:type="dxa"/>
          </w:tcPr>
          <w:p>
            <w:pPr>
              <w:pStyle w:val="TableParagraph"/>
              <w:spacing w:line="266" w:lineRule="exact"/>
              <w:ind w:left="495"/>
              <w:rPr>
                <w:sz w:val="24"/>
              </w:rPr>
            </w:pPr>
            <w:r>
              <w:rPr>
                <w:sz w:val="24"/>
              </w:rPr>
              <w:t>14,911 </w:t>
            </w:r>
            <w:r>
              <w:rPr>
                <w:spacing w:val="-10"/>
                <w:sz w:val="24"/>
              </w:rPr>
              <w:t>b</w:t>
            </w:r>
          </w:p>
          <w:p>
            <w:pPr>
              <w:pStyle w:val="TableParagraph"/>
              <w:ind w:left="495"/>
              <w:rPr>
                <w:sz w:val="24"/>
              </w:rPr>
            </w:pPr>
            <w:r>
              <w:rPr>
                <w:spacing w:val="-2"/>
                <w:sz w:val="24"/>
              </w:rPr>
              <w:t>(88.0)</w:t>
            </w:r>
          </w:p>
        </w:tc>
        <w:tc>
          <w:tcPr>
            <w:tcW w:w="1386" w:type="dxa"/>
          </w:tcPr>
          <w:p>
            <w:pPr>
              <w:pStyle w:val="TableParagraph"/>
              <w:spacing w:line="266" w:lineRule="exact"/>
              <w:ind w:left="495"/>
              <w:rPr>
                <w:sz w:val="24"/>
              </w:rPr>
            </w:pPr>
            <w:r>
              <w:rPr>
                <w:sz w:val="24"/>
              </w:rPr>
              <w:t>34,863 </w:t>
            </w:r>
            <w:r>
              <w:rPr>
                <w:spacing w:val="-10"/>
                <w:sz w:val="24"/>
              </w:rPr>
              <w:t>b</w:t>
            </w:r>
          </w:p>
          <w:p>
            <w:pPr>
              <w:pStyle w:val="TableParagraph"/>
              <w:ind w:left="494"/>
              <w:rPr>
                <w:sz w:val="24"/>
              </w:rPr>
            </w:pPr>
            <w:r>
              <w:rPr>
                <w:spacing w:val="-2"/>
                <w:sz w:val="24"/>
              </w:rPr>
              <w:t>(89.0)</w:t>
            </w:r>
          </w:p>
        </w:tc>
      </w:tr>
      <w:tr>
        <w:trPr>
          <w:trHeight w:val="413" w:hRule="atLeast"/>
        </w:trPr>
        <w:tc>
          <w:tcPr>
            <w:tcW w:w="2309" w:type="dxa"/>
          </w:tcPr>
          <w:p>
            <w:pPr>
              <w:pStyle w:val="TableParagraph"/>
              <w:spacing w:line="261" w:lineRule="exact" w:before="133"/>
              <w:ind w:left="50"/>
              <w:rPr>
                <w:sz w:val="24"/>
              </w:rPr>
            </w:pPr>
            <w:r>
              <w:rPr>
                <w:sz w:val="24"/>
              </w:rPr>
              <w:t>14. </w:t>
            </w:r>
            <w:r>
              <w:rPr>
                <w:spacing w:val="-2"/>
                <w:sz w:val="24"/>
              </w:rPr>
              <w:t>Rajasthan</w:t>
            </w:r>
          </w:p>
        </w:tc>
        <w:tc>
          <w:tcPr>
            <w:tcW w:w="1825" w:type="dxa"/>
          </w:tcPr>
          <w:p>
            <w:pPr>
              <w:pStyle w:val="TableParagraph"/>
              <w:spacing w:line="261" w:lineRule="exact" w:before="133"/>
              <w:ind w:left="488"/>
              <w:rPr>
                <w:sz w:val="24"/>
              </w:rPr>
            </w:pPr>
            <w:r>
              <w:rPr>
                <w:sz w:val="24"/>
              </w:rPr>
              <w:t>12,671 </w:t>
            </w:r>
            <w:r>
              <w:rPr>
                <w:spacing w:val="-10"/>
                <w:sz w:val="24"/>
              </w:rPr>
              <w:t>b</w:t>
            </w:r>
          </w:p>
        </w:tc>
        <w:tc>
          <w:tcPr>
            <w:tcW w:w="1832" w:type="dxa"/>
          </w:tcPr>
          <w:p>
            <w:pPr>
              <w:pStyle w:val="TableParagraph"/>
              <w:spacing w:line="261" w:lineRule="exact" w:before="133"/>
              <w:ind w:left="496"/>
              <w:rPr>
                <w:sz w:val="24"/>
              </w:rPr>
            </w:pPr>
            <w:r>
              <w:rPr>
                <w:sz w:val="24"/>
              </w:rPr>
              <w:t>18,352 </w:t>
            </w:r>
            <w:r>
              <w:rPr>
                <w:spacing w:val="-10"/>
                <w:sz w:val="24"/>
              </w:rPr>
              <w:t>b</w:t>
            </w:r>
          </w:p>
        </w:tc>
        <w:tc>
          <w:tcPr>
            <w:tcW w:w="1386" w:type="dxa"/>
          </w:tcPr>
          <w:p>
            <w:pPr>
              <w:pStyle w:val="TableParagraph"/>
              <w:spacing w:line="261" w:lineRule="exact" w:before="133"/>
              <w:ind w:left="495"/>
              <w:rPr>
                <w:sz w:val="24"/>
              </w:rPr>
            </w:pPr>
            <w:r>
              <w:rPr>
                <w:spacing w:val="-2"/>
                <w:sz w:val="24"/>
              </w:rPr>
              <w:t>41,600</w:t>
            </w:r>
          </w:p>
        </w:tc>
      </w:tr>
      <w:tr>
        <w:trPr>
          <w:trHeight w:val="413" w:hRule="atLeast"/>
        </w:trPr>
        <w:tc>
          <w:tcPr>
            <w:tcW w:w="2309" w:type="dxa"/>
          </w:tcPr>
          <w:p>
            <w:pPr>
              <w:pStyle w:val="TableParagraph"/>
              <w:rPr>
                <w:sz w:val="24"/>
              </w:rPr>
            </w:pPr>
          </w:p>
        </w:tc>
        <w:tc>
          <w:tcPr>
            <w:tcW w:w="1825" w:type="dxa"/>
          </w:tcPr>
          <w:p>
            <w:pPr>
              <w:pStyle w:val="TableParagraph"/>
              <w:spacing w:line="271" w:lineRule="exact"/>
              <w:ind w:left="499"/>
              <w:rPr>
                <w:sz w:val="24"/>
              </w:rPr>
            </w:pPr>
            <w:r>
              <w:rPr>
                <w:spacing w:val="-2"/>
                <w:sz w:val="24"/>
              </w:rPr>
              <w:t>(60.0)</w:t>
            </w:r>
          </w:p>
        </w:tc>
        <w:tc>
          <w:tcPr>
            <w:tcW w:w="1832" w:type="dxa"/>
          </w:tcPr>
          <w:p>
            <w:pPr>
              <w:pStyle w:val="TableParagraph"/>
              <w:spacing w:line="271" w:lineRule="exact"/>
              <w:ind w:left="495"/>
              <w:rPr>
                <w:sz w:val="24"/>
              </w:rPr>
            </w:pPr>
            <w:r>
              <w:rPr>
                <w:spacing w:val="-2"/>
                <w:sz w:val="24"/>
              </w:rPr>
              <w:t>(71.0)</w:t>
            </w:r>
          </w:p>
        </w:tc>
        <w:tc>
          <w:tcPr>
            <w:tcW w:w="1386" w:type="dxa"/>
          </w:tcPr>
          <w:p>
            <w:pPr>
              <w:pStyle w:val="TableParagraph"/>
              <w:spacing w:line="271" w:lineRule="exact"/>
              <w:ind w:left="494"/>
              <w:rPr>
                <w:sz w:val="24"/>
              </w:rPr>
            </w:pPr>
            <w:r>
              <w:rPr>
                <w:spacing w:val="-2"/>
                <w:sz w:val="24"/>
              </w:rPr>
              <w:t>(75.0)</w:t>
            </w:r>
          </w:p>
        </w:tc>
      </w:tr>
      <w:tr>
        <w:trPr>
          <w:trHeight w:val="413" w:hRule="atLeast"/>
        </w:trPr>
        <w:tc>
          <w:tcPr>
            <w:tcW w:w="2309" w:type="dxa"/>
          </w:tcPr>
          <w:p>
            <w:pPr>
              <w:pStyle w:val="TableParagraph"/>
              <w:spacing w:line="261" w:lineRule="exact" w:before="133"/>
              <w:ind w:left="50"/>
              <w:rPr>
                <w:sz w:val="24"/>
              </w:rPr>
            </w:pPr>
            <w:r>
              <w:rPr>
                <w:sz w:val="24"/>
              </w:rPr>
              <w:t>15.</w:t>
            </w:r>
            <w:r>
              <w:rPr>
                <w:spacing w:val="-1"/>
                <w:sz w:val="24"/>
              </w:rPr>
              <w:t> </w:t>
            </w:r>
            <w:r>
              <w:rPr>
                <w:sz w:val="24"/>
              </w:rPr>
              <w:t>Uttar</w:t>
            </w:r>
            <w:r>
              <w:rPr>
                <w:spacing w:val="-1"/>
                <w:sz w:val="24"/>
              </w:rPr>
              <w:t> </w:t>
            </w:r>
            <w:r>
              <w:rPr>
                <w:spacing w:val="-2"/>
                <w:sz w:val="24"/>
              </w:rPr>
              <w:t>Pradesh</w:t>
            </w:r>
          </w:p>
        </w:tc>
        <w:tc>
          <w:tcPr>
            <w:tcW w:w="1825" w:type="dxa"/>
          </w:tcPr>
          <w:p>
            <w:pPr>
              <w:pStyle w:val="TableParagraph"/>
              <w:spacing w:line="261" w:lineRule="exact" w:before="133"/>
              <w:ind w:left="488"/>
              <w:rPr>
                <w:sz w:val="24"/>
              </w:rPr>
            </w:pPr>
            <w:r>
              <w:rPr>
                <w:spacing w:val="-2"/>
                <w:sz w:val="24"/>
              </w:rPr>
              <w:t>33,311</w:t>
            </w:r>
          </w:p>
        </w:tc>
        <w:tc>
          <w:tcPr>
            <w:tcW w:w="1832" w:type="dxa"/>
          </w:tcPr>
          <w:p>
            <w:pPr>
              <w:pStyle w:val="TableParagraph"/>
              <w:spacing w:line="261" w:lineRule="exact" w:before="133"/>
              <w:ind w:left="496"/>
              <w:rPr>
                <w:sz w:val="24"/>
              </w:rPr>
            </w:pPr>
            <w:r>
              <w:rPr>
                <w:spacing w:val="-2"/>
                <w:sz w:val="24"/>
              </w:rPr>
              <w:t>46,819</w:t>
            </w:r>
          </w:p>
        </w:tc>
        <w:tc>
          <w:tcPr>
            <w:tcW w:w="1386" w:type="dxa"/>
          </w:tcPr>
          <w:p>
            <w:pPr>
              <w:pStyle w:val="TableParagraph"/>
              <w:spacing w:line="261" w:lineRule="exact" w:before="133"/>
              <w:ind w:left="495"/>
              <w:rPr>
                <w:sz w:val="24"/>
              </w:rPr>
            </w:pPr>
            <w:r>
              <w:rPr>
                <w:spacing w:val="-2"/>
                <w:sz w:val="24"/>
              </w:rPr>
              <w:t>162,472</w:t>
            </w:r>
          </w:p>
        </w:tc>
      </w:tr>
      <w:tr>
        <w:trPr>
          <w:trHeight w:val="413" w:hRule="atLeast"/>
        </w:trPr>
        <w:tc>
          <w:tcPr>
            <w:tcW w:w="2309" w:type="dxa"/>
          </w:tcPr>
          <w:p>
            <w:pPr>
              <w:pStyle w:val="TableParagraph"/>
              <w:rPr>
                <w:sz w:val="24"/>
              </w:rPr>
            </w:pPr>
          </w:p>
        </w:tc>
        <w:tc>
          <w:tcPr>
            <w:tcW w:w="1825" w:type="dxa"/>
          </w:tcPr>
          <w:p>
            <w:pPr>
              <w:pStyle w:val="TableParagraph"/>
              <w:spacing w:line="271" w:lineRule="exact"/>
              <w:ind w:left="499"/>
              <w:rPr>
                <w:sz w:val="24"/>
              </w:rPr>
            </w:pPr>
            <w:r>
              <w:rPr>
                <w:spacing w:val="-2"/>
                <w:sz w:val="24"/>
              </w:rPr>
              <w:t>(81.9)</w:t>
            </w:r>
          </w:p>
        </w:tc>
        <w:tc>
          <w:tcPr>
            <w:tcW w:w="1832" w:type="dxa"/>
          </w:tcPr>
          <w:p>
            <w:pPr>
              <w:pStyle w:val="TableParagraph"/>
              <w:spacing w:line="271" w:lineRule="exact"/>
              <w:ind w:left="495"/>
              <w:rPr>
                <w:sz w:val="24"/>
              </w:rPr>
            </w:pPr>
            <w:r>
              <w:rPr>
                <w:spacing w:val="-2"/>
                <w:sz w:val="24"/>
              </w:rPr>
              <w:t>(87.1)</w:t>
            </w:r>
          </w:p>
        </w:tc>
        <w:tc>
          <w:tcPr>
            <w:tcW w:w="1386" w:type="dxa"/>
          </w:tcPr>
          <w:p>
            <w:pPr>
              <w:pStyle w:val="TableParagraph"/>
              <w:spacing w:line="271" w:lineRule="exact"/>
              <w:ind w:left="494"/>
              <w:rPr>
                <w:sz w:val="24"/>
              </w:rPr>
            </w:pPr>
            <w:r>
              <w:rPr>
                <w:spacing w:val="-2"/>
                <w:sz w:val="24"/>
              </w:rPr>
              <w:t>(73.5)</w:t>
            </w:r>
          </w:p>
        </w:tc>
      </w:tr>
      <w:tr>
        <w:trPr>
          <w:trHeight w:val="413" w:hRule="atLeast"/>
        </w:trPr>
        <w:tc>
          <w:tcPr>
            <w:tcW w:w="2309" w:type="dxa"/>
          </w:tcPr>
          <w:p>
            <w:pPr>
              <w:pStyle w:val="TableParagraph"/>
              <w:spacing w:line="261" w:lineRule="exact" w:before="133"/>
              <w:ind w:left="50"/>
              <w:rPr>
                <w:sz w:val="24"/>
              </w:rPr>
            </w:pPr>
            <w:r>
              <w:rPr>
                <w:sz w:val="24"/>
              </w:rPr>
              <w:t>16.</w:t>
            </w:r>
            <w:r>
              <w:rPr>
                <w:spacing w:val="-3"/>
                <w:sz w:val="24"/>
              </w:rPr>
              <w:t> </w:t>
            </w:r>
            <w:r>
              <w:rPr>
                <w:sz w:val="24"/>
              </w:rPr>
              <w:t>West</w:t>
            </w:r>
            <w:r>
              <w:rPr>
                <w:spacing w:val="-1"/>
                <w:sz w:val="24"/>
              </w:rPr>
              <w:t> </w:t>
            </w:r>
            <w:r>
              <w:rPr>
                <w:sz w:val="24"/>
              </w:rPr>
              <w:t>Bengal</w:t>
            </w:r>
            <w:r>
              <w:rPr>
                <w:spacing w:val="-1"/>
                <w:sz w:val="24"/>
              </w:rPr>
              <w:t> </w:t>
            </w:r>
            <w:r>
              <w:rPr>
                <w:spacing w:val="-10"/>
                <w:sz w:val="24"/>
              </w:rPr>
              <w:t>d</w:t>
            </w:r>
          </w:p>
        </w:tc>
        <w:tc>
          <w:tcPr>
            <w:tcW w:w="1825" w:type="dxa"/>
          </w:tcPr>
          <w:p>
            <w:pPr>
              <w:pStyle w:val="TableParagraph"/>
              <w:spacing w:line="261" w:lineRule="exact" w:before="133"/>
              <w:ind w:left="487"/>
              <w:rPr>
                <w:sz w:val="24"/>
              </w:rPr>
            </w:pPr>
            <w:r>
              <w:rPr>
                <w:spacing w:val="-2"/>
                <w:sz w:val="24"/>
              </w:rPr>
              <w:t>40,238</w:t>
            </w:r>
          </w:p>
        </w:tc>
        <w:tc>
          <w:tcPr>
            <w:tcW w:w="1832" w:type="dxa"/>
          </w:tcPr>
          <w:p>
            <w:pPr>
              <w:pStyle w:val="TableParagraph"/>
              <w:spacing w:line="261" w:lineRule="exact" w:before="133"/>
              <w:ind w:left="495"/>
              <w:rPr>
                <w:sz w:val="24"/>
              </w:rPr>
            </w:pPr>
            <w:r>
              <w:rPr>
                <w:spacing w:val="-2"/>
                <w:sz w:val="24"/>
              </w:rPr>
              <w:t>12,041</w:t>
            </w:r>
          </w:p>
        </w:tc>
        <w:tc>
          <w:tcPr>
            <w:tcW w:w="1386" w:type="dxa"/>
          </w:tcPr>
          <w:p>
            <w:pPr>
              <w:pStyle w:val="TableParagraph"/>
              <w:spacing w:line="261" w:lineRule="exact" w:before="133"/>
              <w:ind w:left="494"/>
              <w:rPr>
                <w:sz w:val="24"/>
              </w:rPr>
            </w:pPr>
            <w:r>
              <w:rPr>
                <w:spacing w:val="-2"/>
                <w:sz w:val="24"/>
              </w:rPr>
              <w:t>98,306</w:t>
            </w:r>
          </w:p>
        </w:tc>
      </w:tr>
      <w:tr>
        <w:trPr>
          <w:trHeight w:val="270" w:hRule="atLeast"/>
        </w:trPr>
        <w:tc>
          <w:tcPr>
            <w:tcW w:w="2309" w:type="dxa"/>
          </w:tcPr>
          <w:p>
            <w:pPr>
              <w:pStyle w:val="TableParagraph"/>
              <w:rPr>
                <w:sz w:val="20"/>
              </w:rPr>
            </w:pPr>
          </w:p>
        </w:tc>
        <w:tc>
          <w:tcPr>
            <w:tcW w:w="1825" w:type="dxa"/>
          </w:tcPr>
          <w:p>
            <w:pPr>
              <w:pStyle w:val="TableParagraph"/>
              <w:spacing w:line="251" w:lineRule="exact"/>
              <w:ind w:left="499"/>
              <w:rPr>
                <w:sz w:val="24"/>
              </w:rPr>
            </w:pPr>
            <w:r>
              <w:rPr>
                <w:spacing w:val="-2"/>
                <w:sz w:val="24"/>
              </w:rPr>
              <w:t>(35.6)</w:t>
            </w:r>
          </w:p>
        </w:tc>
        <w:tc>
          <w:tcPr>
            <w:tcW w:w="1832" w:type="dxa"/>
          </w:tcPr>
          <w:p>
            <w:pPr>
              <w:pStyle w:val="TableParagraph"/>
              <w:spacing w:line="251" w:lineRule="exact"/>
              <w:ind w:left="495"/>
              <w:rPr>
                <w:sz w:val="24"/>
              </w:rPr>
            </w:pPr>
            <w:r>
              <w:rPr>
                <w:spacing w:val="-2"/>
                <w:sz w:val="24"/>
              </w:rPr>
              <w:t>(16.3)</w:t>
            </w:r>
          </w:p>
        </w:tc>
        <w:tc>
          <w:tcPr>
            <w:tcW w:w="1386" w:type="dxa"/>
          </w:tcPr>
          <w:p>
            <w:pPr>
              <w:pStyle w:val="TableParagraph"/>
              <w:spacing w:line="251" w:lineRule="exact"/>
              <w:ind w:left="494"/>
              <w:rPr>
                <w:sz w:val="24"/>
              </w:rPr>
            </w:pPr>
            <w:r>
              <w:rPr>
                <w:spacing w:val="-2"/>
                <w:sz w:val="24"/>
              </w:rPr>
              <w:t>(38.3)</w:t>
            </w:r>
          </w:p>
        </w:tc>
      </w:tr>
    </w:tbl>
    <w:p>
      <w:pPr>
        <w:pStyle w:val="BodyText"/>
        <w:spacing w:before="7"/>
        <w:rPr>
          <w:sz w:val="17"/>
        </w:rPr>
      </w:pPr>
      <w:r>
        <w:rPr/>
        <mc:AlternateContent>
          <mc:Choice Requires="wps">
            <w:drawing>
              <wp:anchor distT="0" distB="0" distL="0" distR="0" allowOverlap="1" layoutInCell="1" locked="0" behindDoc="1" simplePos="0" relativeHeight="487604736">
                <wp:simplePos x="0" y="0"/>
                <wp:positionH relativeFrom="page">
                  <wp:posOffset>1143000</wp:posOffset>
                </wp:positionH>
                <wp:positionV relativeFrom="paragraph">
                  <wp:posOffset>144398</wp:posOffset>
                </wp:positionV>
                <wp:extent cx="5486400" cy="19050"/>
                <wp:effectExtent l="0" t="0" r="0" b="0"/>
                <wp:wrapTopAndBottom/>
                <wp:docPr id="199" name="Group 199"/>
                <wp:cNvGraphicFramePr>
                  <a:graphicFrameLocks/>
                </wp:cNvGraphicFramePr>
                <a:graphic>
                  <a:graphicData uri="http://schemas.microsoft.com/office/word/2010/wordprocessingGroup">
                    <wpg:wgp>
                      <wpg:cNvPr id="199" name="Group 199"/>
                      <wpg:cNvGrpSpPr/>
                      <wpg:grpSpPr>
                        <a:xfrm>
                          <a:off x="0" y="0"/>
                          <a:ext cx="5486400" cy="19050"/>
                          <a:chExt cx="5486400" cy="19050"/>
                        </a:xfrm>
                      </wpg:grpSpPr>
                      <wps:wsp>
                        <wps:cNvPr id="200" name="Graphic 20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01" name="Graphic 201"/>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02" name="Graphic 202"/>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03" name="Graphic 203"/>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04" name="Graphic 204"/>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05" name="Graphic 20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06" name="Graphic 20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1.37pt;width:432pt;height:1.5pt;mso-position-horizontal-relative:page;mso-position-vertical-relative:paragraph;z-index:-15711744;mso-wrap-distance-left:0;mso-wrap-distance-right:0" id="docshapegroup193" coordorigin="1800,227" coordsize="8640,30">
                <v:rect style="position:absolute;left:1800;top:227;width:8640;height:30" id="docshape194" filled="true" fillcolor="#808080" stroked="false">
                  <v:fill type="solid"/>
                </v:rect>
                <v:shape style="position:absolute;left:1800;top:227;width:8636;height:5" id="docshape195" coordorigin="1800,227" coordsize="8636,5" path="m10435,227l1805,227,1800,227,1800,232,1805,232,10435,232,10435,227xe" filled="true" fillcolor="#aca89a" stroked="false">
                  <v:path arrowok="t"/>
                  <v:fill type="solid"/>
                </v:shape>
                <v:rect style="position:absolute;left:10435;top:227;width:5;height:5" id="docshape196" filled="true" fillcolor="#f1efe2" stroked="false">
                  <v:fill type="solid"/>
                </v:rect>
                <v:shape style="position:absolute;left:1800;top:227;width:8640;height:26" id="docshape197" coordorigin="1800,227" coordsize="8640,26" path="m1805,232l1800,232,1800,253,1805,253,1805,232xm10440,227l10435,227,10435,232,10440,232,10440,227xe" filled="true" fillcolor="#aca89a" stroked="false">
                  <v:path arrowok="t"/>
                  <v:fill type="solid"/>
                </v:shape>
                <v:rect style="position:absolute;left:10435;top:232;width:5;height:21" id="docshape198" filled="true" fillcolor="#f1efe2" stroked="false">
                  <v:fill type="solid"/>
                </v:rect>
                <v:rect style="position:absolute;left:1800;top:252;width:5;height:5" id="docshape199" filled="true" fillcolor="#aca89a" stroked="false">
                  <v:fill type="solid"/>
                </v:rect>
                <v:shape style="position:absolute;left:1800;top:252;width:8640;height:5" id="docshape200" coordorigin="1800,253" coordsize="8640,5" path="m10440,253l10435,253,1800,253,1800,257,10435,257,10440,257,10440,253xe" filled="true" fillcolor="#f1efe2" stroked="false">
                  <v:path arrowok="t"/>
                  <v:fill type="solid"/>
                </v:shape>
                <w10:wrap type="topAndBottom"/>
              </v:group>
            </w:pict>
          </mc:Fallback>
        </mc:AlternateContent>
      </w:r>
    </w:p>
    <w:p>
      <w:pPr>
        <w:pStyle w:val="BodyText"/>
        <w:spacing w:before="48"/>
        <w:ind w:left="159"/>
        <w:jc w:val="both"/>
      </w:pPr>
      <w:r>
        <w:rPr/>
        <w:t>Source.</w:t>
      </w:r>
      <w:r>
        <w:rPr>
          <w:spacing w:val="60"/>
        </w:rPr>
        <w:t> </w:t>
      </w:r>
      <w:r>
        <w:rPr/>
        <w:t>Furnished by Directors of </w:t>
      </w:r>
      <w:r>
        <w:rPr>
          <w:spacing w:val="-2"/>
        </w:rPr>
        <w:t>Education.</w:t>
      </w:r>
    </w:p>
    <w:p>
      <w:pPr>
        <w:pStyle w:val="BodyText"/>
        <w:ind w:left="159"/>
      </w:pPr>
      <w:r>
        <w:rPr/>
        <w:t>N.B.</w:t>
      </w:r>
      <w:r>
        <w:rPr>
          <w:spacing w:val="59"/>
        </w:rPr>
        <w:t> </w:t>
      </w:r>
      <w:r>
        <w:rPr/>
        <w:t>Figures</w:t>
      </w:r>
      <w:r>
        <w:rPr>
          <w:spacing w:val="-1"/>
        </w:rPr>
        <w:t> </w:t>
      </w:r>
      <w:r>
        <w:rPr/>
        <w:t>in parentheses indicate</w:t>
      </w:r>
      <w:r>
        <w:rPr>
          <w:spacing w:val="-3"/>
        </w:rPr>
        <w:t> </w:t>
      </w:r>
      <w:r>
        <w:rPr/>
        <w:t>the percentages of</w:t>
      </w:r>
      <w:r>
        <w:rPr>
          <w:spacing w:val="59"/>
        </w:rPr>
        <w:t> </w:t>
      </w:r>
      <w:r>
        <w:rPr/>
        <w:t>trained </w:t>
      </w:r>
      <w:r>
        <w:rPr>
          <w:spacing w:val="-2"/>
        </w:rPr>
        <w:t>teachers.</w:t>
      </w:r>
    </w:p>
    <w:p>
      <w:pPr>
        <w:pStyle w:val="BodyText"/>
      </w:pPr>
    </w:p>
    <w:p>
      <w:pPr>
        <w:pStyle w:val="BodyText"/>
        <w:ind w:left="159" w:right="506"/>
      </w:pPr>
      <w:r>
        <w:rPr/>
        <w:t>a.</w:t>
      </w:r>
      <w:r>
        <w:rPr>
          <w:spacing w:val="80"/>
        </w:rPr>
        <w:t> </w:t>
      </w:r>
      <w:r>
        <w:rPr/>
        <w:t>Figures</w:t>
      </w:r>
      <w:r>
        <w:rPr>
          <w:spacing w:val="-2"/>
        </w:rPr>
        <w:t> </w:t>
      </w:r>
      <w:r>
        <w:rPr/>
        <w:t>relate</w:t>
      </w:r>
      <w:r>
        <w:rPr>
          <w:spacing w:val="-2"/>
        </w:rPr>
        <w:t> </w:t>
      </w:r>
      <w:r>
        <w:rPr/>
        <w:t>to</w:t>
      </w:r>
      <w:r>
        <w:rPr>
          <w:spacing w:val="-2"/>
        </w:rPr>
        <w:t> </w:t>
      </w:r>
      <w:r>
        <w:rPr/>
        <w:t>1961-62.</w:t>
      </w:r>
      <w:r>
        <w:rPr>
          <w:spacing w:val="40"/>
        </w:rPr>
        <w:t> </w:t>
      </w:r>
      <w:r>
        <w:rPr/>
        <w:t>Taken</w:t>
      </w:r>
      <w:r>
        <w:rPr>
          <w:spacing w:val="-2"/>
        </w:rPr>
        <w:t> </w:t>
      </w:r>
      <w:r>
        <w:rPr/>
        <w:t>from</w:t>
      </w:r>
      <w:r>
        <w:rPr>
          <w:spacing w:val="-2"/>
        </w:rPr>
        <w:t> </w:t>
      </w:r>
      <w:r>
        <w:rPr/>
        <w:t>the</w:t>
      </w:r>
      <w:r>
        <w:rPr>
          <w:spacing w:val="-2"/>
        </w:rPr>
        <w:t> </w:t>
      </w:r>
      <w:r>
        <w:rPr/>
        <w:t>memoranda</w:t>
      </w:r>
      <w:r>
        <w:rPr>
          <w:spacing w:val="-2"/>
        </w:rPr>
        <w:t> </w:t>
      </w:r>
      <w:r>
        <w:rPr/>
        <w:t>of</w:t>
      </w:r>
      <w:r>
        <w:rPr>
          <w:spacing w:val="-2"/>
        </w:rPr>
        <w:t> </w:t>
      </w:r>
      <w:r>
        <w:rPr/>
        <w:t>the</w:t>
      </w:r>
      <w:r>
        <w:rPr>
          <w:spacing w:val="-2"/>
        </w:rPr>
        <w:t> </w:t>
      </w:r>
      <w:r>
        <w:rPr/>
        <w:t>State</w:t>
      </w:r>
      <w:r>
        <w:rPr>
          <w:spacing w:val="-2"/>
        </w:rPr>
        <w:t> </w:t>
      </w:r>
      <w:r>
        <w:rPr/>
        <w:t>Government</w:t>
      </w:r>
      <w:r>
        <w:rPr>
          <w:spacing w:val="-2"/>
        </w:rPr>
        <w:t> </w:t>
      </w:r>
      <w:r>
        <w:rPr/>
        <w:t>to</w:t>
      </w:r>
      <w:r>
        <w:rPr>
          <w:spacing w:val="-2"/>
        </w:rPr>
        <w:t> </w:t>
      </w:r>
      <w:r>
        <w:rPr/>
        <w:t>the Education Commission.</w:t>
      </w:r>
    </w:p>
    <w:p>
      <w:pPr>
        <w:pStyle w:val="BodyText"/>
        <w:tabs>
          <w:tab w:pos="620" w:val="left" w:leader="none"/>
        </w:tabs>
        <w:ind w:left="159"/>
      </w:pPr>
      <w:r>
        <w:rPr>
          <w:spacing w:val="-5"/>
        </w:rPr>
        <w:t>B.</w:t>
      </w:r>
      <w:r>
        <w:rPr/>
        <w:tab/>
        <w:t>Figures</w:t>
      </w:r>
      <w:r>
        <w:rPr>
          <w:spacing w:val="-1"/>
        </w:rPr>
        <w:t> </w:t>
      </w:r>
      <w:r>
        <w:rPr/>
        <w:t>are </w:t>
      </w:r>
      <w:r>
        <w:rPr>
          <w:spacing w:val="-2"/>
        </w:rPr>
        <w:t>estimated.</w:t>
      </w:r>
    </w:p>
    <w:p>
      <w:pPr>
        <w:pStyle w:val="ListParagraph"/>
        <w:numPr>
          <w:ilvl w:val="0"/>
          <w:numId w:val="81"/>
        </w:numPr>
        <w:tabs>
          <w:tab w:pos="565" w:val="left" w:leader="none"/>
        </w:tabs>
        <w:spacing w:line="240" w:lineRule="auto" w:before="0" w:after="0"/>
        <w:ind w:left="565" w:right="0" w:hanging="406"/>
        <w:jc w:val="left"/>
        <w:rPr>
          <w:sz w:val="24"/>
        </w:rPr>
      </w:pPr>
      <w:r>
        <w:rPr>
          <w:sz w:val="24"/>
        </w:rPr>
        <w:t>Figures</w:t>
      </w:r>
      <w:r>
        <w:rPr>
          <w:spacing w:val="-1"/>
          <w:sz w:val="24"/>
        </w:rPr>
        <w:t> </w:t>
      </w:r>
      <w:r>
        <w:rPr>
          <w:sz w:val="24"/>
        </w:rPr>
        <w:t>relate</w:t>
      </w:r>
      <w:r>
        <w:rPr>
          <w:spacing w:val="-1"/>
          <w:sz w:val="24"/>
        </w:rPr>
        <w:t> </w:t>
      </w:r>
      <w:r>
        <w:rPr>
          <w:sz w:val="24"/>
        </w:rPr>
        <w:t>to</w:t>
      </w:r>
      <w:r>
        <w:rPr>
          <w:spacing w:val="-1"/>
          <w:sz w:val="24"/>
        </w:rPr>
        <w:t> </w:t>
      </w:r>
      <w:r>
        <w:rPr>
          <w:sz w:val="24"/>
        </w:rPr>
        <w:t>1964-</w:t>
      </w:r>
      <w:r>
        <w:rPr>
          <w:spacing w:val="-5"/>
          <w:sz w:val="24"/>
        </w:rPr>
        <w:t>65.</w:t>
      </w:r>
    </w:p>
    <w:p>
      <w:pPr>
        <w:pStyle w:val="ListParagraph"/>
        <w:numPr>
          <w:ilvl w:val="0"/>
          <w:numId w:val="81"/>
        </w:numPr>
        <w:tabs>
          <w:tab w:pos="579" w:val="left" w:leader="none"/>
        </w:tabs>
        <w:spacing w:line="240" w:lineRule="auto" w:before="0" w:after="0"/>
        <w:ind w:left="579" w:right="0" w:hanging="420"/>
        <w:jc w:val="left"/>
        <w:rPr>
          <w:sz w:val="24"/>
        </w:rPr>
      </w:pPr>
      <w:r>
        <w:rPr>
          <w:sz w:val="24"/>
        </w:rPr>
        <w:t>Figures</w:t>
      </w:r>
      <w:r>
        <w:rPr>
          <w:spacing w:val="-1"/>
          <w:sz w:val="24"/>
        </w:rPr>
        <w:t> </w:t>
      </w:r>
      <w:r>
        <w:rPr>
          <w:sz w:val="24"/>
        </w:rPr>
        <w:t>relate</w:t>
      </w:r>
      <w:r>
        <w:rPr>
          <w:spacing w:val="-1"/>
          <w:sz w:val="24"/>
        </w:rPr>
        <w:t> </w:t>
      </w:r>
      <w:r>
        <w:rPr>
          <w:sz w:val="24"/>
        </w:rPr>
        <w:t>to</w:t>
      </w:r>
      <w:r>
        <w:rPr>
          <w:spacing w:val="-1"/>
          <w:sz w:val="24"/>
        </w:rPr>
        <w:t> </w:t>
      </w:r>
      <w:r>
        <w:rPr>
          <w:sz w:val="24"/>
        </w:rPr>
        <w:t>1963-</w:t>
      </w:r>
      <w:r>
        <w:rPr>
          <w:spacing w:val="-5"/>
          <w:sz w:val="24"/>
        </w:rPr>
        <w:t>64.</w:t>
      </w:r>
    </w:p>
    <w:p>
      <w:pPr>
        <w:pStyle w:val="BodyText"/>
      </w:pPr>
    </w:p>
    <w:p>
      <w:pPr>
        <w:pStyle w:val="BodyText"/>
      </w:pPr>
    </w:p>
    <w:p>
      <w:pPr>
        <w:pStyle w:val="BodyText"/>
        <w:spacing w:before="5"/>
      </w:pPr>
    </w:p>
    <w:p>
      <w:pPr>
        <w:pStyle w:val="BodyText"/>
        <w:ind w:left="159" w:right="496"/>
        <w:jc w:val="both"/>
      </w:pPr>
      <w:r>
        <w:rPr/>
        <w:t>or receives such training within three years. It would, therefore, be necessary for each State to prepare a plan for the expansion of training facilities after taking into consideration all relevant factors including the need for in-service education.</w:t>
      </w:r>
    </w:p>
    <w:p>
      <w:pPr>
        <w:pStyle w:val="BodyText"/>
        <w:spacing w:before="2"/>
      </w:pPr>
    </w:p>
    <w:p>
      <w:pPr>
        <w:pStyle w:val="BodyText"/>
        <w:spacing w:before="1"/>
        <w:ind w:left="159" w:right="495"/>
        <w:jc w:val="both"/>
      </w:pPr>
      <w:r>
        <w:rPr/>
        <w:t>In preparing these plans, the following points should be kept in view: (1) Expansion of Facilities. The objective should be to so expand training facilities that, by the end of the Fourth Plan, the output of trained teachers in any given year would be equal to the demand for additional teachers in the following year.</w:t>
      </w:r>
    </w:p>
    <w:p>
      <w:pPr>
        <w:pStyle w:val="BodyText"/>
        <w:spacing w:before="3"/>
      </w:pPr>
    </w:p>
    <w:p>
      <w:pPr>
        <w:pStyle w:val="ListParagraph"/>
        <w:numPr>
          <w:ilvl w:val="0"/>
          <w:numId w:val="82"/>
        </w:numPr>
        <w:tabs>
          <w:tab w:pos="519" w:val="left" w:leader="none"/>
        </w:tabs>
        <w:spacing w:line="240" w:lineRule="auto" w:before="0" w:after="0"/>
        <w:ind w:left="159" w:right="496" w:firstLine="0"/>
        <w:jc w:val="both"/>
        <w:rPr>
          <w:sz w:val="24"/>
        </w:rPr>
      </w:pPr>
      <w:r>
        <w:rPr>
          <w:sz w:val="24"/>
        </w:rPr>
        <w:t>Part-time Facilities. As large a part as possible of the total training facilities needed should be provided in full-time training institutions of large size. However, as the capital costs of this programme are very heavy, it may not be possible to provide all the facilities needed on a whole-time basis. The policy to be adopted, therefore, should be to ensure that the quality of full-time institutions is not diluted and that supplementary facilities are provided through such measures as the following:</w:t>
      </w:r>
    </w:p>
    <w:p>
      <w:pPr>
        <w:spacing w:after="0" w:line="240" w:lineRule="auto"/>
        <w:jc w:val="both"/>
        <w:rPr>
          <w:sz w:val="24"/>
        </w:rPr>
        <w:sectPr>
          <w:type w:val="continuous"/>
          <w:pgSz w:w="12240" w:h="15840"/>
          <w:pgMar w:header="0" w:footer="743" w:top="1700" w:bottom="940" w:left="1640" w:right="1300"/>
        </w:sectPr>
      </w:pPr>
    </w:p>
    <w:p>
      <w:pPr>
        <w:pStyle w:val="BodyText"/>
        <w:ind w:left="759"/>
        <w:rPr>
          <w:sz w:val="20"/>
        </w:rPr>
      </w:pPr>
      <w:r>
        <w:rPr>
          <w:sz w:val="20"/>
        </w:rPr>
        <w:drawing>
          <wp:inline distT="0" distB="0" distL="0" distR="0">
            <wp:extent cx="5101632" cy="7817262"/>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13" cstate="print"/>
                    <a:stretch>
                      <a:fillRect/>
                    </a:stretch>
                  </pic:blipFill>
                  <pic:spPr>
                    <a:xfrm>
                      <a:off x="0" y="0"/>
                      <a:ext cx="5101632" cy="7817262"/>
                    </a:xfrm>
                    <a:prstGeom prst="rect">
                      <a:avLst/>
                    </a:prstGeom>
                  </pic:spPr>
                </pic:pic>
              </a:graphicData>
            </a:graphic>
          </wp:inline>
        </w:drawing>
      </w:r>
      <w:r>
        <w:rPr>
          <w:sz w:val="20"/>
        </w:rPr>
      </w:r>
    </w:p>
    <w:p>
      <w:pPr>
        <w:spacing w:after="0"/>
        <w:rPr>
          <w:sz w:val="20"/>
        </w:rPr>
        <w:sectPr>
          <w:pgSz w:w="12240" w:h="15840"/>
          <w:pgMar w:header="0" w:footer="743" w:top="1500" w:bottom="940" w:left="1640" w:right="1300"/>
        </w:sectPr>
      </w:pPr>
    </w:p>
    <w:p>
      <w:pPr>
        <w:pStyle w:val="ListParagraph"/>
        <w:numPr>
          <w:ilvl w:val="1"/>
          <w:numId w:val="82"/>
        </w:numPr>
        <w:tabs>
          <w:tab w:pos="649" w:val="left" w:leader="none"/>
        </w:tabs>
        <w:spacing w:line="240" w:lineRule="auto" w:before="76" w:after="0"/>
        <w:ind w:left="160" w:right="496" w:firstLine="60"/>
        <w:jc w:val="both"/>
        <w:rPr>
          <w:sz w:val="24"/>
        </w:rPr>
      </w:pPr>
      <w:r>
        <w:rPr>
          <w:sz w:val="24"/>
        </w:rPr>
        <w:t>CORRESPONDENCE EDUCATION. In each State, at least one centre for correspondence education should be established, preferably in the State Institute </w:t>
      </w:r>
      <w:r>
        <w:rPr>
          <w:sz w:val="24"/>
        </w:rPr>
        <w:t>of Education. It should provide pre-service courses and, in addition offer courses of in- service education for all teachers.</w:t>
      </w:r>
    </w:p>
    <w:p>
      <w:pPr>
        <w:pStyle w:val="BodyText"/>
        <w:spacing w:before="4"/>
      </w:pPr>
    </w:p>
    <w:p>
      <w:pPr>
        <w:pStyle w:val="ListParagraph"/>
        <w:numPr>
          <w:ilvl w:val="1"/>
          <w:numId w:val="82"/>
        </w:numPr>
        <w:tabs>
          <w:tab w:pos="534" w:val="left" w:leader="none"/>
        </w:tabs>
        <w:spacing w:line="240" w:lineRule="auto" w:before="0" w:after="0"/>
        <w:ind w:left="160" w:right="497" w:firstLine="0"/>
        <w:jc w:val="both"/>
        <w:rPr>
          <w:sz w:val="24"/>
        </w:rPr>
      </w:pPr>
      <w:r>
        <w:rPr>
          <w:sz w:val="24"/>
        </w:rPr>
        <w:t>EVENING OR PART-TIME COURSES. In all big cities of 100,000 or more, the number of teachers would be large enough to justify the institution of part-time or</w:t>
      </w:r>
      <w:r>
        <w:rPr>
          <w:spacing w:val="40"/>
          <w:sz w:val="24"/>
        </w:rPr>
        <w:t> </w:t>
      </w:r>
      <w:r>
        <w:rPr>
          <w:sz w:val="24"/>
        </w:rPr>
        <w:t>evening courses. Those facilities would be of great value in clearing the backlog of untrained teachers.</w:t>
      </w:r>
    </w:p>
    <w:p>
      <w:pPr>
        <w:pStyle w:val="BodyText"/>
        <w:spacing w:before="5"/>
      </w:pPr>
    </w:p>
    <w:p>
      <w:pPr>
        <w:pStyle w:val="ListParagraph"/>
        <w:numPr>
          <w:ilvl w:val="0"/>
          <w:numId w:val="82"/>
        </w:numPr>
        <w:tabs>
          <w:tab w:pos="515" w:val="left" w:leader="none"/>
        </w:tabs>
        <w:spacing w:line="240" w:lineRule="auto" w:before="0" w:after="0"/>
        <w:ind w:left="160" w:right="497" w:firstLine="0"/>
        <w:jc w:val="both"/>
        <w:rPr>
          <w:sz w:val="24"/>
        </w:rPr>
      </w:pPr>
      <w:r>
        <w:rPr>
          <w:sz w:val="24"/>
        </w:rPr>
        <w:t>Clearance of Backlog. Another important objective of the plan should be to clear up the backlog of untrained teachers as early as possible, preferably within a period of five years. We collected data from 29 districts about the age-wise break-up of </w:t>
      </w:r>
      <w:r>
        <w:rPr>
          <w:sz w:val="24"/>
        </w:rPr>
        <w:t>untrained teachers according to age-groups and the results are given in Table 4.3.</w:t>
      </w:r>
    </w:p>
    <w:p>
      <w:pPr>
        <w:pStyle w:val="BodyText"/>
        <w:spacing w:before="4"/>
      </w:pPr>
    </w:p>
    <w:p>
      <w:pPr>
        <w:pStyle w:val="BodyText"/>
        <w:ind w:left="160" w:right="495"/>
        <w:jc w:val="both"/>
      </w:pPr>
      <w:r>
        <w:rPr/>
        <w:t>It will be seen that the bulk of the untrained teachers are below the age of 30 years. The proportion of teachers above the age of 40 years is comparatively very small. It would, therefore, be desirable to relate the policies with regard to the training of these teachers, partly to their age and partly to the total service they have put in. From</w:t>
      </w:r>
      <w:r>
        <w:rPr>
          <w:spacing w:val="-2"/>
        </w:rPr>
        <w:t> </w:t>
      </w:r>
      <w:r>
        <w:rPr/>
        <w:t>this point of view, we make the following recommendations:</w:t>
      </w:r>
    </w:p>
    <w:p>
      <w:pPr>
        <w:pStyle w:val="BodyText"/>
        <w:spacing w:before="3"/>
      </w:pPr>
    </w:p>
    <w:p>
      <w:pPr>
        <w:pStyle w:val="ListParagraph"/>
        <w:numPr>
          <w:ilvl w:val="1"/>
          <w:numId w:val="82"/>
        </w:numPr>
        <w:tabs>
          <w:tab w:pos="529" w:val="left" w:leader="none"/>
        </w:tabs>
        <w:spacing w:line="240" w:lineRule="auto" w:before="1" w:after="0"/>
        <w:ind w:left="160" w:right="495" w:firstLine="0"/>
        <w:jc w:val="both"/>
        <w:rPr>
          <w:sz w:val="24"/>
        </w:rPr>
      </w:pPr>
      <w:r>
        <w:rPr>
          <w:sz w:val="24"/>
        </w:rPr>
        <w:t>There is hardly any purpose in compelling teachers above the age of 40 years to undergo the full period of training. We recommend that, if they have had at least five years of service, they may be given only a short course and deemed trained.</w:t>
      </w:r>
    </w:p>
    <w:p>
      <w:pPr>
        <w:pStyle w:val="BodyText"/>
        <w:spacing w:before="4"/>
      </w:pPr>
    </w:p>
    <w:p>
      <w:pPr>
        <w:pStyle w:val="ListParagraph"/>
        <w:numPr>
          <w:ilvl w:val="1"/>
          <w:numId w:val="82"/>
        </w:numPr>
        <w:tabs>
          <w:tab w:pos="499" w:val="left" w:leader="none"/>
        </w:tabs>
        <w:spacing w:line="240" w:lineRule="auto" w:before="0" w:after="0"/>
        <w:ind w:left="499" w:right="0" w:hanging="339"/>
        <w:jc w:val="both"/>
        <w:rPr>
          <w:sz w:val="24"/>
        </w:rPr>
      </w:pPr>
      <w:r>
        <w:rPr>
          <w:sz w:val="24"/>
        </w:rPr>
        <w:t>Teachers</w:t>
      </w:r>
      <w:r>
        <w:rPr>
          <w:spacing w:val="-3"/>
          <w:sz w:val="24"/>
        </w:rPr>
        <w:t> </w:t>
      </w:r>
      <w:r>
        <w:rPr>
          <w:sz w:val="24"/>
        </w:rPr>
        <w:t>below 40 years of age, who</w:t>
      </w:r>
      <w:r>
        <w:rPr>
          <w:spacing w:val="-1"/>
          <w:sz w:val="24"/>
        </w:rPr>
        <w:t> </w:t>
      </w:r>
      <w:r>
        <w:rPr>
          <w:sz w:val="24"/>
        </w:rPr>
        <w:t>have put in at least 5</w:t>
      </w:r>
      <w:r>
        <w:rPr>
          <w:spacing w:val="-2"/>
          <w:sz w:val="24"/>
        </w:rPr>
        <w:t> years</w:t>
      </w:r>
    </w:p>
    <w:p>
      <w:pPr>
        <w:pStyle w:val="BodyText"/>
        <w:spacing w:before="4"/>
      </w:pPr>
    </w:p>
    <w:p>
      <w:pPr>
        <w:spacing w:before="0"/>
        <w:ind w:left="290" w:right="630" w:firstLine="0"/>
        <w:jc w:val="center"/>
        <w:rPr>
          <w:sz w:val="20"/>
        </w:rPr>
      </w:pPr>
      <w:r>
        <w:rPr>
          <w:sz w:val="20"/>
        </w:rPr>
        <w:t>TABLE</w:t>
      </w:r>
      <w:r>
        <w:rPr>
          <w:spacing w:val="-6"/>
          <w:sz w:val="20"/>
        </w:rPr>
        <w:t> </w:t>
      </w:r>
      <w:r>
        <w:rPr>
          <w:sz w:val="20"/>
        </w:rPr>
        <w:t>4.3.</w:t>
      </w:r>
      <w:r>
        <w:rPr>
          <w:spacing w:val="-5"/>
          <w:sz w:val="20"/>
        </w:rPr>
        <w:t> </w:t>
      </w:r>
      <w:r>
        <w:rPr>
          <w:sz w:val="20"/>
        </w:rPr>
        <w:t>UNTRAINED</w:t>
      </w:r>
      <w:r>
        <w:rPr>
          <w:spacing w:val="-4"/>
          <w:sz w:val="20"/>
        </w:rPr>
        <w:t> </w:t>
      </w:r>
      <w:r>
        <w:rPr>
          <w:sz w:val="20"/>
        </w:rPr>
        <w:t>TEACHERS</w:t>
      </w:r>
      <w:r>
        <w:rPr>
          <w:spacing w:val="-5"/>
          <w:sz w:val="20"/>
        </w:rPr>
        <w:t> </w:t>
      </w:r>
      <w:r>
        <w:rPr>
          <w:sz w:val="20"/>
        </w:rPr>
        <w:t>BY</w:t>
      </w:r>
      <w:r>
        <w:rPr>
          <w:spacing w:val="-5"/>
          <w:sz w:val="20"/>
        </w:rPr>
        <w:t> </w:t>
      </w:r>
      <w:r>
        <w:rPr>
          <w:sz w:val="20"/>
        </w:rPr>
        <w:t>AGE-GROUP</w:t>
      </w:r>
      <w:r>
        <w:rPr>
          <w:spacing w:val="-4"/>
          <w:sz w:val="20"/>
        </w:rPr>
        <w:t> </w:t>
      </w:r>
      <w:r>
        <w:rPr>
          <w:spacing w:val="-2"/>
          <w:sz w:val="20"/>
        </w:rPr>
        <w:t>(1965)</w:t>
      </w:r>
    </w:p>
    <w:p>
      <w:pPr>
        <w:pStyle w:val="BodyText"/>
        <w:spacing w:before="1"/>
        <w:rPr>
          <w:sz w:val="11"/>
        </w:rPr>
      </w:pPr>
      <w:r>
        <w:rPr/>
        <mc:AlternateContent>
          <mc:Choice Requires="wps">
            <w:drawing>
              <wp:anchor distT="0" distB="0" distL="0" distR="0" allowOverlap="1" layoutInCell="1" locked="0" behindDoc="1" simplePos="0" relativeHeight="487605248">
                <wp:simplePos x="0" y="0"/>
                <wp:positionH relativeFrom="page">
                  <wp:posOffset>1143000</wp:posOffset>
                </wp:positionH>
                <wp:positionV relativeFrom="paragraph">
                  <wp:posOffset>96299</wp:posOffset>
                </wp:positionV>
                <wp:extent cx="5486400" cy="1905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5486400" cy="19050"/>
                          <a:chExt cx="5486400" cy="19050"/>
                        </a:xfrm>
                      </wpg:grpSpPr>
                      <wps:wsp>
                        <wps:cNvPr id="209" name="Graphic 209"/>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10" name="Graphic 210"/>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11" name="Graphic 211"/>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12" name="Graphic 212"/>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13" name="Graphic 213"/>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14" name="Graphic 214"/>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215" name="Graphic 215"/>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7.582617pt;width:432pt;height:1.5pt;mso-position-horizontal-relative:page;mso-position-vertical-relative:paragraph;z-index:-15711232;mso-wrap-distance-left:0;mso-wrap-distance-right:0" id="docshapegroup201" coordorigin="1800,152" coordsize="8640,30">
                <v:rect style="position:absolute;left:1800;top:151;width:8640;height:30" id="docshape202" filled="true" fillcolor="#808080" stroked="false">
                  <v:fill type="solid"/>
                </v:rect>
                <v:shape style="position:absolute;left:1800;top:151;width:8636;height:5" id="docshape203" coordorigin="1800,152" coordsize="8636,5" path="m10435,152l1805,152,1800,152,1800,156,1805,156,10435,156,10435,152xe" filled="true" fillcolor="#aca89a" stroked="false">
                  <v:path arrowok="t"/>
                  <v:fill type="solid"/>
                </v:shape>
                <v:rect style="position:absolute;left:10435;top:151;width:5;height:5" id="docshape204" filled="true" fillcolor="#f1efe2" stroked="false">
                  <v:fill type="solid"/>
                </v:rect>
                <v:shape style="position:absolute;left:1800;top:151;width:8640;height:26" id="docshape205" coordorigin="1800,152" coordsize="8640,26" path="m1805,156l1800,156,1800,177,1805,177,1805,156xm10440,152l10435,152,10435,156,10440,156,10440,152xe" filled="true" fillcolor="#aca89a" stroked="false">
                  <v:path arrowok="t"/>
                  <v:fill type="solid"/>
                </v:shape>
                <v:rect style="position:absolute;left:10435;top:156;width:5;height:21" id="docshape206" filled="true" fillcolor="#f1efe2" stroked="false">
                  <v:fill type="solid"/>
                </v:rect>
                <v:rect style="position:absolute;left:1800;top:176;width:5;height:5" id="docshape207" filled="true" fillcolor="#aca89a" stroked="false">
                  <v:fill type="solid"/>
                </v:rect>
                <v:shape style="position:absolute;left:1800;top:176;width:8640;height:5" id="docshape208" coordorigin="1800,177" coordsize="8640,5" path="m10440,177l10435,177,1800,177,1800,182,10435,182,10440,182,10440,177xe" filled="true" fillcolor="#f1efe2" stroked="false">
                  <v:path arrowok="t"/>
                  <v:fill type="solid"/>
                </v:shape>
                <w10:wrap type="topAndBottom"/>
              </v:group>
            </w:pict>
          </mc:Fallback>
        </mc:AlternateContent>
      </w:r>
    </w:p>
    <w:p>
      <w:pPr>
        <w:tabs>
          <w:tab w:pos="2906" w:val="left" w:leader="none"/>
        </w:tabs>
        <w:spacing w:before="48"/>
        <w:ind w:left="159" w:right="0" w:firstLine="0"/>
        <w:jc w:val="left"/>
        <w:rPr>
          <w:sz w:val="20"/>
        </w:rPr>
      </w:pPr>
      <w:r>
        <w:rPr>
          <w:spacing w:val="-5"/>
          <w:sz w:val="20"/>
        </w:rPr>
        <w:t>Age</w:t>
      </w:r>
      <w:r>
        <w:rPr>
          <w:sz w:val="20"/>
        </w:rPr>
        <w:tab/>
        <w:t>Percentage</w:t>
      </w:r>
      <w:r>
        <w:rPr>
          <w:spacing w:val="-9"/>
          <w:sz w:val="20"/>
        </w:rPr>
        <w:t> </w:t>
      </w:r>
      <w:r>
        <w:rPr>
          <w:sz w:val="20"/>
        </w:rPr>
        <w:t>of</w:t>
      </w:r>
      <w:r>
        <w:rPr>
          <w:spacing w:val="-7"/>
          <w:sz w:val="20"/>
        </w:rPr>
        <w:t> </w:t>
      </w:r>
      <w:r>
        <w:rPr>
          <w:sz w:val="20"/>
        </w:rPr>
        <w:t>untrained</w:t>
      </w:r>
      <w:r>
        <w:rPr>
          <w:spacing w:val="-4"/>
          <w:sz w:val="20"/>
        </w:rPr>
        <w:t> </w:t>
      </w:r>
      <w:r>
        <w:rPr>
          <w:sz w:val="20"/>
        </w:rPr>
        <w:t>teachers</w:t>
      </w:r>
      <w:r>
        <w:rPr>
          <w:spacing w:val="-6"/>
          <w:sz w:val="20"/>
        </w:rPr>
        <w:t> </w:t>
      </w:r>
      <w:r>
        <w:rPr>
          <w:sz w:val="20"/>
        </w:rPr>
        <w:t>in</w:t>
      </w:r>
      <w:r>
        <w:rPr>
          <w:spacing w:val="-6"/>
          <w:sz w:val="20"/>
        </w:rPr>
        <w:t> </w:t>
      </w:r>
      <w:r>
        <w:rPr>
          <w:sz w:val="20"/>
        </w:rPr>
        <w:t>the</w:t>
      </w:r>
      <w:r>
        <w:rPr>
          <w:spacing w:val="-5"/>
          <w:sz w:val="20"/>
        </w:rPr>
        <w:t> </w:t>
      </w:r>
      <w:r>
        <w:rPr>
          <w:sz w:val="20"/>
        </w:rPr>
        <w:t>age-</w:t>
      </w:r>
      <w:r>
        <w:rPr>
          <w:spacing w:val="-2"/>
          <w:sz w:val="20"/>
        </w:rPr>
        <w:t>group</w:t>
      </w:r>
    </w:p>
    <w:p>
      <w:pPr>
        <w:pStyle w:val="BodyText"/>
        <w:spacing w:before="8"/>
        <w:rPr>
          <w:sz w:val="19"/>
        </w:rPr>
      </w:pPr>
    </w:p>
    <w:tbl>
      <w:tblPr>
        <w:tblW w:w="0" w:type="auto"/>
        <w:jc w:val="left"/>
        <w:tblInd w:w="1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8"/>
        <w:gridCol w:w="3399"/>
        <w:gridCol w:w="1017"/>
      </w:tblGrid>
      <w:tr>
        <w:trPr>
          <w:trHeight w:val="232" w:hRule="atLeast"/>
        </w:trPr>
        <w:tc>
          <w:tcPr>
            <w:tcW w:w="2308" w:type="dxa"/>
            <w:tcBorders>
              <w:top w:val="single" w:sz="4" w:space="0" w:color="000000"/>
            </w:tcBorders>
          </w:tcPr>
          <w:p>
            <w:pPr>
              <w:pStyle w:val="TableParagraph"/>
              <w:spacing w:line="213" w:lineRule="exact"/>
              <w:ind w:left="332"/>
              <w:rPr>
                <w:sz w:val="20"/>
              </w:rPr>
            </w:pPr>
            <w:r>
              <w:rPr>
                <w:sz w:val="20"/>
              </w:rPr>
              <w:t>Lower</w:t>
            </w:r>
            <w:r>
              <w:rPr>
                <w:spacing w:val="-5"/>
                <w:sz w:val="20"/>
              </w:rPr>
              <w:t> </w:t>
            </w:r>
            <w:r>
              <w:rPr>
                <w:spacing w:val="-2"/>
                <w:sz w:val="20"/>
              </w:rPr>
              <w:t>primary</w:t>
            </w:r>
          </w:p>
        </w:tc>
        <w:tc>
          <w:tcPr>
            <w:tcW w:w="3399" w:type="dxa"/>
            <w:tcBorders>
              <w:top w:val="single" w:sz="4" w:space="0" w:color="000000"/>
            </w:tcBorders>
          </w:tcPr>
          <w:p>
            <w:pPr>
              <w:pStyle w:val="TableParagraph"/>
              <w:spacing w:line="213" w:lineRule="exact"/>
              <w:ind w:left="771"/>
              <w:rPr>
                <w:sz w:val="20"/>
              </w:rPr>
            </w:pPr>
            <w:r>
              <w:rPr>
                <w:sz w:val="20"/>
              </w:rPr>
              <w:t>Higher</w:t>
            </w:r>
            <w:r>
              <w:rPr>
                <w:spacing w:val="-5"/>
                <w:sz w:val="20"/>
              </w:rPr>
              <w:t> </w:t>
            </w:r>
            <w:r>
              <w:rPr>
                <w:spacing w:val="-2"/>
                <w:sz w:val="20"/>
              </w:rPr>
              <w:t>primary</w:t>
            </w:r>
          </w:p>
        </w:tc>
        <w:tc>
          <w:tcPr>
            <w:tcW w:w="1017" w:type="dxa"/>
          </w:tcPr>
          <w:p>
            <w:pPr>
              <w:pStyle w:val="TableParagraph"/>
              <w:spacing w:line="213" w:lineRule="exact"/>
              <w:ind w:left="122"/>
              <w:rPr>
                <w:sz w:val="20"/>
              </w:rPr>
            </w:pPr>
            <w:r>
              <w:rPr>
                <w:spacing w:val="-2"/>
                <w:sz w:val="20"/>
              </w:rPr>
              <w:t>Secondary</w:t>
            </w:r>
          </w:p>
        </w:tc>
      </w:tr>
      <w:tr>
        <w:trPr>
          <w:trHeight w:val="226" w:hRule="atLeast"/>
        </w:trPr>
        <w:tc>
          <w:tcPr>
            <w:tcW w:w="2308" w:type="dxa"/>
          </w:tcPr>
          <w:p>
            <w:pPr>
              <w:pStyle w:val="TableParagraph"/>
              <w:spacing w:line="206" w:lineRule="exact"/>
              <w:ind w:left="51"/>
              <w:rPr>
                <w:sz w:val="20"/>
              </w:rPr>
            </w:pPr>
            <w:r>
              <w:rPr>
                <w:spacing w:val="-2"/>
                <w:sz w:val="20"/>
              </w:rPr>
              <w:t>schools</w:t>
            </w:r>
          </w:p>
        </w:tc>
        <w:tc>
          <w:tcPr>
            <w:tcW w:w="3399" w:type="dxa"/>
          </w:tcPr>
          <w:p>
            <w:pPr>
              <w:pStyle w:val="TableParagraph"/>
              <w:spacing w:line="206" w:lineRule="exact"/>
              <w:ind w:left="774"/>
              <w:rPr>
                <w:sz w:val="20"/>
              </w:rPr>
            </w:pPr>
            <w:r>
              <w:rPr>
                <w:spacing w:val="-2"/>
                <w:sz w:val="20"/>
              </w:rPr>
              <w:t>schools</w:t>
            </w:r>
          </w:p>
        </w:tc>
        <w:tc>
          <w:tcPr>
            <w:tcW w:w="1017" w:type="dxa"/>
          </w:tcPr>
          <w:p>
            <w:pPr>
              <w:pStyle w:val="TableParagraph"/>
              <w:spacing w:line="206" w:lineRule="exact"/>
              <w:ind w:left="124"/>
              <w:rPr>
                <w:sz w:val="20"/>
              </w:rPr>
            </w:pPr>
            <w:r>
              <w:rPr>
                <w:spacing w:val="-2"/>
                <w:sz w:val="20"/>
              </w:rPr>
              <w:t>schools</w:t>
            </w:r>
          </w:p>
        </w:tc>
      </w:tr>
    </w:tbl>
    <w:p>
      <w:pPr>
        <w:pStyle w:val="BodyText"/>
        <w:spacing w:before="1"/>
        <w:rPr>
          <w:sz w:val="17"/>
        </w:rPr>
      </w:pPr>
      <w:r>
        <w:rPr/>
        <mc:AlternateContent>
          <mc:Choice Requires="wps">
            <w:drawing>
              <wp:anchor distT="0" distB="0" distL="0" distR="0" allowOverlap="1" layoutInCell="1" locked="0" behindDoc="1" simplePos="0" relativeHeight="487605760">
                <wp:simplePos x="0" y="0"/>
                <wp:positionH relativeFrom="page">
                  <wp:posOffset>2064250</wp:posOffset>
                </wp:positionH>
                <wp:positionV relativeFrom="paragraph">
                  <wp:posOffset>140204</wp:posOffset>
                </wp:positionV>
                <wp:extent cx="953769"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953769" cy="1270"/>
                        </a:xfrm>
                        <a:custGeom>
                          <a:avLst/>
                          <a:gdLst/>
                          <a:ahLst/>
                          <a:cxnLst/>
                          <a:rect l="l" t="t" r="r" b="b"/>
                          <a:pathLst>
                            <a:path w="953769" h="0">
                              <a:moveTo>
                                <a:pt x="0" y="0"/>
                              </a:moveTo>
                              <a:lnTo>
                                <a:pt x="953272" y="0"/>
                              </a:lnTo>
                            </a:path>
                          </a:pathLst>
                        </a:custGeom>
                        <a:ln w="5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62.539413pt;margin-top:11.039728pt;width:75.1pt;height:.1pt;mso-position-horizontal-relative:page;mso-position-vertical-relative:paragraph;z-index:-15710720;mso-wrap-distance-left:0;mso-wrap-distance-right:0" id="docshape209" coordorigin="3251,221" coordsize="1502,0" path="m3251,221l4752,221e" filled="false" stroked="true" strokeweight=".406749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6272">
                <wp:simplePos x="0" y="0"/>
                <wp:positionH relativeFrom="page">
                  <wp:posOffset>3112632</wp:posOffset>
                </wp:positionH>
                <wp:positionV relativeFrom="paragraph">
                  <wp:posOffset>140204</wp:posOffset>
                </wp:positionV>
                <wp:extent cx="1017905"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1017905" cy="1270"/>
                        </a:xfrm>
                        <a:custGeom>
                          <a:avLst/>
                          <a:gdLst/>
                          <a:ahLst/>
                          <a:cxnLst/>
                          <a:rect l="l" t="t" r="r" b="b"/>
                          <a:pathLst>
                            <a:path w="1017905" h="0">
                              <a:moveTo>
                                <a:pt x="0" y="0"/>
                              </a:moveTo>
                              <a:lnTo>
                                <a:pt x="1017281" y="0"/>
                              </a:lnTo>
                            </a:path>
                          </a:pathLst>
                        </a:custGeom>
                        <a:ln w="5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45.089188pt;margin-top:11.039728pt;width:80.150pt;height:.1pt;mso-position-horizontal-relative:page;mso-position-vertical-relative:paragraph;z-index:-15710208;mso-wrap-distance-left:0;mso-wrap-distance-right:0" id="docshape210" coordorigin="4902,221" coordsize="1603,0" path="m4902,221l6504,221e" filled="false" stroked="true" strokeweight=".406749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06784">
                <wp:simplePos x="0" y="0"/>
                <wp:positionH relativeFrom="page">
                  <wp:posOffset>4320413</wp:posOffset>
                </wp:positionH>
                <wp:positionV relativeFrom="paragraph">
                  <wp:posOffset>140204</wp:posOffset>
                </wp:positionV>
                <wp:extent cx="954405"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954405" cy="1270"/>
                        </a:xfrm>
                        <a:custGeom>
                          <a:avLst/>
                          <a:gdLst/>
                          <a:ahLst/>
                          <a:cxnLst/>
                          <a:rect l="l" t="t" r="r" b="b"/>
                          <a:pathLst>
                            <a:path w="954405" h="0">
                              <a:moveTo>
                                <a:pt x="0" y="0"/>
                              </a:moveTo>
                              <a:lnTo>
                                <a:pt x="953896" y="0"/>
                              </a:lnTo>
                            </a:path>
                          </a:pathLst>
                        </a:custGeom>
                        <a:ln w="516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0.190033pt;margin-top:11.039728pt;width:75.150pt;height:.1pt;mso-position-horizontal-relative:page;mso-position-vertical-relative:paragraph;z-index:-15709696;mso-wrap-distance-left:0;mso-wrap-distance-right:0" id="docshape211" coordorigin="6804,221" coordsize="1503,0" path="m6804,221l8306,221e" filled="false" stroked="true" strokeweight=".406749pt" strokecolor="#000000">
                <v:path arrowok="t"/>
                <v:stroke dashstyle="solid"/>
                <w10:wrap type="topAndBottom"/>
              </v:shape>
            </w:pict>
          </mc:Fallback>
        </mc:AlternateContent>
      </w:r>
    </w:p>
    <w:p>
      <w:pPr>
        <w:tabs>
          <w:tab w:pos="2376" w:val="left" w:leader="none"/>
          <w:tab w:pos="4740" w:val="left" w:leader="none"/>
          <w:tab w:pos="5358" w:val="left" w:leader="none"/>
          <w:tab w:pos="7539" w:val="left" w:leader="none"/>
          <w:tab w:pos="8155" w:val="left" w:leader="none"/>
        </w:tabs>
        <w:spacing w:before="0"/>
        <w:ind w:left="1711" w:right="0" w:firstLine="0"/>
        <w:jc w:val="left"/>
        <w:rPr>
          <w:sz w:val="20"/>
        </w:rPr>
      </w:pPr>
      <w:r>
        <w:rPr>
          <w:spacing w:val="-5"/>
          <w:sz w:val="20"/>
        </w:rPr>
        <w:t>Men</w:t>
      </w:r>
      <w:r>
        <w:rPr>
          <w:sz w:val="20"/>
        </w:rPr>
        <w:tab/>
      </w:r>
      <w:r>
        <w:rPr>
          <w:spacing w:val="-2"/>
          <w:sz w:val="20"/>
        </w:rPr>
        <w:t>Women</w:t>
      </w:r>
      <w:r>
        <w:rPr>
          <w:sz w:val="20"/>
        </w:rPr>
        <w:tab/>
      </w:r>
      <w:r>
        <w:rPr>
          <w:spacing w:val="-5"/>
          <w:sz w:val="20"/>
        </w:rPr>
        <w:t>Men</w:t>
      </w:r>
      <w:r>
        <w:rPr>
          <w:sz w:val="20"/>
        </w:rPr>
        <w:tab/>
      </w:r>
      <w:r>
        <w:rPr>
          <w:spacing w:val="-4"/>
          <w:sz w:val="20"/>
        </w:rPr>
        <w:t>Women</w:t>
      </w:r>
      <w:r>
        <w:rPr>
          <w:sz w:val="20"/>
        </w:rPr>
        <w:tab/>
      </w:r>
      <w:r>
        <w:rPr>
          <w:spacing w:val="-5"/>
          <w:sz w:val="20"/>
        </w:rPr>
        <w:t>Men</w:t>
      </w:r>
      <w:r>
        <w:rPr>
          <w:sz w:val="20"/>
        </w:rPr>
        <w:tab/>
      </w:r>
      <w:r>
        <w:rPr>
          <w:spacing w:val="-2"/>
          <w:sz w:val="20"/>
        </w:rPr>
        <w:t>Women</w:t>
      </w:r>
    </w:p>
    <w:p>
      <w:pPr>
        <w:pStyle w:val="BodyText"/>
        <w:spacing w:before="6"/>
        <w:rPr>
          <w:sz w:val="14"/>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7"/>
        <w:gridCol w:w="617"/>
        <w:gridCol w:w="1447"/>
        <w:gridCol w:w="1274"/>
        <w:gridCol w:w="1423"/>
        <w:gridCol w:w="1323"/>
        <w:gridCol w:w="835"/>
      </w:tblGrid>
      <w:tr>
        <w:trPr>
          <w:trHeight w:val="281" w:hRule="atLeast"/>
        </w:trPr>
        <w:tc>
          <w:tcPr>
            <w:tcW w:w="1717" w:type="dxa"/>
            <w:tcBorders>
              <w:top w:val="single" w:sz="12" w:space="0" w:color="808080"/>
            </w:tcBorders>
          </w:tcPr>
          <w:p>
            <w:pPr>
              <w:pStyle w:val="TableParagraph"/>
              <w:spacing w:line="214" w:lineRule="exact" w:before="47"/>
              <w:ind w:left="-1"/>
              <w:rPr>
                <w:sz w:val="20"/>
              </w:rPr>
            </w:pPr>
            <w:r>
              <w:rPr>
                <w:spacing w:val="-2"/>
                <w:sz w:val="20"/>
              </w:rPr>
              <w:t>Below20</w:t>
            </w:r>
          </w:p>
        </w:tc>
        <w:tc>
          <w:tcPr>
            <w:tcW w:w="617" w:type="dxa"/>
            <w:tcBorders>
              <w:top w:val="single" w:sz="12" w:space="0" w:color="808080"/>
            </w:tcBorders>
          </w:tcPr>
          <w:p>
            <w:pPr>
              <w:pStyle w:val="TableParagraph"/>
              <w:spacing w:line="214" w:lineRule="exact" w:before="47"/>
              <w:ind w:left="117"/>
              <w:rPr>
                <w:sz w:val="20"/>
              </w:rPr>
            </w:pPr>
            <w:r>
              <w:rPr>
                <w:spacing w:val="-5"/>
                <w:sz w:val="20"/>
              </w:rPr>
              <w:t>8.9</w:t>
            </w:r>
          </w:p>
        </w:tc>
        <w:tc>
          <w:tcPr>
            <w:tcW w:w="1447" w:type="dxa"/>
            <w:tcBorders>
              <w:top w:val="single" w:sz="12" w:space="0" w:color="808080"/>
            </w:tcBorders>
          </w:tcPr>
          <w:p>
            <w:pPr>
              <w:pStyle w:val="TableParagraph"/>
              <w:spacing w:line="214" w:lineRule="exact" w:before="47"/>
              <w:ind w:left="50"/>
              <w:rPr>
                <w:sz w:val="20"/>
              </w:rPr>
            </w:pPr>
            <w:r>
              <w:rPr>
                <w:spacing w:val="-4"/>
                <w:sz w:val="20"/>
              </w:rPr>
              <w:t>11.9</w:t>
            </w:r>
          </w:p>
        </w:tc>
        <w:tc>
          <w:tcPr>
            <w:tcW w:w="1274" w:type="dxa"/>
            <w:tcBorders>
              <w:top w:val="single" w:sz="12" w:space="0" w:color="808080"/>
            </w:tcBorders>
          </w:tcPr>
          <w:p>
            <w:pPr>
              <w:pStyle w:val="TableParagraph"/>
              <w:spacing w:line="214" w:lineRule="exact" w:before="47"/>
              <w:ind w:left="801"/>
              <w:rPr>
                <w:sz w:val="20"/>
              </w:rPr>
            </w:pPr>
            <w:r>
              <w:rPr>
                <w:spacing w:val="-4"/>
                <w:sz w:val="20"/>
              </w:rPr>
              <w:t>11.0</w:t>
            </w:r>
          </w:p>
        </w:tc>
        <w:tc>
          <w:tcPr>
            <w:tcW w:w="1423" w:type="dxa"/>
            <w:tcBorders>
              <w:top w:val="single" w:sz="12" w:space="0" w:color="808080"/>
            </w:tcBorders>
          </w:tcPr>
          <w:p>
            <w:pPr>
              <w:pStyle w:val="TableParagraph"/>
              <w:spacing w:line="214" w:lineRule="exact" w:before="47"/>
              <w:ind w:left="128"/>
              <w:rPr>
                <w:sz w:val="20"/>
              </w:rPr>
            </w:pPr>
            <w:r>
              <w:rPr>
                <w:spacing w:val="-5"/>
                <w:sz w:val="20"/>
              </w:rPr>
              <w:t>9.0</w:t>
            </w:r>
          </w:p>
        </w:tc>
        <w:tc>
          <w:tcPr>
            <w:tcW w:w="1323" w:type="dxa"/>
            <w:tcBorders>
              <w:top w:val="single" w:sz="12" w:space="0" w:color="808080"/>
            </w:tcBorders>
          </w:tcPr>
          <w:p>
            <w:pPr>
              <w:pStyle w:val="TableParagraph"/>
              <w:spacing w:line="214" w:lineRule="exact" w:before="47"/>
              <w:ind w:left="903"/>
              <w:rPr>
                <w:sz w:val="20"/>
              </w:rPr>
            </w:pPr>
            <w:r>
              <w:rPr>
                <w:spacing w:val="-5"/>
                <w:sz w:val="20"/>
              </w:rPr>
              <w:t>2.9</w:t>
            </w:r>
          </w:p>
        </w:tc>
        <w:tc>
          <w:tcPr>
            <w:tcW w:w="835" w:type="dxa"/>
            <w:tcBorders>
              <w:top w:val="single" w:sz="12" w:space="0" w:color="808080"/>
            </w:tcBorders>
          </w:tcPr>
          <w:p>
            <w:pPr>
              <w:pStyle w:val="TableParagraph"/>
              <w:spacing w:line="214" w:lineRule="exact" w:before="47"/>
              <w:ind w:left="80"/>
              <w:rPr>
                <w:sz w:val="20"/>
              </w:rPr>
            </w:pPr>
            <w:r>
              <w:rPr>
                <w:spacing w:val="-5"/>
                <w:sz w:val="20"/>
              </w:rPr>
              <w:t>2.5</w:t>
            </w:r>
          </w:p>
        </w:tc>
      </w:tr>
      <w:tr>
        <w:trPr>
          <w:trHeight w:val="230" w:hRule="atLeast"/>
        </w:trPr>
        <w:tc>
          <w:tcPr>
            <w:tcW w:w="1717" w:type="dxa"/>
          </w:tcPr>
          <w:p>
            <w:pPr>
              <w:pStyle w:val="TableParagraph"/>
              <w:spacing w:line="210" w:lineRule="exact"/>
              <w:ind w:left="-1"/>
              <w:rPr>
                <w:sz w:val="20"/>
              </w:rPr>
            </w:pPr>
            <w:r>
              <w:rPr>
                <w:spacing w:val="-2"/>
                <w:sz w:val="20"/>
              </w:rPr>
              <w:t>21-</w:t>
            </w:r>
            <w:r>
              <w:rPr>
                <w:spacing w:val="-7"/>
                <w:sz w:val="20"/>
              </w:rPr>
              <w:t>25</w:t>
            </w:r>
          </w:p>
        </w:tc>
        <w:tc>
          <w:tcPr>
            <w:tcW w:w="617" w:type="dxa"/>
          </w:tcPr>
          <w:p>
            <w:pPr>
              <w:pStyle w:val="TableParagraph"/>
              <w:spacing w:line="210" w:lineRule="exact"/>
              <w:ind w:left="116"/>
              <w:rPr>
                <w:sz w:val="20"/>
              </w:rPr>
            </w:pPr>
            <w:r>
              <w:rPr>
                <w:spacing w:val="-4"/>
                <w:sz w:val="20"/>
              </w:rPr>
              <w:t>40.7</w:t>
            </w:r>
          </w:p>
        </w:tc>
        <w:tc>
          <w:tcPr>
            <w:tcW w:w="1447" w:type="dxa"/>
          </w:tcPr>
          <w:p>
            <w:pPr>
              <w:pStyle w:val="TableParagraph"/>
              <w:spacing w:line="210" w:lineRule="exact"/>
              <w:ind w:left="150"/>
              <w:rPr>
                <w:sz w:val="20"/>
              </w:rPr>
            </w:pPr>
            <w:r>
              <w:rPr>
                <w:spacing w:val="-4"/>
                <w:sz w:val="20"/>
              </w:rPr>
              <w:t>31.7</w:t>
            </w:r>
          </w:p>
        </w:tc>
        <w:tc>
          <w:tcPr>
            <w:tcW w:w="1274" w:type="dxa"/>
          </w:tcPr>
          <w:p>
            <w:pPr>
              <w:pStyle w:val="TableParagraph"/>
              <w:spacing w:line="210" w:lineRule="exact"/>
              <w:ind w:left="799"/>
              <w:rPr>
                <w:sz w:val="20"/>
              </w:rPr>
            </w:pPr>
            <w:r>
              <w:rPr>
                <w:spacing w:val="-4"/>
                <w:sz w:val="20"/>
              </w:rPr>
              <w:t>30.1</w:t>
            </w:r>
          </w:p>
        </w:tc>
        <w:tc>
          <w:tcPr>
            <w:tcW w:w="1423" w:type="dxa"/>
          </w:tcPr>
          <w:p>
            <w:pPr>
              <w:pStyle w:val="TableParagraph"/>
              <w:spacing w:line="210" w:lineRule="exact"/>
              <w:ind w:left="77"/>
              <w:rPr>
                <w:sz w:val="20"/>
              </w:rPr>
            </w:pPr>
            <w:r>
              <w:rPr>
                <w:spacing w:val="-4"/>
                <w:sz w:val="20"/>
              </w:rPr>
              <w:t>30.3</w:t>
            </w:r>
          </w:p>
        </w:tc>
        <w:tc>
          <w:tcPr>
            <w:tcW w:w="1323" w:type="dxa"/>
          </w:tcPr>
          <w:p>
            <w:pPr>
              <w:pStyle w:val="TableParagraph"/>
              <w:spacing w:line="210" w:lineRule="exact"/>
              <w:ind w:left="851"/>
              <w:rPr>
                <w:sz w:val="20"/>
              </w:rPr>
            </w:pPr>
            <w:r>
              <w:rPr>
                <w:spacing w:val="-4"/>
                <w:sz w:val="20"/>
              </w:rPr>
              <w:t>40.3</w:t>
            </w:r>
          </w:p>
        </w:tc>
        <w:tc>
          <w:tcPr>
            <w:tcW w:w="835" w:type="dxa"/>
          </w:tcPr>
          <w:p>
            <w:pPr>
              <w:pStyle w:val="TableParagraph"/>
              <w:spacing w:line="210" w:lineRule="exact"/>
              <w:ind w:left="80"/>
              <w:rPr>
                <w:sz w:val="20"/>
              </w:rPr>
            </w:pPr>
            <w:r>
              <w:rPr>
                <w:spacing w:val="-4"/>
                <w:sz w:val="20"/>
              </w:rPr>
              <w:t>51.0</w:t>
            </w:r>
          </w:p>
        </w:tc>
      </w:tr>
      <w:tr>
        <w:trPr>
          <w:trHeight w:val="229" w:hRule="atLeast"/>
        </w:trPr>
        <w:tc>
          <w:tcPr>
            <w:tcW w:w="1717" w:type="dxa"/>
          </w:tcPr>
          <w:p>
            <w:pPr>
              <w:pStyle w:val="TableParagraph"/>
              <w:spacing w:line="210" w:lineRule="exact"/>
              <w:ind w:left="-1"/>
              <w:rPr>
                <w:sz w:val="20"/>
              </w:rPr>
            </w:pPr>
            <w:r>
              <w:rPr>
                <w:spacing w:val="-2"/>
                <w:sz w:val="20"/>
              </w:rPr>
              <w:t>26-</w:t>
            </w:r>
            <w:r>
              <w:rPr>
                <w:spacing w:val="-7"/>
                <w:sz w:val="20"/>
              </w:rPr>
              <w:t>30</w:t>
            </w:r>
          </w:p>
        </w:tc>
        <w:tc>
          <w:tcPr>
            <w:tcW w:w="617" w:type="dxa"/>
          </w:tcPr>
          <w:p>
            <w:pPr>
              <w:pStyle w:val="TableParagraph"/>
              <w:spacing w:line="210" w:lineRule="exact"/>
              <w:ind w:left="116"/>
              <w:rPr>
                <w:sz w:val="20"/>
              </w:rPr>
            </w:pPr>
            <w:r>
              <w:rPr>
                <w:spacing w:val="-4"/>
                <w:sz w:val="20"/>
              </w:rPr>
              <w:t>23.2</w:t>
            </w:r>
          </w:p>
        </w:tc>
        <w:tc>
          <w:tcPr>
            <w:tcW w:w="1447" w:type="dxa"/>
          </w:tcPr>
          <w:p>
            <w:pPr>
              <w:pStyle w:val="TableParagraph"/>
              <w:spacing w:line="210" w:lineRule="exact"/>
              <w:ind w:left="150"/>
              <w:rPr>
                <w:sz w:val="20"/>
              </w:rPr>
            </w:pPr>
            <w:r>
              <w:rPr>
                <w:spacing w:val="-4"/>
                <w:sz w:val="20"/>
              </w:rPr>
              <w:t>23.8</w:t>
            </w:r>
          </w:p>
        </w:tc>
        <w:tc>
          <w:tcPr>
            <w:tcW w:w="1274" w:type="dxa"/>
          </w:tcPr>
          <w:p>
            <w:pPr>
              <w:pStyle w:val="TableParagraph"/>
              <w:spacing w:line="210" w:lineRule="exact"/>
              <w:ind w:left="799"/>
              <w:rPr>
                <w:sz w:val="20"/>
              </w:rPr>
            </w:pPr>
            <w:r>
              <w:rPr>
                <w:spacing w:val="-4"/>
                <w:sz w:val="20"/>
              </w:rPr>
              <w:t>26.9</w:t>
            </w:r>
          </w:p>
        </w:tc>
        <w:tc>
          <w:tcPr>
            <w:tcW w:w="1423" w:type="dxa"/>
          </w:tcPr>
          <w:p>
            <w:pPr>
              <w:pStyle w:val="TableParagraph"/>
              <w:spacing w:line="210" w:lineRule="exact"/>
              <w:ind w:left="77"/>
              <w:rPr>
                <w:sz w:val="20"/>
              </w:rPr>
            </w:pPr>
            <w:r>
              <w:rPr>
                <w:spacing w:val="-4"/>
                <w:sz w:val="20"/>
              </w:rPr>
              <w:t>27.6</w:t>
            </w:r>
          </w:p>
        </w:tc>
        <w:tc>
          <w:tcPr>
            <w:tcW w:w="1323" w:type="dxa"/>
          </w:tcPr>
          <w:p>
            <w:pPr>
              <w:pStyle w:val="TableParagraph"/>
              <w:spacing w:line="210" w:lineRule="exact"/>
              <w:ind w:left="851"/>
              <w:rPr>
                <w:sz w:val="20"/>
              </w:rPr>
            </w:pPr>
            <w:r>
              <w:rPr>
                <w:spacing w:val="-4"/>
                <w:sz w:val="20"/>
              </w:rPr>
              <w:t>29.8</w:t>
            </w:r>
          </w:p>
        </w:tc>
        <w:tc>
          <w:tcPr>
            <w:tcW w:w="835" w:type="dxa"/>
          </w:tcPr>
          <w:p>
            <w:pPr>
              <w:pStyle w:val="TableParagraph"/>
              <w:spacing w:line="210" w:lineRule="exact"/>
              <w:ind w:left="80"/>
              <w:rPr>
                <w:sz w:val="20"/>
              </w:rPr>
            </w:pPr>
            <w:r>
              <w:rPr>
                <w:spacing w:val="-4"/>
                <w:sz w:val="20"/>
              </w:rPr>
              <w:t>30.6</w:t>
            </w:r>
          </w:p>
        </w:tc>
      </w:tr>
      <w:tr>
        <w:trPr>
          <w:trHeight w:val="229" w:hRule="atLeast"/>
        </w:trPr>
        <w:tc>
          <w:tcPr>
            <w:tcW w:w="1717" w:type="dxa"/>
          </w:tcPr>
          <w:p>
            <w:pPr>
              <w:pStyle w:val="TableParagraph"/>
              <w:spacing w:line="210" w:lineRule="exact"/>
              <w:ind w:left="-1"/>
              <w:rPr>
                <w:sz w:val="20"/>
              </w:rPr>
            </w:pPr>
            <w:r>
              <w:rPr>
                <w:spacing w:val="-2"/>
                <w:sz w:val="20"/>
              </w:rPr>
              <w:t>31-</w:t>
            </w:r>
            <w:r>
              <w:rPr>
                <w:spacing w:val="-7"/>
                <w:sz w:val="20"/>
              </w:rPr>
              <w:t>35</w:t>
            </w:r>
          </w:p>
        </w:tc>
        <w:tc>
          <w:tcPr>
            <w:tcW w:w="617" w:type="dxa"/>
          </w:tcPr>
          <w:p>
            <w:pPr>
              <w:pStyle w:val="TableParagraph"/>
              <w:spacing w:line="210" w:lineRule="exact"/>
              <w:ind w:left="116"/>
              <w:rPr>
                <w:sz w:val="20"/>
              </w:rPr>
            </w:pPr>
            <w:r>
              <w:rPr>
                <w:spacing w:val="-4"/>
                <w:sz w:val="20"/>
              </w:rPr>
              <w:t>11.6</w:t>
            </w:r>
          </w:p>
        </w:tc>
        <w:tc>
          <w:tcPr>
            <w:tcW w:w="1447" w:type="dxa"/>
          </w:tcPr>
          <w:p>
            <w:pPr>
              <w:pStyle w:val="TableParagraph"/>
              <w:spacing w:line="210" w:lineRule="exact"/>
              <w:ind w:left="150"/>
              <w:rPr>
                <w:sz w:val="20"/>
              </w:rPr>
            </w:pPr>
            <w:r>
              <w:rPr>
                <w:spacing w:val="-4"/>
                <w:sz w:val="20"/>
              </w:rPr>
              <w:t>13.7</w:t>
            </w:r>
          </w:p>
        </w:tc>
        <w:tc>
          <w:tcPr>
            <w:tcW w:w="1274" w:type="dxa"/>
          </w:tcPr>
          <w:p>
            <w:pPr>
              <w:pStyle w:val="TableParagraph"/>
              <w:spacing w:line="210" w:lineRule="exact"/>
              <w:ind w:left="799"/>
              <w:rPr>
                <w:sz w:val="20"/>
              </w:rPr>
            </w:pPr>
            <w:r>
              <w:rPr>
                <w:spacing w:val="-4"/>
                <w:sz w:val="20"/>
              </w:rPr>
              <w:t>13.7</w:t>
            </w:r>
          </w:p>
        </w:tc>
        <w:tc>
          <w:tcPr>
            <w:tcW w:w="1423" w:type="dxa"/>
          </w:tcPr>
          <w:p>
            <w:pPr>
              <w:pStyle w:val="TableParagraph"/>
              <w:spacing w:line="210" w:lineRule="exact"/>
              <w:ind w:left="77"/>
              <w:rPr>
                <w:sz w:val="20"/>
              </w:rPr>
            </w:pPr>
            <w:r>
              <w:rPr>
                <w:spacing w:val="-4"/>
                <w:sz w:val="20"/>
              </w:rPr>
              <w:t>15.3</w:t>
            </w:r>
          </w:p>
        </w:tc>
        <w:tc>
          <w:tcPr>
            <w:tcW w:w="1323" w:type="dxa"/>
          </w:tcPr>
          <w:p>
            <w:pPr>
              <w:pStyle w:val="TableParagraph"/>
              <w:spacing w:line="210" w:lineRule="exact"/>
              <w:ind w:left="851"/>
              <w:rPr>
                <w:sz w:val="20"/>
              </w:rPr>
            </w:pPr>
            <w:r>
              <w:rPr>
                <w:spacing w:val="-4"/>
                <w:sz w:val="20"/>
              </w:rPr>
              <w:t>12.7</w:t>
            </w:r>
          </w:p>
        </w:tc>
        <w:tc>
          <w:tcPr>
            <w:tcW w:w="835" w:type="dxa"/>
          </w:tcPr>
          <w:p>
            <w:pPr>
              <w:pStyle w:val="TableParagraph"/>
              <w:spacing w:line="210" w:lineRule="exact"/>
              <w:ind w:left="130"/>
              <w:rPr>
                <w:sz w:val="20"/>
              </w:rPr>
            </w:pPr>
            <w:r>
              <w:rPr>
                <w:spacing w:val="-5"/>
                <w:sz w:val="20"/>
              </w:rPr>
              <w:t>8.8</w:t>
            </w:r>
          </w:p>
        </w:tc>
      </w:tr>
      <w:tr>
        <w:trPr>
          <w:trHeight w:val="230" w:hRule="atLeast"/>
        </w:trPr>
        <w:tc>
          <w:tcPr>
            <w:tcW w:w="1717" w:type="dxa"/>
          </w:tcPr>
          <w:p>
            <w:pPr>
              <w:pStyle w:val="TableParagraph"/>
              <w:spacing w:line="210" w:lineRule="exact"/>
              <w:ind w:left="-1"/>
              <w:rPr>
                <w:sz w:val="20"/>
              </w:rPr>
            </w:pPr>
            <w:r>
              <w:rPr>
                <w:spacing w:val="-2"/>
                <w:sz w:val="20"/>
              </w:rPr>
              <w:t>36-</w:t>
            </w:r>
            <w:r>
              <w:rPr>
                <w:spacing w:val="-5"/>
                <w:sz w:val="20"/>
              </w:rPr>
              <w:t>40</w:t>
            </w:r>
          </w:p>
        </w:tc>
        <w:tc>
          <w:tcPr>
            <w:tcW w:w="617" w:type="dxa"/>
          </w:tcPr>
          <w:p>
            <w:pPr>
              <w:pStyle w:val="TableParagraph"/>
              <w:spacing w:line="210" w:lineRule="exact"/>
              <w:ind w:left="115"/>
              <w:rPr>
                <w:sz w:val="20"/>
              </w:rPr>
            </w:pPr>
            <w:r>
              <w:rPr>
                <w:spacing w:val="-5"/>
                <w:sz w:val="20"/>
              </w:rPr>
              <w:t>6.5</w:t>
            </w:r>
          </w:p>
        </w:tc>
        <w:tc>
          <w:tcPr>
            <w:tcW w:w="1447" w:type="dxa"/>
          </w:tcPr>
          <w:p>
            <w:pPr>
              <w:pStyle w:val="TableParagraph"/>
              <w:spacing w:line="210" w:lineRule="exact"/>
              <w:ind w:left="98"/>
              <w:rPr>
                <w:sz w:val="20"/>
              </w:rPr>
            </w:pPr>
            <w:r>
              <w:rPr>
                <w:spacing w:val="-5"/>
                <w:sz w:val="20"/>
              </w:rPr>
              <w:t>7.9</w:t>
            </w:r>
          </w:p>
        </w:tc>
        <w:tc>
          <w:tcPr>
            <w:tcW w:w="1274" w:type="dxa"/>
          </w:tcPr>
          <w:p>
            <w:pPr>
              <w:pStyle w:val="TableParagraph"/>
              <w:spacing w:line="210" w:lineRule="exact"/>
              <w:ind w:left="798"/>
              <w:rPr>
                <w:sz w:val="20"/>
              </w:rPr>
            </w:pPr>
            <w:r>
              <w:rPr>
                <w:spacing w:val="-5"/>
                <w:sz w:val="20"/>
              </w:rPr>
              <w:t>8.9</w:t>
            </w:r>
          </w:p>
        </w:tc>
        <w:tc>
          <w:tcPr>
            <w:tcW w:w="1423" w:type="dxa"/>
          </w:tcPr>
          <w:p>
            <w:pPr>
              <w:pStyle w:val="TableParagraph"/>
              <w:spacing w:line="210" w:lineRule="exact"/>
              <w:ind w:left="24"/>
              <w:rPr>
                <w:sz w:val="20"/>
              </w:rPr>
            </w:pPr>
            <w:r>
              <w:rPr>
                <w:spacing w:val="-5"/>
                <w:sz w:val="20"/>
              </w:rPr>
              <w:t>8.6</w:t>
            </w:r>
          </w:p>
        </w:tc>
        <w:tc>
          <w:tcPr>
            <w:tcW w:w="1323" w:type="dxa"/>
          </w:tcPr>
          <w:p>
            <w:pPr>
              <w:pStyle w:val="TableParagraph"/>
              <w:spacing w:line="210" w:lineRule="exact"/>
              <w:ind w:left="849"/>
              <w:rPr>
                <w:sz w:val="20"/>
              </w:rPr>
            </w:pPr>
            <w:r>
              <w:rPr>
                <w:spacing w:val="-5"/>
                <w:sz w:val="20"/>
              </w:rPr>
              <w:t>7.8</w:t>
            </w:r>
          </w:p>
        </w:tc>
        <w:tc>
          <w:tcPr>
            <w:tcW w:w="835" w:type="dxa"/>
          </w:tcPr>
          <w:p>
            <w:pPr>
              <w:pStyle w:val="TableParagraph"/>
              <w:spacing w:line="210" w:lineRule="exact"/>
              <w:ind w:left="26"/>
              <w:rPr>
                <w:sz w:val="20"/>
              </w:rPr>
            </w:pPr>
            <w:r>
              <w:rPr>
                <w:spacing w:val="-5"/>
                <w:sz w:val="20"/>
              </w:rPr>
              <w:t>4.0</w:t>
            </w:r>
          </w:p>
        </w:tc>
      </w:tr>
      <w:tr>
        <w:trPr>
          <w:trHeight w:val="229" w:hRule="atLeast"/>
        </w:trPr>
        <w:tc>
          <w:tcPr>
            <w:tcW w:w="1717" w:type="dxa"/>
          </w:tcPr>
          <w:p>
            <w:pPr>
              <w:pStyle w:val="TableParagraph"/>
              <w:spacing w:line="210" w:lineRule="exact"/>
              <w:ind w:left="-1"/>
              <w:rPr>
                <w:sz w:val="20"/>
              </w:rPr>
            </w:pPr>
            <w:r>
              <w:rPr>
                <w:spacing w:val="-2"/>
                <w:sz w:val="20"/>
              </w:rPr>
              <w:t>41-</w:t>
            </w:r>
            <w:r>
              <w:rPr>
                <w:spacing w:val="-5"/>
                <w:sz w:val="20"/>
              </w:rPr>
              <w:t>45</w:t>
            </w:r>
          </w:p>
        </w:tc>
        <w:tc>
          <w:tcPr>
            <w:tcW w:w="617" w:type="dxa"/>
          </w:tcPr>
          <w:p>
            <w:pPr>
              <w:pStyle w:val="TableParagraph"/>
              <w:spacing w:line="210" w:lineRule="exact"/>
              <w:ind w:left="115"/>
              <w:rPr>
                <w:sz w:val="20"/>
              </w:rPr>
            </w:pPr>
            <w:r>
              <w:rPr>
                <w:spacing w:val="-5"/>
                <w:sz w:val="20"/>
              </w:rPr>
              <w:t>3.7</w:t>
            </w:r>
          </w:p>
        </w:tc>
        <w:tc>
          <w:tcPr>
            <w:tcW w:w="1447" w:type="dxa"/>
          </w:tcPr>
          <w:p>
            <w:pPr>
              <w:pStyle w:val="TableParagraph"/>
              <w:spacing w:line="210" w:lineRule="exact"/>
              <w:ind w:left="97"/>
              <w:rPr>
                <w:sz w:val="20"/>
              </w:rPr>
            </w:pPr>
            <w:r>
              <w:rPr>
                <w:spacing w:val="-5"/>
                <w:sz w:val="20"/>
              </w:rPr>
              <w:t>5.0</w:t>
            </w:r>
          </w:p>
        </w:tc>
        <w:tc>
          <w:tcPr>
            <w:tcW w:w="1274" w:type="dxa"/>
          </w:tcPr>
          <w:p>
            <w:pPr>
              <w:pStyle w:val="TableParagraph"/>
              <w:spacing w:line="210" w:lineRule="exact"/>
              <w:ind w:left="798"/>
              <w:rPr>
                <w:sz w:val="20"/>
              </w:rPr>
            </w:pPr>
            <w:r>
              <w:rPr>
                <w:spacing w:val="-5"/>
                <w:sz w:val="20"/>
              </w:rPr>
              <w:t>4.0</w:t>
            </w:r>
          </w:p>
        </w:tc>
        <w:tc>
          <w:tcPr>
            <w:tcW w:w="1423" w:type="dxa"/>
          </w:tcPr>
          <w:p>
            <w:pPr>
              <w:pStyle w:val="TableParagraph"/>
              <w:spacing w:line="210" w:lineRule="exact"/>
              <w:ind w:left="24"/>
              <w:rPr>
                <w:sz w:val="20"/>
              </w:rPr>
            </w:pPr>
            <w:r>
              <w:rPr>
                <w:spacing w:val="-5"/>
                <w:sz w:val="20"/>
              </w:rPr>
              <w:t>4.5</w:t>
            </w:r>
          </w:p>
        </w:tc>
        <w:tc>
          <w:tcPr>
            <w:tcW w:w="1323" w:type="dxa"/>
          </w:tcPr>
          <w:p>
            <w:pPr>
              <w:pStyle w:val="TableParagraph"/>
              <w:spacing w:line="210" w:lineRule="exact"/>
              <w:ind w:left="899"/>
              <w:rPr>
                <w:sz w:val="20"/>
              </w:rPr>
            </w:pPr>
            <w:r>
              <w:rPr>
                <w:spacing w:val="-5"/>
                <w:sz w:val="20"/>
              </w:rPr>
              <w:t>2.6</w:t>
            </w:r>
          </w:p>
        </w:tc>
        <w:tc>
          <w:tcPr>
            <w:tcW w:w="835" w:type="dxa"/>
          </w:tcPr>
          <w:p>
            <w:pPr>
              <w:pStyle w:val="TableParagraph"/>
              <w:spacing w:line="210" w:lineRule="exact"/>
              <w:ind w:left="76"/>
              <w:rPr>
                <w:sz w:val="20"/>
              </w:rPr>
            </w:pPr>
            <w:r>
              <w:rPr>
                <w:spacing w:val="-5"/>
                <w:sz w:val="20"/>
              </w:rPr>
              <w:t>1.6</w:t>
            </w:r>
          </w:p>
        </w:tc>
      </w:tr>
      <w:tr>
        <w:trPr>
          <w:trHeight w:val="229" w:hRule="atLeast"/>
        </w:trPr>
        <w:tc>
          <w:tcPr>
            <w:tcW w:w="1717" w:type="dxa"/>
          </w:tcPr>
          <w:p>
            <w:pPr>
              <w:pStyle w:val="TableParagraph"/>
              <w:spacing w:line="210" w:lineRule="exact"/>
              <w:ind w:left="-1"/>
              <w:rPr>
                <w:sz w:val="20"/>
              </w:rPr>
            </w:pPr>
            <w:r>
              <w:rPr>
                <w:spacing w:val="-2"/>
                <w:sz w:val="20"/>
              </w:rPr>
              <w:t>46-</w:t>
            </w:r>
            <w:r>
              <w:rPr>
                <w:spacing w:val="-5"/>
                <w:sz w:val="20"/>
              </w:rPr>
              <w:t>50</w:t>
            </w:r>
          </w:p>
        </w:tc>
        <w:tc>
          <w:tcPr>
            <w:tcW w:w="617" w:type="dxa"/>
          </w:tcPr>
          <w:p>
            <w:pPr>
              <w:pStyle w:val="TableParagraph"/>
              <w:spacing w:line="210" w:lineRule="exact"/>
              <w:ind w:left="115"/>
              <w:rPr>
                <w:sz w:val="20"/>
              </w:rPr>
            </w:pPr>
            <w:r>
              <w:rPr>
                <w:spacing w:val="-5"/>
                <w:sz w:val="20"/>
              </w:rPr>
              <w:t>2.4</w:t>
            </w:r>
          </w:p>
        </w:tc>
        <w:tc>
          <w:tcPr>
            <w:tcW w:w="1447" w:type="dxa"/>
          </w:tcPr>
          <w:p>
            <w:pPr>
              <w:pStyle w:val="TableParagraph"/>
              <w:spacing w:line="210" w:lineRule="exact"/>
              <w:ind w:left="98"/>
              <w:rPr>
                <w:sz w:val="20"/>
              </w:rPr>
            </w:pPr>
            <w:r>
              <w:rPr>
                <w:spacing w:val="-5"/>
                <w:sz w:val="20"/>
              </w:rPr>
              <w:t>3.1</w:t>
            </w:r>
          </w:p>
        </w:tc>
        <w:tc>
          <w:tcPr>
            <w:tcW w:w="1274" w:type="dxa"/>
          </w:tcPr>
          <w:p>
            <w:pPr>
              <w:pStyle w:val="TableParagraph"/>
              <w:spacing w:line="210" w:lineRule="exact"/>
              <w:ind w:left="798"/>
              <w:rPr>
                <w:sz w:val="20"/>
              </w:rPr>
            </w:pPr>
            <w:r>
              <w:rPr>
                <w:spacing w:val="-5"/>
                <w:sz w:val="20"/>
              </w:rPr>
              <w:t>2.5</w:t>
            </w:r>
          </w:p>
        </w:tc>
        <w:tc>
          <w:tcPr>
            <w:tcW w:w="1423" w:type="dxa"/>
          </w:tcPr>
          <w:p>
            <w:pPr>
              <w:pStyle w:val="TableParagraph"/>
              <w:spacing w:line="210" w:lineRule="exact"/>
              <w:ind w:left="24"/>
              <w:rPr>
                <w:sz w:val="20"/>
              </w:rPr>
            </w:pPr>
            <w:r>
              <w:rPr>
                <w:spacing w:val="-5"/>
                <w:sz w:val="20"/>
              </w:rPr>
              <w:t>2.7</w:t>
            </w:r>
          </w:p>
        </w:tc>
        <w:tc>
          <w:tcPr>
            <w:tcW w:w="1323" w:type="dxa"/>
          </w:tcPr>
          <w:p>
            <w:pPr>
              <w:pStyle w:val="TableParagraph"/>
              <w:spacing w:line="210" w:lineRule="exact"/>
              <w:ind w:left="849"/>
              <w:rPr>
                <w:sz w:val="20"/>
              </w:rPr>
            </w:pPr>
            <w:r>
              <w:rPr>
                <w:spacing w:val="-5"/>
                <w:sz w:val="20"/>
              </w:rPr>
              <w:t>1.6</w:t>
            </w:r>
          </w:p>
        </w:tc>
        <w:tc>
          <w:tcPr>
            <w:tcW w:w="835" w:type="dxa"/>
          </w:tcPr>
          <w:p>
            <w:pPr>
              <w:pStyle w:val="TableParagraph"/>
              <w:spacing w:line="210" w:lineRule="exact"/>
              <w:ind w:left="26"/>
              <w:rPr>
                <w:sz w:val="20"/>
              </w:rPr>
            </w:pPr>
            <w:r>
              <w:rPr>
                <w:spacing w:val="-5"/>
                <w:sz w:val="20"/>
              </w:rPr>
              <w:t>0.9</w:t>
            </w:r>
          </w:p>
        </w:tc>
      </w:tr>
      <w:tr>
        <w:trPr>
          <w:trHeight w:val="230" w:hRule="atLeast"/>
        </w:trPr>
        <w:tc>
          <w:tcPr>
            <w:tcW w:w="1717" w:type="dxa"/>
          </w:tcPr>
          <w:p>
            <w:pPr>
              <w:pStyle w:val="TableParagraph"/>
              <w:spacing w:line="210" w:lineRule="exact"/>
              <w:ind w:left="-1"/>
              <w:rPr>
                <w:sz w:val="20"/>
              </w:rPr>
            </w:pPr>
            <w:r>
              <w:rPr>
                <w:spacing w:val="-2"/>
                <w:sz w:val="20"/>
              </w:rPr>
              <w:t>51-</w:t>
            </w:r>
            <w:r>
              <w:rPr>
                <w:spacing w:val="-5"/>
                <w:sz w:val="20"/>
              </w:rPr>
              <w:t>55</w:t>
            </w:r>
          </w:p>
        </w:tc>
        <w:tc>
          <w:tcPr>
            <w:tcW w:w="617" w:type="dxa"/>
          </w:tcPr>
          <w:p>
            <w:pPr>
              <w:pStyle w:val="TableParagraph"/>
              <w:spacing w:line="210" w:lineRule="exact"/>
              <w:ind w:left="115"/>
              <w:rPr>
                <w:sz w:val="20"/>
              </w:rPr>
            </w:pPr>
            <w:r>
              <w:rPr>
                <w:spacing w:val="-5"/>
                <w:sz w:val="20"/>
              </w:rPr>
              <w:t>1.9</w:t>
            </w:r>
          </w:p>
        </w:tc>
        <w:tc>
          <w:tcPr>
            <w:tcW w:w="1447" w:type="dxa"/>
          </w:tcPr>
          <w:p>
            <w:pPr>
              <w:pStyle w:val="TableParagraph"/>
              <w:spacing w:line="210" w:lineRule="exact"/>
              <w:ind w:left="98"/>
              <w:rPr>
                <w:sz w:val="20"/>
              </w:rPr>
            </w:pPr>
            <w:r>
              <w:rPr>
                <w:spacing w:val="-5"/>
                <w:sz w:val="20"/>
              </w:rPr>
              <w:t>2.2</w:t>
            </w:r>
          </w:p>
        </w:tc>
        <w:tc>
          <w:tcPr>
            <w:tcW w:w="1274" w:type="dxa"/>
          </w:tcPr>
          <w:p>
            <w:pPr>
              <w:pStyle w:val="TableParagraph"/>
              <w:spacing w:line="210" w:lineRule="exact"/>
              <w:ind w:left="798"/>
              <w:rPr>
                <w:sz w:val="20"/>
              </w:rPr>
            </w:pPr>
            <w:r>
              <w:rPr>
                <w:spacing w:val="-5"/>
                <w:sz w:val="20"/>
              </w:rPr>
              <w:t>1.9</w:t>
            </w:r>
          </w:p>
        </w:tc>
        <w:tc>
          <w:tcPr>
            <w:tcW w:w="1423" w:type="dxa"/>
          </w:tcPr>
          <w:p>
            <w:pPr>
              <w:pStyle w:val="TableParagraph"/>
              <w:spacing w:line="210" w:lineRule="exact"/>
              <w:ind w:left="24"/>
              <w:rPr>
                <w:sz w:val="20"/>
              </w:rPr>
            </w:pPr>
            <w:r>
              <w:rPr>
                <w:spacing w:val="-5"/>
                <w:sz w:val="20"/>
              </w:rPr>
              <w:t>1.2</w:t>
            </w:r>
          </w:p>
        </w:tc>
        <w:tc>
          <w:tcPr>
            <w:tcW w:w="1323" w:type="dxa"/>
          </w:tcPr>
          <w:p>
            <w:pPr>
              <w:pStyle w:val="TableParagraph"/>
              <w:spacing w:line="210" w:lineRule="exact"/>
              <w:ind w:left="849"/>
              <w:rPr>
                <w:sz w:val="20"/>
              </w:rPr>
            </w:pPr>
            <w:r>
              <w:rPr>
                <w:spacing w:val="-5"/>
                <w:sz w:val="20"/>
              </w:rPr>
              <w:t>1.2</w:t>
            </w:r>
          </w:p>
        </w:tc>
        <w:tc>
          <w:tcPr>
            <w:tcW w:w="835" w:type="dxa"/>
          </w:tcPr>
          <w:p>
            <w:pPr>
              <w:pStyle w:val="TableParagraph"/>
              <w:spacing w:line="210" w:lineRule="exact"/>
              <w:ind w:left="26"/>
              <w:rPr>
                <w:sz w:val="20"/>
              </w:rPr>
            </w:pPr>
            <w:r>
              <w:rPr>
                <w:spacing w:val="-5"/>
                <w:sz w:val="20"/>
              </w:rPr>
              <w:t>0.2</w:t>
            </w:r>
          </w:p>
        </w:tc>
      </w:tr>
      <w:tr>
        <w:trPr>
          <w:trHeight w:val="229" w:hRule="atLeast"/>
        </w:trPr>
        <w:tc>
          <w:tcPr>
            <w:tcW w:w="1717" w:type="dxa"/>
          </w:tcPr>
          <w:p>
            <w:pPr>
              <w:pStyle w:val="TableParagraph"/>
              <w:spacing w:line="210" w:lineRule="exact"/>
              <w:ind w:left="-1"/>
              <w:rPr>
                <w:sz w:val="20"/>
              </w:rPr>
            </w:pPr>
            <w:r>
              <w:rPr>
                <w:spacing w:val="-2"/>
                <w:sz w:val="20"/>
              </w:rPr>
              <w:t>56-</w:t>
            </w:r>
            <w:r>
              <w:rPr>
                <w:spacing w:val="-5"/>
                <w:sz w:val="20"/>
              </w:rPr>
              <w:t>60</w:t>
            </w:r>
          </w:p>
        </w:tc>
        <w:tc>
          <w:tcPr>
            <w:tcW w:w="617" w:type="dxa"/>
          </w:tcPr>
          <w:p>
            <w:pPr>
              <w:pStyle w:val="TableParagraph"/>
              <w:spacing w:line="210" w:lineRule="exact"/>
              <w:ind w:left="115"/>
              <w:rPr>
                <w:sz w:val="20"/>
              </w:rPr>
            </w:pPr>
            <w:r>
              <w:rPr>
                <w:spacing w:val="-5"/>
                <w:sz w:val="20"/>
              </w:rPr>
              <w:t>0.9</w:t>
            </w:r>
          </w:p>
        </w:tc>
        <w:tc>
          <w:tcPr>
            <w:tcW w:w="1447" w:type="dxa"/>
          </w:tcPr>
          <w:p>
            <w:pPr>
              <w:pStyle w:val="TableParagraph"/>
              <w:spacing w:line="210" w:lineRule="exact"/>
              <w:ind w:left="98"/>
              <w:rPr>
                <w:sz w:val="20"/>
              </w:rPr>
            </w:pPr>
            <w:r>
              <w:rPr>
                <w:spacing w:val="-5"/>
                <w:sz w:val="20"/>
              </w:rPr>
              <w:t>0.7</w:t>
            </w:r>
          </w:p>
        </w:tc>
        <w:tc>
          <w:tcPr>
            <w:tcW w:w="1274" w:type="dxa"/>
          </w:tcPr>
          <w:p>
            <w:pPr>
              <w:pStyle w:val="TableParagraph"/>
              <w:spacing w:line="210" w:lineRule="exact"/>
              <w:ind w:left="798"/>
              <w:rPr>
                <w:sz w:val="20"/>
              </w:rPr>
            </w:pPr>
            <w:r>
              <w:rPr>
                <w:spacing w:val="-5"/>
                <w:sz w:val="20"/>
              </w:rPr>
              <w:t>0.9</w:t>
            </w:r>
          </w:p>
        </w:tc>
        <w:tc>
          <w:tcPr>
            <w:tcW w:w="1423" w:type="dxa"/>
          </w:tcPr>
          <w:p>
            <w:pPr>
              <w:pStyle w:val="TableParagraph"/>
              <w:spacing w:line="210" w:lineRule="exact"/>
              <w:ind w:left="24"/>
              <w:rPr>
                <w:sz w:val="20"/>
              </w:rPr>
            </w:pPr>
            <w:r>
              <w:rPr>
                <w:spacing w:val="-5"/>
                <w:sz w:val="20"/>
              </w:rPr>
              <w:t>0.6</w:t>
            </w:r>
          </w:p>
        </w:tc>
        <w:tc>
          <w:tcPr>
            <w:tcW w:w="1323" w:type="dxa"/>
          </w:tcPr>
          <w:p>
            <w:pPr>
              <w:pStyle w:val="TableParagraph"/>
              <w:spacing w:line="210" w:lineRule="exact"/>
              <w:ind w:left="849"/>
              <w:rPr>
                <w:sz w:val="20"/>
              </w:rPr>
            </w:pPr>
            <w:r>
              <w:rPr>
                <w:spacing w:val="-5"/>
                <w:sz w:val="20"/>
              </w:rPr>
              <w:t>0.9</w:t>
            </w:r>
          </w:p>
        </w:tc>
        <w:tc>
          <w:tcPr>
            <w:tcW w:w="835" w:type="dxa"/>
          </w:tcPr>
          <w:p>
            <w:pPr>
              <w:pStyle w:val="TableParagraph"/>
              <w:spacing w:line="210" w:lineRule="exact"/>
              <w:ind w:left="26"/>
              <w:rPr>
                <w:sz w:val="20"/>
              </w:rPr>
            </w:pPr>
            <w:r>
              <w:rPr>
                <w:spacing w:val="-5"/>
                <w:sz w:val="20"/>
              </w:rPr>
              <w:t>0.5</w:t>
            </w:r>
          </w:p>
        </w:tc>
      </w:tr>
      <w:tr>
        <w:trPr>
          <w:trHeight w:val="228" w:hRule="atLeast"/>
        </w:trPr>
        <w:tc>
          <w:tcPr>
            <w:tcW w:w="1717" w:type="dxa"/>
          </w:tcPr>
          <w:p>
            <w:pPr>
              <w:pStyle w:val="TableParagraph"/>
              <w:spacing w:line="209" w:lineRule="exact"/>
              <w:ind w:left="-1"/>
              <w:rPr>
                <w:sz w:val="20"/>
              </w:rPr>
            </w:pPr>
            <w:r>
              <w:rPr>
                <w:spacing w:val="-2"/>
                <w:sz w:val="20"/>
              </w:rPr>
              <w:t>Above60</w:t>
            </w:r>
          </w:p>
        </w:tc>
        <w:tc>
          <w:tcPr>
            <w:tcW w:w="617" w:type="dxa"/>
          </w:tcPr>
          <w:p>
            <w:pPr>
              <w:pStyle w:val="TableParagraph"/>
              <w:spacing w:line="209" w:lineRule="exact"/>
              <w:ind w:left="168"/>
              <w:rPr>
                <w:sz w:val="20"/>
              </w:rPr>
            </w:pPr>
            <w:r>
              <w:rPr>
                <w:spacing w:val="-5"/>
                <w:sz w:val="20"/>
              </w:rPr>
              <w:t>0.2</w:t>
            </w:r>
          </w:p>
        </w:tc>
        <w:tc>
          <w:tcPr>
            <w:tcW w:w="1447" w:type="dxa"/>
          </w:tcPr>
          <w:p>
            <w:pPr>
              <w:pStyle w:val="TableParagraph"/>
              <w:spacing w:line="209" w:lineRule="exact"/>
              <w:ind w:left="151"/>
              <w:rPr>
                <w:sz w:val="20"/>
              </w:rPr>
            </w:pPr>
            <w:r>
              <w:rPr>
                <w:spacing w:val="-5"/>
                <w:sz w:val="20"/>
              </w:rPr>
              <w:t>..</w:t>
            </w:r>
          </w:p>
        </w:tc>
        <w:tc>
          <w:tcPr>
            <w:tcW w:w="1274" w:type="dxa"/>
          </w:tcPr>
          <w:p>
            <w:pPr>
              <w:pStyle w:val="TableParagraph"/>
              <w:spacing w:line="209" w:lineRule="exact"/>
              <w:ind w:left="801"/>
              <w:rPr>
                <w:sz w:val="20"/>
              </w:rPr>
            </w:pPr>
            <w:r>
              <w:rPr>
                <w:spacing w:val="-5"/>
                <w:sz w:val="20"/>
              </w:rPr>
              <w:t>0.1</w:t>
            </w:r>
          </w:p>
        </w:tc>
        <w:tc>
          <w:tcPr>
            <w:tcW w:w="1423" w:type="dxa"/>
          </w:tcPr>
          <w:p>
            <w:pPr>
              <w:pStyle w:val="TableParagraph"/>
              <w:spacing w:line="209" w:lineRule="exact"/>
              <w:ind w:left="27"/>
              <w:rPr>
                <w:sz w:val="20"/>
              </w:rPr>
            </w:pPr>
            <w:r>
              <w:rPr>
                <w:spacing w:val="-5"/>
                <w:sz w:val="20"/>
              </w:rPr>
              <w:t>0.2</w:t>
            </w:r>
          </w:p>
        </w:tc>
        <w:tc>
          <w:tcPr>
            <w:tcW w:w="1323" w:type="dxa"/>
          </w:tcPr>
          <w:p>
            <w:pPr>
              <w:pStyle w:val="TableParagraph"/>
              <w:spacing w:line="209" w:lineRule="exact"/>
              <w:ind w:left="851"/>
              <w:rPr>
                <w:sz w:val="20"/>
              </w:rPr>
            </w:pPr>
            <w:r>
              <w:rPr>
                <w:spacing w:val="-5"/>
                <w:sz w:val="20"/>
              </w:rPr>
              <w:t>0.2</w:t>
            </w:r>
          </w:p>
        </w:tc>
        <w:tc>
          <w:tcPr>
            <w:tcW w:w="835" w:type="dxa"/>
          </w:tcPr>
          <w:p>
            <w:pPr>
              <w:pStyle w:val="TableParagraph"/>
              <w:spacing w:line="209" w:lineRule="exact"/>
              <w:ind w:left="28"/>
              <w:rPr>
                <w:sz w:val="20"/>
              </w:rPr>
            </w:pPr>
            <w:r>
              <w:rPr>
                <w:spacing w:val="-5"/>
                <w:sz w:val="20"/>
              </w:rPr>
              <w:t>..</w:t>
            </w:r>
          </w:p>
        </w:tc>
      </w:tr>
      <w:tr>
        <w:trPr>
          <w:trHeight w:val="184" w:hRule="atLeast"/>
        </w:trPr>
        <w:tc>
          <w:tcPr>
            <w:tcW w:w="1717" w:type="dxa"/>
          </w:tcPr>
          <w:p>
            <w:pPr>
              <w:pStyle w:val="TableParagraph"/>
              <w:spacing w:line="164" w:lineRule="exact"/>
              <w:rPr>
                <w:sz w:val="16"/>
              </w:rPr>
            </w:pPr>
            <w:r>
              <w:rPr>
                <w:sz w:val="16"/>
              </w:rPr>
              <w:t>TOTAL</w:t>
            </w:r>
            <w:r>
              <w:rPr>
                <w:spacing w:val="-9"/>
                <w:sz w:val="16"/>
              </w:rPr>
              <w:t> </w:t>
            </w:r>
            <w:r>
              <w:rPr>
                <w:spacing w:val="-2"/>
                <w:sz w:val="16"/>
              </w:rPr>
              <w:t>PERCENTAGE</w:t>
            </w:r>
          </w:p>
        </w:tc>
        <w:tc>
          <w:tcPr>
            <w:tcW w:w="617" w:type="dxa"/>
          </w:tcPr>
          <w:p>
            <w:pPr>
              <w:pStyle w:val="TableParagraph"/>
              <w:rPr>
                <w:sz w:val="12"/>
              </w:rPr>
            </w:pPr>
          </w:p>
        </w:tc>
        <w:tc>
          <w:tcPr>
            <w:tcW w:w="1447" w:type="dxa"/>
          </w:tcPr>
          <w:p>
            <w:pPr>
              <w:pStyle w:val="TableParagraph"/>
              <w:rPr>
                <w:sz w:val="12"/>
              </w:rPr>
            </w:pPr>
          </w:p>
        </w:tc>
        <w:tc>
          <w:tcPr>
            <w:tcW w:w="1274" w:type="dxa"/>
          </w:tcPr>
          <w:p>
            <w:pPr>
              <w:pStyle w:val="TableParagraph"/>
              <w:rPr>
                <w:sz w:val="12"/>
              </w:rPr>
            </w:pPr>
          </w:p>
        </w:tc>
        <w:tc>
          <w:tcPr>
            <w:tcW w:w="1423" w:type="dxa"/>
          </w:tcPr>
          <w:p>
            <w:pPr>
              <w:pStyle w:val="TableParagraph"/>
              <w:rPr>
                <w:sz w:val="12"/>
              </w:rPr>
            </w:pPr>
          </w:p>
        </w:tc>
        <w:tc>
          <w:tcPr>
            <w:tcW w:w="1323" w:type="dxa"/>
          </w:tcPr>
          <w:p>
            <w:pPr>
              <w:pStyle w:val="TableParagraph"/>
              <w:rPr>
                <w:sz w:val="12"/>
              </w:rPr>
            </w:pPr>
          </w:p>
        </w:tc>
        <w:tc>
          <w:tcPr>
            <w:tcW w:w="835" w:type="dxa"/>
          </w:tcPr>
          <w:p>
            <w:pPr>
              <w:pStyle w:val="TableParagraph"/>
              <w:rPr>
                <w:sz w:val="12"/>
              </w:rPr>
            </w:pPr>
          </w:p>
        </w:tc>
      </w:tr>
      <w:tr>
        <w:trPr>
          <w:trHeight w:val="424" w:hRule="atLeast"/>
        </w:trPr>
        <w:tc>
          <w:tcPr>
            <w:tcW w:w="1717" w:type="dxa"/>
            <w:tcBorders>
              <w:bottom w:val="single" w:sz="12" w:space="0" w:color="808080"/>
            </w:tcBorders>
          </w:tcPr>
          <w:p>
            <w:pPr>
              <w:pStyle w:val="TableParagraph"/>
              <w:rPr>
                <w:sz w:val="22"/>
              </w:rPr>
            </w:pPr>
          </w:p>
        </w:tc>
        <w:tc>
          <w:tcPr>
            <w:tcW w:w="617" w:type="dxa"/>
            <w:tcBorders>
              <w:bottom w:val="single" w:sz="12" w:space="0" w:color="808080"/>
            </w:tcBorders>
          </w:tcPr>
          <w:p>
            <w:pPr>
              <w:pStyle w:val="TableParagraph"/>
              <w:spacing w:line="226" w:lineRule="exact"/>
              <w:ind w:left="115"/>
              <w:rPr>
                <w:sz w:val="20"/>
              </w:rPr>
            </w:pPr>
            <w:r>
              <w:rPr>
                <w:spacing w:val="-2"/>
                <w:sz w:val="20"/>
              </w:rPr>
              <w:t>100.0</w:t>
            </w:r>
          </w:p>
        </w:tc>
        <w:tc>
          <w:tcPr>
            <w:tcW w:w="1447" w:type="dxa"/>
            <w:tcBorders>
              <w:bottom w:val="single" w:sz="12" w:space="0" w:color="808080"/>
            </w:tcBorders>
          </w:tcPr>
          <w:p>
            <w:pPr>
              <w:pStyle w:val="TableParagraph"/>
              <w:spacing w:line="226" w:lineRule="exact"/>
              <w:ind w:left="199"/>
              <w:rPr>
                <w:sz w:val="20"/>
              </w:rPr>
            </w:pPr>
            <w:r>
              <w:rPr>
                <w:spacing w:val="-2"/>
                <w:sz w:val="20"/>
              </w:rPr>
              <w:t>100.0</w:t>
            </w:r>
          </w:p>
        </w:tc>
        <w:tc>
          <w:tcPr>
            <w:tcW w:w="1274" w:type="dxa"/>
            <w:tcBorders>
              <w:bottom w:val="single" w:sz="12" w:space="0" w:color="808080"/>
            </w:tcBorders>
          </w:tcPr>
          <w:p>
            <w:pPr>
              <w:pStyle w:val="TableParagraph"/>
              <w:spacing w:line="226" w:lineRule="exact"/>
              <w:ind w:left="799"/>
              <w:rPr>
                <w:sz w:val="20"/>
              </w:rPr>
            </w:pPr>
            <w:r>
              <w:rPr>
                <w:spacing w:val="-2"/>
                <w:sz w:val="20"/>
              </w:rPr>
              <w:t>100.0</w:t>
            </w:r>
          </w:p>
        </w:tc>
        <w:tc>
          <w:tcPr>
            <w:tcW w:w="1423" w:type="dxa"/>
            <w:tcBorders>
              <w:bottom w:val="single" w:sz="12" w:space="0" w:color="808080"/>
            </w:tcBorders>
          </w:tcPr>
          <w:p>
            <w:pPr>
              <w:pStyle w:val="TableParagraph"/>
              <w:spacing w:line="226" w:lineRule="exact"/>
              <w:ind w:left="125"/>
              <w:rPr>
                <w:sz w:val="20"/>
              </w:rPr>
            </w:pPr>
            <w:r>
              <w:rPr>
                <w:spacing w:val="-2"/>
                <w:sz w:val="20"/>
              </w:rPr>
              <w:t>100.0</w:t>
            </w:r>
          </w:p>
        </w:tc>
        <w:tc>
          <w:tcPr>
            <w:tcW w:w="1323" w:type="dxa"/>
            <w:tcBorders>
              <w:bottom w:val="single" w:sz="12" w:space="0" w:color="808080"/>
            </w:tcBorders>
          </w:tcPr>
          <w:p>
            <w:pPr>
              <w:pStyle w:val="TableParagraph"/>
              <w:spacing w:line="226" w:lineRule="exact"/>
              <w:ind w:left="849"/>
              <w:rPr>
                <w:sz w:val="20"/>
              </w:rPr>
            </w:pPr>
            <w:r>
              <w:rPr>
                <w:spacing w:val="-2"/>
                <w:sz w:val="20"/>
              </w:rPr>
              <w:t>100.0</w:t>
            </w:r>
          </w:p>
        </w:tc>
        <w:tc>
          <w:tcPr>
            <w:tcW w:w="835" w:type="dxa"/>
            <w:tcBorders>
              <w:bottom w:val="single" w:sz="12" w:space="0" w:color="808080"/>
            </w:tcBorders>
          </w:tcPr>
          <w:p>
            <w:pPr>
              <w:pStyle w:val="TableParagraph"/>
              <w:spacing w:line="226" w:lineRule="exact"/>
              <w:ind w:left="126"/>
              <w:rPr>
                <w:sz w:val="20"/>
              </w:rPr>
            </w:pPr>
            <w:r>
              <w:rPr/>
              <mc:AlternateContent>
                <mc:Choice Requires="wps">
                  <w:drawing>
                    <wp:anchor distT="0" distB="0" distL="0" distR="0" allowOverlap="1" layoutInCell="1" locked="0" behindDoc="0" simplePos="0" relativeHeight="15748608">
                      <wp:simplePos x="0" y="0"/>
                      <wp:positionH relativeFrom="column">
                        <wp:posOffset>528502</wp:posOffset>
                      </wp:positionH>
                      <wp:positionV relativeFrom="paragraph">
                        <wp:posOffset>269384</wp:posOffset>
                      </wp:positionV>
                      <wp:extent cx="3175" cy="16510"/>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3175" cy="16510"/>
                                <a:chExt cx="3175" cy="16510"/>
                              </a:xfrm>
                            </wpg:grpSpPr>
                            <wps:wsp>
                              <wps:cNvPr id="220" name="Graphic 220"/>
                              <wps:cNvSpPr/>
                              <wps:spPr>
                                <a:xfrm>
                                  <a:off x="0" y="12"/>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41.614403pt;margin-top:21.211416pt;width:.25pt;height:1.3pt;mso-position-horizontal-relative:column;mso-position-vertical-relative:paragraph;z-index:15748608" id="docshapegroup212" coordorigin="832,424" coordsize="5,26">
                      <v:shape style="position:absolute;left:832;top:424;width:5;height:26" id="docshape213" coordorigin="832,424" coordsize="5,26" path="m837,424l832,424,832,429,832,449,837,449,837,429,837,424xe" filled="true" fillcolor="#f1efe2" stroked="false">
                        <v:path arrowok="t"/>
                        <v:fill type="solid"/>
                      </v:shape>
                      <w10:wrap type="none"/>
                    </v:group>
                  </w:pict>
                </mc:Fallback>
              </mc:AlternateContent>
            </w:r>
            <w:r>
              <w:rPr>
                <w:spacing w:val="-2"/>
                <w:sz w:val="20"/>
              </w:rPr>
              <w:t>100.0</w:t>
            </w:r>
          </w:p>
        </w:tc>
      </w:tr>
    </w:tbl>
    <w:p>
      <w:pPr>
        <w:spacing w:before="39"/>
        <w:ind w:left="160" w:right="0" w:firstLine="0"/>
        <w:jc w:val="left"/>
        <w:rPr>
          <w:sz w:val="18"/>
        </w:rPr>
      </w:pPr>
      <w:r>
        <w:rPr/>
        <mc:AlternateContent>
          <mc:Choice Requires="wps">
            <w:drawing>
              <wp:anchor distT="0" distB="0" distL="0" distR="0" allowOverlap="1" layoutInCell="1" locked="0" behindDoc="0" simplePos="0" relativeHeight="15748096">
                <wp:simplePos x="0" y="0"/>
                <wp:positionH relativeFrom="page">
                  <wp:posOffset>6626352</wp:posOffset>
                </wp:positionH>
                <wp:positionV relativeFrom="paragraph">
                  <wp:posOffset>-1922145</wp:posOffset>
                </wp:positionV>
                <wp:extent cx="3175" cy="1651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151.350006pt;width:.25pt;height:1.3pt;mso-position-horizontal-relative:page;mso-position-vertical-relative:paragraph;z-index:15748096" id="docshape214" coordorigin="10435,-3027" coordsize="5,26" path="m10440,-3027l10435,-3027,10435,-3022,10435,-3002,10440,-3002,10440,-3022,10440,-3027xe" filled="true" fillcolor="#f1efe2" stroked="false">
                <v:path arrowok="t"/>
                <v:fill type="solid"/>
                <w10:wrap type="none"/>
              </v:shape>
            </w:pict>
          </mc:Fallback>
        </mc:AlternateContent>
      </w:r>
      <w:r>
        <w:rPr>
          <w:sz w:val="18"/>
        </w:rPr>
        <w:t>Source.</w:t>
      </w:r>
      <w:r>
        <w:rPr>
          <w:spacing w:val="42"/>
          <w:sz w:val="18"/>
        </w:rPr>
        <w:t> </w:t>
      </w:r>
      <w:r>
        <w:rPr>
          <w:sz w:val="18"/>
        </w:rPr>
        <w:t>Data</w:t>
      </w:r>
      <w:r>
        <w:rPr>
          <w:spacing w:val="-2"/>
          <w:sz w:val="18"/>
        </w:rPr>
        <w:t> </w:t>
      </w:r>
      <w:r>
        <w:rPr>
          <w:sz w:val="18"/>
        </w:rPr>
        <w:t>supplied</w:t>
      </w:r>
      <w:r>
        <w:rPr>
          <w:spacing w:val="-2"/>
          <w:sz w:val="18"/>
        </w:rPr>
        <w:t> </w:t>
      </w:r>
      <w:r>
        <w:rPr>
          <w:sz w:val="18"/>
        </w:rPr>
        <w:t>by State</w:t>
      </w:r>
      <w:r>
        <w:rPr>
          <w:spacing w:val="-2"/>
          <w:sz w:val="18"/>
        </w:rPr>
        <w:t> Governments.</w:t>
      </w:r>
    </w:p>
    <w:p>
      <w:pPr>
        <w:spacing w:after="0"/>
        <w:jc w:val="left"/>
        <w:rPr>
          <w:sz w:val="18"/>
        </w:rPr>
        <w:sectPr>
          <w:pgSz w:w="12240" w:h="15840"/>
          <w:pgMar w:header="0" w:footer="743" w:top="1360" w:bottom="940" w:left="1640" w:right="1300"/>
        </w:sectPr>
      </w:pPr>
    </w:p>
    <w:p>
      <w:pPr>
        <w:pStyle w:val="BodyText"/>
        <w:spacing w:before="173"/>
        <w:ind w:left="159" w:right="498"/>
        <w:jc w:val="both"/>
      </w:pPr>
      <w:r>
        <w:rPr/>
        <w:t>of service, need not be required to undergo the full training course. A shorter course, specially designed for the purpose, would be adequate.</w:t>
      </w:r>
    </w:p>
    <w:p>
      <w:pPr>
        <w:pStyle w:val="BodyText"/>
        <w:spacing w:before="4"/>
      </w:pPr>
    </w:p>
    <w:p>
      <w:pPr>
        <w:pStyle w:val="ListParagraph"/>
        <w:numPr>
          <w:ilvl w:val="1"/>
          <w:numId w:val="82"/>
        </w:numPr>
        <w:tabs>
          <w:tab w:pos="522" w:val="left" w:leader="none"/>
        </w:tabs>
        <w:spacing w:line="240" w:lineRule="auto" w:before="0" w:after="0"/>
        <w:ind w:left="159" w:right="495" w:firstLine="0"/>
        <w:jc w:val="both"/>
        <w:rPr>
          <w:sz w:val="24"/>
        </w:rPr>
      </w:pPr>
      <w:r>
        <w:rPr>
          <w:sz w:val="24"/>
        </w:rPr>
        <w:t>Teachers below the age of 40 years, who have put in less than 5 years of service should, however, be required to undergo the full training course of one or two years. It would, of course, be open to these teachers to take this training either in full-time courses or through part-time and correspondence courses, in accordance with the arrangements </w:t>
      </w:r>
      <w:r>
        <w:rPr>
          <w:spacing w:val="-2"/>
          <w:sz w:val="24"/>
        </w:rPr>
        <w:t>made.</w:t>
      </w:r>
    </w:p>
    <w:p>
      <w:pPr>
        <w:pStyle w:val="BodyText"/>
        <w:spacing w:before="3"/>
      </w:pPr>
    </w:p>
    <w:p>
      <w:pPr>
        <w:pStyle w:val="BodyText"/>
        <w:spacing w:before="1"/>
        <w:ind w:left="159" w:right="498"/>
        <w:jc w:val="both"/>
      </w:pPr>
      <w:r>
        <w:rPr/>
        <w:t>In our opinion, a flexible programme of this type would make it possible to clear the back-log of untrained teachers more quickly.</w:t>
      </w:r>
    </w:p>
    <w:p>
      <w:pPr>
        <w:pStyle w:val="BodyText"/>
        <w:spacing w:before="3"/>
      </w:pPr>
    </w:p>
    <w:p>
      <w:pPr>
        <w:pStyle w:val="ListParagraph"/>
        <w:numPr>
          <w:ilvl w:val="0"/>
          <w:numId w:val="82"/>
        </w:numPr>
        <w:tabs>
          <w:tab w:pos="438" w:val="left" w:leader="none"/>
        </w:tabs>
        <w:spacing w:line="240" w:lineRule="auto" w:before="0" w:after="0"/>
        <w:ind w:left="159" w:right="497" w:firstLine="0"/>
        <w:jc w:val="both"/>
        <w:rPr>
          <w:sz w:val="24"/>
        </w:rPr>
      </w:pPr>
      <w:r>
        <w:rPr>
          <w:sz w:val="24"/>
        </w:rPr>
        <w:t>Size of the Institutions. With a view to ensuring economy and efficiency, training institutions should be of a fairly large size. The minimum size of a training institution at the primary stage offering a two-year course should be 240 and that at the secondary</w:t>
      </w:r>
      <w:r>
        <w:rPr>
          <w:spacing w:val="40"/>
          <w:sz w:val="24"/>
        </w:rPr>
        <w:t> </w:t>
      </w:r>
      <w:r>
        <w:rPr>
          <w:sz w:val="24"/>
        </w:rPr>
        <w:t>stage should be 200. Existing institutions should be raised to this size, in a programme of about five years, by expansion and/or amalgamation. With regard to new institutions which are proposed to be established, the minimum size should not be less than 400. The classes for the training of primary teachers attached to secondary schools as well as teacher education departments attached to colleges of arts and science, should be abolished and replaced by large-size training institutions.</w:t>
      </w:r>
    </w:p>
    <w:p>
      <w:pPr>
        <w:pStyle w:val="BodyText"/>
        <w:spacing w:before="4"/>
      </w:pPr>
    </w:p>
    <w:p>
      <w:pPr>
        <w:pStyle w:val="ListParagraph"/>
        <w:numPr>
          <w:ilvl w:val="0"/>
          <w:numId w:val="82"/>
        </w:numPr>
        <w:tabs>
          <w:tab w:pos="501" w:val="left" w:leader="none"/>
        </w:tabs>
        <w:spacing w:line="240" w:lineRule="auto" w:before="0" w:after="0"/>
        <w:ind w:left="159" w:right="495" w:firstLine="0"/>
        <w:jc w:val="both"/>
        <w:rPr>
          <w:sz w:val="24"/>
        </w:rPr>
      </w:pPr>
      <w:r>
        <w:rPr>
          <w:sz w:val="24"/>
        </w:rPr>
        <w:t>Location. In planning the existing training facilities for teachers, it is necessary to pay attention to a number of factors. A certain proportion of the institutions, especially those at the primary stage, will have</w:t>
      </w:r>
      <w:r>
        <w:rPr>
          <w:spacing w:val="-1"/>
          <w:sz w:val="24"/>
        </w:rPr>
        <w:t> </w:t>
      </w:r>
      <w:r>
        <w:rPr>
          <w:sz w:val="24"/>
        </w:rPr>
        <w:t>to be located in rural areas and the practice-teaching of the teachers suitably arranged in the schools in the neighbourhood. It would also help greatly to break the isolation of teacher-training if the responsibility for a teacher-training programme is accepted by a variety of institutions. For instance, we would very much</w:t>
      </w:r>
      <w:r>
        <w:rPr>
          <w:spacing w:val="40"/>
          <w:sz w:val="24"/>
        </w:rPr>
        <w:t> </w:t>
      </w:r>
      <w:r>
        <w:rPr>
          <w:sz w:val="24"/>
        </w:rPr>
        <w:t>like an IIT to start a teacher-training wing as a part of its programme. The same could be done by the agricultural universities. Programmes of this type will give a status and a broader basis for the training of teach- ers. Besides, it will also help to give education an orientation to agriculture and industry.</w:t>
      </w:r>
    </w:p>
    <w:p>
      <w:pPr>
        <w:pStyle w:val="BodyText"/>
        <w:spacing w:before="6"/>
      </w:pPr>
    </w:p>
    <w:p>
      <w:pPr>
        <w:pStyle w:val="Heading1"/>
        <w:ind w:left="291"/>
      </w:pPr>
      <w:r>
        <w:rPr/>
        <w:t>CONTINUING</w:t>
      </w:r>
      <w:r>
        <w:rPr>
          <w:spacing w:val="-7"/>
        </w:rPr>
        <w:t> </w:t>
      </w:r>
      <w:r>
        <w:rPr/>
        <w:t>PROFESSIONAL</w:t>
      </w:r>
      <w:r>
        <w:rPr>
          <w:spacing w:val="-6"/>
        </w:rPr>
        <w:t> </w:t>
      </w:r>
      <w:r>
        <w:rPr/>
        <w:t>EDUCATION</w:t>
      </w:r>
      <w:r>
        <w:rPr>
          <w:spacing w:val="-7"/>
        </w:rPr>
        <w:t> </w:t>
      </w:r>
      <w:r>
        <w:rPr/>
        <w:t>OF</w:t>
      </w:r>
      <w:r>
        <w:rPr>
          <w:spacing w:val="-6"/>
        </w:rPr>
        <w:t> </w:t>
      </w:r>
      <w:r>
        <w:rPr>
          <w:spacing w:val="-2"/>
        </w:rPr>
        <w:t>TEACHERS</w:t>
      </w:r>
    </w:p>
    <w:p>
      <w:pPr>
        <w:pStyle w:val="BodyText"/>
        <w:spacing w:before="3"/>
        <w:rPr>
          <w:b/>
        </w:rPr>
      </w:pPr>
    </w:p>
    <w:p>
      <w:pPr>
        <w:pStyle w:val="ListParagraph"/>
        <w:numPr>
          <w:ilvl w:val="1"/>
          <w:numId w:val="76"/>
        </w:numPr>
        <w:tabs>
          <w:tab w:pos="643" w:val="left" w:leader="none"/>
        </w:tabs>
        <w:spacing w:line="240" w:lineRule="auto" w:before="0" w:after="0"/>
        <w:ind w:left="159" w:right="496" w:firstLine="0"/>
        <w:jc w:val="both"/>
        <w:rPr>
          <w:b/>
          <w:sz w:val="24"/>
        </w:rPr>
      </w:pPr>
      <w:r>
        <w:rPr>
          <w:b/>
          <w:sz w:val="24"/>
        </w:rPr>
        <w:t>The Role of the School. </w:t>
      </w:r>
      <w:r>
        <w:rPr>
          <w:sz w:val="24"/>
        </w:rPr>
        <w:t>In all professions there is a need to provide further training and special courses of study, on a continuing basis, after initial professional preparation. The need is most urgent in the teaching profession because of the rapid advance in all fields of knowledge and continuing evolution of pedagogical theory and practice. The programme will have to be developed through a number of agencies. The first is the school itself which must provide opportunities to the new teacher to learn from his experience and through consultation and discussion with experienced teachers in the school.</w:t>
      </w:r>
      <w:r>
        <w:rPr>
          <w:spacing w:val="-1"/>
          <w:sz w:val="24"/>
        </w:rPr>
        <w:t> </w:t>
      </w:r>
      <w:r>
        <w:rPr>
          <w:sz w:val="24"/>
        </w:rPr>
        <w:t>The</w:t>
      </w:r>
      <w:r>
        <w:rPr>
          <w:spacing w:val="-1"/>
          <w:sz w:val="24"/>
        </w:rPr>
        <w:t> </w:t>
      </w:r>
      <w:r>
        <w:rPr>
          <w:sz w:val="24"/>
        </w:rPr>
        <w:t>head</w:t>
      </w:r>
      <w:r>
        <w:rPr>
          <w:spacing w:val="-1"/>
          <w:sz w:val="24"/>
        </w:rPr>
        <w:t> </w:t>
      </w:r>
      <w:r>
        <w:rPr>
          <w:sz w:val="24"/>
        </w:rPr>
        <w:t>and</w:t>
      </w:r>
      <w:r>
        <w:rPr>
          <w:spacing w:val="-1"/>
          <w:sz w:val="24"/>
        </w:rPr>
        <w:t> </w:t>
      </w:r>
      <w:r>
        <w:rPr>
          <w:sz w:val="24"/>
        </w:rPr>
        <w:t>the</w:t>
      </w:r>
      <w:r>
        <w:rPr>
          <w:spacing w:val="-1"/>
          <w:sz w:val="24"/>
        </w:rPr>
        <w:t> </w:t>
      </w:r>
      <w:r>
        <w:rPr>
          <w:sz w:val="24"/>
        </w:rPr>
        <w:t>senior</w:t>
      </w:r>
      <w:r>
        <w:rPr>
          <w:spacing w:val="-1"/>
          <w:sz w:val="24"/>
        </w:rPr>
        <w:t> </w:t>
      </w:r>
      <w:r>
        <w:rPr>
          <w:sz w:val="24"/>
        </w:rPr>
        <w:t>teachers</w:t>
      </w:r>
      <w:r>
        <w:rPr>
          <w:spacing w:val="-1"/>
          <w:sz w:val="24"/>
        </w:rPr>
        <w:t> </w:t>
      </w:r>
      <w:r>
        <w:rPr>
          <w:sz w:val="24"/>
        </w:rPr>
        <w:t>have</w:t>
      </w:r>
      <w:r>
        <w:rPr>
          <w:spacing w:val="-1"/>
          <w:sz w:val="24"/>
        </w:rPr>
        <w:t> </w:t>
      </w:r>
      <w:r>
        <w:rPr>
          <w:sz w:val="24"/>
        </w:rPr>
        <w:t>a special</w:t>
      </w:r>
      <w:r>
        <w:rPr>
          <w:spacing w:val="-1"/>
          <w:sz w:val="24"/>
        </w:rPr>
        <w:t> </w:t>
      </w:r>
      <w:r>
        <w:rPr>
          <w:sz w:val="24"/>
        </w:rPr>
        <w:t>role</w:t>
      </w:r>
      <w:r>
        <w:rPr>
          <w:spacing w:val="-1"/>
          <w:sz w:val="24"/>
        </w:rPr>
        <w:t> </w:t>
      </w:r>
      <w:r>
        <w:rPr>
          <w:sz w:val="24"/>
        </w:rPr>
        <w:t>to</w:t>
      </w:r>
      <w:r>
        <w:rPr>
          <w:spacing w:val="-1"/>
          <w:sz w:val="24"/>
        </w:rPr>
        <w:t> </w:t>
      </w:r>
      <w:r>
        <w:rPr>
          <w:sz w:val="24"/>
        </w:rPr>
        <w:t>play</w:t>
      </w:r>
      <w:r>
        <w:rPr>
          <w:spacing w:val="-1"/>
          <w:sz w:val="24"/>
        </w:rPr>
        <w:t> </w:t>
      </w:r>
      <w:r>
        <w:rPr>
          <w:sz w:val="24"/>
        </w:rPr>
        <w:t>in</w:t>
      </w:r>
      <w:r>
        <w:rPr>
          <w:spacing w:val="-1"/>
          <w:sz w:val="24"/>
        </w:rPr>
        <w:t> </w:t>
      </w:r>
      <w:r>
        <w:rPr>
          <w:sz w:val="24"/>
        </w:rPr>
        <w:t>providing</w:t>
      </w:r>
      <w:r>
        <w:rPr>
          <w:spacing w:val="-1"/>
          <w:sz w:val="24"/>
        </w:rPr>
        <w:t> </w:t>
      </w:r>
      <w:r>
        <w:rPr>
          <w:sz w:val="24"/>
        </w:rPr>
        <w:t>guidance to</w:t>
      </w:r>
      <w:r>
        <w:rPr>
          <w:spacing w:val="20"/>
          <w:sz w:val="24"/>
        </w:rPr>
        <w:t> </w:t>
      </w:r>
      <w:r>
        <w:rPr>
          <w:sz w:val="24"/>
        </w:rPr>
        <w:t>the</w:t>
      </w:r>
      <w:r>
        <w:rPr>
          <w:spacing w:val="21"/>
          <w:sz w:val="24"/>
        </w:rPr>
        <w:t> </w:t>
      </w:r>
      <w:r>
        <w:rPr>
          <w:sz w:val="24"/>
        </w:rPr>
        <w:t>new</w:t>
      </w:r>
      <w:r>
        <w:rPr>
          <w:spacing w:val="21"/>
          <w:sz w:val="24"/>
        </w:rPr>
        <w:t> </w:t>
      </w:r>
      <w:r>
        <w:rPr>
          <w:sz w:val="24"/>
        </w:rPr>
        <w:t>teacher</w:t>
      </w:r>
      <w:r>
        <w:rPr>
          <w:spacing w:val="21"/>
          <w:sz w:val="24"/>
        </w:rPr>
        <w:t> </w:t>
      </w:r>
      <w:r>
        <w:rPr>
          <w:sz w:val="24"/>
        </w:rPr>
        <w:t>through</w:t>
      </w:r>
      <w:r>
        <w:rPr>
          <w:spacing w:val="21"/>
          <w:sz w:val="24"/>
        </w:rPr>
        <w:t> </w:t>
      </w:r>
      <w:r>
        <w:rPr>
          <w:sz w:val="24"/>
        </w:rPr>
        <w:t>planning</w:t>
      </w:r>
      <w:r>
        <w:rPr>
          <w:spacing w:val="20"/>
          <w:sz w:val="24"/>
        </w:rPr>
        <w:t> </w:t>
      </w:r>
      <w:r>
        <w:rPr>
          <w:sz w:val="24"/>
        </w:rPr>
        <w:t>his</w:t>
      </w:r>
      <w:r>
        <w:rPr>
          <w:spacing w:val="20"/>
          <w:sz w:val="24"/>
        </w:rPr>
        <w:t> </w:t>
      </w:r>
      <w:r>
        <w:rPr>
          <w:sz w:val="24"/>
        </w:rPr>
        <w:t>work</w:t>
      </w:r>
      <w:r>
        <w:rPr>
          <w:spacing w:val="21"/>
          <w:sz w:val="24"/>
        </w:rPr>
        <w:t> </w:t>
      </w:r>
      <w:r>
        <w:rPr>
          <w:sz w:val="24"/>
        </w:rPr>
        <w:t>and</w:t>
      </w:r>
      <w:r>
        <w:rPr>
          <w:spacing w:val="21"/>
          <w:sz w:val="24"/>
        </w:rPr>
        <w:t> </w:t>
      </w:r>
      <w:r>
        <w:rPr>
          <w:sz w:val="24"/>
        </w:rPr>
        <w:t>through</w:t>
      </w:r>
      <w:r>
        <w:rPr>
          <w:spacing w:val="21"/>
          <w:sz w:val="24"/>
        </w:rPr>
        <w:t> </w:t>
      </w:r>
      <w:r>
        <w:rPr>
          <w:sz w:val="24"/>
        </w:rPr>
        <w:t>organizing</w:t>
      </w:r>
      <w:r>
        <w:rPr>
          <w:spacing w:val="21"/>
          <w:sz w:val="24"/>
        </w:rPr>
        <w:t> </w:t>
      </w:r>
      <w:r>
        <w:rPr>
          <w:sz w:val="24"/>
        </w:rPr>
        <w:t>suitable</w:t>
      </w:r>
      <w:r>
        <w:rPr>
          <w:spacing w:val="21"/>
          <w:sz w:val="24"/>
        </w:rPr>
        <w:t> </w:t>
      </w:r>
      <w:r>
        <w:rPr>
          <w:spacing w:val="-2"/>
          <w:sz w:val="24"/>
        </w:rPr>
        <w:t>activities</w:t>
      </w:r>
    </w:p>
    <w:p>
      <w:pPr>
        <w:spacing w:after="0" w:line="240" w:lineRule="auto"/>
        <w:jc w:val="both"/>
        <w:rPr>
          <w:sz w:val="24"/>
        </w:rPr>
        <w:sectPr>
          <w:pgSz w:w="12240" w:h="15840"/>
          <w:pgMar w:header="0" w:footer="743" w:top="1820" w:bottom="940" w:left="1640" w:right="1300"/>
        </w:sectPr>
      </w:pPr>
    </w:p>
    <w:p>
      <w:pPr>
        <w:pStyle w:val="BodyText"/>
        <w:spacing w:before="76"/>
        <w:ind w:left="160"/>
      </w:pPr>
      <w:r>
        <w:rPr/>
        <w:t>such</w:t>
      </w:r>
      <w:r>
        <w:rPr>
          <w:spacing w:val="72"/>
        </w:rPr>
        <w:t> </w:t>
      </w:r>
      <w:r>
        <w:rPr/>
        <w:t>as</w:t>
      </w:r>
      <w:r>
        <w:rPr>
          <w:spacing w:val="72"/>
        </w:rPr>
        <w:t> </w:t>
      </w:r>
      <w:r>
        <w:rPr/>
        <w:t>staff</w:t>
      </w:r>
      <w:r>
        <w:rPr>
          <w:spacing w:val="72"/>
        </w:rPr>
        <w:t> </w:t>
      </w:r>
      <w:r>
        <w:rPr/>
        <w:t>study</w:t>
      </w:r>
      <w:r>
        <w:rPr>
          <w:spacing w:val="72"/>
        </w:rPr>
        <w:t> </w:t>
      </w:r>
      <w:r>
        <w:rPr/>
        <w:t>circles</w:t>
      </w:r>
      <w:r>
        <w:rPr>
          <w:spacing w:val="72"/>
        </w:rPr>
        <w:t> </w:t>
      </w:r>
      <w:r>
        <w:rPr/>
        <w:t>and</w:t>
      </w:r>
      <w:r>
        <w:rPr>
          <w:spacing w:val="72"/>
        </w:rPr>
        <w:t> </w:t>
      </w:r>
      <w:r>
        <w:rPr/>
        <w:t>discussion</w:t>
      </w:r>
      <w:r>
        <w:rPr>
          <w:spacing w:val="72"/>
        </w:rPr>
        <w:t> </w:t>
      </w:r>
      <w:r>
        <w:rPr/>
        <w:t>groups.</w:t>
      </w:r>
      <w:r>
        <w:rPr>
          <w:spacing w:val="72"/>
        </w:rPr>
        <w:t> </w:t>
      </w:r>
      <w:r>
        <w:rPr/>
        <w:t>Education</w:t>
      </w:r>
      <w:r>
        <w:rPr>
          <w:spacing w:val="72"/>
        </w:rPr>
        <w:t> </w:t>
      </w:r>
      <w:r>
        <w:rPr/>
        <w:t>Departments,</w:t>
      </w:r>
      <w:r>
        <w:rPr>
          <w:spacing w:val="72"/>
        </w:rPr>
        <w:t> </w:t>
      </w:r>
      <w:r>
        <w:rPr/>
        <w:t>training colleges and teachers' organizations can also play a significant role in this programme.</w:t>
      </w:r>
    </w:p>
    <w:p>
      <w:pPr>
        <w:pStyle w:val="BodyText"/>
        <w:spacing w:before="4"/>
      </w:pPr>
    </w:p>
    <w:p>
      <w:pPr>
        <w:pStyle w:val="ListParagraph"/>
        <w:numPr>
          <w:ilvl w:val="1"/>
          <w:numId w:val="76"/>
        </w:numPr>
        <w:tabs>
          <w:tab w:pos="641" w:val="left" w:leader="none"/>
        </w:tabs>
        <w:spacing w:line="240" w:lineRule="auto" w:before="0" w:after="0"/>
        <w:ind w:left="159" w:right="496" w:firstLine="0"/>
        <w:jc w:val="both"/>
        <w:rPr>
          <w:b/>
          <w:sz w:val="24"/>
        </w:rPr>
      </w:pPr>
      <w:r>
        <w:rPr>
          <w:b/>
          <w:sz w:val="24"/>
        </w:rPr>
        <w:t>Part-time</w:t>
      </w:r>
      <w:r>
        <w:rPr>
          <w:b/>
          <w:spacing w:val="-2"/>
          <w:sz w:val="24"/>
        </w:rPr>
        <w:t> </w:t>
      </w:r>
      <w:r>
        <w:rPr>
          <w:b/>
          <w:sz w:val="24"/>
        </w:rPr>
        <w:t>and</w:t>
      </w:r>
      <w:r>
        <w:rPr>
          <w:b/>
          <w:spacing w:val="-2"/>
          <w:sz w:val="24"/>
        </w:rPr>
        <w:t> </w:t>
      </w:r>
      <w:r>
        <w:rPr>
          <w:b/>
          <w:sz w:val="24"/>
        </w:rPr>
        <w:t>Whole-time</w:t>
      </w:r>
      <w:r>
        <w:rPr>
          <w:b/>
          <w:spacing w:val="-2"/>
          <w:sz w:val="24"/>
        </w:rPr>
        <w:t> </w:t>
      </w:r>
      <w:r>
        <w:rPr>
          <w:b/>
          <w:sz w:val="24"/>
        </w:rPr>
        <w:t>In-service</w:t>
      </w:r>
      <w:r>
        <w:rPr>
          <w:b/>
          <w:spacing w:val="-2"/>
          <w:sz w:val="24"/>
        </w:rPr>
        <w:t> </w:t>
      </w:r>
      <w:r>
        <w:rPr>
          <w:b/>
          <w:sz w:val="24"/>
        </w:rPr>
        <w:t>Education.</w:t>
      </w:r>
      <w:r>
        <w:rPr>
          <w:b/>
          <w:spacing w:val="-2"/>
          <w:sz w:val="24"/>
        </w:rPr>
        <w:t> </w:t>
      </w:r>
      <w:r>
        <w:rPr>
          <w:sz w:val="24"/>
        </w:rPr>
        <w:t>Apart</w:t>
      </w:r>
      <w:r>
        <w:rPr>
          <w:spacing w:val="-2"/>
          <w:sz w:val="24"/>
        </w:rPr>
        <w:t> </w:t>
      </w:r>
      <w:r>
        <w:rPr>
          <w:sz w:val="24"/>
        </w:rPr>
        <w:t>from</w:t>
      </w:r>
      <w:r>
        <w:rPr>
          <w:spacing w:val="-4"/>
          <w:sz w:val="24"/>
        </w:rPr>
        <w:t> </w:t>
      </w:r>
      <w:r>
        <w:rPr>
          <w:sz w:val="24"/>
        </w:rPr>
        <w:t>what</w:t>
      </w:r>
      <w:r>
        <w:rPr>
          <w:spacing w:val="-2"/>
          <w:sz w:val="24"/>
        </w:rPr>
        <w:t> </w:t>
      </w:r>
      <w:r>
        <w:rPr>
          <w:sz w:val="24"/>
        </w:rPr>
        <w:t>the</w:t>
      </w:r>
      <w:r>
        <w:rPr>
          <w:spacing w:val="-2"/>
          <w:sz w:val="24"/>
        </w:rPr>
        <w:t> </w:t>
      </w:r>
      <w:r>
        <w:rPr>
          <w:sz w:val="24"/>
        </w:rPr>
        <w:t>schools</w:t>
      </w:r>
      <w:r>
        <w:rPr>
          <w:spacing w:val="-2"/>
          <w:sz w:val="24"/>
        </w:rPr>
        <w:t> </w:t>
      </w:r>
      <w:r>
        <w:rPr>
          <w:sz w:val="24"/>
        </w:rPr>
        <w:t>and other agencies can do, there is need for the organization of a large scale, systematic and coordinated programme of in-service education, so that every teachers would be able to receive at least two or three months of in-service education in every five years of service. The curriculum of these programmes should be planned and organized systematically, materials being developed with great care and the staff in charge being properly oriented. Good textbooks and source books, audio-visual material and children's work should be exhibited. This can be done only if, over a period of 10-15 years, every training institution-pre-primary, primary and secondary- is staffed and equipped to take up extension work, institutes an advisory service for teachers, and organizes in-service training programmes such as refresher courses, seminars, workshops and summer institutes. Every training institution should work on a 12-month basis with proportionate provision for additional staff and facilities. In addition, institutions that will carry out in- service work on a whole-time and continuing basis should be established.</w:t>
      </w:r>
    </w:p>
    <w:p>
      <w:pPr>
        <w:pStyle w:val="BodyText"/>
        <w:spacing w:before="4"/>
      </w:pPr>
    </w:p>
    <w:p>
      <w:pPr>
        <w:pStyle w:val="ListParagraph"/>
        <w:numPr>
          <w:ilvl w:val="1"/>
          <w:numId w:val="76"/>
        </w:numPr>
        <w:tabs>
          <w:tab w:pos="683" w:val="left" w:leader="none"/>
        </w:tabs>
        <w:spacing w:line="240" w:lineRule="auto" w:before="0" w:after="0"/>
        <w:ind w:left="159" w:right="496" w:firstLine="0"/>
        <w:jc w:val="both"/>
        <w:rPr>
          <w:b/>
          <w:sz w:val="24"/>
        </w:rPr>
      </w:pPr>
      <w:r>
        <w:rPr>
          <w:b/>
          <w:sz w:val="24"/>
        </w:rPr>
        <w:t>In-service Education of School Teachers. </w:t>
      </w:r>
      <w:r>
        <w:rPr>
          <w:sz w:val="24"/>
        </w:rPr>
        <w:t>Very little is being done for the in- service education of primary teachers. This programme needs great emphasis. With</w:t>
      </w:r>
      <w:r>
        <w:rPr>
          <w:spacing w:val="40"/>
          <w:sz w:val="24"/>
        </w:rPr>
        <w:t> </w:t>
      </w:r>
      <w:r>
        <w:rPr>
          <w:sz w:val="24"/>
        </w:rPr>
        <w:t>regard to secondary teachers, one of the most recent developments is the organization of summer institutes and the role played therein by the universities. These will have far- reaching consequences on the whole field of teacher education. The programme needs very large expansion and has to become an integral part of the annual work of the universities and schools. In this context, the following suggestions are made:</w:t>
      </w:r>
    </w:p>
    <w:p>
      <w:pPr>
        <w:pStyle w:val="BodyText"/>
        <w:spacing w:before="5"/>
      </w:pPr>
    </w:p>
    <w:p>
      <w:pPr>
        <w:pStyle w:val="ListParagraph"/>
        <w:numPr>
          <w:ilvl w:val="0"/>
          <w:numId w:val="83"/>
        </w:numPr>
        <w:tabs>
          <w:tab w:pos="515" w:val="left" w:leader="none"/>
        </w:tabs>
        <w:spacing w:line="240" w:lineRule="auto" w:before="0" w:after="0"/>
        <w:ind w:left="159" w:right="497" w:firstLine="0"/>
        <w:jc w:val="both"/>
        <w:rPr>
          <w:sz w:val="24"/>
        </w:rPr>
      </w:pPr>
      <w:r>
        <w:rPr>
          <w:sz w:val="24"/>
        </w:rPr>
        <w:t>Arrangements are needed for systematic follow-up after a long-term seminar, course or summer institute. The organizers and resource personnel should keep in touch with teachers who participate in the programmes, and teachers should report the new activities that have been undertaken, the results achieved and the difficulties met with. A news bulletin may be published to facilitate exchange of ideas or experiences.</w:t>
      </w:r>
    </w:p>
    <w:p>
      <w:pPr>
        <w:pStyle w:val="BodyText"/>
        <w:spacing w:before="4"/>
      </w:pPr>
    </w:p>
    <w:p>
      <w:pPr>
        <w:pStyle w:val="ListParagraph"/>
        <w:numPr>
          <w:ilvl w:val="0"/>
          <w:numId w:val="83"/>
        </w:numPr>
        <w:tabs>
          <w:tab w:pos="508" w:val="left" w:leader="none"/>
        </w:tabs>
        <w:spacing w:line="240" w:lineRule="auto" w:before="0" w:after="0"/>
        <w:ind w:left="159" w:right="495" w:firstLine="0"/>
        <w:jc w:val="both"/>
        <w:rPr>
          <w:sz w:val="24"/>
        </w:rPr>
      </w:pPr>
      <w:r>
        <w:rPr>
          <w:sz w:val="24"/>
        </w:rPr>
        <w:t>There should be active collaboration and coordination among the agencies concerned with in-service education and those responsible for school education. The impact of summer institutes organized during the last three years would have been stronger if the collaboration of the Education Departments and the Boards of Secondary Education had been available and modifications had been devised in the curricula, syllabuses and the external examinations to reflect the new trends.</w:t>
      </w:r>
    </w:p>
    <w:p>
      <w:pPr>
        <w:pStyle w:val="BodyText"/>
        <w:spacing w:before="3"/>
      </w:pPr>
    </w:p>
    <w:p>
      <w:pPr>
        <w:pStyle w:val="ListParagraph"/>
        <w:numPr>
          <w:ilvl w:val="0"/>
          <w:numId w:val="83"/>
        </w:numPr>
        <w:tabs>
          <w:tab w:pos="589" w:val="left" w:leader="none"/>
        </w:tabs>
        <w:spacing w:line="240" w:lineRule="auto" w:before="1" w:after="0"/>
        <w:ind w:left="159" w:right="495" w:firstLine="0"/>
        <w:jc w:val="both"/>
        <w:rPr>
          <w:sz w:val="24"/>
        </w:rPr>
      </w:pPr>
      <w:r>
        <w:rPr>
          <w:sz w:val="24"/>
        </w:rPr>
        <w:t>Continuing in-service education of teachers needs the support of research in education. The results of research should flow down to the classroom teacher and stimulate him for experimentation in his work. Similarly, the problems of the classroom must climb up to research institutions for an effective and practicable solution. This two- way traffic could be considerably stimulated by the summer institutes and the State Institutes of Education.</w:t>
      </w:r>
    </w:p>
    <w:p>
      <w:pPr>
        <w:spacing w:after="0" w:line="240" w:lineRule="auto"/>
        <w:jc w:val="both"/>
        <w:rPr>
          <w:sz w:val="24"/>
        </w:rPr>
        <w:sectPr>
          <w:pgSz w:w="12240" w:h="15840"/>
          <w:pgMar w:header="0" w:footer="743" w:top="1360" w:bottom="940" w:left="1640" w:right="1300"/>
        </w:sectPr>
      </w:pPr>
    </w:p>
    <w:p>
      <w:pPr>
        <w:pStyle w:val="ListParagraph"/>
        <w:numPr>
          <w:ilvl w:val="1"/>
          <w:numId w:val="76"/>
        </w:numPr>
        <w:tabs>
          <w:tab w:pos="670" w:val="left" w:leader="none"/>
        </w:tabs>
        <w:spacing w:line="240" w:lineRule="auto" w:before="76" w:after="0"/>
        <w:ind w:left="160" w:right="495" w:firstLine="0"/>
        <w:jc w:val="both"/>
        <w:rPr>
          <w:b/>
          <w:sz w:val="24"/>
        </w:rPr>
      </w:pPr>
      <w:r>
        <w:rPr>
          <w:b/>
          <w:sz w:val="24"/>
        </w:rPr>
        <w:t>Professional Preparation of Teachers in Higher Education. </w:t>
      </w:r>
      <w:r>
        <w:rPr>
          <w:sz w:val="24"/>
        </w:rPr>
        <w:t>The preparation of teachers for higher education is a responsibility of the universities themselves and recommendations on this subject are discussed in the chapters dealing with higher education. We confine our discussion here to their professional training.</w:t>
      </w:r>
    </w:p>
    <w:p>
      <w:pPr>
        <w:pStyle w:val="BodyText"/>
        <w:spacing w:before="4"/>
      </w:pPr>
    </w:p>
    <w:p>
      <w:pPr>
        <w:pStyle w:val="ListParagraph"/>
        <w:numPr>
          <w:ilvl w:val="1"/>
          <w:numId w:val="76"/>
        </w:numPr>
        <w:tabs>
          <w:tab w:pos="641" w:val="left" w:leader="none"/>
        </w:tabs>
        <w:spacing w:line="240" w:lineRule="auto" w:before="0" w:after="0"/>
        <w:ind w:left="160" w:right="496" w:firstLine="0"/>
        <w:jc w:val="both"/>
        <w:rPr>
          <w:sz w:val="24"/>
        </w:rPr>
      </w:pPr>
      <w:r>
        <w:rPr>
          <w:sz w:val="24"/>
        </w:rPr>
        <w:t>There</w:t>
      </w:r>
      <w:r>
        <w:rPr>
          <w:spacing w:val="-2"/>
          <w:sz w:val="24"/>
        </w:rPr>
        <w:t> </w:t>
      </w:r>
      <w:r>
        <w:rPr>
          <w:sz w:val="24"/>
        </w:rPr>
        <w:t>is</w:t>
      </w:r>
      <w:r>
        <w:rPr>
          <w:spacing w:val="-2"/>
          <w:sz w:val="24"/>
        </w:rPr>
        <w:t> </w:t>
      </w:r>
      <w:r>
        <w:rPr>
          <w:sz w:val="24"/>
        </w:rPr>
        <w:t>at</w:t>
      </w:r>
      <w:r>
        <w:rPr>
          <w:spacing w:val="-2"/>
          <w:sz w:val="24"/>
        </w:rPr>
        <w:t> </w:t>
      </w:r>
      <w:r>
        <w:rPr>
          <w:sz w:val="24"/>
        </w:rPr>
        <w:t>present</w:t>
      </w:r>
      <w:r>
        <w:rPr>
          <w:spacing w:val="-2"/>
          <w:sz w:val="24"/>
        </w:rPr>
        <w:t> </w:t>
      </w:r>
      <w:r>
        <w:rPr>
          <w:sz w:val="24"/>
        </w:rPr>
        <w:t>no</w:t>
      </w:r>
      <w:r>
        <w:rPr>
          <w:spacing w:val="-2"/>
          <w:sz w:val="24"/>
        </w:rPr>
        <w:t> </w:t>
      </w:r>
      <w:r>
        <w:rPr>
          <w:sz w:val="24"/>
        </w:rPr>
        <w:t>provision</w:t>
      </w:r>
      <w:r>
        <w:rPr>
          <w:spacing w:val="-2"/>
          <w:sz w:val="24"/>
        </w:rPr>
        <w:t> </w:t>
      </w:r>
      <w:r>
        <w:rPr>
          <w:sz w:val="24"/>
        </w:rPr>
        <w:t>for</w:t>
      </w:r>
      <w:r>
        <w:rPr>
          <w:spacing w:val="-2"/>
          <w:sz w:val="24"/>
        </w:rPr>
        <w:t> </w:t>
      </w:r>
      <w:r>
        <w:rPr>
          <w:sz w:val="24"/>
        </w:rPr>
        <w:t>the</w:t>
      </w:r>
      <w:r>
        <w:rPr>
          <w:spacing w:val="-2"/>
          <w:sz w:val="24"/>
        </w:rPr>
        <w:t> </w:t>
      </w:r>
      <w:r>
        <w:rPr>
          <w:sz w:val="24"/>
        </w:rPr>
        <w:t>professional</w:t>
      </w:r>
      <w:r>
        <w:rPr>
          <w:spacing w:val="-2"/>
          <w:sz w:val="24"/>
        </w:rPr>
        <w:t> </w:t>
      </w:r>
      <w:r>
        <w:rPr>
          <w:sz w:val="24"/>
        </w:rPr>
        <w:t>initiation</w:t>
      </w:r>
      <w:r>
        <w:rPr>
          <w:spacing w:val="-2"/>
          <w:sz w:val="24"/>
        </w:rPr>
        <w:t> </w:t>
      </w:r>
      <w:r>
        <w:rPr>
          <w:sz w:val="24"/>
        </w:rPr>
        <w:t>of</w:t>
      </w:r>
      <w:r>
        <w:rPr>
          <w:spacing w:val="-2"/>
          <w:sz w:val="24"/>
        </w:rPr>
        <w:t> </w:t>
      </w:r>
      <w:r>
        <w:rPr>
          <w:sz w:val="24"/>
        </w:rPr>
        <w:t>a</w:t>
      </w:r>
      <w:r>
        <w:rPr>
          <w:spacing w:val="-4"/>
          <w:sz w:val="24"/>
        </w:rPr>
        <w:t> </w:t>
      </w:r>
      <w:r>
        <w:rPr>
          <w:sz w:val="24"/>
        </w:rPr>
        <w:t>university</w:t>
      </w:r>
      <w:r>
        <w:rPr>
          <w:spacing w:val="-3"/>
          <w:sz w:val="24"/>
        </w:rPr>
        <w:t> </w:t>
      </w:r>
      <w:r>
        <w:rPr>
          <w:sz w:val="24"/>
        </w:rPr>
        <w:t>teacher. A lecturer is generally expected to take on his full load of teaching work-and sometimes even more-from the first day of his appointment. He generally receives no initiation into his duties and no orientation to his profession. He is given no time for adaptation and no chance to watch the good senior teachers taking their classes. He has no prescribed opportunity to study the syllabus, plan lectures, consult the head of his department or other senior colleagues about them, or to study the techniques of seminars and tutorial classes. He even lacks at times the knowledge of the mechanics of his profession and</w:t>
      </w:r>
      <w:r>
        <w:rPr>
          <w:spacing w:val="40"/>
          <w:sz w:val="24"/>
        </w:rPr>
        <w:t> </w:t>
      </w:r>
      <w:r>
        <w:rPr>
          <w:sz w:val="24"/>
        </w:rPr>
        <w:t>does not know how to set question papers or to mark answer books. In this atmosphere of almost total neglect, the new teacher is too often content to copy mechanically the methods and procedures adopted by his own teachers and inflict them on his students. Thus, by and large, the dull pointless tradition of 'giving lectures' and dictating notes has passed on from generation to generation. The incalculable loss involved in this unimaginative approach can and should be avoided.</w:t>
      </w:r>
    </w:p>
    <w:p>
      <w:pPr>
        <w:pStyle w:val="BodyText"/>
        <w:spacing w:before="4"/>
      </w:pPr>
    </w:p>
    <w:p>
      <w:pPr>
        <w:pStyle w:val="ListParagraph"/>
        <w:numPr>
          <w:ilvl w:val="1"/>
          <w:numId w:val="76"/>
        </w:numPr>
        <w:tabs>
          <w:tab w:pos="733" w:val="left" w:leader="none"/>
        </w:tabs>
        <w:spacing w:line="240" w:lineRule="auto" w:before="0" w:after="0"/>
        <w:ind w:left="160" w:right="496" w:firstLine="0"/>
        <w:jc w:val="both"/>
        <w:rPr>
          <w:sz w:val="24"/>
        </w:rPr>
      </w:pPr>
      <w:r>
        <w:rPr>
          <w:sz w:val="24"/>
        </w:rPr>
        <w:t>The tradition in India has been to regard training for college lecturers as unnecessary. Born teachers who can dispense with training certainly exist. Many are</w:t>
      </w:r>
      <w:r>
        <w:rPr>
          <w:spacing w:val="40"/>
          <w:sz w:val="24"/>
        </w:rPr>
        <w:t> </w:t>
      </w:r>
      <w:r>
        <w:rPr>
          <w:sz w:val="24"/>
        </w:rPr>
        <w:t>keen, devoted scholars, whose scholarship may win over the respect of the students- though this is not always a safe presumption-and may thus be able to discharge their function satisfactorily in spite of professional inadequacy. But the bulk of teachers unfortunately do not fall into these categories. For them some suitable form of training and orientation is essential, not only to overcome their initial 'teaching' troubles and to create a sense of confidence, but also to give them a reasonable understanding of educational objectives and purposes, the raison d'etre and place of their special subject in the curriculum, of new methods and techniques of teaching and learning, and a</w:t>
      </w:r>
      <w:r>
        <w:rPr>
          <w:spacing w:val="40"/>
          <w:sz w:val="24"/>
        </w:rPr>
        <w:t> </w:t>
      </w:r>
      <w:r>
        <w:rPr>
          <w:sz w:val="24"/>
        </w:rPr>
        <w:t>knowledge of psychology on which good teaching should be based. No question of</w:t>
      </w:r>
      <w:r>
        <w:rPr>
          <w:spacing w:val="40"/>
          <w:sz w:val="24"/>
        </w:rPr>
        <w:t> </w:t>
      </w:r>
      <w:r>
        <w:rPr>
          <w:sz w:val="24"/>
        </w:rPr>
        <w:t>amour propre should be involved. In most highly skilled professions-and education is certainly one-training is regarded as an essential qualification.</w:t>
      </w:r>
    </w:p>
    <w:p>
      <w:pPr>
        <w:pStyle w:val="BodyText"/>
        <w:spacing w:before="4"/>
      </w:pPr>
    </w:p>
    <w:p>
      <w:pPr>
        <w:pStyle w:val="ListParagraph"/>
        <w:numPr>
          <w:ilvl w:val="1"/>
          <w:numId w:val="76"/>
        </w:numPr>
        <w:tabs>
          <w:tab w:pos="641" w:val="left" w:leader="none"/>
        </w:tabs>
        <w:spacing w:line="240" w:lineRule="auto" w:before="0" w:after="0"/>
        <w:ind w:left="160" w:right="496" w:firstLine="0"/>
        <w:jc w:val="both"/>
        <w:rPr>
          <w:sz w:val="24"/>
        </w:rPr>
      </w:pPr>
      <w:r>
        <w:rPr>
          <w:sz w:val="24"/>
        </w:rPr>
        <w:t>We</w:t>
      </w:r>
      <w:r>
        <w:rPr>
          <w:spacing w:val="-1"/>
          <w:sz w:val="24"/>
        </w:rPr>
        <w:t> </w:t>
      </w:r>
      <w:r>
        <w:rPr>
          <w:sz w:val="24"/>
        </w:rPr>
        <w:t>do</w:t>
      </w:r>
      <w:r>
        <w:rPr>
          <w:spacing w:val="-1"/>
          <w:sz w:val="24"/>
        </w:rPr>
        <w:t> </w:t>
      </w:r>
      <w:r>
        <w:rPr>
          <w:sz w:val="24"/>
        </w:rPr>
        <w:t>not</w:t>
      </w:r>
      <w:r>
        <w:rPr>
          <w:spacing w:val="-1"/>
          <w:sz w:val="24"/>
        </w:rPr>
        <w:t> </w:t>
      </w:r>
      <w:r>
        <w:rPr>
          <w:sz w:val="24"/>
        </w:rPr>
        <w:t>think</w:t>
      </w:r>
      <w:r>
        <w:rPr>
          <w:spacing w:val="-1"/>
          <w:sz w:val="24"/>
        </w:rPr>
        <w:t> </w:t>
      </w:r>
      <w:r>
        <w:rPr>
          <w:sz w:val="24"/>
        </w:rPr>
        <w:t>it</w:t>
      </w:r>
      <w:r>
        <w:rPr>
          <w:spacing w:val="-1"/>
          <w:sz w:val="24"/>
        </w:rPr>
        <w:t> </w:t>
      </w:r>
      <w:r>
        <w:rPr>
          <w:sz w:val="24"/>
        </w:rPr>
        <w:t>necessary,</w:t>
      </w:r>
      <w:r>
        <w:rPr>
          <w:spacing w:val="-1"/>
          <w:sz w:val="24"/>
        </w:rPr>
        <w:t> </w:t>
      </w:r>
      <w:r>
        <w:rPr>
          <w:sz w:val="24"/>
        </w:rPr>
        <w:t>however,</w:t>
      </w:r>
      <w:r>
        <w:rPr>
          <w:spacing w:val="-1"/>
          <w:sz w:val="24"/>
        </w:rPr>
        <w:t> </w:t>
      </w:r>
      <w:r>
        <w:rPr>
          <w:sz w:val="24"/>
        </w:rPr>
        <w:t>to</w:t>
      </w:r>
      <w:r>
        <w:rPr>
          <w:spacing w:val="-4"/>
          <w:sz w:val="24"/>
        </w:rPr>
        <w:t> </w:t>
      </w:r>
      <w:r>
        <w:rPr>
          <w:sz w:val="24"/>
        </w:rPr>
        <w:t>propose</w:t>
      </w:r>
      <w:r>
        <w:rPr>
          <w:spacing w:val="-1"/>
          <w:sz w:val="24"/>
        </w:rPr>
        <w:t> </w:t>
      </w:r>
      <w:r>
        <w:rPr>
          <w:sz w:val="24"/>
        </w:rPr>
        <w:t>that</w:t>
      </w:r>
      <w:r>
        <w:rPr>
          <w:spacing w:val="-1"/>
          <w:sz w:val="24"/>
        </w:rPr>
        <w:t> </w:t>
      </w:r>
      <w:r>
        <w:rPr>
          <w:sz w:val="24"/>
        </w:rPr>
        <w:t>full-</w:t>
      </w:r>
      <w:r>
        <w:rPr>
          <w:spacing w:val="-1"/>
          <w:sz w:val="24"/>
        </w:rPr>
        <w:t> </w:t>
      </w:r>
      <w:r>
        <w:rPr>
          <w:sz w:val="24"/>
        </w:rPr>
        <w:t>fledged</w:t>
      </w:r>
      <w:r>
        <w:rPr>
          <w:spacing w:val="-2"/>
          <w:sz w:val="24"/>
        </w:rPr>
        <w:t> </w:t>
      </w:r>
      <w:r>
        <w:rPr>
          <w:sz w:val="24"/>
        </w:rPr>
        <w:t>training</w:t>
      </w:r>
      <w:r>
        <w:rPr>
          <w:spacing w:val="-2"/>
          <w:sz w:val="24"/>
        </w:rPr>
        <w:t> </w:t>
      </w:r>
      <w:r>
        <w:rPr>
          <w:sz w:val="24"/>
        </w:rPr>
        <w:t>colleges should be established for college lecturers, though we do not rule out this possibility. For the present we suggest that universities, individually or cooperatively, give their mind to this problem and work out practicable methods of meeting the present situation. </w:t>
      </w:r>
      <w:r>
        <w:rPr>
          <w:sz w:val="24"/>
        </w:rPr>
        <w:t>Some measures have in fact been taken in recent years. The UGC, for example, has started a scheme of summer institutes in which teachers of different subjects are brought together under the guidance of competent professors and scholars to study the new dimensions of their disciplines. Their number is increasing and it is hoped that many more will be organized. But they are not a complete answer to the problem. In a few colleges, special lecture courses have occasionally been organized for this purpose and have proved</w:t>
      </w:r>
      <w:r>
        <w:rPr>
          <w:spacing w:val="80"/>
          <w:sz w:val="24"/>
        </w:rPr>
        <w:t> </w:t>
      </w:r>
      <w:r>
        <w:rPr>
          <w:sz w:val="24"/>
        </w:rPr>
        <w:t>useful.</w:t>
      </w:r>
      <w:r>
        <w:rPr>
          <w:spacing w:val="44"/>
          <w:sz w:val="24"/>
        </w:rPr>
        <w:t> </w:t>
      </w:r>
      <w:r>
        <w:rPr>
          <w:sz w:val="24"/>
        </w:rPr>
        <w:t>Some</w:t>
      </w:r>
      <w:r>
        <w:rPr>
          <w:spacing w:val="47"/>
          <w:sz w:val="24"/>
        </w:rPr>
        <w:t> </w:t>
      </w:r>
      <w:r>
        <w:rPr>
          <w:sz w:val="24"/>
        </w:rPr>
        <w:t>universities</w:t>
      </w:r>
      <w:r>
        <w:rPr>
          <w:spacing w:val="47"/>
          <w:sz w:val="24"/>
        </w:rPr>
        <w:t> </w:t>
      </w:r>
      <w:r>
        <w:rPr>
          <w:sz w:val="24"/>
        </w:rPr>
        <w:t>have</w:t>
      </w:r>
      <w:r>
        <w:rPr>
          <w:spacing w:val="46"/>
          <w:sz w:val="24"/>
        </w:rPr>
        <w:t> </w:t>
      </w:r>
      <w:r>
        <w:rPr>
          <w:sz w:val="24"/>
        </w:rPr>
        <w:t>instituted</w:t>
      </w:r>
      <w:r>
        <w:rPr>
          <w:spacing w:val="45"/>
          <w:sz w:val="24"/>
        </w:rPr>
        <w:t> </w:t>
      </w:r>
      <w:r>
        <w:rPr>
          <w:sz w:val="24"/>
        </w:rPr>
        <w:t>special</w:t>
      </w:r>
      <w:r>
        <w:rPr>
          <w:spacing w:val="46"/>
          <w:sz w:val="24"/>
        </w:rPr>
        <w:t> </w:t>
      </w:r>
      <w:r>
        <w:rPr>
          <w:sz w:val="24"/>
        </w:rPr>
        <w:t>postgraduate</w:t>
      </w:r>
      <w:r>
        <w:rPr>
          <w:spacing w:val="47"/>
          <w:sz w:val="24"/>
        </w:rPr>
        <w:t> </w:t>
      </w:r>
      <w:r>
        <w:rPr>
          <w:sz w:val="24"/>
        </w:rPr>
        <w:t>diplomas</w:t>
      </w:r>
      <w:r>
        <w:rPr>
          <w:spacing w:val="47"/>
          <w:sz w:val="24"/>
        </w:rPr>
        <w:t> </w:t>
      </w:r>
      <w:r>
        <w:rPr>
          <w:sz w:val="24"/>
        </w:rPr>
        <w:t>to</w:t>
      </w:r>
      <w:r>
        <w:rPr>
          <w:spacing w:val="47"/>
          <w:sz w:val="24"/>
        </w:rPr>
        <w:t> </w:t>
      </w:r>
      <w:r>
        <w:rPr>
          <w:sz w:val="24"/>
        </w:rPr>
        <w:t>meet</w:t>
      </w:r>
      <w:r>
        <w:rPr>
          <w:spacing w:val="47"/>
          <w:sz w:val="24"/>
        </w:rPr>
        <w:t> </w:t>
      </w:r>
      <w:r>
        <w:rPr>
          <w:spacing w:val="-2"/>
          <w:sz w:val="24"/>
        </w:rPr>
        <w:t>these</w:t>
      </w:r>
    </w:p>
    <w:p>
      <w:pPr>
        <w:spacing w:after="0" w:line="240" w:lineRule="auto"/>
        <w:jc w:val="both"/>
        <w:rPr>
          <w:sz w:val="24"/>
        </w:rPr>
        <w:sectPr>
          <w:pgSz w:w="12240" w:h="15840"/>
          <w:pgMar w:header="0" w:footer="743" w:top="1360" w:bottom="940" w:left="1640" w:right="1300"/>
        </w:sectPr>
      </w:pPr>
    </w:p>
    <w:p>
      <w:pPr>
        <w:pStyle w:val="BodyText"/>
        <w:spacing w:before="76"/>
        <w:ind w:left="160" w:right="510"/>
      </w:pPr>
      <w:r>
        <w:rPr/>
        <w:t>needs. These, however have only a marginal effect on a problem for which more massive and imaginative measures are needed.</w:t>
      </w:r>
    </w:p>
    <w:p>
      <w:pPr>
        <w:pStyle w:val="BodyText"/>
        <w:spacing w:before="4"/>
      </w:pPr>
    </w:p>
    <w:p>
      <w:pPr>
        <w:pStyle w:val="ListParagraph"/>
        <w:numPr>
          <w:ilvl w:val="1"/>
          <w:numId w:val="76"/>
        </w:numPr>
        <w:tabs>
          <w:tab w:pos="641" w:val="left" w:leader="none"/>
        </w:tabs>
        <w:spacing w:line="240" w:lineRule="auto" w:before="0" w:after="0"/>
        <w:ind w:left="160" w:right="493" w:firstLine="0"/>
        <w:jc w:val="both"/>
        <w:rPr>
          <w:sz w:val="24"/>
        </w:rPr>
      </w:pPr>
      <w:r>
        <w:rPr>
          <w:sz w:val="24"/>
        </w:rPr>
        <w:t>A</w:t>
      </w:r>
      <w:r>
        <w:rPr>
          <w:spacing w:val="-1"/>
          <w:sz w:val="24"/>
        </w:rPr>
        <w:t> </w:t>
      </w:r>
      <w:r>
        <w:rPr>
          <w:sz w:val="24"/>
        </w:rPr>
        <w:t>few</w:t>
      </w:r>
      <w:r>
        <w:rPr>
          <w:spacing w:val="-1"/>
          <w:sz w:val="24"/>
        </w:rPr>
        <w:t> </w:t>
      </w:r>
      <w:r>
        <w:rPr>
          <w:sz w:val="24"/>
        </w:rPr>
        <w:t>suggestions</w:t>
      </w:r>
      <w:r>
        <w:rPr>
          <w:spacing w:val="-1"/>
          <w:sz w:val="24"/>
        </w:rPr>
        <w:t> </w:t>
      </w:r>
      <w:r>
        <w:rPr>
          <w:sz w:val="24"/>
        </w:rPr>
        <w:t>are</w:t>
      </w:r>
      <w:r>
        <w:rPr>
          <w:spacing w:val="-1"/>
          <w:sz w:val="24"/>
        </w:rPr>
        <w:t> </w:t>
      </w:r>
      <w:r>
        <w:rPr>
          <w:sz w:val="24"/>
        </w:rPr>
        <w:t>made</w:t>
      </w:r>
      <w:r>
        <w:rPr>
          <w:spacing w:val="-1"/>
          <w:sz w:val="24"/>
        </w:rPr>
        <w:t> </w:t>
      </w:r>
      <w:r>
        <w:rPr>
          <w:sz w:val="24"/>
        </w:rPr>
        <w:t>here</w:t>
      </w:r>
      <w:r>
        <w:rPr>
          <w:spacing w:val="-1"/>
          <w:sz w:val="24"/>
        </w:rPr>
        <w:t> </w:t>
      </w:r>
      <w:r>
        <w:rPr>
          <w:sz w:val="24"/>
        </w:rPr>
        <w:t>in</w:t>
      </w:r>
      <w:r>
        <w:rPr>
          <w:spacing w:val="-1"/>
          <w:sz w:val="24"/>
        </w:rPr>
        <w:t> </w:t>
      </w:r>
      <w:r>
        <w:rPr>
          <w:sz w:val="24"/>
        </w:rPr>
        <w:t>the</w:t>
      </w:r>
      <w:r>
        <w:rPr>
          <w:spacing w:val="-1"/>
          <w:sz w:val="24"/>
        </w:rPr>
        <w:t> </w:t>
      </w:r>
      <w:r>
        <w:rPr>
          <w:sz w:val="24"/>
        </w:rPr>
        <w:t>hope</w:t>
      </w:r>
      <w:r>
        <w:rPr>
          <w:spacing w:val="-1"/>
          <w:sz w:val="24"/>
        </w:rPr>
        <w:t> </w:t>
      </w:r>
      <w:r>
        <w:rPr>
          <w:sz w:val="24"/>
        </w:rPr>
        <w:t>that</w:t>
      </w:r>
      <w:r>
        <w:rPr>
          <w:spacing w:val="-1"/>
          <w:sz w:val="24"/>
        </w:rPr>
        <w:t> </w:t>
      </w:r>
      <w:r>
        <w:rPr>
          <w:sz w:val="24"/>
        </w:rPr>
        <w:t>universities</w:t>
      </w:r>
      <w:r>
        <w:rPr>
          <w:spacing w:val="-1"/>
          <w:sz w:val="24"/>
        </w:rPr>
        <w:t> </w:t>
      </w:r>
      <w:r>
        <w:rPr>
          <w:sz w:val="24"/>
        </w:rPr>
        <w:t>will</w:t>
      </w:r>
      <w:r>
        <w:rPr>
          <w:spacing w:val="-1"/>
          <w:sz w:val="24"/>
        </w:rPr>
        <w:t> </w:t>
      </w:r>
      <w:r>
        <w:rPr>
          <w:sz w:val="24"/>
        </w:rPr>
        <w:t>draw</w:t>
      </w:r>
      <w:r>
        <w:rPr>
          <w:spacing w:val="-1"/>
          <w:sz w:val="24"/>
        </w:rPr>
        <w:t> </w:t>
      </w:r>
      <w:r>
        <w:rPr>
          <w:sz w:val="24"/>
        </w:rPr>
        <w:t>up</w:t>
      </w:r>
      <w:r>
        <w:rPr>
          <w:spacing w:val="-1"/>
          <w:sz w:val="24"/>
        </w:rPr>
        <w:t> </w:t>
      </w:r>
      <w:r>
        <w:rPr>
          <w:sz w:val="24"/>
        </w:rPr>
        <w:t>their</w:t>
      </w:r>
      <w:r>
        <w:rPr>
          <w:spacing w:val="-1"/>
          <w:sz w:val="24"/>
        </w:rPr>
        <w:t> </w:t>
      </w:r>
      <w:r>
        <w:rPr>
          <w:sz w:val="24"/>
        </w:rPr>
        <w:t>own programmes for the orientation of their teachers, taking these suggestions into </w:t>
      </w:r>
      <w:r>
        <w:rPr>
          <w:spacing w:val="-2"/>
          <w:sz w:val="24"/>
        </w:rPr>
        <w:t>consideration:</w:t>
      </w:r>
    </w:p>
    <w:p>
      <w:pPr>
        <w:pStyle w:val="BodyText"/>
        <w:spacing w:before="5"/>
      </w:pPr>
    </w:p>
    <w:p>
      <w:pPr>
        <w:pStyle w:val="ListParagraph"/>
        <w:numPr>
          <w:ilvl w:val="0"/>
          <w:numId w:val="84"/>
        </w:numPr>
        <w:tabs>
          <w:tab w:pos="511" w:val="left" w:leader="none"/>
        </w:tabs>
        <w:spacing w:line="240" w:lineRule="auto" w:before="0" w:after="0"/>
        <w:ind w:left="160" w:right="497" w:firstLine="0"/>
        <w:jc w:val="both"/>
        <w:rPr>
          <w:sz w:val="24"/>
        </w:rPr>
      </w:pPr>
      <w:r>
        <w:rPr>
          <w:sz w:val="24"/>
        </w:rPr>
        <w:t>Newly appointed lecturers should be given some time and opportunity to acclimatize themselves to the institution, to learn the traditions and pattern of work, to get to know their colleagues and students. They should be expected to study the syllabus carefully, to prepare a detailed programme for the teaching work they propose to undertake, to draw up their schemes of lectures, consult the library and select books to be recommended to students. They should discuss these with the heads of their departments or other senior colleagues and invite their suggestions. The head of a department who is not interested in this work and is not prepared to give new teachers his help, guidance and time is unworthy of his position.</w:t>
      </w:r>
    </w:p>
    <w:p>
      <w:pPr>
        <w:pStyle w:val="BodyText"/>
        <w:spacing w:before="4"/>
      </w:pPr>
    </w:p>
    <w:p>
      <w:pPr>
        <w:pStyle w:val="ListParagraph"/>
        <w:numPr>
          <w:ilvl w:val="0"/>
          <w:numId w:val="84"/>
        </w:numPr>
        <w:tabs>
          <w:tab w:pos="536" w:val="left" w:leader="none"/>
        </w:tabs>
        <w:spacing w:line="240" w:lineRule="auto" w:before="0" w:after="0"/>
        <w:ind w:left="160" w:right="494" w:firstLine="0"/>
        <w:jc w:val="both"/>
        <w:rPr>
          <w:sz w:val="24"/>
        </w:rPr>
      </w:pPr>
      <w:r>
        <w:rPr>
          <w:sz w:val="24"/>
        </w:rPr>
        <w:t>They should be encouraged to attend the lectures of some senior teachers of their subject</w:t>
      </w:r>
      <w:r>
        <w:rPr>
          <w:spacing w:val="-1"/>
          <w:sz w:val="24"/>
        </w:rPr>
        <w:t> </w:t>
      </w:r>
      <w:r>
        <w:rPr>
          <w:sz w:val="24"/>
        </w:rPr>
        <w:t>and</w:t>
      </w:r>
      <w:r>
        <w:rPr>
          <w:spacing w:val="-1"/>
          <w:sz w:val="24"/>
        </w:rPr>
        <w:t> </w:t>
      </w:r>
      <w:r>
        <w:rPr>
          <w:sz w:val="24"/>
        </w:rPr>
        <w:t>study</w:t>
      </w:r>
      <w:r>
        <w:rPr>
          <w:spacing w:val="-1"/>
          <w:sz w:val="24"/>
        </w:rPr>
        <w:t> </w:t>
      </w:r>
      <w:r>
        <w:rPr>
          <w:sz w:val="24"/>
        </w:rPr>
        <w:t>their</w:t>
      </w:r>
      <w:r>
        <w:rPr>
          <w:spacing w:val="-1"/>
          <w:sz w:val="24"/>
        </w:rPr>
        <w:t> </w:t>
      </w:r>
      <w:r>
        <w:rPr>
          <w:sz w:val="24"/>
        </w:rPr>
        <w:t>methods</w:t>
      </w:r>
      <w:r>
        <w:rPr>
          <w:spacing w:val="-1"/>
          <w:sz w:val="24"/>
        </w:rPr>
        <w:t> </w:t>
      </w:r>
      <w:r>
        <w:rPr>
          <w:sz w:val="24"/>
        </w:rPr>
        <w:t>of</w:t>
      </w:r>
      <w:r>
        <w:rPr>
          <w:spacing w:val="-1"/>
          <w:sz w:val="24"/>
        </w:rPr>
        <w:t> </w:t>
      </w:r>
      <w:r>
        <w:rPr>
          <w:sz w:val="24"/>
        </w:rPr>
        <w:t>teaching</w:t>
      </w:r>
      <w:r>
        <w:rPr>
          <w:spacing w:val="-1"/>
          <w:sz w:val="24"/>
        </w:rPr>
        <w:t> </w:t>
      </w:r>
      <w:r>
        <w:rPr>
          <w:sz w:val="24"/>
        </w:rPr>
        <w:t>and</w:t>
      </w:r>
      <w:r>
        <w:rPr>
          <w:spacing w:val="-4"/>
          <w:sz w:val="24"/>
        </w:rPr>
        <w:t> </w:t>
      </w:r>
      <w:r>
        <w:rPr>
          <w:sz w:val="24"/>
        </w:rPr>
        <w:t>ways</w:t>
      </w:r>
      <w:r>
        <w:rPr>
          <w:spacing w:val="-1"/>
          <w:sz w:val="24"/>
        </w:rPr>
        <w:t> </w:t>
      </w:r>
      <w:r>
        <w:rPr>
          <w:sz w:val="24"/>
        </w:rPr>
        <w:t>of</w:t>
      </w:r>
      <w:r>
        <w:rPr>
          <w:spacing w:val="-1"/>
          <w:sz w:val="24"/>
        </w:rPr>
        <w:t> </w:t>
      </w:r>
      <w:r>
        <w:rPr>
          <w:sz w:val="24"/>
        </w:rPr>
        <w:t>handling</w:t>
      </w:r>
      <w:r>
        <w:rPr>
          <w:spacing w:val="-1"/>
          <w:sz w:val="24"/>
        </w:rPr>
        <w:t> </w:t>
      </w:r>
      <w:r>
        <w:rPr>
          <w:sz w:val="24"/>
        </w:rPr>
        <w:t>their</w:t>
      </w:r>
      <w:r>
        <w:rPr>
          <w:spacing w:val="-1"/>
          <w:sz w:val="24"/>
        </w:rPr>
        <w:t> </w:t>
      </w:r>
      <w:r>
        <w:rPr>
          <w:sz w:val="24"/>
        </w:rPr>
        <w:t>students.</w:t>
      </w:r>
      <w:r>
        <w:rPr>
          <w:spacing w:val="-1"/>
          <w:sz w:val="24"/>
        </w:rPr>
        <w:t> </w:t>
      </w:r>
      <w:r>
        <w:rPr>
          <w:sz w:val="24"/>
        </w:rPr>
        <w:t>After</w:t>
      </w:r>
      <w:r>
        <w:rPr>
          <w:spacing w:val="-1"/>
          <w:sz w:val="24"/>
        </w:rPr>
        <w:t> </w:t>
      </w:r>
      <w:r>
        <w:rPr>
          <w:sz w:val="24"/>
        </w:rPr>
        <w:t>the lecture, the senior teacher can discuss his methods and techniques with his junior colleagues who should be free to express their opinions and raise questions. If this is done, they would not mind if later the head of the department or some other senior colleague visits their classes. It is wrong to think that such visits are derogatory and should be avoided. If the college community is a fellowship of learning, such interchange of visits should be acceptable.</w:t>
      </w:r>
    </w:p>
    <w:p>
      <w:pPr>
        <w:pStyle w:val="BodyText"/>
        <w:spacing w:before="3"/>
      </w:pPr>
    </w:p>
    <w:p>
      <w:pPr>
        <w:pStyle w:val="ListParagraph"/>
        <w:numPr>
          <w:ilvl w:val="0"/>
          <w:numId w:val="84"/>
        </w:numPr>
        <w:tabs>
          <w:tab w:pos="519" w:val="left" w:leader="none"/>
        </w:tabs>
        <w:spacing w:line="240" w:lineRule="auto" w:before="1" w:after="0"/>
        <w:ind w:left="160" w:right="496" w:firstLine="0"/>
        <w:jc w:val="both"/>
        <w:rPr>
          <w:sz w:val="24"/>
        </w:rPr>
      </w:pPr>
      <w:r>
        <w:rPr>
          <w:sz w:val="24"/>
        </w:rPr>
        <w:t>Every university and, where possible, every college, should have regular orientation courses organized for a few weeks early in the session in which some new and some</w:t>
      </w:r>
      <w:r>
        <w:rPr>
          <w:spacing w:val="40"/>
          <w:sz w:val="24"/>
        </w:rPr>
        <w:t> </w:t>
      </w:r>
      <w:r>
        <w:rPr>
          <w:sz w:val="24"/>
        </w:rPr>
        <w:t>older teachers participate. The best teachers of the institution-as well as some distinguished</w:t>
      </w:r>
      <w:r>
        <w:rPr>
          <w:spacing w:val="-2"/>
          <w:sz w:val="24"/>
        </w:rPr>
        <w:t> </w:t>
      </w:r>
      <w:r>
        <w:rPr>
          <w:sz w:val="24"/>
        </w:rPr>
        <w:t>teachers</w:t>
      </w:r>
      <w:r>
        <w:rPr>
          <w:spacing w:val="-2"/>
          <w:sz w:val="24"/>
        </w:rPr>
        <w:t> </w:t>
      </w:r>
      <w:r>
        <w:rPr>
          <w:sz w:val="24"/>
        </w:rPr>
        <w:t>from</w:t>
      </w:r>
      <w:r>
        <w:rPr>
          <w:spacing w:val="-4"/>
          <w:sz w:val="24"/>
        </w:rPr>
        <w:t> </w:t>
      </w:r>
      <w:r>
        <w:rPr>
          <w:sz w:val="24"/>
        </w:rPr>
        <w:t>outside</w:t>
      </w:r>
      <w:r>
        <w:rPr>
          <w:spacing w:val="-3"/>
          <w:sz w:val="24"/>
        </w:rPr>
        <w:t> </w:t>
      </w:r>
      <w:r>
        <w:rPr>
          <w:sz w:val="24"/>
        </w:rPr>
        <w:t>should</w:t>
      </w:r>
      <w:r>
        <w:rPr>
          <w:spacing w:val="-3"/>
          <w:sz w:val="24"/>
        </w:rPr>
        <w:t> </w:t>
      </w:r>
      <w:r>
        <w:rPr>
          <w:sz w:val="24"/>
        </w:rPr>
        <w:t>discuss</w:t>
      </w:r>
      <w:r>
        <w:rPr>
          <w:spacing w:val="-3"/>
          <w:sz w:val="24"/>
        </w:rPr>
        <w:t> </w:t>
      </w:r>
      <w:r>
        <w:rPr>
          <w:sz w:val="24"/>
        </w:rPr>
        <w:t>with</w:t>
      </w:r>
      <w:r>
        <w:rPr>
          <w:spacing w:val="-3"/>
          <w:sz w:val="24"/>
        </w:rPr>
        <w:t> </w:t>
      </w:r>
      <w:r>
        <w:rPr>
          <w:sz w:val="24"/>
        </w:rPr>
        <w:t>them</w:t>
      </w:r>
      <w:r>
        <w:rPr>
          <w:spacing w:val="-7"/>
          <w:sz w:val="24"/>
        </w:rPr>
        <w:t> </w:t>
      </w:r>
      <w:r>
        <w:rPr>
          <w:sz w:val="24"/>
        </w:rPr>
        <w:t>the</w:t>
      </w:r>
      <w:r>
        <w:rPr>
          <w:spacing w:val="-2"/>
          <w:sz w:val="24"/>
        </w:rPr>
        <w:t> </w:t>
      </w:r>
      <w:r>
        <w:rPr>
          <w:sz w:val="24"/>
        </w:rPr>
        <w:t>outstanding</w:t>
      </w:r>
      <w:r>
        <w:rPr>
          <w:spacing w:val="-2"/>
          <w:sz w:val="24"/>
        </w:rPr>
        <w:t> </w:t>
      </w:r>
      <w:r>
        <w:rPr>
          <w:sz w:val="24"/>
        </w:rPr>
        <w:t>problems</w:t>
      </w:r>
      <w:r>
        <w:rPr>
          <w:spacing w:val="-2"/>
          <w:sz w:val="24"/>
        </w:rPr>
        <w:t> </w:t>
      </w:r>
      <w:r>
        <w:rPr>
          <w:sz w:val="24"/>
        </w:rPr>
        <w:t>of teaching, research and discipline as well as the mechanics of the profession. During such courses new teachers will be able to make social and academic contacts and find their</w:t>
      </w:r>
      <w:r>
        <w:rPr>
          <w:spacing w:val="80"/>
          <w:sz w:val="24"/>
        </w:rPr>
        <w:t> </w:t>
      </w:r>
      <w:r>
        <w:rPr>
          <w:sz w:val="24"/>
        </w:rPr>
        <w:t>feet in their new environment. They will learn to feel at home in the college, accept some of its ideals and traditions and come into contact with well- known teachers of their own institution and from outside. Care should be taken to associate with these courses only such persons as enjoy a high reputation in the academic community for their scholarship and character and are likely to exercise a beneficial influence on new members.</w:t>
      </w:r>
    </w:p>
    <w:p>
      <w:pPr>
        <w:pStyle w:val="BodyText"/>
        <w:spacing w:before="3"/>
      </w:pPr>
    </w:p>
    <w:p>
      <w:pPr>
        <w:pStyle w:val="ListParagraph"/>
        <w:numPr>
          <w:ilvl w:val="0"/>
          <w:numId w:val="84"/>
        </w:numPr>
        <w:tabs>
          <w:tab w:pos="508" w:val="left" w:leader="none"/>
        </w:tabs>
        <w:spacing w:line="240" w:lineRule="auto" w:before="1" w:after="0"/>
        <w:ind w:left="160" w:right="495" w:firstLine="0"/>
        <w:jc w:val="both"/>
        <w:rPr>
          <w:sz w:val="24"/>
        </w:rPr>
      </w:pPr>
      <w:r>
        <w:rPr>
          <w:sz w:val="24"/>
        </w:rPr>
        <w:t>It may be possible, in the bigger universities or a group of universities, to place these activities on a permanent and continuing basis by establishing something like a staff college where teachers from all affiliated and constituent colleges as well as the</w:t>
      </w:r>
      <w:r>
        <w:rPr>
          <w:spacing w:val="40"/>
          <w:sz w:val="24"/>
        </w:rPr>
        <w:t> </w:t>
      </w:r>
      <w:r>
        <w:rPr>
          <w:sz w:val="24"/>
        </w:rPr>
        <w:t>university will be brought together for orientation, discussions, seminars, workshops, etc. Where</w:t>
      </w:r>
      <w:r>
        <w:rPr>
          <w:spacing w:val="-1"/>
          <w:sz w:val="24"/>
        </w:rPr>
        <w:t> </w:t>
      </w:r>
      <w:r>
        <w:rPr>
          <w:sz w:val="24"/>
        </w:rPr>
        <w:t>this</w:t>
      </w:r>
      <w:r>
        <w:rPr>
          <w:spacing w:val="-1"/>
          <w:sz w:val="24"/>
        </w:rPr>
        <w:t> </w:t>
      </w:r>
      <w:r>
        <w:rPr>
          <w:sz w:val="24"/>
        </w:rPr>
        <w:t>is</w:t>
      </w:r>
      <w:r>
        <w:rPr>
          <w:spacing w:val="-1"/>
          <w:sz w:val="24"/>
        </w:rPr>
        <w:t> </w:t>
      </w:r>
      <w:r>
        <w:rPr>
          <w:sz w:val="24"/>
        </w:rPr>
        <w:t>not</w:t>
      </w:r>
      <w:r>
        <w:rPr>
          <w:spacing w:val="-1"/>
          <w:sz w:val="24"/>
        </w:rPr>
        <w:t> </w:t>
      </w:r>
      <w:r>
        <w:rPr>
          <w:sz w:val="24"/>
        </w:rPr>
        <w:t>possible,</w:t>
      </w:r>
      <w:r>
        <w:rPr>
          <w:spacing w:val="-1"/>
          <w:sz w:val="24"/>
        </w:rPr>
        <w:t> </w:t>
      </w:r>
      <w:r>
        <w:rPr>
          <w:sz w:val="24"/>
        </w:rPr>
        <w:t>a</w:t>
      </w:r>
      <w:r>
        <w:rPr>
          <w:spacing w:val="-1"/>
          <w:sz w:val="24"/>
        </w:rPr>
        <w:t> </w:t>
      </w:r>
      <w:r>
        <w:rPr>
          <w:sz w:val="24"/>
        </w:rPr>
        <w:t>conference</w:t>
      </w:r>
      <w:r>
        <w:rPr>
          <w:spacing w:val="-1"/>
          <w:sz w:val="24"/>
        </w:rPr>
        <w:t> </w:t>
      </w:r>
      <w:r>
        <w:rPr>
          <w:sz w:val="24"/>
        </w:rPr>
        <w:t>centre</w:t>
      </w:r>
      <w:r>
        <w:rPr>
          <w:spacing w:val="-1"/>
          <w:sz w:val="24"/>
        </w:rPr>
        <w:t> </w:t>
      </w:r>
      <w:r>
        <w:rPr>
          <w:sz w:val="24"/>
        </w:rPr>
        <w:t>would</w:t>
      </w:r>
      <w:r>
        <w:rPr>
          <w:spacing w:val="-1"/>
          <w:sz w:val="24"/>
        </w:rPr>
        <w:t> </w:t>
      </w:r>
      <w:r>
        <w:rPr>
          <w:sz w:val="24"/>
        </w:rPr>
        <w:t>be</w:t>
      </w:r>
      <w:r>
        <w:rPr>
          <w:spacing w:val="-1"/>
          <w:sz w:val="24"/>
        </w:rPr>
        <w:t> </w:t>
      </w:r>
      <w:r>
        <w:rPr>
          <w:sz w:val="24"/>
        </w:rPr>
        <w:t>necessary</w:t>
      </w:r>
      <w:r>
        <w:rPr>
          <w:spacing w:val="-1"/>
          <w:sz w:val="24"/>
        </w:rPr>
        <w:t> </w:t>
      </w:r>
      <w:r>
        <w:rPr>
          <w:sz w:val="24"/>
        </w:rPr>
        <w:t>to</w:t>
      </w:r>
      <w:r>
        <w:rPr>
          <w:spacing w:val="-2"/>
          <w:sz w:val="24"/>
        </w:rPr>
        <w:t> </w:t>
      </w:r>
      <w:r>
        <w:rPr>
          <w:sz w:val="24"/>
        </w:rPr>
        <w:t>facilitate</w:t>
      </w:r>
      <w:r>
        <w:rPr>
          <w:spacing w:val="-1"/>
          <w:sz w:val="24"/>
        </w:rPr>
        <w:t> </w:t>
      </w:r>
      <w:r>
        <w:rPr>
          <w:sz w:val="24"/>
        </w:rPr>
        <w:t>discussion of the issues which teachers have to face, e.g., objectives of education, methods of teaching,</w:t>
      </w:r>
      <w:r>
        <w:rPr>
          <w:spacing w:val="6"/>
          <w:sz w:val="24"/>
        </w:rPr>
        <w:t> </w:t>
      </w:r>
      <w:r>
        <w:rPr>
          <w:sz w:val="24"/>
        </w:rPr>
        <w:t>enrichment</w:t>
      </w:r>
      <w:r>
        <w:rPr>
          <w:spacing w:val="6"/>
          <w:sz w:val="24"/>
        </w:rPr>
        <w:t> </w:t>
      </w:r>
      <w:r>
        <w:rPr>
          <w:sz w:val="24"/>
        </w:rPr>
        <w:t>of</w:t>
      </w:r>
      <w:r>
        <w:rPr>
          <w:spacing w:val="7"/>
          <w:sz w:val="24"/>
        </w:rPr>
        <w:t> </w:t>
      </w:r>
      <w:r>
        <w:rPr>
          <w:sz w:val="24"/>
        </w:rPr>
        <w:t>subject-matter,</w:t>
      </w:r>
      <w:r>
        <w:rPr>
          <w:spacing w:val="6"/>
          <w:sz w:val="24"/>
        </w:rPr>
        <w:t> </w:t>
      </w:r>
      <w:r>
        <w:rPr>
          <w:sz w:val="24"/>
        </w:rPr>
        <w:t>etc.</w:t>
      </w:r>
      <w:r>
        <w:rPr>
          <w:spacing w:val="7"/>
          <w:sz w:val="24"/>
        </w:rPr>
        <w:t> </w:t>
      </w:r>
      <w:r>
        <w:rPr>
          <w:sz w:val="24"/>
        </w:rPr>
        <w:t>The</w:t>
      </w:r>
      <w:r>
        <w:rPr>
          <w:spacing w:val="6"/>
          <w:sz w:val="24"/>
        </w:rPr>
        <w:t> </w:t>
      </w:r>
      <w:r>
        <w:rPr>
          <w:sz w:val="24"/>
        </w:rPr>
        <w:t>staff</w:t>
      </w:r>
      <w:r>
        <w:rPr>
          <w:spacing w:val="7"/>
          <w:sz w:val="24"/>
        </w:rPr>
        <w:t> </w:t>
      </w:r>
      <w:r>
        <w:rPr>
          <w:sz w:val="24"/>
        </w:rPr>
        <w:t>college</w:t>
      </w:r>
      <w:r>
        <w:rPr>
          <w:spacing w:val="6"/>
          <w:sz w:val="24"/>
        </w:rPr>
        <w:t> </w:t>
      </w:r>
      <w:r>
        <w:rPr>
          <w:sz w:val="24"/>
        </w:rPr>
        <w:t>or</w:t>
      </w:r>
      <w:r>
        <w:rPr>
          <w:spacing w:val="7"/>
          <w:sz w:val="24"/>
        </w:rPr>
        <w:t> </w:t>
      </w:r>
      <w:r>
        <w:rPr>
          <w:sz w:val="24"/>
        </w:rPr>
        <w:t>conference</w:t>
      </w:r>
      <w:r>
        <w:rPr>
          <w:spacing w:val="6"/>
          <w:sz w:val="24"/>
        </w:rPr>
        <w:t> </w:t>
      </w:r>
      <w:r>
        <w:rPr>
          <w:sz w:val="24"/>
        </w:rPr>
        <w:t>centre</w:t>
      </w:r>
      <w:r>
        <w:rPr>
          <w:spacing w:val="7"/>
          <w:sz w:val="24"/>
        </w:rPr>
        <w:t> </w:t>
      </w:r>
      <w:r>
        <w:rPr>
          <w:spacing w:val="-2"/>
          <w:sz w:val="24"/>
        </w:rPr>
        <w:t>should</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also produce, in cooperation with other members of the faculty, occasional brochures, book-lists, guidance materials, etc., of use to all teachers.</w:t>
      </w:r>
    </w:p>
    <w:p>
      <w:pPr>
        <w:pStyle w:val="BodyText"/>
        <w:spacing w:before="6"/>
      </w:pPr>
    </w:p>
    <w:p>
      <w:pPr>
        <w:pStyle w:val="Heading1"/>
        <w:spacing w:before="1"/>
        <w:ind w:right="630"/>
      </w:pPr>
      <w:r>
        <w:rPr/>
        <w:t>MAINTENANCE</w:t>
      </w:r>
      <w:r>
        <w:rPr>
          <w:spacing w:val="-6"/>
        </w:rPr>
        <w:t> </w:t>
      </w:r>
      <w:r>
        <w:rPr/>
        <w:t>OF</w:t>
      </w:r>
      <w:r>
        <w:rPr>
          <w:spacing w:val="-6"/>
        </w:rPr>
        <w:t> </w:t>
      </w:r>
      <w:r>
        <w:rPr/>
        <w:t>STANDARDS</w:t>
      </w:r>
      <w:r>
        <w:rPr>
          <w:spacing w:val="-6"/>
        </w:rPr>
        <w:t> </w:t>
      </w:r>
      <w:r>
        <w:rPr/>
        <w:t>IN</w:t>
      </w:r>
      <w:r>
        <w:rPr>
          <w:spacing w:val="-6"/>
        </w:rPr>
        <w:t> </w:t>
      </w:r>
      <w:r>
        <w:rPr/>
        <w:t>TEACHER</w:t>
      </w:r>
      <w:r>
        <w:rPr>
          <w:spacing w:val="-5"/>
        </w:rPr>
        <w:t> </w:t>
      </w:r>
      <w:r>
        <w:rPr>
          <w:spacing w:val="-2"/>
        </w:rPr>
        <w:t>EDUCATION</w:t>
      </w:r>
    </w:p>
    <w:p>
      <w:pPr>
        <w:pStyle w:val="BodyText"/>
        <w:spacing w:before="2"/>
        <w:rPr>
          <w:b/>
        </w:rPr>
      </w:pPr>
    </w:p>
    <w:p>
      <w:pPr>
        <w:pStyle w:val="ListParagraph"/>
        <w:numPr>
          <w:ilvl w:val="1"/>
          <w:numId w:val="76"/>
        </w:numPr>
        <w:tabs>
          <w:tab w:pos="642" w:val="left" w:leader="none"/>
        </w:tabs>
        <w:spacing w:line="240" w:lineRule="auto" w:before="0" w:after="0"/>
        <w:ind w:left="159" w:right="496" w:firstLine="0"/>
        <w:jc w:val="both"/>
        <w:rPr>
          <w:b/>
          <w:sz w:val="24"/>
        </w:rPr>
      </w:pPr>
      <w:r>
        <w:rPr>
          <w:b/>
          <w:sz w:val="24"/>
        </w:rPr>
        <w:t>Need for Organizations at the State and National Levels.</w:t>
      </w:r>
      <w:r>
        <w:rPr>
          <w:b/>
          <w:spacing w:val="-1"/>
          <w:sz w:val="24"/>
        </w:rPr>
        <w:t> </w:t>
      </w:r>
      <w:r>
        <w:rPr>
          <w:sz w:val="24"/>
        </w:rPr>
        <w:t>Institutions that prepare teachers for the primary and secondary schools show a bewildering variety of courses, conditions of work, and quality of teachers turned out. It is unfortunate that there is no organization, at the State or national level, for ensuring standards in teacher education. The need for such organizations is increasingly realized and a number of suggestions</w:t>
      </w:r>
      <w:r>
        <w:rPr>
          <w:spacing w:val="40"/>
          <w:sz w:val="24"/>
        </w:rPr>
        <w:t> </w:t>
      </w:r>
      <w:r>
        <w:rPr>
          <w:sz w:val="24"/>
        </w:rPr>
        <w:t>have been put forward. It has been proposed that the National Association of Teacher Educators, whose main concern is with the improvement of teacher education at all</w:t>
      </w:r>
      <w:r>
        <w:rPr>
          <w:spacing w:val="40"/>
          <w:sz w:val="24"/>
        </w:rPr>
        <w:t> </w:t>
      </w:r>
      <w:r>
        <w:rPr>
          <w:sz w:val="24"/>
        </w:rPr>
        <w:t>levels, may be entrusted with this responsibility. While we recognize the useful role this Association can play in raising standards in teacher education, and have, therefore, proposed its representation on the Standing Committee of the UGC, whose role and functions are discussed later, we think that the Association, by itself, will not be able to fulfil this task. It has been suggested that special statutory organizations should be set up both at the national and State levels. We do not favour this idea because such bodies will tend to isolate teacher education from general academic life. In our opinion, the UGC on whom lies the responsibility for the maintenance of standards in higher education, should also be responsible for the maintenance of standards at the national level in teacher education and discharge it through its Standing Committee on Teacher Education discussed in paragraph 4.65. This will meet the principal objective of our proposals of bringing education within the mainstream of university academic life. At the State level, raising of standards should be the responsibility of the State Boards of</w:t>
      </w:r>
      <w:r>
        <w:rPr>
          <w:spacing w:val="80"/>
          <w:sz w:val="24"/>
        </w:rPr>
        <w:t> </w:t>
      </w:r>
      <w:r>
        <w:rPr>
          <w:sz w:val="24"/>
        </w:rPr>
        <w:t>Teacher</w:t>
      </w:r>
      <w:r>
        <w:rPr>
          <w:spacing w:val="40"/>
          <w:sz w:val="24"/>
        </w:rPr>
        <w:t> </w:t>
      </w:r>
      <w:r>
        <w:rPr>
          <w:sz w:val="24"/>
        </w:rPr>
        <w:t>Education discussed earlier, working in collaboration with the UGC.</w:t>
      </w:r>
    </w:p>
    <w:p>
      <w:pPr>
        <w:pStyle w:val="BodyText"/>
        <w:spacing w:before="4"/>
      </w:pPr>
    </w:p>
    <w:p>
      <w:pPr>
        <w:pStyle w:val="ListParagraph"/>
        <w:numPr>
          <w:ilvl w:val="1"/>
          <w:numId w:val="76"/>
        </w:numPr>
        <w:tabs>
          <w:tab w:pos="646" w:val="left" w:leader="none"/>
        </w:tabs>
        <w:spacing w:line="240" w:lineRule="auto" w:before="0" w:after="0"/>
        <w:ind w:left="159" w:right="496" w:firstLine="0"/>
        <w:jc w:val="both"/>
        <w:rPr>
          <w:b/>
          <w:sz w:val="24"/>
        </w:rPr>
      </w:pPr>
      <w:r>
        <w:rPr>
          <w:b/>
          <w:sz w:val="24"/>
        </w:rPr>
        <w:t>The Role of the Centre. </w:t>
      </w:r>
      <w:r>
        <w:rPr>
          <w:sz w:val="24"/>
        </w:rPr>
        <w:t>Since teacher education is vital for improving standards in all education, the Government of India should assume a special responsibility for improving teacher education and providing liberal funds for it, both in the Central and in the centrally sponsored sectors. The expansion of the Central sector can be done through the UGC and we recommend that substantial allocation of funds should be made for teacher education in the Fourth Five Year Plan and placed at the disposal of the UGC. Such allocations will have to be increased and continued in later Plans.</w:t>
      </w:r>
    </w:p>
    <w:p>
      <w:pPr>
        <w:pStyle w:val="BodyText"/>
        <w:spacing w:before="4"/>
      </w:pPr>
    </w:p>
    <w:p>
      <w:pPr>
        <w:pStyle w:val="ListParagraph"/>
        <w:numPr>
          <w:ilvl w:val="1"/>
          <w:numId w:val="76"/>
        </w:numPr>
        <w:tabs>
          <w:tab w:pos="758" w:val="left" w:leader="none"/>
        </w:tabs>
        <w:spacing w:line="240" w:lineRule="auto" w:before="0" w:after="0"/>
        <w:ind w:left="159" w:right="496" w:firstLine="0"/>
        <w:jc w:val="both"/>
        <w:rPr>
          <w:sz w:val="24"/>
        </w:rPr>
      </w:pPr>
      <w:r>
        <w:rPr>
          <w:sz w:val="24"/>
        </w:rPr>
        <w:t>In order to discharge this responsibility adequately, the UGC should, in collaboration with the NCERT, set up a joint Standing Committee on Teacher </w:t>
      </w:r>
      <w:r>
        <w:rPr>
          <w:sz w:val="24"/>
        </w:rPr>
        <w:t>Education. The Committee should consist Of- (1) Representatives of the UGC and the NCERT; (2) Representatives of universities; (3) Representatives of State</w:t>
      </w:r>
      <w:r>
        <w:rPr>
          <w:spacing w:val="-2"/>
          <w:sz w:val="24"/>
        </w:rPr>
        <w:t> </w:t>
      </w:r>
      <w:r>
        <w:rPr>
          <w:sz w:val="24"/>
        </w:rPr>
        <w:t>Boards of Teacher Education by</w:t>
      </w:r>
      <w:r>
        <w:rPr>
          <w:spacing w:val="38"/>
          <w:sz w:val="24"/>
        </w:rPr>
        <w:t>  </w:t>
      </w:r>
      <w:r>
        <w:rPr>
          <w:sz w:val="24"/>
        </w:rPr>
        <w:t>rotation;</w:t>
      </w:r>
      <w:r>
        <w:rPr>
          <w:spacing w:val="39"/>
          <w:sz w:val="24"/>
        </w:rPr>
        <w:t>  </w:t>
      </w:r>
      <w:r>
        <w:rPr>
          <w:sz w:val="24"/>
        </w:rPr>
        <w:t>(4)</w:t>
      </w:r>
      <w:r>
        <w:rPr>
          <w:spacing w:val="39"/>
          <w:sz w:val="24"/>
        </w:rPr>
        <w:t>  </w:t>
      </w:r>
      <w:r>
        <w:rPr>
          <w:sz w:val="24"/>
        </w:rPr>
        <w:t>School</w:t>
      </w:r>
      <w:r>
        <w:rPr>
          <w:spacing w:val="38"/>
          <w:sz w:val="24"/>
        </w:rPr>
        <w:t>  </w:t>
      </w:r>
      <w:r>
        <w:rPr>
          <w:sz w:val="24"/>
        </w:rPr>
        <w:t>teachers</w:t>
      </w:r>
      <w:r>
        <w:rPr>
          <w:spacing w:val="39"/>
          <w:sz w:val="24"/>
        </w:rPr>
        <w:t>  </w:t>
      </w:r>
      <w:r>
        <w:rPr>
          <w:sz w:val="24"/>
        </w:rPr>
        <w:t>including</w:t>
      </w:r>
      <w:r>
        <w:rPr>
          <w:spacing w:val="38"/>
          <w:sz w:val="24"/>
        </w:rPr>
        <w:t>  </w:t>
      </w:r>
      <w:r>
        <w:rPr>
          <w:sz w:val="24"/>
        </w:rPr>
        <w:t>at</w:t>
      </w:r>
      <w:r>
        <w:rPr>
          <w:spacing w:val="39"/>
          <w:sz w:val="24"/>
        </w:rPr>
        <w:t>  </w:t>
      </w:r>
      <w:r>
        <w:rPr>
          <w:sz w:val="24"/>
        </w:rPr>
        <w:t>least</w:t>
      </w:r>
      <w:r>
        <w:rPr>
          <w:spacing w:val="38"/>
          <w:sz w:val="24"/>
        </w:rPr>
        <w:t>  </w:t>
      </w:r>
      <w:r>
        <w:rPr>
          <w:sz w:val="24"/>
        </w:rPr>
        <w:t>one</w:t>
      </w:r>
      <w:r>
        <w:rPr>
          <w:spacing w:val="39"/>
          <w:sz w:val="24"/>
        </w:rPr>
        <w:t>  </w:t>
      </w:r>
      <w:r>
        <w:rPr>
          <w:sz w:val="24"/>
        </w:rPr>
        <w:t>primary</w:t>
      </w:r>
      <w:r>
        <w:rPr>
          <w:spacing w:val="39"/>
          <w:sz w:val="24"/>
        </w:rPr>
        <w:t>  </w:t>
      </w:r>
      <w:r>
        <w:rPr>
          <w:sz w:val="24"/>
        </w:rPr>
        <w:t>teacher;</w:t>
      </w:r>
      <w:r>
        <w:rPr>
          <w:spacing w:val="39"/>
          <w:sz w:val="24"/>
        </w:rPr>
        <w:t>  </w:t>
      </w:r>
      <w:r>
        <w:rPr>
          <w:spacing w:val="-5"/>
          <w:sz w:val="24"/>
        </w:rPr>
        <w:t>(5)</w:t>
      </w:r>
    </w:p>
    <w:p>
      <w:pPr>
        <w:pStyle w:val="BodyText"/>
        <w:spacing w:before="1"/>
        <w:ind w:left="160"/>
        <w:jc w:val="both"/>
      </w:pPr>
      <w:r>
        <w:rPr/>
        <w:t>Representatives</w:t>
      </w:r>
      <w:r>
        <w:rPr>
          <w:spacing w:val="-4"/>
        </w:rPr>
        <w:t> </w:t>
      </w:r>
      <w:r>
        <w:rPr/>
        <w:t>of</w:t>
      </w:r>
      <w:r>
        <w:rPr>
          <w:spacing w:val="-1"/>
        </w:rPr>
        <w:t> </w:t>
      </w:r>
      <w:r>
        <w:rPr/>
        <w:t>teachers'</w:t>
      </w:r>
      <w:r>
        <w:rPr>
          <w:spacing w:val="-2"/>
        </w:rPr>
        <w:t> </w:t>
      </w:r>
      <w:r>
        <w:rPr/>
        <w:t>organizations;</w:t>
      </w:r>
      <w:r>
        <w:rPr>
          <w:spacing w:val="-2"/>
        </w:rPr>
        <w:t> </w:t>
      </w:r>
      <w:r>
        <w:rPr/>
        <w:t>(6)</w:t>
      </w:r>
      <w:r>
        <w:rPr>
          <w:spacing w:val="-2"/>
        </w:rPr>
        <w:t> </w:t>
      </w:r>
      <w:r>
        <w:rPr/>
        <w:t>Educationists;</w:t>
      </w:r>
      <w:r>
        <w:rPr>
          <w:spacing w:val="-2"/>
        </w:rPr>
        <w:t> </w:t>
      </w:r>
      <w:r>
        <w:rPr>
          <w:spacing w:val="-5"/>
        </w:rPr>
        <w:t>and</w:t>
      </w:r>
    </w:p>
    <w:p>
      <w:pPr>
        <w:pStyle w:val="BodyText"/>
        <w:spacing w:before="2"/>
      </w:pPr>
    </w:p>
    <w:p>
      <w:pPr>
        <w:pStyle w:val="ListParagraph"/>
        <w:numPr>
          <w:ilvl w:val="0"/>
          <w:numId w:val="85"/>
        </w:numPr>
        <w:tabs>
          <w:tab w:pos="544" w:val="left" w:leader="none"/>
        </w:tabs>
        <w:spacing w:line="240" w:lineRule="auto" w:before="1" w:after="0"/>
        <w:ind w:left="159" w:right="496" w:firstLine="0"/>
        <w:jc w:val="both"/>
        <w:rPr>
          <w:sz w:val="24"/>
        </w:rPr>
      </w:pPr>
      <w:r>
        <w:rPr>
          <w:sz w:val="24"/>
        </w:rPr>
        <w:t>A representative of the National Association of Teacher Educators. The Standing Committee on Teacher Education should be concerned with all aspects of teacher education, general and professional, at both the undergraduate and postgraduate levels. It should have the power</w:t>
      </w:r>
    </w:p>
    <w:p>
      <w:pPr>
        <w:spacing w:after="0" w:line="240" w:lineRule="auto"/>
        <w:jc w:val="both"/>
        <w:rPr>
          <w:sz w:val="24"/>
        </w:rPr>
        <w:sectPr>
          <w:pgSz w:w="12240" w:h="15840"/>
          <w:pgMar w:header="0" w:footer="743" w:top="1360" w:bottom="940" w:left="1640" w:right="1300"/>
        </w:sectPr>
      </w:pPr>
    </w:p>
    <w:p>
      <w:pPr>
        <w:pStyle w:val="ListParagraph"/>
        <w:numPr>
          <w:ilvl w:val="1"/>
          <w:numId w:val="85"/>
        </w:numPr>
        <w:tabs>
          <w:tab w:pos="299" w:val="left" w:leader="none"/>
        </w:tabs>
        <w:spacing w:line="240" w:lineRule="auto" w:before="78" w:after="0"/>
        <w:ind w:left="299" w:right="0" w:hanging="139"/>
        <w:jc w:val="left"/>
        <w:rPr>
          <w:sz w:val="24"/>
        </w:rPr>
      </w:pPr>
      <w:r>
        <w:rPr>
          <w:sz w:val="24"/>
        </w:rPr>
        <w:t>to</w:t>
      </w:r>
      <w:r>
        <w:rPr>
          <w:spacing w:val="-4"/>
          <w:sz w:val="24"/>
        </w:rPr>
        <w:t> </w:t>
      </w:r>
      <w:r>
        <w:rPr>
          <w:sz w:val="24"/>
        </w:rPr>
        <w:t>develop</w:t>
      </w:r>
      <w:r>
        <w:rPr>
          <w:spacing w:val="-1"/>
          <w:sz w:val="24"/>
        </w:rPr>
        <w:t> </w:t>
      </w:r>
      <w:r>
        <w:rPr>
          <w:sz w:val="24"/>
        </w:rPr>
        <w:t>and</w:t>
      </w:r>
      <w:r>
        <w:rPr>
          <w:spacing w:val="-2"/>
          <w:sz w:val="24"/>
        </w:rPr>
        <w:t> </w:t>
      </w:r>
      <w:r>
        <w:rPr>
          <w:sz w:val="24"/>
        </w:rPr>
        <w:t>establish</w:t>
      </w:r>
      <w:r>
        <w:rPr>
          <w:spacing w:val="-1"/>
          <w:sz w:val="24"/>
        </w:rPr>
        <w:t> </w:t>
      </w:r>
      <w:r>
        <w:rPr>
          <w:sz w:val="24"/>
        </w:rPr>
        <w:t>standards</w:t>
      </w:r>
      <w:r>
        <w:rPr>
          <w:spacing w:val="-2"/>
          <w:sz w:val="24"/>
        </w:rPr>
        <w:t> </w:t>
      </w:r>
      <w:r>
        <w:rPr>
          <w:sz w:val="24"/>
        </w:rPr>
        <w:t>for</w:t>
      </w:r>
      <w:r>
        <w:rPr>
          <w:spacing w:val="-1"/>
          <w:sz w:val="24"/>
        </w:rPr>
        <w:t> </w:t>
      </w:r>
      <w:r>
        <w:rPr>
          <w:sz w:val="24"/>
        </w:rPr>
        <w:t>training</w:t>
      </w:r>
      <w:r>
        <w:rPr>
          <w:spacing w:val="-2"/>
          <w:sz w:val="24"/>
        </w:rPr>
        <w:t> </w:t>
      </w:r>
      <w:r>
        <w:rPr>
          <w:sz w:val="24"/>
        </w:rPr>
        <w:t>institutions</w:t>
      </w:r>
      <w:r>
        <w:rPr>
          <w:spacing w:val="-3"/>
          <w:sz w:val="24"/>
        </w:rPr>
        <w:t> </w:t>
      </w:r>
      <w:r>
        <w:rPr>
          <w:sz w:val="24"/>
        </w:rPr>
        <w:t>and</w:t>
      </w:r>
      <w:r>
        <w:rPr>
          <w:spacing w:val="-2"/>
          <w:sz w:val="24"/>
        </w:rPr>
        <w:t> </w:t>
      </w:r>
      <w:r>
        <w:rPr>
          <w:sz w:val="24"/>
        </w:rPr>
        <w:t>university</w:t>
      </w:r>
      <w:r>
        <w:rPr>
          <w:spacing w:val="-2"/>
          <w:sz w:val="24"/>
        </w:rPr>
        <w:t> departments;</w:t>
      </w:r>
    </w:p>
    <w:p>
      <w:pPr>
        <w:pStyle w:val="BodyText"/>
        <w:spacing w:before="3"/>
      </w:pPr>
    </w:p>
    <w:p>
      <w:pPr>
        <w:pStyle w:val="ListParagraph"/>
        <w:numPr>
          <w:ilvl w:val="1"/>
          <w:numId w:val="85"/>
        </w:numPr>
        <w:tabs>
          <w:tab w:pos="299" w:val="left" w:leader="none"/>
        </w:tabs>
        <w:spacing w:line="240" w:lineRule="auto" w:before="0" w:after="0"/>
        <w:ind w:left="299" w:right="0" w:hanging="139"/>
        <w:jc w:val="left"/>
        <w:rPr>
          <w:sz w:val="24"/>
        </w:rPr>
      </w:pPr>
      <w:r>
        <w:rPr>
          <w:sz w:val="24"/>
        </w:rPr>
        <w:t>to</w:t>
      </w:r>
      <w:r>
        <w:rPr>
          <w:spacing w:val="-1"/>
          <w:sz w:val="24"/>
        </w:rPr>
        <w:t> </w:t>
      </w:r>
      <w:r>
        <w:rPr>
          <w:sz w:val="24"/>
        </w:rPr>
        <w:t>coordinate and</w:t>
      </w:r>
      <w:r>
        <w:rPr>
          <w:spacing w:val="-1"/>
          <w:sz w:val="24"/>
        </w:rPr>
        <w:t> </w:t>
      </w:r>
      <w:r>
        <w:rPr>
          <w:sz w:val="24"/>
        </w:rPr>
        <w:t>improve standards</w:t>
      </w:r>
      <w:r>
        <w:rPr>
          <w:spacing w:val="-3"/>
          <w:sz w:val="24"/>
        </w:rPr>
        <w:t> </w:t>
      </w:r>
      <w:r>
        <w:rPr>
          <w:sz w:val="24"/>
        </w:rPr>
        <w:t>of</w:t>
      </w:r>
      <w:r>
        <w:rPr>
          <w:spacing w:val="-1"/>
          <w:sz w:val="24"/>
        </w:rPr>
        <w:t> </w:t>
      </w:r>
      <w:r>
        <w:rPr>
          <w:sz w:val="24"/>
        </w:rPr>
        <w:t>teacher</w:t>
      </w:r>
      <w:r>
        <w:rPr>
          <w:spacing w:val="-1"/>
          <w:sz w:val="24"/>
        </w:rPr>
        <w:t> </w:t>
      </w:r>
      <w:r>
        <w:rPr>
          <w:sz w:val="24"/>
        </w:rPr>
        <w:t>education</w:t>
      </w:r>
      <w:r>
        <w:rPr>
          <w:spacing w:val="-2"/>
          <w:sz w:val="24"/>
        </w:rPr>
        <w:t> </w:t>
      </w:r>
      <w:r>
        <w:rPr>
          <w:sz w:val="24"/>
        </w:rPr>
        <w:t>at</w:t>
      </w:r>
      <w:r>
        <w:rPr>
          <w:spacing w:val="-1"/>
          <w:sz w:val="24"/>
        </w:rPr>
        <w:t> </w:t>
      </w:r>
      <w:r>
        <w:rPr>
          <w:sz w:val="24"/>
        </w:rPr>
        <w:t>all</w:t>
      </w:r>
      <w:r>
        <w:rPr>
          <w:spacing w:val="-1"/>
          <w:sz w:val="24"/>
        </w:rPr>
        <w:t> </w:t>
      </w:r>
      <w:r>
        <w:rPr>
          <w:spacing w:val="-2"/>
          <w:sz w:val="24"/>
        </w:rPr>
        <w:t>levels;</w:t>
      </w:r>
    </w:p>
    <w:p>
      <w:pPr>
        <w:pStyle w:val="BodyText"/>
        <w:spacing w:before="4"/>
      </w:pPr>
    </w:p>
    <w:p>
      <w:pPr>
        <w:pStyle w:val="ListParagraph"/>
        <w:numPr>
          <w:ilvl w:val="1"/>
          <w:numId w:val="85"/>
        </w:numPr>
        <w:tabs>
          <w:tab w:pos="363" w:val="left" w:leader="none"/>
        </w:tabs>
        <w:spacing w:line="240" w:lineRule="auto" w:before="0" w:after="0"/>
        <w:ind w:left="160" w:right="497" w:firstLine="0"/>
        <w:jc w:val="left"/>
        <w:rPr>
          <w:sz w:val="24"/>
        </w:rPr>
      </w:pPr>
      <w:r>
        <w:rPr>
          <w:sz w:val="24"/>
        </w:rPr>
        <w:t>to</w:t>
      </w:r>
      <w:r>
        <w:rPr>
          <w:spacing w:val="40"/>
          <w:sz w:val="24"/>
        </w:rPr>
        <w:t> </w:t>
      </w:r>
      <w:r>
        <w:rPr>
          <w:sz w:val="24"/>
        </w:rPr>
        <w:t>advise</w:t>
      </w:r>
      <w:r>
        <w:rPr>
          <w:spacing w:val="40"/>
          <w:sz w:val="24"/>
        </w:rPr>
        <w:t> </w:t>
      </w:r>
      <w:r>
        <w:rPr>
          <w:sz w:val="24"/>
        </w:rPr>
        <w:t>universities</w:t>
      </w:r>
      <w:r>
        <w:rPr>
          <w:spacing w:val="40"/>
          <w:sz w:val="24"/>
        </w:rPr>
        <w:t> </w:t>
      </w:r>
      <w:r>
        <w:rPr>
          <w:sz w:val="24"/>
        </w:rPr>
        <w:t>and</w:t>
      </w:r>
      <w:r>
        <w:rPr>
          <w:spacing w:val="40"/>
          <w:sz w:val="24"/>
        </w:rPr>
        <w:t> </w:t>
      </w:r>
      <w:r>
        <w:rPr>
          <w:sz w:val="24"/>
        </w:rPr>
        <w:t>State</w:t>
      </w:r>
      <w:r>
        <w:rPr>
          <w:spacing w:val="40"/>
          <w:sz w:val="24"/>
        </w:rPr>
        <w:t> </w:t>
      </w:r>
      <w:r>
        <w:rPr>
          <w:sz w:val="24"/>
        </w:rPr>
        <w:t>Departments</w:t>
      </w:r>
      <w:r>
        <w:rPr>
          <w:spacing w:val="40"/>
          <w:sz w:val="24"/>
        </w:rPr>
        <w:t> </w:t>
      </w:r>
      <w:r>
        <w:rPr>
          <w:sz w:val="24"/>
        </w:rPr>
        <w:t>of</w:t>
      </w:r>
      <w:r>
        <w:rPr>
          <w:spacing w:val="40"/>
          <w:sz w:val="24"/>
        </w:rPr>
        <w:t> </w:t>
      </w:r>
      <w:r>
        <w:rPr>
          <w:sz w:val="24"/>
        </w:rPr>
        <w:t>Education</w:t>
      </w:r>
      <w:r>
        <w:rPr>
          <w:spacing w:val="40"/>
          <w:sz w:val="24"/>
        </w:rPr>
        <w:t> </w:t>
      </w:r>
      <w:r>
        <w:rPr>
          <w:sz w:val="24"/>
        </w:rPr>
        <w:t>regarding</w:t>
      </w:r>
      <w:r>
        <w:rPr>
          <w:spacing w:val="40"/>
          <w:sz w:val="24"/>
        </w:rPr>
        <w:t> </w:t>
      </w:r>
      <w:r>
        <w:rPr>
          <w:sz w:val="24"/>
        </w:rPr>
        <w:t>programmes, curricula, textbooks and qualifications of staff of training institutions at all levels;</w:t>
      </w:r>
    </w:p>
    <w:p>
      <w:pPr>
        <w:pStyle w:val="BodyText"/>
        <w:spacing w:before="3"/>
      </w:pPr>
    </w:p>
    <w:p>
      <w:pPr>
        <w:pStyle w:val="ListParagraph"/>
        <w:numPr>
          <w:ilvl w:val="1"/>
          <w:numId w:val="85"/>
        </w:numPr>
        <w:tabs>
          <w:tab w:pos="379" w:val="left" w:leader="none"/>
        </w:tabs>
        <w:spacing w:line="240" w:lineRule="auto" w:before="1" w:after="0"/>
        <w:ind w:left="160" w:right="499" w:firstLine="0"/>
        <w:jc w:val="left"/>
        <w:rPr>
          <w:sz w:val="24"/>
        </w:rPr>
      </w:pPr>
      <w:r>
        <w:rPr>
          <w:sz w:val="24"/>
        </w:rPr>
        <w:t>to</w:t>
      </w:r>
      <w:r>
        <w:rPr>
          <w:spacing w:val="77"/>
          <w:sz w:val="24"/>
        </w:rPr>
        <w:t> </w:t>
      </w:r>
      <w:r>
        <w:rPr>
          <w:sz w:val="24"/>
        </w:rPr>
        <w:t>grant</w:t>
      </w:r>
      <w:r>
        <w:rPr>
          <w:spacing w:val="77"/>
          <w:sz w:val="24"/>
        </w:rPr>
        <w:t> </w:t>
      </w:r>
      <w:r>
        <w:rPr>
          <w:sz w:val="24"/>
        </w:rPr>
        <w:t>funds</w:t>
      </w:r>
      <w:r>
        <w:rPr>
          <w:spacing w:val="77"/>
          <w:sz w:val="24"/>
        </w:rPr>
        <w:t> </w:t>
      </w:r>
      <w:r>
        <w:rPr>
          <w:sz w:val="24"/>
        </w:rPr>
        <w:t>to</w:t>
      </w:r>
      <w:r>
        <w:rPr>
          <w:spacing w:val="77"/>
          <w:sz w:val="24"/>
        </w:rPr>
        <w:t> </w:t>
      </w:r>
      <w:r>
        <w:rPr>
          <w:sz w:val="24"/>
        </w:rPr>
        <w:t>teachers</w:t>
      </w:r>
      <w:r>
        <w:rPr>
          <w:spacing w:val="77"/>
          <w:sz w:val="24"/>
        </w:rPr>
        <w:t> </w:t>
      </w:r>
      <w:r>
        <w:rPr>
          <w:sz w:val="24"/>
        </w:rPr>
        <w:t>colleges,</w:t>
      </w:r>
      <w:r>
        <w:rPr>
          <w:spacing w:val="77"/>
          <w:sz w:val="24"/>
        </w:rPr>
        <w:t> </w:t>
      </w:r>
      <w:r>
        <w:rPr>
          <w:sz w:val="24"/>
        </w:rPr>
        <w:t>departments</w:t>
      </w:r>
      <w:r>
        <w:rPr>
          <w:spacing w:val="77"/>
          <w:sz w:val="24"/>
        </w:rPr>
        <w:t> </w:t>
      </w:r>
      <w:r>
        <w:rPr>
          <w:sz w:val="24"/>
        </w:rPr>
        <w:t>or</w:t>
      </w:r>
      <w:r>
        <w:rPr>
          <w:spacing w:val="77"/>
          <w:sz w:val="24"/>
        </w:rPr>
        <w:t> </w:t>
      </w:r>
      <w:r>
        <w:rPr>
          <w:sz w:val="24"/>
        </w:rPr>
        <w:t>schools</w:t>
      </w:r>
      <w:r>
        <w:rPr>
          <w:spacing w:val="77"/>
          <w:sz w:val="24"/>
        </w:rPr>
        <w:t> </w:t>
      </w:r>
      <w:r>
        <w:rPr>
          <w:sz w:val="24"/>
        </w:rPr>
        <w:t>of</w:t>
      </w:r>
      <w:r>
        <w:rPr>
          <w:spacing w:val="76"/>
          <w:sz w:val="24"/>
        </w:rPr>
        <w:t> </w:t>
      </w:r>
      <w:r>
        <w:rPr>
          <w:sz w:val="24"/>
        </w:rPr>
        <w:t>education</w:t>
      </w:r>
      <w:r>
        <w:rPr>
          <w:spacing w:val="77"/>
          <w:sz w:val="24"/>
        </w:rPr>
        <w:t> </w:t>
      </w:r>
      <w:r>
        <w:rPr>
          <w:sz w:val="24"/>
        </w:rPr>
        <w:t>in</w:t>
      </w:r>
      <w:r>
        <w:rPr>
          <w:spacing w:val="77"/>
          <w:sz w:val="24"/>
        </w:rPr>
        <w:t> </w:t>
      </w:r>
      <w:r>
        <w:rPr>
          <w:sz w:val="24"/>
        </w:rPr>
        <w:t>the </w:t>
      </w:r>
      <w:r>
        <w:rPr>
          <w:spacing w:val="-2"/>
          <w:sz w:val="24"/>
        </w:rPr>
        <w:t>universities;</w:t>
      </w:r>
    </w:p>
    <w:p>
      <w:pPr>
        <w:pStyle w:val="BodyText"/>
        <w:spacing w:before="3"/>
      </w:pPr>
    </w:p>
    <w:p>
      <w:pPr>
        <w:pStyle w:val="ListParagraph"/>
        <w:numPr>
          <w:ilvl w:val="1"/>
          <w:numId w:val="85"/>
        </w:numPr>
        <w:tabs>
          <w:tab w:pos="300" w:val="left" w:leader="none"/>
        </w:tabs>
        <w:spacing w:line="240" w:lineRule="auto" w:before="0" w:after="0"/>
        <w:ind w:left="160" w:right="496" w:firstLine="0"/>
        <w:jc w:val="left"/>
        <w:rPr>
          <w:sz w:val="24"/>
        </w:rPr>
      </w:pPr>
      <w:r>
        <w:rPr>
          <w:sz w:val="24"/>
        </w:rPr>
        <w:t>to</w:t>
      </w:r>
      <w:r>
        <w:rPr>
          <w:spacing w:val="-2"/>
          <w:sz w:val="24"/>
        </w:rPr>
        <w:t> </w:t>
      </w:r>
      <w:r>
        <w:rPr>
          <w:sz w:val="24"/>
        </w:rPr>
        <w:t>arrange</w:t>
      </w:r>
      <w:r>
        <w:rPr>
          <w:spacing w:val="-2"/>
          <w:sz w:val="24"/>
        </w:rPr>
        <w:t> </w:t>
      </w:r>
      <w:r>
        <w:rPr>
          <w:sz w:val="24"/>
        </w:rPr>
        <w:t>for</w:t>
      </w:r>
      <w:r>
        <w:rPr>
          <w:spacing w:val="-2"/>
          <w:sz w:val="24"/>
        </w:rPr>
        <w:t> </w:t>
      </w:r>
      <w:r>
        <w:rPr>
          <w:sz w:val="24"/>
        </w:rPr>
        <w:t>periodical</w:t>
      </w:r>
      <w:r>
        <w:rPr>
          <w:spacing w:val="-2"/>
          <w:sz w:val="24"/>
        </w:rPr>
        <w:t> </w:t>
      </w:r>
      <w:r>
        <w:rPr>
          <w:sz w:val="24"/>
        </w:rPr>
        <w:t>inspection</w:t>
      </w:r>
      <w:r>
        <w:rPr>
          <w:spacing w:val="-4"/>
          <w:sz w:val="24"/>
        </w:rPr>
        <w:t> </w:t>
      </w:r>
      <w:r>
        <w:rPr>
          <w:sz w:val="24"/>
        </w:rPr>
        <w:t>of</w:t>
      </w:r>
      <w:r>
        <w:rPr>
          <w:spacing w:val="-3"/>
          <w:sz w:val="24"/>
        </w:rPr>
        <w:t> </w:t>
      </w:r>
      <w:r>
        <w:rPr>
          <w:sz w:val="24"/>
        </w:rPr>
        <w:t>training</w:t>
      </w:r>
      <w:r>
        <w:rPr>
          <w:spacing w:val="-2"/>
          <w:sz w:val="24"/>
        </w:rPr>
        <w:t> </w:t>
      </w:r>
      <w:r>
        <w:rPr>
          <w:sz w:val="24"/>
        </w:rPr>
        <w:t>institutions</w:t>
      </w:r>
      <w:r>
        <w:rPr>
          <w:spacing w:val="-2"/>
          <w:sz w:val="24"/>
        </w:rPr>
        <w:t> </w:t>
      </w:r>
      <w:r>
        <w:rPr>
          <w:sz w:val="24"/>
        </w:rPr>
        <w:t>and</w:t>
      </w:r>
      <w:r>
        <w:rPr>
          <w:spacing w:val="-2"/>
          <w:sz w:val="24"/>
        </w:rPr>
        <w:t> </w:t>
      </w:r>
      <w:r>
        <w:rPr>
          <w:sz w:val="24"/>
        </w:rPr>
        <w:t>university</w:t>
      </w:r>
      <w:r>
        <w:rPr>
          <w:spacing w:val="-2"/>
          <w:sz w:val="24"/>
        </w:rPr>
        <w:t> </w:t>
      </w:r>
      <w:r>
        <w:rPr>
          <w:sz w:val="24"/>
        </w:rPr>
        <w:t>departments</w:t>
      </w:r>
      <w:r>
        <w:rPr>
          <w:spacing w:val="-2"/>
          <w:sz w:val="24"/>
        </w:rPr>
        <w:t> </w:t>
      </w:r>
      <w:r>
        <w:rPr>
          <w:sz w:val="24"/>
        </w:rPr>
        <w:t>of education; and</w:t>
      </w:r>
    </w:p>
    <w:p>
      <w:pPr>
        <w:pStyle w:val="BodyText"/>
        <w:spacing w:before="5"/>
      </w:pPr>
    </w:p>
    <w:p>
      <w:pPr>
        <w:pStyle w:val="ListParagraph"/>
        <w:numPr>
          <w:ilvl w:val="1"/>
          <w:numId w:val="85"/>
        </w:numPr>
        <w:tabs>
          <w:tab w:pos="374" w:val="left" w:leader="none"/>
        </w:tabs>
        <w:spacing w:line="240" w:lineRule="auto" w:before="0" w:after="0"/>
        <w:ind w:left="159" w:right="496" w:firstLine="0"/>
        <w:jc w:val="both"/>
        <w:rPr>
          <w:sz w:val="24"/>
        </w:rPr>
      </w:pPr>
      <w:r>
        <w:rPr>
          <w:sz w:val="24"/>
        </w:rPr>
        <w:t>to develop and support financially, in cooperation with the universities or State Departments of Education, programmes for the in-service improvement of teacher educators and teachers, both in subject-matter and in professional qualification and skill.</w:t>
      </w:r>
    </w:p>
    <w:p>
      <w:pPr>
        <w:pStyle w:val="BodyText"/>
        <w:spacing w:before="4"/>
      </w:pPr>
    </w:p>
    <w:p>
      <w:pPr>
        <w:pStyle w:val="ListParagraph"/>
        <w:numPr>
          <w:ilvl w:val="1"/>
          <w:numId w:val="76"/>
        </w:numPr>
        <w:tabs>
          <w:tab w:pos="683" w:val="left" w:leader="none"/>
        </w:tabs>
        <w:spacing w:line="240" w:lineRule="auto" w:before="0" w:after="0"/>
        <w:ind w:left="159" w:right="497" w:firstLine="0"/>
        <w:jc w:val="both"/>
        <w:rPr>
          <w:sz w:val="24"/>
        </w:rPr>
      </w:pPr>
      <w:r>
        <w:rPr>
          <w:sz w:val="24"/>
        </w:rPr>
        <w:t>In addition to these programmes, the Government of India will have to provide liberal funds in the Centrally sponsored sector to assist State Governments to develop teacher education programmes on the lines recommended. Some of the special programmes that need emphasis are the upgrading of training institutions for primary teachers to the university standard, improvement programmes of train- ing institutions at all levels, correspondence education, in-service education, and the establishment of training institutions of large size.</w:t>
      </w:r>
    </w:p>
    <w:p>
      <w:pPr>
        <w:spacing w:after="0" w:line="240" w:lineRule="auto"/>
        <w:jc w:val="both"/>
        <w:rPr>
          <w:sz w:val="24"/>
        </w:rPr>
        <w:sectPr>
          <w:pgSz w:w="12240" w:h="15840"/>
          <w:pgMar w:header="0" w:footer="743" w:top="1360" w:bottom="940" w:left="1640" w:right="1300"/>
        </w:sectPr>
      </w:pPr>
    </w:p>
    <w:p>
      <w:pPr>
        <w:pStyle w:val="Heading1"/>
        <w:spacing w:before="60"/>
        <w:ind w:left="3522" w:right="3860"/>
      </w:pPr>
      <w:r>
        <w:rPr>
          <w:spacing w:val="-2"/>
        </w:rPr>
        <w:t>SUMMARY</w:t>
      </w:r>
    </w:p>
    <w:p>
      <w:pPr>
        <w:pStyle w:val="BodyText"/>
        <w:rPr>
          <w:b/>
        </w:rPr>
      </w:pPr>
    </w:p>
    <w:p>
      <w:pPr>
        <w:pStyle w:val="ListParagraph"/>
        <w:numPr>
          <w:ilvl w:val="0"/>
          <w:numId w:val="86"/>
        </w:numPr>
        <w:tabs>
          <w:tab w:pos="349" w:val="left" w:leader="none"/>
        </w:tabs>
        <w:spacing w:line="240" w:lineRule="auto" w:before="0" w:after="0"/>
        <w:ind w:left="159" w:right="497" w:firstLine="0"/>
        <w:jc w:val="both"/>
        <w:rPr>
          <w:sz w:val="24"/>
        </w:rPr>
      </w:pPr>
      <w:r>
        <w:rPr>
          <w:sz w:val="24"/>
        </w:rPr>
        <w:t>The professional preparation of teachers, being crucial for the qualitative improvement of education, should be treated as a key area in educational development and adequate financial provision should be made for it, both at the State and national levels. 4.01</w:t>
      </w:r>
    </w:p>
    <w:p>
      <w:pPr>
        <w:pStyle w:val="BodyText"/>
        <w:spacing w:before="5"/>
      </w:pPr>
    </w:p>
    <w:p>
      <w:pPr>
        <w:pStyle w:val="ListParagraph"/>
        <w:numPr>
          <w:ilvl w:val="0"/>
          <w:numId w:val="86"/>
        </w:numPr>
        <w:tabs>
          <w:tab w:pos="395" w:val="left" w:leader="none"/>
        </w:tabs>
        <w:spacing w:line="240" w:lineRule="auto" w:before="0" w:after="0"/>
        <w:ind w:left="160" w:right="496" w:firstLine="0"/>
        <w:jc w:val="both"/>
        <w:rPr>
          <w:b/>
          <w:sz w:val="24"/>
        </w:rPr>
      </w:pPr>
      <w:r>
        <w:rPr>
          <w:b/>
          <w:sz w:val="24"/>
        </w:rPr>
        <w:t>Removing the Isolation of Teacher Training. </w:t>
      </w:r>
      <w:r>
        <w:rPr>
          <w:sz w:val="24"/>
        </w:rPr>
        <w:t>In order to make the professional preparation of teachers effective, teacher education must be brought into the mainstream of the academic life of the universities on the one hand and of school life and educational developments on the other. 4.03</w:t>
      </w:r>
    </w:p>
    <w:p>
      <w:pPr>
        <w:pStyle w:val="BodyText"/>
        <w:spacing w:before="5"/>
      </w:pPr>
    </w:p>
    <w:p>
      <w:pPr>
        <w:pStyle w:val="ListParagraph"/>
        <w:numPr>
          <w:ilvl w:val="0"/>
          <w:numId w:val="86"/>
        </w:numPr>
        <w:tabs>
          <w:tab w:pos="340" w:val="left" w:leader="none"/>
        </w:tabs>
        <w:spacing w:line="240" w:lineRule="auto" w:before="0" w:after="0"/>
        <w:ind w:left="340" w:right="0" w:hanging="180"/>
        <w:jc w:val="both"/>
        <w:rPr>
          <w:sz w:val="24"/>
        </w:rPr>
      </w:pPr>
      <w:r>
        <w:rPr>
          <w:sz w:val="24"/>
        </w:rPr>
        <w:t>(1)</w:t>
      </w:r>
      <w:r>
        <w:rPr>
          <w:spacing w:val="-1"/>
          <w:sz w:val="24"/>
        </w:rPr>
        <w:t> </w:t>
      </w:r>
      <w:r>
        <w:rPr>
          <w:sz w:val="24"/>
        </w:rPr>
        <w:t>To</w:t>
      </w:r>
      <w:r>
        <w:rPr>
          <w:spacing w:val="-1"/>
          <w:sz w:val="24"/>
        </w:rPr>
        <w:t> </w:t>
      </w:r>
      <w:r>
        <w:rPr>
          <w:sz w:val="24"/>
        </w:rPr>
        <w:t>remove the</w:t>
      </w:r>
      <w:r>
        <w:rPr>
          <w:spacing w:val="-1"/>
          <w:sz w:val="24"/>
        </w:rPr>
        <w:t> </w:t>
      </w:r>
      <w:r>
        <w:rPr>
          <w:sz w:val="24"/>
        </w:rPr>
        <w:t>existing isolation</w:t>
      </w:r>
      <w:r>
        <w:rPr>
          <w:spacing w:val="-3"/>
          <w:sz w:val="24"/>
        </w:rPr>
        <w:t> </w:t>
      </w:r>
      <w:r>
        <w:rPr>
          <w:sz w:val="24"/>
        </w:rPr>
        <w:t>of teacher</w:t>
      </w:r>
      <w:r>
        <w:rPr>
          <w:spacing w:val="-1"/>
          <w:sz w:val="24"/>
        </w:rPr>
        <w:t> </w:t>
      </w:r>
      <w:r>
        <w:rPr>
          <w:sz w:val="24"/>
        </w:rPr>
        <w:t>education from</w:t>
      </w:r>
      <w:r>
        <w:rPr>
          <w:spacing w:val="-2"/>
          <w:sz w:val="24"/>
        </w:rPr>
        <w:t> </w:t>
      </w:r>
      <w:r>
        <w:rPr>
          <w:sz w:val="24"/>
        </w:rPr>
        <w:t>university</w:t>
      </w:r>
      <w:r>
        <w:rPr>
          <w:spacing w:val="-2"/>
          <w:sz w:val="24"/>
        </w:rPr>
        <w:t> life-</w:t>
      </w:r>
    </w:p>
    <w:p>
      <w:pPr>
        <w:pStyle w:val="BodyText"/>
        <w:spacing w:before="2"/>
      </w:pPr>
    </w:p>
    <w:p>
      <w:pPr>
        <w:pStyle w:val="ListParagraph"/>
        <w:numPr>
          <w:ilvl w:val="1"/>
          <w:numId w:val="86"/>
        </w:numPr>
        <w:tabs>
          <w:tab w:pos="510" w:val="left" w:leader="none"/>
        </w:tabs>
        <w:spacing w:line="240" w:lineRule="auto" w:before="0" w:after="0"/>
        <w:ind w:left="160" w:right="495" w:firstLine="0"/>
        <w:jc w:val="both"/>
        <w:rPr>
          <w:sz w:val="24"/>
        </w:rPr>
      </w:pPr>
      <w:r>
        <w:rPr>
          <w:sz w:val="24"/>
        </w:rPr>
        <w:t>education, as distinguished from pedagogy, should be recognized as an independent academic discipline and introduced as an elective subject in courses for the first and second degrees; and</w:t>
      </w:r>
    </w:p>
    <w:p>
      <w:pPr>
        <w:pStyle w:val="BodyText"/>
        <w:spacing w:before="4"/>
      </w:pPr>
    </w:p>
    <w:p>
      <w:pPr>
        <w:pStyle w:val="ListParagraph"/>
        <w:numPr>
          <w:ilvl w:val="1"/>
          <w:numId w:val="86"/>
        </w:numPr>
        <w:tabs>
          <w:tab w:pos="580" w:val="left" w:leader="none"/>
        </w:tabs>
        <w:spacing w:line="240" w:lineRule="auto" w:before="0" w:after="0"/>
        <w:ind w:left="160" w:right="497" w:firstLine="0"/>
        <w:jc w:val="both"/>
        <w:rPr>
          <w:sz w:val="24"/>
        </w:rPr>
      </w:pPr>
      <w:r>
        <w:rPr>
          <w:sz w:val="24"/>
        </w:rPr>
        <w:t>schools of education should be established in selected universities to develop programmes in teacher education and studies and research in education, in collaboration with other university disciplines. 4.04-05</w:t>
      </w:r>
    </w:p>
    <w:p>
      <w:pPr>
        <w:pStyle w:val="BodyText"/>
        <w:spacing w:before="6"/>
      </w:pPr>
    </w:p>
    <w:p>
      <w:pPr>
        <w:pStyle w:val="ListParagraph"/>
        <w:numPr>
          <w:ilvl w:val="0"/>
          <w:numId w:val="87"/>
        </w:numPr>
        <w:tabs>
          <w:tab w:pos="499" w:val="left" w:leader="none"/>
        </w:tabs>
        <w:spacing w:line="240" w:lineRule="auto" w:before="0" w:after="0"/>
        <w:ind w:left="499" w:right="0" w:hanging="339"/>
        <w:jc w:val="both"/>
        <w:rPr>
          <w:sz w:val="24"/>
        </w:rPr>
      </w:pPr>
      <w:r>
        <w:rPr>
          <w:sz w:val="24"/>
        </w:rPr>
        <w:t>To</w:t>
      </w:r>
      <w:r>
        <w:rPr>
          <w:spacing w:val="-1"/>
          <w:sz w:val="24"/>
        </w:rPr>
        <w:t> </w:t>
      </w:r>
      <w:r>
        <w:rPr>
          <w:sz w:val="24"/>
        </w:rPr>
        <w:t>remove</w:t>
      </w:r>
      <w:r>
        <w:rPr>
          <w:spacing w:val="-1"/>
          <w:sz w:val="24"/>
        </w:rPr>
        <w:t> </w:t>
      </w:r>
      <w:r>
        <w:rPr>
          <w:sz w:val="24"/>
        </w:rPr>
        <w:t>the</w:t>
      </w:r>
      <w:r>
        <w:rPr>
          <w:spacing w:val="-1"/>
          <w:sz w:val="24"/>
        </w:rPr>
        <w:t> </w:t>
      </w:r>
      <w:r>
        <w:rPr>
          <w:sz w:val="24"/>
        </w:rPr>
        <w:t>existing isolation</w:t>
      </w:r>
      <w:r>
        <w:rPr>
          <w:spacing w:val="-3"/>
          <w:sz w:val="24"/>
        </w:rPr>
        <w:t> </w:t>
      </w:r>
      <w:r>
        <w:rPr>
          <w:sz w:val="24"/>
        </w:rPr>
        <w:t>of teacher</w:t>
      </w:r>
      <w:r>
        <w:rPr>
          <w:spacing w:val="-1"/>
          <w:sz w:val="24"/>
        </w:rPr>
        <w:t> </w:t>
      </w:r>
      <w:r>
        <w:rPr>
          <w:sz w:val="24"/>
        </w:rPr>
        <w:t>education</w:t>
      </w:r>
      <w:r>
        <w:rPr>
          <w:spacing w:val="-1"/>
          <w:sz w:val="24"/>
        </w:rPr>
        <w:t> </w:t>
      </w:r>
      <w:r>
        <w:rPr>
          <w:sz w:val="24"/>
        </w:rPr>
        <w:t>from</w:t>
      </w:r>
      <w:r>
        <w:rPr>
          <w:spacing w:val="-1"/>
          <w:sz w:val="24"/>
        </w:rPr>
        <w:t> </w:t>
      </w:r>
      <w:r>
        <w:rPr>
          <w:spacing w:val="-2"/>
          <w:sz w:val="24"/>
        </w:rPr>
        <w:t>schools-</w:t>
      </w:r>
    </w:p>
    <w:p>
      <w:pPr>
        <w:pStyle w:val="BodyText"/>
        <w:spacing w:before="2"/>
      </w:pPr>
    </w:p>
    <w:p>
      <w:pPr>
        <w:pStyle w:val="ListParagraph"/>
        <w:numPr>
          <w:ilvl w:val="0"/>
          <w:numId w:val="88"/>
        </w:numPr>
        <w:tabs>
          <w:tab w:pos="541" w:val="left" w:leader="none"/>
        </w:tabs>
        <w:spacing w:line="240" w:lineRule="auto" w:before="1" w:after="0"/>
        <w:ind w:left="160" w:right="495" w:firstLine="0"/>
        <w:jc w:val="both"/>
        <w:rPr>
          <w:sz w:val="24"/>
        </w:rPr>
      </w:pPr>
      <w:r>
        <w:rPr>
          <w:sz w:val="24"/>
        </w:rPr>
        <w:t>extension work should be regarded as an essential function of a teacher-training institution</w:t>
      </w:r>
      <w:r>
        <w:rPr>
          <w:spacing w:val="-2"/>
          <w:sz w:val="24"/>
        </w:rPr>
        <w:t> </w:t>
      </w:r>
      <w:r>
        <w:rPr>
          <w:sz w:val="24"/>
        </w:rPr>
        <w:t>and</w:t>
      </w:r>
      <w:r>
        <w:rPr>
          <w:spacing w:val="-2"/>
          <w:sz w:val="24"/>
        </w:rPr>
        <w:t> </w:t>
      </w:r>
      <w:r>
        <w:rPr>
          <w:sz w:val="24"/>
        </w:rPr>
        <w:t>an</w:t>
      </w:r>
      <w:r>
        <w:rPr>
          <w:spacing w:val="-2"/>
          <w:sz w:val="24"/>
        </w:rPr>
        <w:t> </w:t>
      </w:r>
      <w:r>
        <w:rPr>
          <w:sz w:val="24"/>
        </w:rPr>
        <w:t>Extension</w:t>
      </w:r>
      <w:r>
        <w:rPr>
          <w:spacing w:val="-2"/>
          <w:sz w:val="24"/>
        </w:rPr>
        <w:t> </w:t>
      </w:r>
      <w:r>
        <w:rPr>
          <w:sz w:val="24"/>
        </w:rPr>
        <w:t>Service</w:t>
      </w:r>
      <w:r>
        <w:rPr>
          <w:spacing w:val="-2"/>
          <w:sz w:val="24"/>
        </w:rPr>
        <w:t> </w:t>
      </w:r>
      <w:r>
        <w:rPr>
          <w:sz w:val="24"/>
        </w:rPr>
        <w:t>Department</w:t>
      </w:r>
      <w:r>
        <w:rPr>
          <w:spacing w:val="-3"/>
          <w:sz w:val="24"/>
        </w:rPr>
        <w:t> </w:t>
      </w:r>
      <w:r>
        <w:rPr>
          <w:sz w:val="24"/>
        </w:rPr>
        <w:t>should</w:t>
      </w:r>
      <w:r>
        <w:rPr>
          <w:spacing w:val="-3"/>
          <w:sz w:val="24"/>
        </w:rPr>
        <w:t> </w:t>
      </w:r>
      <w:r>
        <w:rPr>
          <w:sz w:val="24"/>
        </w:rPr>
        <w:t>be</w:t>
      </w:r>
      <w:r>
        <w:rPr>
          <w:spacing w:val="-2"/>
          <w:sz w:val="24"/>
        </w:rPr>
        <w:t> </w:t>
      </w:r>
      <w:r>
        <w:rPr>
          <w:sz w:val="24"/>
        </w:rPr>
        <w:t>established</w:t>
      </w:r>
      <w:r>
        <w:rPr>
          <w:spacing w:val="-3"/>
          <w:sz w:val="24"/>
        </w:rPr>
        <w:t> </w:t>
      </w:r>
      <w:r>
        <w:rPr>
          <w:sz w:val="24"/>
        </w:rPr>
        <w:t>in</w:t>
      </w:r>
      <w:r>
        <w:rPr>
          <w:spacing w:val="-4"/>
          <w:sz w:val="24"/>
        </w:rPr>
        <w:t> </w:t>
      </w:r>
      <w:r>
        <w:rPr>
          <w:sz w:val="24"/>
        </w:rPr>
        <w:t>each</w:t>
      </w:r>
      <w:r>
        <w:rPr>
          <w:spacing w:val="-3"/>
          <w:sz w:val="24"/>
        </w:rPr>
        <w:t> </w:t>
      </w:r>
      <w:r>
        <w:rPr>
          <w:sz w:val="24"/>
        </w:rPr>
        <w:t>institution- pre-primary, primary and secondary-as an integral part of it;</w:t>
      </w:r>
    </w:p>
    <w:p>
      <w:pPr>
        <w:pStyle w:val="BodyText"/>
        <w:spacing w:before="3"/>
      </w:pPr>
    </w:p>
    <w:p>
      <w:pPr>
        <w:pStyle w:val="ListParagraph"/>
        <w:numPr>
          <w:ilvl w:val="0"/>
          <w:numId w:val="88"/>
        </w:numPr>
        <w:tabs>
          <w:tab w:pos="519" w:val="left" w:leader="none"/>
        </w:tabs>
        <w:spacing w:line="240" w:lineRule="auto" w:before="0" w:after="0"/>
        <w:ind w:left="160" w:right="499" w:firstLine="0"/>
        <w:jc w:val="both"/>
        <w:rPr>
          <w:sz w:val="24"/>
        </w:rPr>
      </w:pPr>
      <w:r>
        <w:rPr>
          <w:sz w:val="24"/>
        </w:rPr>
        <w:t>effective alumni associations should be established to bring old students and faculty together to discuss and plan programmes and curricula;</w:t>
      </w:r>
    </w:p>
    <w:p>
      <w:pPr>
        <w:pStyle w:val="BodyText"/>
        <w:spacing w:before="5"/>
      </w:pPr>
    </w:p>
    <w:p>
      <w:pPr>
        <w:pStyle w:val="ListParagraph"/>
        <w:numPr>
          <w:ilvl w:val="0"/>
          <w:numId w:val="88"/>
        </w:numPr>
        <w:tabs>
          <w:tab w:pos="604" w:val="left" w:leader="none"/>
        </w:tabs>
        <w:spacing w:line="240" w:lineRule="auto" w:before="0" w:after="0"/>
        <w:ind w:left="160" w:right="495" w:firstLine="0"/>
        <w:jc w:val="both"/>
        <w:rPr>
          <w:sz w:val="24"/>
        </w:rPr>
      </w:pPr>
      <w:r>
        <w:rPr>
          <w:sz w:val="24"/>
        </w:rPr>
        <w:t>practice-teaching for teachers under training should be organized in active collaboration with selected schools which should receive recognition from the Education Department as cooperating schools and special grants</w:t>
      </w:r>
      <w:r>
        <w:rPr>
          <w:spacing w:val="-1"/>
          <w:sz w:val="24"/>
        </w:rPr>
        <w:t> </w:t>
      </w:r>
      <w:r>
        <w:rPr>
          <w:sz w:val="24"/>
        </w:rPr>
        <w:t>for</w:t>
      </w:r>
      <w:r>
        <w:rPr>
          <w:spacing w:val="-1"/>
          <w:sz w:val="24"/>
        </w:rPr>
        <w:t> </w:t>
      </w:r>
      <w:r>
        <w:rPr>
          <w:sz w:val="24"/>
        </w:rPr>
        <w:t>equipment</w:t>
      </w:r>
      <w:r>
        <w:rPr>
          <w:spacing w:val="-1"/>
          <w:sz w:val="24"/>
        </w:rPr>
        <w:t> </w:t>
      </w:r>
      <w:r>
        <w:rPr>
          <w:sz w:val="24"/>
        </w:rPr>
        <w:t>and</w:t>
      </w:r>
      <w:r>
        <w:rPr>
          <w:spacing w:val="-1"/>
          <w:sz w:val="24"/>
        </w:rPr>
        <w:t> </w:t>
      </w:r>
      <w:r>
        <w:rPr>
          <w:sz w:val="24"/>
        </w:rPr>
        <w:t>supervision;</w:t>
      </w:r>
      <w:r>
        <w:rPr>
          <w:spacing w:val="-1"/>
          <w:sz w:val="24"/>
        </w:rPr>
        <w:t> </w:t>
      </w:r>
      <w:r>
        <w:rPr>
          <w:sz w:val="24"/>
        </w:rPr>
        <w:t>and</w:t>
      </w:r>
    </w:p>
    <w:p>
      <w:pPr>
        <w:pStyle w:val="BodyText"/>
        <w:spacing w:before="4"/>
      </w:pPr>
    </w:p>
    <w:p>
      <w:pPr>
        <w:pStyle w:val="ListParagraph"/>
        <w:numPr>
          <w:ilvl w:val="0"/>
          <w:numId w:val="88"/>
        </w:numPr>
        <w:tabs>
          <w:tab w:pos="519" w:val="left" w:leader="none"/>
        </w:tabs>
        <w:spacing w:line="240" w:lineRule="auto" w:before="0" w:after="0"/>
        <w:ind w:left="160" w:right="494" w:firstLine="0"/>
        <w:jc w:val="both"/>
        <w:rPr>
          <w:sz w:val="24"/>
        </w:rPr>
      </w:pPr>
      <w:r>
        <w:rPr>
          <w:sz w:val="24"/>
        </w:rPr>
        <w:t>periodic exchange of the staff of the cooperating schools and of the teacher-training institutions</w:t>
      </w:r>
      <w:r>
        <w:rPr>
          <w:spacing w:val="-1"/>
          <w:sz w:val="24"/>
        </w:rPr>
        <w:t> </w:t>
      </w:r>
      <w:r>
        <w:rPr>
          <w:sz w:val="24"/>
        </w:rPr>
        <w:t>should</w:t>
      </w:r>
      <w:r>
        <w:rPr>
          <w:spacing w:val="-1"/>
          <w:sz w:val="24"/>
        </w:rPr>
        <w:t> </w:t>
      </w:r>
      <w:r>
        <w:rPr>
          <w:sz w:val="24"/>
        </w:rPr>
        <w:t>be</w:t>
      </w:r>
      <w:r>
        <w:rPr>
          <w:spacing w:val="-1"/>
          <w:sz w:val="24"/>
        </w:rPr>
        <w:t> </w:t>
      </w:r>
      <w:r>
        <w:rPr>
          <w:sz w:val="24"/>
        </w:rPr>
        <w:t>arranged.</w:t>
      </w:r>
      <w:r>
        <w:rPr>
          <w:spacing w:val="-1"/>
          <w:sz w:val="24"/>
        </w:rPr>
        <w:t> </w:t>
      </w:r>
      <w:r>
        <w:rPr>
          <w:sz w:val="24"/>
        </w:rPr>
        <w:t>4.06-09</w:t>
      </w:r>
      <w:r>
        <w:rPr>
          <w:spacing w:val="-1"/>
          <w:sz w:val="24"/>
        </w:rPr>
        <w:t> </w:t>
      </w:r>
      <w:r>
        <w:rPr>
          <w:sz w:val="24"/>
        </w:rPr>
        <w:t>(3)</w:t>
      </w:r>
      <w:r>
        <w:rPr>
          <w:spacing w:val="-1"/>
          <w:sz w:val="24"/>
        </w:rPr>
        <w:t> </w:t>
      </w:r>
      <w:r>
        <w:rPr>
          <w:sz w:val="24"/>
        </w:rPr>
        <w:t>An</w:t>
      </w:r>
      <w:r>
        <w:rPr>
          <w:spacing w:val="-1"/>
          <w:sz w:val="24"/>
        </w:rPr>
        <w:t> </w:t>
      </w:r>
      <w:r>
        <w:rPr>
          <w:sz w:val="24"/>
        </w:rPr>
        <w:t>intensive</w:t>
      </w:r>
      <w:r>
        <w:rPr>
          <w:spacing w:val="-1"/>
          <w:sz w:val="24"/>
        </w:rPr>
        <w:t> </w:t>
      </w:r>
      <w:r>
        <w:rPr>
          <w:sz w:val="24"/>
        </w:rPr>
        <w:t>effort</w:t>
      </w:r>
      <w:r>
        <w:rPr>
          <w:spacing w:val="-1"/>
          <w:sz w:val="24"/>
        </w:rPr>
        <w:t> </w:t>
      </w:r>
      <w:r>
        <w:rPr>
          <w:sz w:val="24"/>
        </w:rPr>
        <w:t>should</w:t>
      </w:r>
      <w:r>
        <w:rPr>
          <w:spacing w:val="-1"/>
          <w:sz w:val="24"/>
        </w:rPr>
        <w:t> </w:t>
      </w:r>
      <w:r>
        <w:rPr>
          <w:sz w:val="24"/>
        </w:rPr>
        <w:t>be</w:t>
      </w:r>
      <w:r>
        <w:rPr>
          <w:spacing w:val="-1"/>
          <w:sz w:val="24"/>
        </w:rPr>
        <w:t> </w:t>
      </w:r>
      <w:r>
        <w:rPr>
          <w:sz w:val="24"/>
        </w:rPr>
        <w:t>made</w:t>
      </w:r>
      <w:r>
        <w:rPr>
          <w:spacing w:val="-1"/>
          <w:sz w:val="24"/>
        </w:rPr>
        <w:t> </w:t>
      </w:r>
      <w:r>
        <w:rPr>
          <w:sz w:val="24"/>
        </w:rPr>
        <w:t>to</w:t>
      </w:r>
      <w:r>
        <w:rPr>
          <w:spacing w:val="-1"/>
          <w:sz w:val="24"/>
        </w:rPr>
        <w:t> </w:t>
      </w:r>
      <w:r>
        <w:rPr>
          <w:sz w:val="24"/>
        </w:rPr>
        <w:t>remove the existing separation among the institutions preparing teachers for different stages of education or for special fields such as craft or art or physical education by-</w:t>
      </w:r>
    </w:p>
    <w:p>
      <w:pPr>
        <w:pStyle w:val="BodyText"/>
        <w:spacing w:before="3"/>
      </w:pPr>
    </w:p>
    <w:p>
      <w:pPr>
        <w:pStyle w:val="ListParagraph"/>
        <w:numPr>
          <w:ilvl w:val="0"/>
          <w:numId w:val="89"/>
        </w:numPr>
        <w:tabs>
          <w:tab w:pos="557" w:val="left" w:leader="none"/>
        </w:tabs>
        <w:spacing w:line="240" w:lineRule="auto" w:before="1" w:after="0"/>
        <w:ind w:left="159" w:right="497" w:firstLine="0"/>
        <w:jc w:val="both"/>
        <w:rPr>
          <w:sz w:val="24"/>
        </w:rPr>
      </w:pPr>
      <w:r>
        <w:rPr>
          <w:sz w:val="24"/>
        </w:rPr>
        <w:t>implementing a phased programme of upgrading all training institutions to the collegiate standard with the ultimate objective of bringing all teacher education under the </w:t>
      </w:r>
      <w:r>
        <w:rPr>
          <w:spacing w:val="-2"/>
          <w:sz w:val="24"/>
        </w:rPr>
        <w:t>universities;</w:t>
      </w:r>
    </w:p>
    <w:p>
      <w:pPr>
        <w:pStyle w:val="BodyText"/>
        <w:spacing w:before="4"/>
      </w:pPr>
    </w:p>
    <w:p>
      <w:pPr>
        <w:pStyle w:val="ListParagraph"/>
        <w:numPr>
          <w:ilvl w:val="0"/>
          <w:numId w:val="89"/>
        </w:numPr>
        <w:tabs>
          <w:tab w:pos="559" w:val="left" w:leader="none"/>
        </w:tabs>
        <w:spacing w:line="240" w:lineRule="auto" w:before="0" w:after="0"/>
        <w:ind w:left="559" w:right="0" w:hanging="339"/>
        <w:jc w:val="both"/>
        <w:rPr>
          <w:sz w:val="24"/>
        </w:rPr>
      </w:pPr>
      <w:r>
        <w:rPr>
          <w:sz w:val="24"/>
        </w:rPr>
        <w:t>establishing</w:t>
      </w:r>
      <w:r>
        <w:rPr>
          <w:spacing w:val="-3"/>
          <w:sz w:val="24"/>
        </w:rPr>
        <w:t> </w:t>
      </w:r>
      <w:r>
        <w:rPr>
          <w:sz w:val="24"/>
        </w:rPr>
        <w:t>comprehensive</w:t>
      </w:r>
      <w:r>
        <w:rPr>
          <w:spacing w:val="-1"/>
          <w:sz w:val="24"/>
        </w:rPr>
        <w:t> </w:t>
      </w:r>
      <w:r>
        <w:rPr>
          <w:sz w:val="24"/>
        </w:rPr>
        <w:t>colleges</w:t>
      </w:r>
      <w:r>
        <w:rPr>
          <w:spacing w:val="-1"/>
          <w:sz w:val="24"/>
        </w:rPr>
        <w:t> </w:t>
      </w:r>
      <w:r>
        <w:rPr>
          <w:sz w:val="24"/>
        </w:rPr>
        <w:t>of</w:t>
      </w:r>
      <w:r>
        <w:rPr>
          <w:spacing w:val="-1"/>
          <w:sz w:val="24"/>
        </w:rPr>
        <w:t> </w:t>
      </w:r>
      <w:r>
        <w:rPr>
          <w:sz w:val="24"/>
        </w:rPr>
        <w:t>education</w:t>
      </w:r>
      <w:r>
        <w:rPr>
          <w:spacing w:val="-1"/>
          <w:sz w:val="24"/>
        </w:rPr>
        <w:t> </w:t>
      </w:r>
      <w:r>
        <w:rPr>
          <w:sz w:val="24"/>
        </w:rPr>
        <w:t>in</w:t>
      </w:r>
      <w:r>
        <w:rPr>
          <w:spacing w:val="-1"/>
          <w:sz w:val="24"/>
        </w:rPr>
        <w:t> </w:t>
      </w:r>
      <w:r>
        <w:rPr>
          <w:sz w:val="24"/>
        </w:rPr>
        <w:t>each</w:t>
      </w:r>
      <w:r>
        <w:rPr>
          <w:spacing w:val="-3"/>
          <w:sz w:val="24"/>
        </w:rPr>
        <w:t> </w:t>
      </w:r>
      <w:r>
        <w:rPr>
          <w:sz w:val="24"/>
        </w:rPr>
        <w:t>State on</w:t>
      </w:r>
      <w:r>
        <w:rPr>
          <w:spacing w:val="-1"/>
          <w:sz w:val="24"/>
        </w:rPr>
        <w:t> </w:t>
      </w:r>
      <w:r>
        <w:rPr>
          <w:sz w:val="24"/>
        </w:rPr>
        <w:t>a</w:t>
      </w:r>
      <w:r>
        <w:rPr>
          <w:spacing w:val="-1"/>
          <w:sz w:val="24"/>
        </w:rPr>
        <w:t> </w:t>
      </w:r>
      <w:r>
        <w:rPr>
          <w:sz w:val="24"/>
        </w:rPr>
        <w:t>planned </w:t>
      </w:r>
      <w:r>
        <w:rPr>
          <w:spacing w:val="-2"/>
          <w:sz w:val="24"/>
        </w:rPr>
        <w:t>basis;</w:t>
      </w:r>
    </w:p>
    <w:p>
      <w:pPr>
        <w:spacing w:after="0" w:line="240" w:lineRule="auto"/>
        <w:jc w:val="both"/>
        <w:rPr>
          <w:sz w:val="24"/>
        </w:rPr>
        <w:sectPr>
          <w:pgSz w:w="12240" w:h="15840"/>
          <w:pgMar w:header="0" w:footer="743" w:top="1380" w:bottom="940" w:left="1640" w:right="1300"/>
        </w:sectPr>
      </w:pPr>
    </w:p>
    <w:p>
      <w:pPr>
        <w:pStyle w:val="ListParagraph"/>
        <w:numPr>
          <w:ilvl w:val="0"/>
          <w:numId w:val="89"/>
        </w:numPr>
        <w:tabs>
          <w:tab w:pos="490" w:val="left" w:leader="none"/>
        </w:tabs>
        <w:spacing w:line="240" w:lineRule="auto" w:before="76" w:after="0"/>
        <w:ind w:left="160" w:right="498" w:firstLine="0"/>
        <w:jc w:val="both"/>
        <w:rPr>
          <w:sz w:val="24"/>
        </w:rPr>
      </w:pPr>
      <w:r>
        <w:rPr>
          <w:sz w:val="24"/>
        </w:rPr>
        <w:t>establishing a State Board of Teacher Education in each State to be responsible for all functions related to teacher education at all levels and in all fields. 4.10-12</w:t>
      </w:r>
    </w:p>
    <w:p>
      <w:pPr>
        <w:pStyle w:val="BodyText"/>
        <w:spacing w:before="4"/>
      </w:pPr>
    </w:p>
    <w:p>
      <w:pPr>
        <w:pStyle w:val="ListParagraph"/>
        <w:numPr>
          <w:ilvl w:val="0"/>
          <w:numId w:val="86"/>
        </w:numPr>
        <w:tabs>
          <w:tab w:pos="344" w:val="left" w:leader="none"/>
        </w:tabs>
        <w:spacing w:line="240" w:lineRule="auto" w:before="0" w:after="0"/>
        <w:ind w:left="160" w:right="496" w:firstLine="0"/>
        <w:jc w:val="both"/>
        <w:rPr>
          <w:b/>
          <w:sz w:val="24"/>
        </w:rPr>
      </w:pPr>
      <w:r>
        <w:rPr>
          <w:b/>
          <w:sz w:val="24"/>
        </w:rPr>
        <w:t>Improving Professional Education. </w:t>
      </w:r>
      <w:r>
        <w:rPr>
          <w:sz w:val="24"/>
        </w:rPr>
        <w:t>The essence of a programme of teacher education is 'quality' and in its absence, teacher education becomes, not only a financial waste but a source of overall deterioration in educational standards. A programme of highest importance therefore is to improve the quality of teacher education. This can be done </w:t>
      </w:r>
      <w:r>
        <w:rPr>
          <w:spacing w:val="-2"/>
          <w:sz w:val="24"/>
        </w:rPr>
        <w:t>through-</w:t>
      </w:r>
    </w:p>
    <w:p>
      <w:pPr>
        <w:pStyle w:val="BodyText"/>
        <w:spacing w:before="5"/>
      </w:pPr>
    </w:p>
    <w:p>
      <w:pPr>
        <w:pStyle w:val="BodyText"/>
        <w:ind w:left="160" w:right="497"/>
        <w:jc w:val="both"/>
      </w:pPr>
      <w:r>
        <w:rPr/>
        <w:t>(1) organization of well-planned subject-orientation or content courses, in collaboration with university departments (or postgraduate colleges), leading to insight into basic concepts, objective' and implications of subjects to be taught; 4.14-17 (2) introducing integrated courses of general and professional education in universities; 4. 1 8-20</w:t>
      </w:r>
    </w:p>
    <w:p>
      <w:pPr>
        <w:pStyle w:val="BodyText"/>
        <w:spacing w:before="4"/>
      </w:pPr>
    </w:p>
    <w:p>
      <w:pPr>
        <w:pStyle w:val="ListParagraph"/>
        <w:numPr>
          <w:ilvl w:val="0"/>
          <w:numId w:val="87"/>
        </w:numPr>
        <w:tabs>
          <w:tab w:pos="554" w:val="left" w:leader="none"/>
        </w:tabs>
        <w:spacing w:line="240" w:lineRule="auto" w:before="0" w:after="0"/>
        <w:ind w:left="160" w:right="498" w:firstLine="0"/>
        <w:jc w:val="both"/>
        <w:rPr>
          <w:sz w:val="24"/>
        </w:rPr>
      </w:pPr>
      <w:r>
        <w:rPr>
          <w:sz w:val="24"/>
        </w:rPr>
        <w:t>vitalizing professional studies and basing them on Indian conditions through </w:t>
      </w:r>
      <w:r>
        <w:rPr>
          <w:sz w:val="24"/>
        </w:rPr>
        <w:t>the development of educational research; 4.21-22</w:t>
      </w:r>
    </w:p>
    <w:p>
      <w:pPr>
        <w:pStyle w:val="BodyText"/>
        <w:spacing w:before="3"/>
      </w:pPr>
    </w:p>
    <w:p>
      <w:pPr>
        <w:pStyle w:val="ListParagraph"/>
        <w:numPr>
          <w:ilvl w:val="0"/>
          <w:numId w:val="87"/>
        </w:numPr>
        <w:tabs>
          <w:tab w:pos="540" w:val="left" w:leader="none"/>
        </w:tabs>
        <w:spacing w:line="240" w:lineRule="auto" w:before="0" w:after="0"/>
        <w:ind w:left="160" w:right="497" w:firstLine="0"/>
        <w:jc w:val="both"/>
        <w:rPr>
          <w:sz w:val="24"/>
        </w:rPr>
      </w:pPr>
      <w:r>
        <w:rPr>
          <w:sz w:val="24"/>
        </w:rPr>
        <w:t>using improved methods of teaching which leave greater scope for self-study and discussion and improved methods of evaluation which include continuous internal assessment of practical and sessional work as well as practice-teaching; 4.23-24</w:t>
      </w:r>
    </w:p>
    <w:p>
      <w:pPr>
        <w:pStyle w:val="BodyText"/>
        <w:spacing w:before="4"/>
      </w:pPr>
    </w:p>
    <w:p>
      <w:pPr>
        <w:pStyle w:val="ListParagraph"/>
        <w:numPr>
          <w:ilvl w:val="0"/>
          <w:numId w:val="87"/>
        </w:numPr>
        <w:tabs>
          <w:tab w:pos="500" w:val="left" w:leader="none"/>
        </w:tabs>
        <w:spacing w:line="240" w:lineRule="auto" w:before="0" w:after="0"/>
        <w:ind w:left="500" w:right="0" w:hanging="340"/>
        <w:jc w:val="both"/>
        <w:rPr>
          <w:sz w:val="24"/>
        </w:rPr>
      </w:pPr>
      <w:r>
        <w:rPr>
          <w:sz w:val="24"/>
        </w:rPr>
        <w:t>improving practice-teaching and making it a</w:t>
      </w:r>
      <w:r>
        <w:rPr>
          <w:spacing w:val="1"/>
          <w:sz w:val="24"/>
        </w:rPr>
        <w:t> </w:t>
      </w:r>
      <w:r>
        <w:rPr>
          <w:sz w:val="24"/>
        </w:rPr>
        <w:t>comprehensive programme</w:t>
      </w:r>
      <w:r>
        <w:rPr>
          <w:spacing w:val="1"/>
          <w:sz w:val="24"/>
        </w:rPr>
        <w:t> </w:t>
      </w:r>
      <w:r>
        <w:rPr>
          <w:sz w:val="24"/>
        </w:rPr>
        <w:t>of</w:t>
      </w:r>
      <w:r>
        <w:rPr>
          <w:spacing w:val="1"/>
          <w:sz w:val="24"/>
        </w:rPr>
        <w:t> </w:t>
      </w:r>
      <w:r>
        <w:rPr>
          <w:spacing w:val="-2"/>
          <w:sz w:val="24"/>
        </w:rPr>
        <w:t>internship;</w:t>
      </w:r>
    </w:p>
    <w:p>
      <w:pPr>
        <w:pStyle w:val="BodyText"/>
        <w:ind w:left="160" w:right="496"/>
        <w:jc w:val="both"/>
      </w:pPr>
      <w:r>
        <w:rPr/>
        <w:t>4.25 (6) developing special courses and programmes; and 4.26 (7) revising the curricula and programmes at all levels of teacher education in the light of the fundamental. objectives of</w:t>
      </w:r>
      <w:r>
        <w:rPr>
          <w:spacing w:val="-1"/>
        </w:rPr>
        <w:t> </w:t>
      </w:r>
      <w:r>
        <w:rPr/>
        <w:t>preparing. teachers for their varied responsibilities in an evolving system of' education. 4.27-32</w:t>
      </w:r>
    </w:p>
    <w:p>
      <w:pPr>
        <w:pStyle w:val="BodyText"/>
        <w:spacing w:before="5"/>
      </w:pPr>
    </w:p>
    <w:p>
      <w:pPr>
        <w:pStyle w:val="ListParagraph"/>
        <w:numPr>
          <w:ilvl w:val="0"/>
          <w:numId w:val="86"/>
        </w:numPr>
        <w:tabs>
          <w:tab w:pos="349" w:val="left" w:leader="none"/>
        </w:tabs>
        <w:spacing w:line="240" w:lineRule="auto" w:before="0" w:after="0"/>
        <w:ind w:left="160" w:right="497" w:firstLine="0"/>
        <w:jc w:val="both"/>
        <w:rPr>
          <w:b/>
          <w:sz w:val="24"/>
        </w:rPr>
      </w:pPr>
      <w:r>
        <w:rPr>
          <w:b/>
          <w:sz w:val="24"/>
        </w:rPr>
        <w:t>Duration of Training Course. </w:t>
      </w:r>
      <w:r>
        <w:rPr>
          <w:sz w:val="24"/>
        </w:rPr>
        <w:t>The duration of the professional courses should be </w:t>
      </w:r>
      <w:r>
        <w:rPr>
          <w:sz w:val="24"/>
        </w:rPr>
        <w:t>two years for primary teachers who have completed the secondary school course. It should be one year for the graduate students; but the number of working days in a year should be increased to 230. 4.15</w:t>
      </w:r>
    </w:p>
    <w:p>
      <w:pPr>
        <w:pStyle w:val="BodyText"/>
        <w:spacing w:before="4"/>
      </w:pPr>
    </w:p>
    <w:p>
      <w:pPr>
        <w:pStyle w:val="ListParagraph"/>
        <w:numPr>
          <w:ilvl w:val="0"/>
          <w:numId w:val="86"/>
        </w:numPr>
        <w:tabs>
          <w:tab w:pos="362" w:val="left" w:leader="none"/>
        </w:tabs>
        <w:spacing w:line="240" w:lineRule="auto" w:before="0" w:after="0"/>
        <w:ind w:left="160" w:right="496" w:firstLine="0"/>
        <w:jc w:val="both"/>
        <w:rPr>
          <w:sz w:val="24"/>
        </w:rPr>
      </w:pPr>
      <w:r>
        <w:rPr>
          <w:sz w:val="24"/>
        </w:rPr>
        <w:t>The State Boards of Teacher Education should conduct a survey of teacher education programmes and curricula and initiate the necessary revision. 4.34</w:t>
      </w:r>
    </w:p>
    <w:p>
      <w:pPr>
        <w:pStyle w:val="BodyText"/>
        <w:spacing w:before="3"/>
      </w:pPr>
    </w:p>
    <w:p>
      <w:pPr>
        <w:pStyle w:val="ListParagraph"/>
        <w:numPr>
          <w:ilvl w:val="0"/>
          <w:numId w:val="86"/>
        </w:numPr>
        <w:tabs>
          <w:tab w:pos="377" w:val="left" w:leader="none"/>
        </w:tabs>
        <w:spacing w:line="240" w:lineRule="auto" w:before="0" w:after="0"/>
        <w:ind w:left="160" w:right="500" w:firstLine="0"/>
        <w:jc w:val="both"/>
        <w:rPr>
          <w:sz w:val="24"/>
        </w:rPr>
      </w:pPr>
      <w:r>
        <w:rPr>
          <w:sz w:val="24"/>
        </w:rPr>
        <w:t>New professional courses must be developed to orientate head- masters and teacher educators to their special field of work. 4.26 8</w:t>
      </w:r>
    </w:p>
    <w:p>
      <w:pPr>
        <w:pStyle w:val="BodyText"/>
        <w:spacing w:before="4"/>
      </w:pPr>
    </w:p>
    <w:p>
      <w:pPr>
        <w:pStyle w:val="BodyText"/>
        <w:ind w:left="160" w:right="497"/>
        <w:jc w:val="both"/>
      </w:pPr>
      <w:r>
        <w:rPr/>
        <w:t>The postgraduate courses in education should be flexible and be planned to promote an academic and scientific study of education and to prepare personnel for specific fields requiring special knowledge and initiation. The duration of the courses should be increased to three terms. Quality is crucial at this stage and only institutions having properly qualified staff and facilities should be allowed to conduct them. 4.35-39</w:t>
      </w:r>
    </w:p>
    <w:p>
      <w:pPr>
        <w:pStyle w:val="BodyText"/>
        <w:spacing w:before="5"/>
      </w:pPr>
    </w:p>
    <w:p>
      <w:pPr>
        <w:pStyle w:val="ListParagraph"/>
        <w:numPr>
          <w:ilvl w:val="0"/>
          <w:numId w:val="90"/>
        </w:numPr>
        <w:tabs>
          <w:tab w:pos="398" w:val="left" w:leader="none"/>
        </w:tabs>
        <w:spacing w:line="240" w:lineRule="auto" w:before="0" w:after="0"/>
        <w:ind w:left="160" w:right="498" w:firstLine="0"/>
        <w:jc w:val="both"/>
        <w:rPr>
          <w:sz w:val="24"/>
        </w:rPr>
      </w:pPr>
      <w:r>
        <w:rPr>
          <w:b/>
          <w:sz w:val="24"/>
        </w:rPr>
        <w:t>Improving the Quality of Training Institutions. </w:t>
      </w:r>
      <w:r>
        <w:rPr>
          <w:sz w:val="24"/>
        </w:rPr>
        <w:t>Early steps should be taken to improve training institutions for teachers on the following lines:</w:t>
      </w:r>
    </w:p>
    <w:p>
      <w:pPr>
        <w:spacing w:after="0" w:line="240" w:lineRule="auto"/>
        <w:jc w:val="both"/>
        <w:rPr>
          <w:sz w:val="24"/>
        </w:rPr>
        <w:sectPr>
          <w:pgSz w:w="12240" w:h="15840"/>
          <w:pgMar w:header="0" w:footer="743" w:top="1360" w:bottom="940" w:left="1640" w:right="1300"/>
        </w:sectPr>
      </w:pPr>
    </w:p>
    <w:p>
      <w:pPr>
        <w:pStyle w:val="ListParagraph"/>
        <w:numPr>
          <w:ilvl w:val="0"/>
          <w:numId w:val="91"/>
        </w:numPr>
        <w:tabs>
          <w:tab w:pos="499" w:val="left" w:leader="none"/>
        </w:tabs>
        <w:spacing w:line="240" w:lineRule="auto" w:before="76" w:after="0"/>
        <w:ind w:left="159" w:right="492" w:firstLine="0"/>
        <w:jc w:val="both"/>
        <w:rPr>
          <w:sz w:val="24"/>
        </w:rPr>
      </w:pPr>
      <w:r>
        <w:rPr>
          <w:sz w:val="24"/>
        </w:rPr>
        <w:t>Secondary</w:t>
      </w:r>
      <w:r>
        <w:rPr>
          <w:spacing w:val="-2"/>
          <w:sz w:val="24"/>
        </w:rPr>
        <w:t> </w:t>
      </w:r>
      <w:r>
        <w:rPr>
          <w:sz w:val="24"/>
        </w:rPr>
        <w:t>Teachers.</w:t>
      </w:r>
      <w:r>
        <w:rPr>
          <w:spacing w:val="-3"/>
          <w:sz w:val="24"/>
        </w:rPr>
        <w:t> </w:t>
      </w:r>
      <w:r>
        <w:rPr>
          <w:sz w:val="24"/>
        </w:rPr>
        <w:t>(a)</w:t>
      </w:r>
      <w:r>
        <w:rPr>
          <w:spacing w:val="-2"/>
          <w:sz w:val="24"/>
        </w:rPr>
        <w:t> </w:t>
      </w:r>
      <w:r>
        <w:rPr>
          <w:sz w:val="24"/>
        </w:rPr>
        <w:t>The</w:t>
      </w:r>
      <w:r>
        <w:rPr>
          <w:spacing w:val="-2"/>
          <w:sz w:val="24"/>
        </w:rPr>
        <w:t> </w:t>
      </w:r>
      <w:r>
        <w:rPr>
          <w:sz w:val="24"/>
        </w:rPr>
        <w:t>staff</w:t>
      </w:r>
      <w:r>
        <w:rPr>
          <w:spacing w:val="-2"/>
          <w:sz w:val="24"/>
        </w:rPr>
        <w:t> </w:t>
      </w:r>
      <w:r>
        <w:rPr>
          <w:sz w:val="24"/>
        </w:rPr>
        <w:t>of</w:t>
      </w:r>
      <w:r>
        <w:rPr>
          <w:spacing w:val="-2"/>
          <w:sz w:val="24"/>
        </w:rPr>
        <w:t> </w:t>
      </w:r>
      <w:r>
        <w:rPr>
          <w:sz w:val="24"/>
        </w:rPr>
        <w:t>secondary</w:t>
      </w:r>
      <w:r>
        <w:rPr>
          <w:spacing w:val="-2"/>
          <w:sz w:val="24"/>
        </w:rPr>
        <w:t> </w:t>
      </w:r>
      <w:r>
        <w:rPr>
          <w:sz w:val="24"/>
        </w:rPr>
        <w:t>training</w:t>
      </w:r>
      <w:r>
        <w:rPr>
          <w:spacing w:val="-2"/>
          <w:sz w:val="24"/>
        </w:rPr>
        <w:t> </w:t>
      </w:r>
      <w:r>
        <w:rPr>
          <w:sz w:val="24"/>
        </w:rPr>
        <w:t>colleges</w:t>
      </w:r>
      <w:r>
        <w:rPr>
          <w:spacing w:val="-2"/>
          <w:sz w:val="24"/>
        </w:rPr>
        <w:t> </w:t>
      </w:r>
      <w:r>
        <w:rPr>
          <w:sz w:val="24"/>
        </w:rPr>
        <w:t>should</w:t>
      </w:r>
      <w:r>
        <w:rPr>
          <w:spacing w:val="-2"/>
          <w:sz w:val="24"/>
        </w:rPr>
        <w:t> </w:t>
      </w:r>
      <w:r>
        <w:rPr>
          <w:sz w:val="24"/>
        </w:rPr>
        <w:t>have</w:t>
      </w:r>
      <w:r>
        <w:rPr>
          <w:spacing w:val="-2"/>
          <w:sz w:val="24"/>
        </w:rPr>
        <w:t> </w:t>
      </w:r>
      <w:r>
        <w:rPr>
          <w:sz w:val="24"/>
        </w:rPr>
        <w:t>a</w:t>
      </w:r>
      <w:r>
        <w:rPr>
          <w:spacing w:val="-2"/>
          <w:sz w:val="24"/>
        </w:rPr>
        <w:t> </w:t>
      </w:r>
      <w:r>
        <w:rPr>
          <w:sz w:val="24"/>
        </w:rPr>
        <w:t>double Master's degree in an academic subject and in education. A fair proportion of them</w:t>
      </w:r>
      <w:r>
        <w:rPr>
          <w:spacing w:val="80"/>
          <w:sz w:val="24"/>
        </w:rPr>
        <w:t> </w:t>
      </w:r>
      <w:r>
        <w:rPr>
          <w:sz w:val="24"/>
        </w:rPr>
        <w:t>should hold doctorate degrees. They should aft have taken induction or orientation courses in teacher education.</w:t>
      </w:r>
    </w:p>
    <w:p>
      <w:pPr>
        <w:pStyle w:val="BodyText"/>
        <w:spacing w:before="4"/>
      </w:pPr>
    </w:p>
    <w:p>
      <w:pPr>
        <w:pStyle w:val="ListParagraph"/>
        <w:numPr>
          <w:ilvl w:val="0"/>
          <w:numId w:val="92"/>
        </w:numPr>
        <w:tabs>
          <w:tab w:pos="525" w:val="left" w:leader="none"/>
        </w:tabs>
        <w:spacing w:line="240" w:lineRule="auto" w:before="0" w:after="0"/>
        <w:ind w:left="160" w:right="498" w:firstLine="0"/>
        <w:jc w:val="both"/>
        <w:rPr>
          <w:sz w:val="24"/>
        </w:rPr>
      </w:pPr>
      <w:r>
        <w:rPr>
          <w:sz w:val="24"/>
        </w:rPr>
        <w:t>Qualified specialists in subjects like psychology, sociology, science or mathematics may be appointed on the staff even if they have not had professional training.</w:t>
      </w:r>
    </w:p>
    <w:p>
      <w:pPr>
        <w:pStyle w:val="BodyText"/>
        <w:spacing w:before="6"/>
      </w:pPr>
    </w:p>
    <w:p>
      <w:pPr>
        <w:pStyle w:val="ListParagraph"/>
        <w:numPr>
          <w:ilvl w:val="0"/>
          <w:numId w:val="92"/>
        </w:numPr>
        <w:tabs>
          <w:tab w:pos="486" w:val="left" w:leader="none"/>
        </w:tabs>
        <w:spacing w:line="240" w:lineRule="auto" w:before="0" w:after="0"/>
        <w:ind w:left="486" w:right="0" w:hanging="326"/>
        <w:jc w:val="both"/>
        <w:rPr>
          <w:sz w:val="24"/>
        </w:rPr>
      </w:pPr>
      <w:r>
        <w:rPr>
          <w:sz w:val="24"/>
        </w:rPr>
        <w:t>Summer</w:t>
      </w:r>
      <w:r>
        <w:rPr>
          <w:spacing w:val="-5"/>
          <w:sz w:val="24"/>
        </w:rPr>
        <w:t> </w:t>
      </w:r>
      <w:r>
        <w:rPr>
          <w:sz w:val="24"/>
        </w:rPr>
        <w:t>institutes</w:t>
      </w:r>
      <w:r>
        <w:rPr>
          <w:spacing w:val="-2"/>
          <w:sz w:val="24"/>
        </w:rPr>
        <w:t> </w:t>
      </w:r>
      <w:r>
        <w:rPr>
          <w:sz w:val="24"/>
        </w:rPr>
        <w:t>should</w:t>
      </w:r>
      <w:r>
        <w:rPr>
          <w:spacing w:val="-2"/>
          <w:sz w:val="24"/>
        </w:rPr>
        <w:t> </w:t>
      </w:r>
      <w:r>
        <w:rPr>
          <w:sz w:val="24"/>
        </w:rPr>
        <w:t>be</w:t>
      </w:r>
      <w:r>
        <w:rPr>
          <w:spacing w:val="-2"/>
          <w:sz w:val="24"/>
        </w:rPr>
        <w:t> </w:t>
      </w:r>
      <w:r>
        <w:rPr>
          <w:sz w:val="24"/>
        </w:rPr>
        <w:t>organized</w:t>
      </w:r>
      <w:r>
        <w:rPr>
          <w:spacing w:val="-3"/>
          <w:sz w:val="24"/>
        </w:rPr>
        <w:t> </w:t>
      </w:r>
      <w:r>
        <w:rPr>
          <w:sz w:val="24"/>
        </w:rPr>
        <w:t>for</w:t>
      </w:r>
      <w:r>
        <w:rPr>
          <w:spacing w:val="-3"/>
          <w:sz w:val="24"/>
        </w:rPr>
        <w:t> </w:t>
      </w:r>
      <w:r>
        <w:rPr>
          <w:sz w:val="24"/>
        </w:rPr>
        <w:t>the</w:t>
      </w:r>
      <w:r>
        <w:rPr>
          <w:spacing w:val="-3"/>
          <w:sz w:val="24"/>
        </w:rPr>
        <w:t> </w:t>
      </w:r>
      <w:r>
        <w:rPr>
          <w:sz w:val="24"/>
        </w:rPr>
        <w:t>in-</w:t>
      </w:r>
      <w:r>
        <w:rPr>
          <w:spacing w:val="-3"/>
          <w:sz w:val="24"/>
        </w:rPr>
        <w:t> </w:t>
      </w:r>
      <w:r>
        <w:rPr>
          <w:sz w:val="24"/>
        </w:rPr>
        <w:t>service</w:t>
      </w:r>
      <w:r>
        <w:rPr>
          <w:spacing w:val="-3"/>
          <w:sz w:val="24"/>
        </w:rPr>
        <w:t> </w:t>
      </w:r>
      <w:r>
        <w:rPr>
          <w:sz w:val="24"/>
        </w:rPr>
        <w:t>training</w:t>
      </w:r>
      <w:r>
        <w:rPr>
          <w:spacing w:val="-3"/>
          <w:sz w:val="24"/>
        </w:rPr>
        <w:t> </w:t>
      </w:r>
      <w:r>
        <w:rPr>
          <w:sz w:val="24"/>
        </w:rPr>
        <w:t>of</w:t>
      </w:r>
      <w:r>
        <w:rPr>
          <w:spacing w:val="-2"/>
          <w:sz w:val="24"/>
        </w:rPr>
        <w:t> staff.</w:t>
      </w:r>
    </w:p>
    <w:p>
      <w:pPr>
        <w:pStyle w:val="BodyText"/>
        <w:spacing w:before="2"/>
      </w:pPr>
    </w:p>
    <w:p>
      <w:pPr>
        <w:pStyle w:val="ListParagraph"/>
        <w:numPr>
          <w:ilvl w:val="0"/>
          <w:numId w:val="92"/>
        </w:numPr>
        <w:tabs>
          <w:tab w:pos="513" w:val="left" w:leader="none"/>
        </w:tabs>
        <w:spacing w:line="240" w:lineRule="auto" w:before="1" w:after="0"/>
        <w:ind w:left="160" w:right="498" w:firstLine="0"/>
        <w:jc w:val="both"/>
        <w:rPr>
          <w:sz w:val="24"/>
        </w:rPr>
      </w:pPr>
      <w:r>
        <w:rPr>
          <w:sz w:val="24"/>
        </w:rPr>
        <w:t>No student should be allowed to specialize in the teaching of a subject unless he has studied it for his first degree or obtained an equivalent qualification prior to training.</w:t>
      </w:r>
    </w:p>
    <w:p>
      <w:pPr>
        <w:pStyle w:val="BodyText"/>
        <w:spacing w:before="3"/>
      </w:pPr>
    </w:p>
    <w:p>
      <w:pPr>
        <w:pStyle w:val="ListParagraph"/>
        <w:numPr>
          <w:ilvl w:val="0"/>
          <w:numId w:val="92"/>
        </w:numPr>
        <w:tabs>
          <w:tab w:pos="514" w:val="left" w:leader="none"/>
        </w:tabs>
        <w:spacing w:line="240" w:lineRule="auto" w:before="0" w:after="0"/>
        <w:ind w:left="159" w:right="498" w:firstLine="0"/>
        <w:jc w:val="both"/>
        <w:rPr>
          <w:sz w:val="24"/>
        </w:rPr>
      </w:pPr>
      <w:r>
        <w:rPr>
          <w:sz w:val="24"/>
        </w:rPr>
        <w:t>States and Union Territories should adopt a rule that teachers in secondary schools will ordinarily teach only those subjects which they had studied for a university de- gree. if they are required to teach subjects other than those they have studied, they should take</w:t>
      </w:r>
      <w:r>
        <w:rPr>
          <w:spacing w:val="40"/>
          <w:sz w:val="24"/>
        </w:rPr>
        <w:t> </w:t>
      </w:r>
      <w:r>
        <w:rPr>
          <w:sz w:val="24"/>
        </w:rPr>
        <w:t>a special course therein either by correspondence or in the summer institutes. Attempts should be made to recruit first and good second class students to teacher-training institutions and adequate scholarships should be provided for them. 4.41-44</w:t>
      </w:r>
    </w:p>
    <w:p>
      <w:pPr>
        <w:pStyle w:val="BodyText"/>
        <w:spacing w:before="4"/>
      </w:pPr>
    </w:p>
    <w:p>
      <w:pPr>
        <w:pStyle w:val="ListParagraph"/>
        <w:numPr>
          <w:ilvl w:val="0"/>
          <w:numId w:val="91"/>
        </w:numPr>
        <w:tabs>
          <w:tab w:pos="531" w:val="left" w:leader="none"/>
        </w:tabs>
        <w:spacing w:line="240" w:lineRule="auto" w:before="0" w:after="0"/>
        <w:ind w:left="159" w:right="495" w:firstLine="0"/>
        <w:jc w:val="both"/>
        <w:rPr>
          <w:sz w:val="24"/>
        </w:rPr>
      </w:pPr>
      <w:r>
        <w:rPr>
          <w:sz w:val="24"/>
        </w:rPr>
        <w:t>Primary Teachers. (a) The staff in institutions for training primary teachers should hold a Master's degree either in Education or in an academic subject as well as B.Ed. and should have undergone special induction courses in teacher education at the primary</w:t>
      </w:r>
      <w:r>
        <w:rPr>
          <w:spacing w:val="40"/>
          <w:sz w:val="24"/>
        </w:rPr>
        <w:t> </w:t>
      </w:r>
      <w:r>
        <w:rPr>
          <w:spacing w:val="-2"/>
          <w:sz w:val="24"/>
        </w:rPr>
        <w:t>level.</w:t>
      </w:r>
    </w:p>
    <w:p>
      <w:pPr>
        <w:pStyle w:val="BodyText"/>
        <w:spacing w:before="5"/>
      </w:pPr>
    </w:p>
    <w:p>
      <w:pPr>
        <w:pStyle w:val="ListParagraph"/>
        <w:numPr>
          <w:ilvl w:val="0"/>
          <w:numId w:val="93"/>
        </w:numPr>
        <w:tabs>
          <w:tab w:pos="567" w:val="left" w:leader="none"/>
        </w:tabs>
        <w:spacing w:line="240" w:lineRule="auto" w:before="0" w:after="0"/>
        <w:ind w:left="159" w:right="497" w:firstLine="0"/>
        <w:jc w:val="both"/>
        <w:rPr>
          <w:sz w:val="24"/>
        </w:rPr>
      </w:pPr>
      <w:r>
        <w:rPr>
          <w:sz w:val="24"/>
        </w:rPr>
        <w:t>New appointments of primary teachers should be restricted to those who have completed at least ten years of general education; exceptions may be made for women teachers and teachers in tribal areas.</w:t>
      </w:r>
    </w:p>
    <w:p>
      <w:pPr>
        <w:pStyle w:val="BodyText"/>
        <w:spacing w:before="4"/>
      </w:pPr>
    </w:p>
    <w:p>
      <w:pPr>
        <w:pStyle w:val="ListParagraph"/>
        <w:numPr>
          <w:ilvl w:val="0"/>
          <w:numId w:val="93"/>
        </w:numPr>
        <w:tabs>
          <w:tab w:pos="542" w:val="left" w:leader="none"/>
        </w:tabs>
        <w:spacing w:line="240" w:lineRule="auto" w:before="0" w:after="0"/>
        <w:ind w:left="159" w:right="497" w:firstLine="0"/>
        <w:jc w:val="both"/>
        <w:rPr>
          <w:sz w:val="24"/>
        </w:rPr>
      </w:pPr>
      <w:r>
        <w:rPr>
          <w:sz w:val="24"/>
        </w:rPr>
        <w:t>Correspondence courses and liberal concessions for study leave should be made available to unqualified teachers in primary schools to improve their qualifications.</w:t>
      </w:r>
    </w:p>
    <w:p>
      <w:pPr>
        <w:pStyle w:val="BodyText"/>
        <w:spacing w:before="4"/>
      </w:pPr>
    </w:p>
    <w:p>
      <w:pPr>
        <w:pStyle w:val="ListParagraph"/>
        <w:numPr>
          <w:ilvl w:val="0"/>
          <w:numId w:val="93"/>
        </w:numPr>
        <w:tabs>
          <w:tab w:pos="557" w:val="left" w:leader="none"/>
        </w:tabs>
        <w:spacing w:line="240" w:lineRule="auto" w:before="1" w:after="0"/>
        <w:ind w:left="557" w:right="0" w:hanging="338"/>
        <w:jc w:val="both"/>
        <w:rPr>
          <w:sz w:val="24"/>
        </w:rPr>
      </w:pPr>
      <w:r>
        <w:rPr>
          <w:sz w:val="24"/>
        </w:rPr>
        <w:t>Special</w:t>
      </w:r>
      <w:r>
        <w:rPr>
          <w:spacing w:val="-2"/>
          <w:sz w:val="24"/>
        </w:rPr>
        <w:t> </w:t>
      </w:r>
      <w:r>
        <w:rPr>
          <w:sz w:val="24"/>
        </w:rPr>
        <w:t>courses</w:t>
      </w:r>
      <w:r>
        <w:rPr>
          <w:spacing w:val="-1"/>
          <w:sz w:val="24"/>
        </w:rPr>
        <w:t> </w:t>
      </w:r>
      <w:r>
        <w:rPr>
          <w:sz w:val="24"/>
        </w:rPr>
        <w:t>should</w:t>
      </w:r>
      <w:r>
        <w:rPr>
          <w:spacing w:val="-1"/>
          <w:sz w:val="24"/>
        </w:rPr>
        <w:t> </w:t>
      </w:r>
      <w:r>
        <w:rPr>
          <w:sz w:val="24"/>
        </w:rPr>
        <w:t>be</w:t>
      </w:r>
      <w:r>
        <w:rPr>
          <w:spacing w:val="-1"/>
          <w:sz w:val="24"/>
        </w:rPr>
        <w:t> </w:t>
      </w:r>
      <w:r>
        <w:rPr>
          <w:sz w:val="24"/>
        </w:rPr>
        <w:t>organized</w:t>
      </w:r>
      <w:r>
        <w:rPr>
          <w:spacing w:val="-1"/>
          <w:sz w:val="24"/>
        </w:rPr>
        <w:t> </w:t>
      </w:r>
      <w:r>
        <w:rPr>
          <w:sz w:val="24"/>
        </w:rPr>
        <w:t>for graduates entering primary </w:t>
      </w:r>
      <w:r>
        <w:rPr>
          <w:spacing w:val="-2"/>
          <w:sz w:val="24"/>
        </w:rPr>
        <w:t>teaching.</w:t>
      </w:r>
    </w:p>
    <w:p>
      <w:pPr>
        <w:pStyle w:val="BodyText"/>
        <w:spacing w:before="3"/>
      </w:pPr>
    </w:p>
    <w:p>
      <w:pPr>
        <w:pStyle w:val="ListParagraph"/>
        <w:numPr>
          <w:ilvl w:val="0"/>
          <w:numId w:val="93"/>
        </w:numPr>
        <w:tabs>
          <w:tab w:pos="526" w:val="left" w:leader="none"/>
        </w:tabs>
        <w:spacing w:line="240" w:lineRule="auto" w:before="0" w:after="0"/>
        <w:ind w:left="159" w:right="497" w:firstLine="0"/>
        <w:jc w:val="both"/>
        <w:rPr>
          <w:sz w:val="24"/>
        </w:rPr>
      </w:pPr>
      <w:r>
        <w:rPr>
          <w:sz w:val="24"/>
        </w:rPr>
        <w:t>The duration of the training course for primary teachers should be uniformly two years for those who have completed the secondary school course. Teachers with different educational qualifications should not be put into the same course. 4.45-50</w:t>
      </w:r>
    </w:p>
    <w:p>
      <w:pPr>
        <w:pStyle w:val="BodyText"/>
        <w:spacing w:before="4"/>
      </w:pPr>
    </w:p>
    <w:p>
      <w:pPr>
        <w:pStyle w:val="ListParagraph"/>
        <w:numPr>
          <w:ilvl w:val="0"/>
          <w:numId w:val="91"/>
        </w:numPr>
        <w:tabs>
          <w:tab w:pos="511" w:val="left" w:leader="none"/>
        </w:tabs>
        <w:spacing w:line="240" w:lineRule="auto" w:before="0" w:after="0"/>
        <w:ind w:left="159" w:right="496" w:firstLine="0"/>
        <w:jc w:val="both"/>
        <w:rPr>
          <w:sz w:val="24"/>
        </w:rPr>
      </w:pPr>
      <w:r>
        <w:rPr>
          <w:sz w:val="24"/>
        </w:rPr>
        <w:t>General. It is necessary to introduce the following reforms in training institutions for primary as well as secondary teachers:</w:t>
      </w:r>
    </w:p>
    <w:p>
      <w:pPr>
        <w:pStyle w:val="BodyText"/>
        <w:spacing w:before="3"/>
      </w:pPr>
    </w:p>
    <w:p>
      <w:pPr>
        <w:pStyle w:val="ListParagraph"/>
        <w:numPr>
          <w:ilvl w:val="1"/>
          <w:numId w:val="91"/>
        </w:numPr>
        <w:tabs>
          <w:tab w:pos="491" w:val="left" w:leader="none"/>
        </w:tabs>
        <w:spacing w:line="240" w:lineRule="auto" w:before="1" w:after="0"/>
        <w:ind w:left="160" w:right="500" w:firstLine="0"/>
        <w:jc w:val="both"/>
        <w:rPr>
          <w:sz w:val="24"/>
        </w:rPr>
      </w:pPr>
      <w:r>
        <w:rPr>
          <w:sz w:val="24"/>
        </w:rPr>
        <w:t>AR tuition fees in training institutions should be abolished and liberal provision made for stipends and loans.</w:t>
      </w:r>
    </w:p>
    <w:p>
      <w:pPr>
        <w:pStyle w:val="BodyText"/>
        <w:spacing w:before="3"/>
      </w:pPr>
    </w:p>
    <w:p>
      <w:pPr>
        <w:pStyle w:val="ListParagraph"/>
        <w:numPr>
          <w:ilvl w:val="1"/>
          <w:numId w:val="91"/>
        </w:numPr>
        <w:tabs>
          <w:tab w:pos="546" w:val="left" w:leader="none"/>
        </w:tabs>
        <w:spacing w:line="240" w:lineRule="auto" w:before="0" w:after="0"/>
        <w:ind w:left="160" w:right="497" w:firstLine="0"/>
        <w:jc w:val="both"/>
        <w:rPr>
          <w:sz w:val="24"/>
        </w:rPr>
      </w:pPr>
      <w:r>
        <w:rPr>
          <w:sz w:val="24"/>
        </w:rPr>
        <w:t>Every training institution should have an experimental or a demonstration school attached to it.</w:t>
      </w:r>
    </w:p>
    <w:p>
      <w:pPr>
        <w:spacing w:after="0" w:line="240" w:lineRule="auto"/>
        <w:jc w:val="both"/>
        <w:rPr>
          <w:sz w:val="24"/>
        </w:rPr>
        <w:sectPr>
          <w:pgSz w:w="12240" w:h="15840"/>
          <w:pgMar w:header="0" w:footer="743" w:top="1360" w:bottom="940" w:left="1640" w:right="1300"/>
        </w:sectPr>
      </w:pPr>
    </w:p>
    <w:p>
      <w:pPr>
        <w:pStyle w:val="ListParagraph"/>
        <w:numPr>
          <w:ilvl w:val="1"/>
          <w:numId w:val="91"/>
        </w:numPr>
        <w:tabs>
          <w:tab w:pos="499" w:val="left" w:leader="none"/>
        </w:tabs>
        <w:spacing w:line="240" w:lineRule="auto" w:before="76" w:after="0"/>
        <w:ind w:left="160" w:right="498" w:firstLine="0"/>
        <w:jc w:val="both"/>
        <w:rPr>
          <w:sz w:val="24"/>
        </w:rPr>
      </w:pPr>
      <w:r>
        <w:rPr>
          <w:sz w:val="24"/>
        </w:rPr>
        <w:t>Adequate hostel facilities for trainees and residential accommodation for staff should be provided.</w:t>
      </w:r>
    </w:p>
    <w:p>
      <w:pPr>
        <w:pStyle w:val="BodyText"/>
        <w:spacing w:before="4"/>
      </w:pPr>
    </w:p>
    <w:p>
      <w:pPr>
        <w:pStyle w:val="ListParagraph"/>
        <w:numPr>
          <w:ilvl w:val="1"/>
          <w:numId w:val="91"/>
        </w:numPr>
        <w:tabs>
          <w:tab w:pos="572" w:val="left" w:leader="none"/>
        </w:tabs>
        <w:spacing w:line="240" w:lineRule="auto" w:before="0" w:after="0"/>
        <w:ind w:left="160" w:right="498" w:firstLine="0"/>
        <w:jc w:val="both"/>
        <w:rPr>
          <w:sz w:val="24"/>
        </w:rPr>
      </w:pPr>
      <w:r>
        <w:rPr>
          <w:sz w:val="24"/>
        </w:rPr>
        <w:t>Libraries, laboratories, workshops, etc., are very inadequate at present in most institutions, especially at the primary level. These need to be improved. 4.51-53</w:t>
      </w:r>
    </w:p>
    <w:p>
      <w:pPr>
        <w:pStyle w:val="BodyText"/>
        <w:spacing w:before="5"/>
      </w:pPr>
    </w:p>
    <w:p>
      <w:pPr>
        <w:pStyle w:val="ListParagraph"/>
        <w:numPr>
          <w:ilvl w:val="0"/>
          <w:numId w:val="91"/>
        </w:numPr>
        <w:tabs>
          <w:tab w:pos="541" w:val="left" w:leader="none"/>
        </w:tabs>
        <w:spacing w:line="240" w:lineRule="auto" w:before="0" w:after="0"/>
        <w:ind w:left="160" w:right="496" w:firstLine="0"/>
        <w:jc w:val="both"/>
        <w:rPr>
          <w:sz w:val="24"/>
        </w:rPr>
      </w:pPr>
      <w:r>
        <w:rPr>
          <w:sz w:val="24"/>
        </w:rPr>
        <w:t>Other Teachers. Reforms on the above lines should be carried out in the training programmes for other categories of teachers. 4.40</w:t>
      </w:r>
    </w:p>
    <w:p>
      <w:pPr>
        <w:pStyle w:val="BodyText"/>
        <w:spacing w:before="3"/>
      </w:pPr>
    </w:p>
    <w:p>
      <w:pPr>
        <w:pStyle w:val="ListParagraph"/>
        <w:numPr>
          <w:ilvl w:val="0"/>
          <w:numId w:val="90"/>
        </w:numPr>
        <w:tabs>
          <w:tab w:pos="496" w:val="left" w:leader="none"/>
        </w:tabs>
        <w:spacing w:line="240" w:lineRule="auto" w:before="1" w:after="0"/>
        <w:ind w:left="160" w:right="497" w:firstLine="0"/>
        <w:jc w:val="both"/>
        <w:rPr>
          <w:sz w:val="24"/>
        </w:rPr>
      </w:pPr>
      <w:r>
        <w:rPr>
          <w:b/>
          <w:sz w:val="24"/>
        </w:rPr>
        <w:t>Expansion of Training Facilities. </w:t>
      </w:r>
      <w:r>
        <w:rPr>
          <w:sz w:val="24"/>
        </w:rPr>
        <w:t>The training facilities should be expanded on a priority basis. The objective should be to ensure that every teacher in a primary or a secondary school is either already trained at the time of his appointment or receives such training within three year, of his appointment. From this point of view:</w:t>
      </w:r>
    </w:p>
    <w:p>
      <w:pPr>
        <w:pStyle w:val="BodyText"/>
        <w:spacing w:before="3"/>
      </w:pPr>
    </w:p>
    <w:p>
      <w:pPr>
        <w:pStyle w:val="ListParagraph"/>
        <w:numPr>
          <w:ilvl w:val="1"/>
          <w:numId w:val="90"/>
        </w:numPr>
        <w:tabs>
          <w:tab w:pos="514" w:val="left" w:leader="none"/>
        </w:tabs>
        <w:spacing w:line="240" w:lineRule="auto" w:before="0" w:after="0"/>
        <w:ind w:left="160" w:right="496" w:firstLine="0"/>
        <w:jc w:val="both"/>
        <w:rPr>
          <w:sz w:val="24"/>
        </w:rPr>
      </w:pPr>
      <w:r>
        <w:rPr>
          <w:sz w:val="24"/>
        </w:rPr>
        <w:t>each State should prepare a plan for the expansion of training facilities in its area so that the output of trained teachers meets the demand for teachers as well as the needs for in-service education;</w:t>
      </w:r>
    </w:p>
    <w:p>
      <w:pPr>
        <w:pStyle w:val="BodyText"/>
        <w:spacing w:before="4"/>
      </w:pPr>
    </w:p>
    <w:p>
      <w:pPr>
        <w:pStyle w:val="ListParagraph"/>
        <w:numPr>
          <w:ilvl w:val="1"/>
          <w:numId w:val="90"/>
        </w:numPr>
        <w:tabs>
          <w:tab w:pos="526" w:val="left" w:leader="none"/>
        </w:tabs>
        <w:spacing w:line="240" w:lineRule="auto" w:before="0" w:after="0"/>
        <w:ind w:left="160" w:right="498" w:firstLine="0"/>
        <w:jc w:val="both"/>
        <w:rPr>
          <w:sz w:val="24"/>
        </w:rPr>
      </w:pPr>
      <w:r>
        <w:rPr>
          <w:sz w:val="24"/>
        </w:rPr>
        <w:t>part-time facilities and correspondence courses should be provided on a large scale and care should be taken to see that the standards in full-time institutions are not diluted;</w:t>
      </w:r>
    </w:p>
    <w:p>
      <w:pPr>
        <w:pStyle w:val="BodyText"/>
        <w:spacing w:before="5"/>
      </w:pPr>
    </w:p>
    <w:p>
      <w:pPr>
        <w:pStyle w:val="ListParagraph"/>
        <w:numPr>
          <w:ilvl w:val="1"/>
          <w:numId w:val="90"/>
        </w:numPr>
        <w:tabs>
          <w:tab w:pos="506" w:val="left" w:leader="none"/>
        </w:tabs>
        <w:spacing w:line="240" w:lineRule="auto" w:before="0" w:after="0"/>
        <w:ind w:left="160" w:right="498" w:firstLine="0"/>
        <w:jc w:val="both"/>
        <w:rPr>
          <w:sz w:val="24"/>
        </w:rPr>
      </w:pPr>
      <w:r>
        <w:rPr>
          <w:sz w:val="24"/>
        </w:rPr>
        <w:t>the backlog of untrained teachers should be cleared at an early date through measures of the type recommended in the Report;</w:t>
      </w:r>
    </w:p>
    <w:p>
      <w:pPr>
        <w:pStyle w:val="BodyText"/>
        <w:spacing w:before="3"/>
      </w:pPr>
    </w:p>
    <w:p>
      <w:pPr>
        <w:pStyle w:val="ListParagraph"/>
        <w:numPr>
          <w:ilvl w:val="1"/>
          <w:numId w:val="90"/>
        </w:numPr>
        <w:tabs>
          <w:tab w:pos="538" w:val="left" w:leader="none"/>
        </w:tabs>
        <w:spacing w:line="240" w:lineRule="auto" w:before="1" w:after="0"/>
        <w:ind w:left="160" w:right="500" w:firstLine="0"/>
        <w:jc w:val="both"/>
        <w:rPr>
          <w:sz w:val="24"/>
        </w:rPr>
      </w:pPr>
      <w:r>
        <w:rPr>
          <w:sz w:val="24"/>
        </w:rPr>
        <w:t>the size of the institutions should be fairly large and they should be located on a planned basis. 4.54</w:t>
      </w:r>
    </w:p>
    <w:p>
      <w:pPr>
        <w:pStyle w:val="BodyText"/>
        <w:spacing w:before="3"/>
      </w:pPr>
    </w:p>
    <w:p>
      <w:pPr>
        <w:pStyle w:val="ListParagraph"/>
        <w:numPr>
          <w:ilvl w:val="0"/>
          <w:numId w:val="90"/>
        </w:numPr>
        <w:tabs>
          <w:tab w:pos="545" w:val="left" w:leader="none"/>
        </w:tabs>
        <w:spacing w:line="240" w:lineRule="auto" w:before="0" w:after="0"/>
        <w:ind w:left="160" w:right="496" w:firstLine="0"/>
        <w:jc w:val="both"/>
        <w:rPr>
          <w:sz w:val="24"/>
        </w:rPr>
      </w:pPr>
      <w:r>
        <w:rPr>
          <w:b/>
          <w:sz w:val="24"/>
        </w:rPr>
        <w:t>In-Service Education of School Teachers. </w:t>
      </w:r>
      <w:r>
        <w:rPr>
          <w:sz w:val="24"/>
        </w:rPr>
        <w:t>(1) A large-scale and coordinated programme of in-service education for teachers should be organized by universities, training</w:t>
      </w:r>
      <w:r>
        <w:rPr>
          <w:spacing w:val="-1"/>
          <w:sz w:val="24"/>
        </w:rPr>
        <w:t> </w:t>
      </w:r>
      <w:r>
        <w:rPr>
          <w:sz w:val="24"/>
        </w:rPr>
        <w:t>institutions</w:t>
      </w:r>
      <w:r>
        <w:rPr>
          <w:spacing w:val="-2"/>
          <w:sz w:val="24"/>
        </w:rPr>
        <w:t> </w:t>
      </w:r>
      <w:r>
        <w:rPr>
          <w:sz w:val="24"/>
        </w:rPr>
        <w:t>and</w:t>
      </w:r>
      <w:r>
        <w:rPr>
          <w:spacing w:val="-3"/>
          <w:sz w:val="24"/>
        </w:rPr>
        <w:t> </w:t>
      </w:r>
      <w:r>
        <w:rPr>
          <w:sz w:val="24"/>
        </w:rPr>
        <w:t>teachers</w:t>
      </w:r>
      <w:r>
        <w:rPr>
          <w:spacing w:val="-1"/>
          <w:sz w:val="24"/>
        </w:rPr>
        <w:t> </w:t>
      </w:r>
      <w:r>
        <w:rPr>
          <w:sz w:val="24"/>
        </w:rPr>
        <w:t>organizations</w:t>
      </w:r>
      <w:r>
        <w:rPr>
          <w:spacing w:val="-1"/>
          <w:sz w:val="24"/>
        </w:rPr>
        <w:t> </w:t>
      </w:r>
      <w:r>
        <w:rPr>
          <w:sz w:val="24"/>
        </w:rPr>
        <w:t>for</w:t>
      </w:r>
      <w:r>
        <w:rPr>
          <w:spacing w:val="-1"/>
          <w:sz w:val="24"/>
        </w:rPr>
        <w:t> </w:t>
      </w:r>
      <w:r>
        <w:rPr>
          <w:sz w:val="24"/>
        </w:rPr>
        <w:t>teachers</w:t>
      </w:r>
      <w:r>
        <w:rPr>
          <w:spacing w:val="-2"/>
          <w:sz w:val="24"/>
        </w:rPr>
        <w:t> </w:t>
      </w:r>
      <w:r>
        <w:rPr>
          <w:sz w:val="24"/>
        </w:rPr>
        <w:t>at</w:t>
      </w:r>
      <w:r>
        <w:rPr>
          <w:spacing w:val="-1"/>
          <w:sz w:val="24"/>
        </w:rPr>
        <w:t> </w:t>
      </w:r>
      <w:r>
        <w:rPr>
          <w:sz w:val="24"/>
        </w:rPr>
        <w:t>all</w:t>
      </w:r>
      <w:r>
        <w:rPr>
          <w:spacing w:val="-1"/>
          <w:sz w:val="24"/>
        </w:rPr>
        <w:t> </w:t>
      </w:r>
      <w:r>
        <w:rPr>
          <w:sz w:val="24"/>
        </w:rPr>
        <w:t>levels.</w:t>
      </w:r>
      <w:r>
        <w:rPr>
          <w:spacing w:val="-1"/>
          <w:sz w:val="24"/>
        </w:rPr>
        <w:t> </w:t>
      </w:r>
      <w:r>
        <w:rPr>
          <w:sz w:val="24"/>
        </w:rPr>
        <w:t>The</w:t>
      </w:r>
      <w:r>
        <w:rPr>
          <w:spacing w:val="-1"/>
          <w:sz w:val="24"/>
        </w:rPr>
        <w:t> </w:t>
      </w:r>
      <w:r>
        <w:rPr>
          <w:sz w:val="24"/>
        </w:rPr>
        <w:t>target</w:t>
      </w:r>
      <w:r>
        <w:rPr>
          <w:spacing w:val="-1"/>
          <w:sz w:val="24"/>
        </w:rPr>
        <w:t> </w:t>
      </w:r>
      <w:r>
        <w:rPr>
          <w:sz w:val="24"/>
        </w:rPr>
        <w:t>should be that every teacher receives at least two or three months in-service education in every five years of his service.</w:t>
      </w:r>
    </w:p>
    <w:p>
      <w:pPr>
        <w:pStyle w:val="BodyText"/>
        <w:spacing w:before="5"/>
      </w:pPr>
    </w:p>
    <w:p>
      <w:pPr>
        <w:pStyle w:val="BodyText"/>
        <w:ind w:left="160" w:right="497" w:firstLine="60"/>
        <w:jc w:val="both"/>
      </w:pPr>
      <w:r>
        <w:rPr/>
        <w:t>(2) The programme of summer institutes for the in-service training of secondary school teachers should be extended, with systematic follow-up and active collaboration among the agencies concerned. 4.55-57</w:t>
      </w:r>
    </w:p>
    <w:p>
      <w:pPr>
        <w:pStyle w:val="BodyText"/>
        <w:spacing w:before="4"/>
      </w:pPr>
    </w:p>
    <w:p>
      <w:pPr>
        <w:pStyle w:val="ListParagraph"/>
        <w:numPr>
          <w:ilvl w:val="0"/>
          <w:numId w:val="90"/>
        </w:numPr>
        <w:tabs>
          <w:tab w:pos="460" w:val="left" w:leader="none"/>
        </w:tabs>
        <w:spacing w:line="240" w:lineRule="auto" w:before="0" w:after="0"/>
        <w:ind w:left="160" w:right="497" w:firstLine="0"/>
        <w:jc w:val="both"/>
        <w:rPr>
          <w:sz w:val="24"/>
        </w:rPr>
      </w:pPr>
      <w:r>
        <w:rPr>
          <w:b/>
          <w:sz w:val="24"/>
        </w:rPr>
        <w:t>Professional</w:t>
      </w:r>
      <w:r>
        <w:rPr>
          <w:b/>
          <w:spacing w:val="-4"/>
          <w:sz w:val="24"/>
        </w:rPr>
        <w:t> </w:t>
      </w:r>
      <w:r>
        <w:rPr>
          <w:b/>
          <w:sz w:val="24"/>
        </w:rPr>
        <w:t>Preparation</w:t>
      </w:r>
      <w:r>
        <w:rPr>
          <w:b/>
          <w:spacing w:val="-4"/>
          <w:sz w:val="24"/>
        </w:rPr>
        <w:t> </w:t>
      </w:r>
      <w:r>
        <w:rPr>
          <w:b/>
          <w:sz w:val="24"/>
        </w:rPr>
        <w:t>or</w:t>
      </w:r>
      <w:r>
        <w:rPr>
          <w:b/>
          <w:spacing w:val="-4"/>
          <w:sz w:val="24"/>
        </w:rPr>
        <w:t> </w:t>
      </w:r>
      <w:r>
        <w:rPr>
          <w:b/>
          <w:sz w:val="24"/>
        </w:rPr>
        <w:t>Teachers</w:t>
      </w:r>
      <w:r>
        <w:rPr>
          <w:b/>
          <w:spacing w:val="-4"/>
          <w:sz w:val="24"/>
        </w:rPr>
        <w:t> </w:t>
      </w:r>
      <w:r>
        <w:rPr>
          <w:b/>
          <w:sz w:val="24"/>
        </w:rPr>
        <w:t>in</w:t>
      </w:r>
      <w:r>
        <w:rPr>
          <w:b/>
          <w:spacing w:val="-4"/>
          <w:sz w:val="24"/>
        </w:rPr>
        <w:t> </w:t>
      </w:r>
      <w:r>
        <w:rPr>
          <w:b/>
          <w:sz w:val="24"/>
        </w:rPr>
        <w:t>Higher</w:t>
      </w:r>
      <w:r>
        <w:rPr>
          <w:b/>
          <w:spacing w:val="-4"/>
          <w:sz w:val="24"/>
        </w:rPr>
        <w:t> </w:t>
      </w:r>
      <w:r>
        <w:rPr>
          <w:b/>
          <w:sz w:val="24"/>
        </w:rPr>
        <w:t>Education.</w:t>
      </w:r>
      <w:r>
        <w:rPr>
          <w:b/>
          <w:spacing w:val="-4"/>
          <w:sz w:val="24"/>
        </w:rPr>
        <w:t> </w:t>
      </w:r>
      <w:r>
        <w:rPr>
          <w:sz w:val="24"/>
        </w:rPr>
        <w:t>(1)</w:t>
      </w:r>
      <w:r>
        <w:rPr>
          <w:spacing w:val="-4"/>
          <w:sz w:val="24"/>
        </w:rPr>
        <w:t> </w:t>
      </w:r>
      <w:r>
        <w:rPr>
          <w:sz w:val="24"/>
        </w:rPr>
        <w:t>Some</w:t>
      </w:r>
      <w:r>
        <w:rPr>
          <w:spacing w:val="-4"/>
          <w:sz w:val="24"/>
        </w:rPr>
        <w:t> </w:t>
      </w:r>
      <w:r>
        <w:rPr>
          <w:sz w:val="24"/>
        </w:rPr>
        <w:t>orientation</w:t>
      </w:r>
      <w:r>
        <w:rPr>
          <w:spacing w:val="-4"/>
          <w:sz w:val="24"/>
        </w:rPr>
        <w:t> </w:t>
      </w:r>
      <w:r>
        <w:rPr>
          <w:sz w:val="24"/>
        </w:rPr>
        <w:t>to professional education is necessary for junior lecturers in higher education and suitable arrangements should be made for the purpose.</w:t>
      </w:r>
    </w:p>
    <w:p>
      <w:pPr>
        <w:pStyle w:val="BodyText"/>
        <w:spacing w:before="3"/>
      </w:pPr>
    </w:p>
    <w:p>
      <w:pPr>
        <w:pStyle w:val="ListParagraph"/>
        <w:numPr>
          <w:ilvl w:val="0"/>
          <w:numId w:val="94"/>
        </w:numPr>
        <w:tabs>
          <w:tab w:pos="500" w:val="left" w:leader="none"/>
        </w:tabs>
        <w:spacing w:line="240" w:lineRule="auto" w:before="1" w:after="0"/>
        <w:ind w:left="160" w:right="495" w:firstLine="0"/>
        <w:jc w:val="both"/>
        <w:rPr>
          <w:sz w:val="24"/>
        </w:rPr>
      </w:pPr>
      <w:r>
        <w:rPr>
          <w:sz w:val="24"/>
        </w:rPr>
        <w:t>Newly</w:t>
      </w:r>
      <w:r>
        <w:rPr>
          <w:spacing w:val="-3"/>
          <w:sz w:val="24"/>
        </w:rPr>
        <w:t> </w:t>
      </w:r>
      <w:r>
        <w:rPr>
          <w:sz w:val="24"/>
        </w:rPr>
        <w:t>appointed</w:t>
      </w:r>
      <w:r>
        <w:rPr>
          <w:spacing w:val="-4"/>
          <w:sz w:val="24"/>
        </w:rPr>
        <w:t> </w:t>
      </w:r>
      <w:r>
        <w:rPr>
          <w:sz w:val="24"/>
        </w:rPr>
        <w:t>lecturers</w:t>
      </w:r>
      <w:r>
        <w:rPr>
          <w:spacing w:val="-3"/>
          <w:sz w:val="24"/>
        </w:rPr>
        <w:t> </w:t>
      </w:r>
      <w:r>
        <w:rPr>
          <w:sz w:val="24"/>
        </w:rPr>
        <w:t>should</w:t>
      </w:r>
      <w:r>
        <w:rPr>
          <w:spacing w:val="-3"/>
          <w:sz w:val="24"/>
        </w:rPr>
        <w:t> </w:t>
      </w:r>
      <w:r>
        <w:rPr>
          <w:sz w:val="24"/>
        </w:rPr>
        <w:t>be</w:t>
      </w:r>
      <w:r>
        <w:rPr>
          <w:spacing w:val="-3"/>
          <w:sz w:val="24"/>
        </w:rPr>
        <w:t> </w:t>
      </w:r>
      <w:r>
        <w:rPr>
          <w:sz w:val="24"/>
        </w:rPr>
        <w:t>given</w:t>
      </w:r>
      <w:r>
        <w:rPr>
          <w:spacing w:val="-3"/>
          <w:sz w:val="24"/>
        </w:rPr>
        <w:t> </w:t>
      </w:r>
      <w:r>
        <w:rPr>
          <w:sz w:val="24"/>
        </w:rPr>
        <w:t>some</w:t>
      </w:r>
      <w:r>
        <w:rPr>
          <w:spacing w:val="-3"/>
          <w:sz w:val="24"/>
        </w:rPr>
        <w:t> </w:t>
      </w:r>
      <w:r>
        <w:rPr>
          <w:sz w:val="24"/>
        </w:rPr>
        <w:t>time</w:t>
      </w:r>
      <w:r>
        <w:rPr>
          <w:spacing w:val="-3"/>
          <w:sz w:val="24"/>
        </w:rPr>
        <w:t> </w:t>
      </w:r>
      <w:r>
        <w:rPr>
          <w:sz w:val="24"/>
        </w:rPr>
        <w:t>to</w:t>
      </w:r>
      <w:r>
        <w:rPr>
          <w:spacing w:val="-3"/>
          <w:sz w:val="24"/>
        </w:rPr>
        <w:t> </w:t>
      </w:r>
      <w:r>
        <w:rPr>
          <w:sz w:val="24"/>
        </w:rPr>
        <w:t>acclimatize</w:t>
      </w:r>
      <w:r>
        <w:rPr>
          <w:spacing w:val="-3"/>
          <w:sz w:val="24"/>
        </w:rPr>
        <w:t> </w:t>
      </w:r>
      <w:r>
        <w:rPr>
          <w:sz w:val="24"/>
        </w:rPr>
        <w:t>themselves</w:t>
      </w:r>
      <w:r>
        <w:rPr>
          <w:spacing w:val="-3"/>
          <w:sz w:val="24"/>
        </w:rPr>
        <w:t> </w:t>
      </w:r>
      <w:r>
        <w:rPr>
          <w:sz w:val="24"/>
        </w:rPr>
        <w:t>to</w:t>
      </w:r>
      <w:r>
        <w:rPr>
          <w:spacing w:val="-3"/>
          <w:sz w:val="24"/>
        </w:rPr>
        <w:t> </w:t>
      </w:r>
      <w:r>
        <w:rPr>
          <w:sz w:val="24"/>
        </w:rPr>
        <w:t>the institution and should be encouraged to attend lectures of good teachers.</w:t>
      </w:r>
    </w:p>
    <w:p>
      <w:pPr>
        <w:pStyle w:val="BodyText"/>
        <w:spacing w:before="3"/>
      </w:pPr>
    </w:p>
    <w:p>
      <w:pPr>
        <w:pStyle w:val="ListParagraph"/>
        <w:numPr>
          <w:ilvl w:val="0"/>
          <w:numId w:val="94"/>
        </w:numPr>
        <w:tabs>
          <w:tab w:pos="503" w:val="left" w:leader="none"/>
        </w:tabs>
        <w:spacing w:line="240" w:lineRule="auto" w:before="0" w:after="0"/>
        <w:ind w:left="160" w:right="498" w:firstLine="0"/>
        <w:jc w:val="both"/>
        <w:rPr>
          <w:sz w:val="24"/>
        </w:rPr>
      </w:pPr>
      <w:r>
        <w:rPr>
          <w:sz w:val="24"/>
        </w:rPr>
        <w:t>Regular orientation courses for new staff should be organized in every university and, where possible, in every college.</w:t>
      </w:r>
    </w:p>
    <w:p>
      <w:pPr>
        <w:spacing w:after="0" w:line="240" w:lineRule="auto"/>
        <w:jc w:val="both"/>
        <w:rPr>
          <w:sz w:val="24"/>
        </w:rPr>
        <w:sectPr>
          <w:pgSz w:w="12240" w:h="15840"/>
          <w:pgMar w:header="0" w:footer="743" w:top="1360" w:bottom="940" w:left="1640" w:right="1300"/>
        </w:sectPr>
      </w:pPr>
    </w:p>
    <w:p>
      <w:pPr>
        <w:pStyle w:val="ListParagraph"/>
        <w:numPr>
          <w:ilvl w:val="0"/>
          <w:numId w:val="94"/>
        </w:numPr>
        <w:tabs>
          <w:tab w:pos="508" w:val="left" w:leader="none"/>
        </w:tabs>
        <w:spacing w:line="240" w:lineRule="auto" w:before="76" w:after="0"/>
        <w:ind w:left="160" w:right="498" w:firstLine="0"/>
        <w:jc w:val="both"/>
        <w:rPr>
          <w:sz w:val="24"/>
        </w:rPr>
      </w:pPr>
      <w:r>
        <w:rPr>
          <w:sz w:val="24"/>
        </w:rPr>
        <w:t>In the bigger universities, or groups of universities, these courses may be placed on a permanent basis by establishing a staff college. 4.58-62</w:t>
      </w:r>
    </w:p>
    <w:p>
      <w:pPr>
        <w:pStyle w:val="BodyText"/>
        <w:spacing w:before="4"/>
      </w:pPr>
    </w:p>
    <w:p>
      <w:pPr>
        <w:pStyle w:val="ListParagraph"/>
        <w:numPr>
          <w:ilvl w:val="0"/>
          <w:numId w:val="90"/>
        </w:numPr>
        <w:tabs>
          <w:tab w:pos="467" w:val="left" w:leader="none"/>
        </w:tabs>
        <w:spacing w:line="240" w:lineRule="auto" w:before="0" w:after="0"/>
        <w:ind w:left="160" w:right="496" w:firstLine="0"/>
        <w:jc w:val="both"/>
        <w:rPr>
          <w:sz w:val="24"/>
        </w:rPr>
      </w:pPr>
      <w:r>
        <w:rPr>
          <w:b/>
          <w:sz w:val="24"/>
        </w:rPr>
        <w:t>Standards in Teacher Education. </w:t>
      </w:r>
      <w:r>
        <w:rPr>
          <w:sz w:val="24"/>
        </w:rPr>
        <w:t>(1) At the national level, the UGC should take the responsibility for the maintenance of standards in teacher education. The State Boards of Teacher Education should be responsible for the raising of standards at the State level.</w:t>
      </w:r>
    </w:p>
    <w:p>
      <w:pPr>
        <w:pStyle w:val="BodyText"/>
        <w:spacing w:before="5"/>
      </w:pPr>
    </w:p>
    <w:p>
      <w:pPr>
        <w:pStyle w:val="ListParagraph"/>
        <w:numPr>
          <w:ilvl w:val="0"/>
          <w:numId w:val="95"/>
        </w:numPr>
        <w:tabs>
          <w:tab w:pos="513" w:val="left" w:leader="none"/>
        </w:tabs>
        <w:spacing w:line="240" w:lineRule="auto" w:before="0" w:after="0"/>
        <w:ind w:left="160" w:right="497" w:firstLine="0"/>
        <w:jc w:val="both"/>
        <w:rPr>
          <w:sz w:val="24"/>
        </w:rPr>
      </w:pPr>
      <w:r>
        <w:rPr>
          <w:sz w:val="24"/>
        </w:rPr>
        <w:t>A substantial allocation of funds should be made available to the UGC in the Fourth Five Year Plan for improvement in teacher education in the universities.</w:t>
      </w:r>
    </w:p>
    <w:p>
      <w:pPr>
        <w:pStyle w:val="BodyText"/>
        <w:spacing w:before="3"/>
      </w:pPr>
    </w:p>
    <w:p>
      <w:pPr>
        <w:pStyle w:val="ListParagraph"/>
        <w:numPr>
          <w:ilvl w:val="0"/>
          <w:numId w:val="95"/>
        </w:numPr>
        <w:tabs>
          <w:tab w:pos="581" w:val="left" w:leader="none"/>
        </w:tabs>
        <w:spacing w:line="240" w:lineRule="auto" w:before="1" w:after="0"/>
        <w:ind w:left="159" w:right="496" w:firstLine="0"/>
        <w:jc w:val="both"/>
        <w:rPr>
          <w:sz w:val="24"/>
        </w:rPr>
      </w:pPr>
      <w:r>
        <w:rPr>
          <w:sz w:val="24"/>
        </w:rPr>
        <w:t>The UGC should set up a joint standing committee for teacher education in collaboration with the NCERT. It should consist of competent persons from the profession and should be responsible for the maintenance of standards in teacher </w:t>
      </w:r>
      <w:r>
        <w:rPr>
          <w:spacing w:val="-2"/>
          <w:sz w:val="24"/>
        </w:rPr>
        <w:t>education.</w:t>
      </w:r>
    </w:p>
    <w:p>
      <w:pPr>
        <w:pStyle w:val="BodyText"/>
        <w:spacing w:before="3"/>
      </w:pPr>
    </w:p>
    <w:p>
      <w:pPr>
        <w:pStyle w:val="ListParagraph"/>
        <w:numPr>
          <w:ilvl w:val="0"/>
          <w:numId w:val="95"/>
        </w:numPr>
        <w:tabs>
          <w:tab w:pos="511" w:val="left" w:leader="none"/>
        </w:tabs>
        <w:spacing w:line="240" w:lineRule="auto" w:before="0" w:after="0"/>
        <w:ind w:left="159" w:right="497" w:firstLine="0"/>
        <w:jc w:val="both"/>
        <w:rPr>
          <w:sz w:val="24"/>
        </w:rPr>
      </w:pPr>
      <w:r>
        <w:rPr>
          <w:sz w:val="24"/>
        </w:rPr>
        <w:t>The Government of India should make provision of funds in the Centrally </w:t>
      </w:r>
      <w:r>
        <w:rPr>
          <w:sz w:val="24"/>
        </w:rPr>
        <w:t>sponsored sector to assist State Governments to develop teacher education which is now outside the universities. 4.63-66</w:t>
      </w:r>
    </w:p>
    <w:p>
      <w:pPr>
        <w:spacing w:after="0" w:line="240" w:lineRule="auto"/>
        <w:jc w:val="both"/>
        <w:rPr>
          <w:sz w:val="24"/>
        </w:rPr>
        <w:sectPr>
          <w:pgSz w:w="12240" w:h="15840"/>
          <w:pgMar w:header="0" w:footer="743" w:top="1360" w:bottom="940" w:left="1640" w:right="1300"/>
        </w:sectPr>
      </w:pPr>
    </w:p>
    <w:p>
      <w:pPr>
        <w:pStyle w:val="Heading1"/>
        <w:spacing w:line="480" w:lineRule="auto" w:before="79"/>
        <w:ind w:left="2634" w:right="2563" w:firstLine="1142"/>
        <w:jc w:val="left"/>
      </w:pPr>
      <w:r>
        <w:rPr/>
        <w:t>CHAPTER V ENROLMENT</w:t>
      </w:r>
      <w:r>
        <w:rPr>
          <w:spacing w:val="-15"/>
        </w:rPr>
        <w:t> </w:t>
      </w:r>
      <w:r>
        <w:rPr/>
        <w:t>AND</w:t>
      </w:r>
      <w:r>
        <w:rPr>
          <w:spacing w:val="-15"/>
        </w:rPr>
        <w:t> </w:t>
      </w:r>
      <w:r>
        <w:rPr/>
        <w:t>MANPOWER</w:t>
      </w:r>
    </w:p>
    <w:p>
      <w:pPr>
        <w:pStyle w:val="BodyText"/>
        <w:spacing w:before="2"/>
        <w:rPr>
          <w:b/>
        </w:rPr>
      </w:pPr>
    </w:p>
    <w:p>
      <w:pPr>
        <w:pStyle w:val="ListParagraph"/>
        <w:numPr>
          <w:ilvl w:val="1"/>
          <w:numId w:val="96"/>
        </w:numPr>
        <w:tabs>
          <w:tab w:pos="738" w:val="left" w:leader="none"/>
        </w:tabs>
        <w:spacing w:line="240" w:lineRule="auto" w:before="0" w:after="0"/>
        <w:ind w:left="159" w:right="496" w:firstLine="0"/>
        <w:jc w:val="both"/>
        <w:rPr>
          <w:b/>
          <w:sz w:val="24"/>
        </w:rPr>
      </w:pPr>
      <w:r>
        <w:rPr>
          <w:b/>
          <w:sz w:val="24"/>
        </w:rPr>
        <w:t>A National Enrolment Policy. </w:t>
      </w:r>
      <w:r>
        <w:rPr>
          <w:sz w:val="24"/>
        </w:rPr>
        <w:t>One of the major programmes in national reconstruction is the development of our human resources, and in this there can be no limit to the education to be provided. But in any given society and at a given time, the decisions regarding the type, quantity and quality of educational facilities depend partly upon the resources available and partly upon the social and political philosophy of the people. Poor and traditional societies are unable to develop even a programme of universal primary education. But rich and industrialized societies provide universal secondary education and expanding and broad-based programmes of higher and adult education. Feudal and aristocratic societies emphasize education for a few. But democratic and socialistic societies emphasize mass education and equalization of educational opportunities. The principal problem to be faced in the development of</w:t>
      </w:r>
      <w:r>
        <w:rPr>
          <w:spacing w:val="40"/>
          <w:sz w:val="24"/>
        </w:rPr>
        <w:t> </w:t>
      </w:r>
      <w:r>
        <w:rPr>
          <w:sz w:val="24"/>
        </w:rPr>
        <w:t>human resources, therefore, is precisely this: How can available resources be best deployed to secure the most beneficial form of educational development? How much education, of what type or level of quality, should society strive to provide and for</w:t>
      </w:r>
      <w:r>
        <w:rPr>
          <w:spacing w:val="40"/>
          <w:sz w:val="24"/>
        </w:rPr>
        <w:t> </w:t>
      </w:r>
      <w:r>
        <w:rPr>
          <w:spacing w:val="-2"/>
          <w:sz w:val="24"/>
        </w:rPr>
        <w:t>whom?</w:t>
      </w:r>
    </w:p>
    <w:p>
      <w:pPr>
        <w:pStyle w:val="BodyText"/>
        <w:spacing w:before="3"/>
      </w:pPr>
    </w:p>
    <w:p>
      <w:pPr>
        <w:pStyle w:val="ListParagraph"/>
        <w:numPr>
          <w:ilvl w:val="1"/>
          <w:numId w:val="96"/>
        </w:numPr>
        <w:tabs>
          <w:tab w:pos="645" w:val="left" w:leader="none"/>
        </w:tabs>
        <w:spacing w:line="240" w:lineRule="auto" w:before="0" w:after="0"/>
        <w:ind w:left="160" w:right="497" w:firstLine="0"/>
        <w:jc w:val="both"/>
        <w:rPr>
          <w:sz w:val="24"/>
        </w:rPr>
      </w:pPr>
      <w:r>
        <w:rPr>
          <w:sz w:val="24"/>
        </w:rPr>
        <w:t>India has committed herself to the creation of a democratic and socialistic pattern of society. The fundamental principles that should guide the provision of facilities at the different stages and sectors of education, therefore, may be stated as follows:</w:t>
      </w:r>
    </w:p>
    <w:p>
      <w:pPr>
        <w:pStyle w:val="BodyText"/>
        <w:spacing w:before="5"/>
      </w:pPr>
    </w:p>
    <w:p>
      <w:pPr>
        <w:pStyle w:val="ListParagraph"/>
        <w:numPr>
          <w:ilvl w:val="0"/>
          <w:numId w:val="97"/>
        </w:numPr>
        <w:tabs>
          <w:tab w:pos="329" w:val="left" w:leader="none"/>
        </w:tabs>
        <w:spacing w:line="240" w:lineRule="auto" w:before="0" w:after="0"/>
        <w:ind w:left="160" w:right="497" w:firstLine="0"/>
        <w:jc w:val="both"/>
        <w:rPr>
          <w:sz w:val="24"/>
        </w:rPr>
      </w:pPr>
      <w:r>
        <w:rPr>
          <w:sz w:val="24"/>
        </w:rPr>
        <w:t>to provide effective general education of not less than seven years' duration to every child, on a free and compulsory basis, and to expand lower secondary education on as large a scale as possible;</w:t>
      </w:r>
    </w:p>
    <w:p>
      <w:pPr>
        <w:pStyle w:val="BodyText"/>
        <w:spacing w:before="4"/>
      </w:pPr>
    </w:p>
    <w:p>
      <w:pPr>
        <w:pStyle w:val="ListParagraph"/>
        <w:numPr>
          <w:ilvl w:val="0"/>
          <w:numId w:val="97"/>
        </w:numPr>
        <w:tabs>
          <w:tab w:pos="345" w:val="left" w:leader="none"/>
        </w:tabs>
        <w:spacing w:line="240" w:lineRule="auto" w:before="0" w:after="0"/>
        <w:ind w:left="160" w:right="497" w:firstLine="0"/>
        <w:jc w:val="both"/>
        <w:rPr>
          <w:sz w:val="24"/>
        </w:rPr>
      </w:pPr>
      <w:r>
        <w:rPr>
          <w:sz w:val="24"/>
        </w:rPr>
        <w:t>to provide higher secondary and university education to those who are willing and qualified to receive such education, consistent with the demands for trained manpower and the need to maintain essential standards; and to provide adequate financial assistance to those who are economically handicapped;</w:t>
      </w:r>
    </w:p>
    <w:p>
      <w:pPr>
        <w:pStyle w:val="BodyText"/>
        <w:spacing w:before="3"/>
      </w:pPr>
    </w:p>
    <w:p>
      <w:pPr>
        <w:pStyle w:val="ListParagraph"/>
        <w:numPr>
          <w:ilvl w:val="0"/>
          <w:numId w:val="97"/>
        </w:numPr>
        <w:tabs>
          <w:tab w:pos="320" w:val="left" w:leader="none"/>
        </w:tabs>
        <w:spacing w:line="240" w:lineRule="auto" w:before="0" w:after="0"/>
        <w:ind w:left="160" w:right="497" w:firstLine="0"/>
        <w:jc w:val="both"/>
        <w:rPr>
          <w:sz w:val="24"/>
        </w:rPr>
      </w:pPr>
      <w:r>
        <w:rPr>
          <w:sz w:val="24"/>
        </w:rPr>
        <w:t>to emphasize the development of professional, technical and vocational education and</w:t>
      </w:r>
      <w:r>
        <w:rPr>
          <w:spacing w:val="40"/>
          <w:sz w:val="24"/>
        </w:rPr>
        <w:t> </w:t>
      </w:r>
      <w:r>
        <w:rPr>
          <w:sz w:val="24"/>
        </w:rPr>
        <w:t>to prepare skilled personnel needed for the development of agriculture and industry;</w:t>
      </w:r>
    </w:p>
    <w:p>
      <w:pPr>
        <w:pStyle w:val="BodyText"/>
        <w:spacing w:before="5"/>
      </w:pPr>
    </w:p>
    <w:p>
      <w:pPr>
        <w:pStyle w:val="ListParagraph"/>
        <w:numPr>
          <w:ilvl w:val="0"/>
          <w:numId w:val="97"/>
        </w:numPr>
        <w:tabs>
          <w:tab w:pos="299" w:val="left" w:leader="none"/>
        </w:tabs>
        <w:spacing w:line="240" w:lineRule="auto" w:before="0" w:after="0"/>
        <w:ind w:left="299" w:right="0" w:hanging="139"/>
        <w:jc w:val="both"/>
        <w:rPr>
          <w:sz w:val="24"/>
        </w:rPr>
      </w:pPr>
      <w:r>
        <w:rPr>
          <w:sz w:val="24"/>
        </w:rPr>
        <w:t>to</w:t>
      </w:r>
      <w:r>
        <w:rPr>
          <w:spacing w:val="-1"/>
          <w:sz w:val="24"/>
        </w:rPr>
        <w:t> </w:t>
      </w:r>
      <w:r>
        <w:rPr>
          <w:sz w:val="24"/>
        </w:rPr>
        <w:t>identify talent</w:t>
      </w:r>
      <w:r>
        <w:rPr>
          <w:spacing w:val="-1"/>
          <w:sz w:val="24"/>
        </w:rPr>
        <w:t> </w:t>
      </w:r>
      <w:r>
        <w:rPr>
          <w:sz w:val="24"/>
        </w:rPr>
        <w:t>and to</w:t>
      </w:r>
      <w:r>
        <w:rPr>
          <w:spacing w:val="-3"/>
          <w:sz w:val="24"/>
        </w:rPr>
        <w:t> </w:t>
      </w:r>
      <w:r>
        <w:rPr>
          <w:sz w:val="24"/>
        </w:rPr>
        <w:t>help it grow</w:t>
      </w:r>
      <w:r>
        <w:rPr>
          <w:spacing w:val="-2"/>
          <w:sz w:val="24"/>
        </w:rPr>
        <w:t> </w:t>
      </w:r>
      <w:r>
        <w:rPr>
          <w:sz w:val="24"/>
        </w:rPr>
        <w:t>to</w:t>
      </w:r>
      <w:r>
        <w:rPr>
          <w:spacing w:val="-1"/>
          <w:sz w:val="24"/>
        </w:rPr>
        <w:t> </w:t>
      </w:r>
      <w:r>
        <w:rPr>
          <w:sz w:val="24"/>
        </w:rPr>
        <w:t>its full </w:t>
      </w:r>
      <w:r>
        <w:rPr>
          <w:spacing w:val="-2"/>
          <w:sz w:val="24"/>
        </w:rPr>
        <w:t>potential;</w:t>
      </w:r>
    </w:p>
    <w:p>
      <w:pPr>
        <w:pStyle w:val="BodyText"/>
        <w:spacing w:before="4"/>
      </w:pPr>
    </w:p>
    <w:p>
      <w:pPr>
        <w:pStyle w:val="ListParagraph"/>
        <w:numPr>
          <w:ilvl w:val="0"/>
          <w:numId w:val="97"/>
        </w:numPr>
        <w:tabs>
          <w:tab w:pos="371" w:val="left" w:leader="none"/>
        </w:tabs>
        <w:spacing w:line="240" w:lineRule="auto" w:before="0" w:after="0"/>
        <w:ind w:left="160" w:right="496" w:firstLine="0"/>
        <w:jc w:val="both"/>
        <w:rPr>
          <w:sz w:val="24"/>
        </w:rPr>
      </w:pPr>
      <w:r>
        <w:rPr>
          <w:sz w:val="24"/>
        </w:rPr>
        <w:t>to liquidate mass illiteracy and to provide an adequate programme of adult and continuing education; and</w:t>
      </w:r>
    </w:p>
    <w:p>
      <w:pPr>
        <w:pStyle w:val="BodyText"/>
        <w:spacing w:before="3"/>
      </w:pPr>
    </w:p>
    <w:p>
      <w:pPr>
        <w:pStyle w:val="ListParagraph"/>
        <w:numPr>
          <w:ilvl w:val="0"/>
          <w:numId w:val="97"/>
        </w:numPr>
        <w:tabs>
          <w:tab w:pos="389" w:val="left" w:leader="none"/>
        </w:tabs>
        <w:spacing w:line="240" w:lineRule="auto" w:before="1" w:after="0"/>
        <w:ind w:left="160" w:right="498" w:firstLine="0"/>
        <w:jc w:val="both"/>
        <w:rPr>
          <w:sz w:val="24"/>
        </w:rPr>
      </w:pPr>
      <w:r>
        <w:rPr>
          <w:sz w:val="24"/>
        </w:rPr>
        <w:t>to strive continuously to equalize educational opportunities, beginning with the elimination of at least some of the more glaring inequalities.</w:t>
      </w:r>
    </w:p>
    <w:p>
      <w:pPr>
        <w:pStyle w:val="BodyText"/>
        <w:spacing w:before="4"/>
      </w:pPr>
    </w:p>
    <w:p>
      <w:pPr>
        <w:pStyle w:val="BodyText"/>
        <w:ind w:left="160"/>
        <w:jc w:val="both"/>
      </w:pPr>
      <w:r>
        <w:rPr/>
        <w:t>In</w:t>
      </w:r>
      <w:r>
        <w:rPr>
          <w:spacing w:val="-2"/>
        </w:rPr>
        <w:t> </w:t>
      </w:r>
      <w:r>
        <w:rPr/>
        <w:t>this</w:t>
      </w:r>
      <w:r>
        <w:rPr>
          <w:spacing w:val="-1"/>
        </w:rPr>
        <w:t> </w:t>
      </w:r>
      <w:r>
        <w:rPr/>
        <w:t>chapter,</w:t>
      </w:r>
      <w:r>
        <w:rPr>
          <w:spacing w:val="-2"/>
        </w:rPr>
        <w:t> </w:t>
      </w:r>
      <w:r>
        <w:rPr/>
        <w:t>we</w:t>
      </w:r>
      <w:r>
        <w:rPr>
          <w:spacing w:val="-1"/>
        </w:rPr>
        <w:t> </w:t>
      </w:r>
      <w:r>
        <w:rPr/>
        <w:t>shall</w:t>
      </w:r>
      <w:r>
        <w:rPr>
          <w:spacing w:val="-1"/>
        </w:rPr>
        <w:t> </w:t>
      </w:r>
      <w:r>
        <w:rPr/>
        <w:t>briefly</w:t>
      </w:r>
      <w:r>
        <w:rPr>
          <w:spacing w:val="-2"/>
        </w:rPr>
        <w:t> </w:t>
      </w:r>
      <w:r>
        <w:rPr/>
        <w:t>discuss</w:t>
      </w:r>
      <w:r>
        <w:rPr>
          <w:spacing w:val="-1"/>
        </w:rPr>
        <w:t> </w:t>
      </w:r>
      <w:r>
        <w:rPr/>
        <w:t>some</w:t>
      </w:r>
      <w:r>
        <w:rPr>
          <w:spacing w:val="1"/>
        </w:rPr>
        <w:t> </w:t>
      </w:r>
      <w:r>
        <w:rPr/>
        <w:t>of</w:t>
      </w:r>
      <w:r>
        <w:rPr>
          <w:spacing w:val="-2"/>
        </w:rPr>
        <w:t> </w:t>
      </w:r>
      <w:r>
        <w:rPr/>
        <w:t>the major implications</w:t>
      </w:r>
      <w:r>
        <w:rPr>
          <w:spacing w:val="-1"/>
        </w:rPr>
        <w:t> </w:t>
      </w:r>
      <w:r>
        <w:rPr/>
        <w:t>of</w:t>
      </w:r>
      <w:r>
        <w:rPr>
          <w:spacing w:val="-2"/>
        </w:rPr>
        <w:t> </w:t>
      </w:r>
      <w:r>
        <w:rPr/>
        <w:t>these </w:t>
      </w:r>
      <w:r>
        <w:rPr>
          <w:spacing w:val="-2"/>
        </w:rPr>
        <w:t>policies.</w:t>
      </w:r>
    </w:p>
    <w:p>
      <w:pPr>
        <w:spacing w:after="0"/>
        <w:jc w:val="both"/>
        <w:sectPr>
          <w:pgSz w:w="12240" w:h="15840"/>
          <w:pgMar w:header="0" w:footer="743" w:top="1360" w:bottom="940" w:left="1640" w:right="1300"/>
        </w:sectPr>
      </w:pPr>
    </w:p>
    <w:p>
      <w:pPr>
        <w:pStyle w:val="Heading1"/>
        <w:spacing w:before="79"/>
        <w:ind w:left="707" w:right="0"/>
        <w:jc w:val="left"/>
      </w:pPr>
      <w:r>
        <w:rPr/>
        <w:t>ENROLMENT</w:t>
      </w:r>
      <w:r>
        <w:rPr>
          <w:spacing w:val="-7"/>
        </w:rPr>
        <w:t> </w:t>
      </w:r>
      <w:r>
        <w:rPr/>
        <w:t>POLICIES</w:t>
      </w:r>
      <w:r>
        <w:rPr>
          <w:spacing w:val="-5"/>
        </w:rPr>
        <w:t> </w:t>
      </w:r>
      <w:r>
        <w:rPr/>
        <w:t>AT</w:t>
      </w:r>
      <w:r>
        <w:rPr>
          <w:spacing w:val="-5"/>
        </w:rPr>
        <w:t> </w:t>
      </w:r>
      <w:r>
        <w:rPr/>
        <w:t>DIFFERENT</w:t>
      </w:r>
      <w:r>
        <w:rPr>
          <w:spacing w:val="-3"/>
        </w:rPr>
        <w:t> </w:t>
      </w:r>
      <w:r>
        <w:rPr/>
        <w:t>STAGES</w:t>
      </w:r>
      <w:r>
        <w:rPr>
          <w:spacing w:val="-4"/>
        </w:rPr>
        <w:t> </w:t>
      </w:r>
      <w:r>
        <w:rPr/>
        <w:t>OF</w:t>
      </w:r>
      <w:r>
        <w:rPr>
          <w:spacing w:val="-4"/>
        </w:rPr>
        <w:t> </w:t>
      </w:r>
      <w:r>
        <w:rPr>
          <w:spacing w:val="-2"/>
        </w:rPr>
        <w:t>EDUCATION</w:t>
      </w:r>
    </w:p>
    <w:p>
      <w:pPr>
        <w:pStyle w:val="BodyText"/>
        <w:spacing w:before="2"/>
        <w:rPr>
          <w:b/>
        </w:rPr>
      </w:pPr>
    </w:p>
    <w:p>
      <w:pPr>
        <w:pStyle w:val="ListParagraph"/>
        <w:numPr>
          <w:ilvl w:val="1"/>
          <w:numId w:val="96"/>
        </w:numPr>
        <w:tabs>
          <w:tab w:pos="650" w:val="left" w:leader="none"/>
        </w:tabs>
        <w:spacing w:line="240" w:lineRule="auto" w:before="0" w:after="0"/>
        <w:ind w:left="160" w:right="495" w:firstLine="0"/>
        <w:jc w:val="both"/>
        <w:rPr>
          <w:b/>
          <w:sz w:val="24"/>
        </w:rPr>
      </w:pPr>
      <w:r>
        <w:rPr>
          <w:b/>
          <w:sz w:val="24"/>
        </w:rPr>
        <w:t>Increasing the Educational Level of Citizens. </w:t>
      </w:r>
      <w:r>
        <w:rPr>
          <w:sz w:val="24"/>
        </w:rPr>
        <w:t>In the next two decades the highest priority must be given to programmes aimed at raising the educational level of the average citizen. Such programmes are essential on grounds of social justice, for making democracy viable and for improving the productivity of the average worker in agriculture and industry. The most crucial of these programmes is to provide, as directed by Article 45 of the Constitution, free and compulsory education of good quality to all children up</w:t>
      </w:r>
      <w:r>
        <w:rPr>
          <w:spacing w:val="40"/>
          <w:sz w:val="24"/>
        </w:rPr>
        <w:t> </w:t>
      </w:r>
      <w:r>
        <w:rPr>
          <w:sz w:val="24"/>
        </w:rPr>
        <w:t>to the age of 14 years. In view of the immense human and physical resources needed, however, the implementation of this programme will have to be phased over a period of time. This can be done</w:t>
      </w:r>
    </w:p>
    <w:p>
      <w:pPr>
        <w:pStyle w:val="BodyText"/>
        <w:spacing w:before="3"/>
      </w:pPr>
    </w:p>
    <w:p>
      <w:pPr>
        <w:pStyle w:val="ListParagraph"/>
        <w:numPr>
          <w:ilvl w:val="0"/>
          <w:numId w:val="97"/>
        </w:numPr>
        <w:tabs>
          <w:tab w:pos="337" w:val="left" w:leader="none"/>
        </w:tabs>
        <w:spacing w:line="240" w:lineRule="auto" w:before="0" w:after="0"/>
        <w:ind w:left="159" w:right="496" w:firstLine="0"/>
        <w:jc w:val="both"/>
        <w:rPr>
          <w:sz w:val="24"/>
        </w:rPr>
      </w:pPr>
      <w:r>
        <w:rPr>
          <w:sz w:val="24"/>
        </w:rPr>
        <w:t>by providing five years of effective education to all children by 1975-76 and seven years of such education by 1985-86;</w:t>
      </w:r>
    </w:p>
    <w:p>
      <w:pPr>
        <w:pStyle w:val="BodyText"/>
        <w:spacing w:before="5"/>
      </w:pPr>
    </w:p>
    <w:p>
      <w:pPr>
        <w:pStyle w:val="ListParagraph"/>
        <w:numPr>
          <w:ilvl w:val="0"/>
          <w:numId w:val="97"/>
        </w:numPr>
        <w:tabs>
          <w:tab w:pos="330" w:val="left" w:leader="none"/>
        </w:tabs>
        <w:spacing w:line="240" w:lineRule="auto" w:before="0" w:after="0"/>
        <w:ind w:left="159" w:right="497" w:firstLine="0"/>
        <w:jc w:val="both"/>
        <w:rPr>
          <w:sz w:val="24"/>
        </w:rPr>
      </w:pPr>
      <w:r>
        <w:rPr>
          <w:sz w:val="24"/>
        </w:rPr>
        <w:t>by making part-time education for about one year compulsory for all children in the age-group, 11-14 who have not completed the lower primary stage and are not attending schools. The aim will be to make these children functionally literate and stop all further additions to the ranks of adult non-literates; and</w:t>
      </w:r>
    </w:p>
    <w:p>
      <w:pPr>
        <w:pStyle w:val="BodyText"/>
        <w:spacing w:before="5"/>
      </w:pPr>
    </w:p>
    <w:p>
      <w:pPr>
        <w:pStyle w:val="ListParagraph"/>
        <w:numPr>
          <w:ilvl w:val="0"/>
          <w:numId w:val="97"/>
        </w:numPr>
        <w:tabs>
          <w:tab w:pos="298" w:val="left" w:leader="none"/>
        </w:tabs>
        <w:spacing w:line="240" w:lineRule="auto" w:before="0" w:after="0"/>
        <w:ind w:left="298" w:right="0" w:hanging="139"/>
        <w:jc w:val="both"/>
        <w:rPr>
          <w:sz w:val="24"/>
        </w:rPr>
      </w:pPr>
      <w:r>
        <w:rPr>
          <w:sz w:val="24"/>
        </w:rPr>
        <w:t>by efforts to liquidate adult </w:t>
      </w:r>
      <w:r>
        <w:rPr>
          <w:spacing w:val="-2"/>
          <w:sz w:val="24"/>
        </w:rPr>
        <w:t>illiteracy.</w:t>
      </w:r>
    </w:p>
    <w:p>
      <w:pPr>
        <w:pStyle w:val="BodyText"/>
        <w:spacing w:before="2"/>
      </w:pPr>
    </w:p>
    <w:p>
      <w:pPr>
        <w:pStyle w:val="BodyText"/>
        <w:ind w:left="159" w:right="495"/>
        <w:jc w:val="both"/>
        <w:rPr>
          <w:b/>
        </w:rPr>
      </w:pPr>
      <w:r>
        <w:rPr/>
        <w:t>The second and the third programmes are transitional. But the first needs great emphasis as the only permanent solution of the problem. We discuss the details of these programmes elsewhere.</w:t>
      </w:r>
      <w:r>
        <w:rPr>
          <w:b/>
          <w:vertAlign w:val="superscript"/>
        </w:rPr>
        <w:t>39</w:t>
      </w:r>
    </w:p>
    <w:p>
      <w:pPr>
        <w:pStyle w:val="BodyText"/>
        <w:spacing w:before="5"/>
        <w:rPr>
          <w:b/>
        </w:rPr>
      </w:pPr>
    </w:p>
    <w:p>
      <w:pPr>
        <w:pStyle w:val="ListParagraph"/>
        <w:numPr>
          <w:ilvl w:val="1"/>
          <w:numId w:val="96"/>
        </w:numPr>
        <w:tabs>
          <w:tab w:pos="724" w:val="left" w:leader="none"/>
        </w:tabs>
        <w:spacing w:line="240" w:lineRule="auto" w:before="0" w:after="0"/>
        <w:ind w:left="160" w:right="495" w:firstLine="0"/>
        <w:jc w:val="both"/>
        <w:rPr>
          <w:b/>
          <w:sz w:val="24"/>
        </w:rPr>
      </w:pPr>
      <w:r>
        <w:rPr>
          <w:b/>
          <w:sz w:val="24"/>
        </w:rPr>
        <w:t>Provision of Secondary and Higher Education. </w:t>
      </w:r>
      <w:r>
        <w:rPr>
          <w:sz w:val="24"/>
        </w:rPr>
        <w:t>Several complex problems relating to the amount, type and quality of education to be provided arise in respect of secondary</w:t>
      </w:r>
      <w:r>
        <w:rPr>
          <w:spacing w:val="-2"/>
          <w:sz w:val="24"/>
        </w:rPr>
        <w:t> </w:t>
      </w:r>
      <w:r>
        <w:rPr>
          <w:sz w:val="24"/>
        </w:rPr>
        <w:t>and</w:t>
      </w:r>
      <w:r>
        <w:rPr>
          <w:spacing w:val="-2"/>
          <w:sz w:val="24"/>
        </w:rPr>
        <w:t> </w:t>
      </w:r>
      <w:r>
        <w:rPr>
          <w:sz w:val="24"/>
        </w:rPr>
        <w:t>higher</w:t>
      </w:r>
      <w:r>
        <w:rPr>
          <w:spacing w:val="-2"/>
          <w:sz w:val="24"/>
        </w:rPr>
        <w:t> </w:t>
      </w:r>
      <w:r>
        <w:rPr>
          <w:sz w:val="24"/>
        </w:rPr>
        <w:t>education.</w:t>
      </w:r>
      <w:r>
        <w:rPr>
          <w:spacing w:val="-2"/>
          <w:sz w:val="24"/>
        </w:rPr>
        <w:t> </w:t>
      </w:r>
      <w:r>
        <w:rPr>
          <w:sz w:val="24"/>
        </w:rPr>
        <w:t>It</w:t>
      </w:r>
      <w:r>
        <w:rPr>
          <w:spacing w:val="-2"/>
          <w:sz w:val="24"/>
        </w:rPr>
        <w:t> </w:t>
      </w:r>
      <w:r>
        <w:rPr>
          <w:sz w:val="24"/>
        </w:rPr>
        <w:t>is</w:t>
      </w:r>
      <w:r>
        <w:rPr>
          <w:spacing w:val="-2"/>
          <w:sz w:val="24"/>
        </w:rPr>
        <w:t> </w:t>
      </w:r>
      <w:r>
        <w:rPr>
          <w:sz w:val="24"/>
        </w:rPr>
        <w:t>not</w:t>
      </w:r>
      <w:r>
        <w:rPr>
          <w:spacing w:val="-2"/>
          <w:sz w:val="24"/>
        </w:rPr>
        <w:t> </w:t>
      </w:r>
      <w:r>
        <w:rPr>
          <w:sz w:val="24"/>
        </w:rPr>
        <w:t>easy</w:t>
      </w:r>
      <w:r>
        <w:rPr>
          <w:spacing w:val="-2"/>
          <w:sz w:val="24"/>
        </w:rPr>
        <w:t> </w:t>
      </w:r>
      <w:r>
        <w:rPr>
          <w:sz w:val="24"/>
        </w:rPr>
        <w:t>to</w:t>
      </w:r>
      <w:r>
        <w:rPr>
          <w:spacing w:val="-2"/>
          <w:sz w:val="24"/>
        </w:rPr>
        <w:t> </w:t>
      </w:r>
      <w:r>
        <w:rPr>
          <w:sz w:val="24"/>
        </w:rPr>
        <w:t>determine</w:t>
      </w:r>
      <w:r>
        <w:rPr>
          <w:spacing w:val="-1"/>
          <w:sz w:val="24"/>
        </w:rPr>
        <w:t> </w:t>
      </w:r>
      <w:r>
        <w:rPr>
          <w:sz w:val="24"/>
        </w:rPr>
        <w:t>the</w:t>
      </w:r>
      <w:r>
        <w:rPr>
          <w:spacing w:val="-1"/>
          <w:sz w:val="24"/>
        </w:rPr>
        <w:t> </w:t>
      </w:r>
      <w:r>
        <w:rPr>
          <w:sz w:val="24"/>
        </w:rPr>
        <w:t>size</w:t>
      </w:r>
      <w:r>
        <w:rPr>
          <w:spacing w:val="-1"/>
          <w:sz w:val="24"/>
        </w:rPr>
        <w:t> </w:t>
      </w:r>
      <w:r>
        <w:rPr>
          <w:sz w:val="24"/>
        </w:rPr>
        <w:t>of</w:t>
      </w:r>
      <w:r>
        <w:rPr>
          <w:spacing w:val="-1"/>
          <w:sz w:val="24"/>
        </w:rPr>
        <w:t> </w:t>
      </w:r>
      <w:r>
        <w:rPr>
          <w:sz w:val="24"/>
        </w:rPr>
        <w:t>total</w:t>
      </w:r>
      <w:r>
        <w:rPr>
          <w:spacing w:val="-1"/>
          <w:sz w:val="24"/>
        </w:rPr>
        <w:t> </w:t>
      </w:r>
      <w:r>
        <w:rPr>
          <w:sz w:val="24"/>
        </w:rPr>
        <w:t>enrollments</w:t>
      </w:r>
      <w:r>
        <w:rPr>
          <w:spacing w:val="-1"/>
          <w:sz w:val="24"/>
        </w:rPr>
        <w:t> </w:t>
      </w:r>
      <w:r>
        <w:rPr>
          <w:sz w:val="24"/>
        </w:rPr>
        <w:t>in the absence of clear and precise targets about overall expansion rates. Moreover, as education at these stages has to be diversified into a large number of courses to meet varied individual aptitudes as well as social requirements for trained manpower it becomes even more difficult to decide the precise extent of provisions for each course. Unfortunately,</w:t>
      </w:r>
      <w:r>
        <w:rPr>
          <w:spacing w:val="-4"/>
          <w:sz w:val="24"/>
        </w:rPr>
        <w:t> </w:t>
      </w:r>
      <w:r>
        <w:rPr>
          <w:sz w:val="24"/>
        </w:rPr>
        <w:t>an</w:t>
      </w:r>
      <w:r>
        <w:rPr>
          <w:spacing w:val="-4"/>
          <w:sz w:val="24"/>
        </w:rPr>
        <w:t> </w:t>
      </w:r>
      <w:r>
        <w:rPr>
          <w:sz w:val="24"/>
        </w:rPr>
        <w:t>understanding</w:t>
      </w:r>
      <w:r>
        <w:rPr>
          <w:spacing w:val="-4"/>
          <w:sz w:val="24"/>
        </w:rPr>
        <w:t> </w:t>
      </w:r>
      <w:r>
        <w:rPr>
          <w:sz w:val="24"/>
        </w:rPr>
        <w:t>of</w:t>
      </w:r>
      <w:r>
        <w:rPr>
          <w:spacing w:val="-4"/>
          <w:sz w:val="24"/>
        </w:rPr>
        <w:t> </w:t>
      </w:r>
      <w:r>
        <w:rPr>
          <w:sz w:val="24"/>
        </w:rPr>
        <w:t>these</w:t>
      </w:r>
      <w:r>
        <w:rPr>
          <w:spacing w:val="-4"/>
          <w:sz w:val="24"/>
        </w:rPr>
        <w:t> </w:t>
      </w:r>
      <w:r>
        <w:rPr>
          <w:sz w:val="24"/>
        </w:rPr>
        <w:t>problems</w:t>
      </w:r>
      <w:r>
        <w:rPr>
          <w:spacing w:val="-4"/>
          <w:sz w:val="24"/>
        </w:rPr>
        <w:t> </w:t>
      </w:r>
      <w:r>
        <w:rPr>
          <w:sz w:val="24"/>
        </w:rPr>
        <w:t>is</w:t>
      </w:r>
      <w:r>
        <w:rPr>
          <w:spacing w:val="-4"/>
          <w:sz w:val="24"/>
        </w:rPr>
        <w:t> </w:t>
      </w:r>
      <w:r>
        <w:rPr>
          <w:sz w:val="24"/>
        </w:rPr>
        <w:t>still</w:t>
      </w:r>
      <w:r>
        <w:rPr>
          <w:spacing w:val="-4"/>
          <w:sz w:val="24"/>
        </w:rPr>
        <w:t> </w:t>
      </w:r>
      <w:r>
        <w:rPr>
          <w:sz w:val="24"/>
        </w:rPr>
        <w:t>limited.</w:t>
      </w:r>
      <w:r>
        <w:rPr>
          <w:spacing w:val="-4"/>
          <w:sz w:val="24"/>
        </w:rPr>
        <w:t> </w:t>
      </w:r>
      <w:r>
        <w:rPr>
          <w:sz w:val="24"/>
        </w:rPr>
        <w:t>Enrolment</w:t>
      </w:r>
      <w:r>
        <w:rPr>
          <w:spacing w:val="-4"/>
          <w:sz w:val="24"/>
        </w:rPr>
        <w:t> </w:t>
      </w:r>
      <w:r>
        <w:rPr>
          <w:sz w:val="24"/>
        </w:rPr>
        <w:t>policy</w:t>
      </w:r>
      <w:r>
        <w:rPr>
          <w:spacing w:val="-4"/>
          <w:sz w:val="24"/>
        </w:rPr>
        <w:t> </w:t>
      </w:r>
      <w:r>
        <w:rPr>
          <w:sz w:val="24"/>
        </w:rPr>
        <w:t>must, capacity of the society to provide the educational facilities needed at given levels of quality; and manpower needs for national development.</w:t>
      </w:r>
    </w:p>
    <w:p>
      <w:pPr>
        <w:pStyle w:val="BodyText"/>
        <w:spacing w:before="4"/>
      </w:pPr>
    </w:p>
    <w:p>
      <w:pPr>
        <w:pStyle w:val="ListParagraph"/>
        <w:numPr>
          <w:ilvl w:val="1"/>
          <w:numId w:val="96"/>
        </w:numPr>
        <w:tabs>
          <w:tab w:pos="667" w:val="left" w:leader="none"/>
        </w:tabs>
        <w:spacing w:line="240" w:lineRule="auto" w:before="0" w:after="0"/>
        <w:ind w:left="160" w:right="497" w:firstLine="0"/>
        <w:jc w:val="both"/>
        <w:rPr>
          <w:b/>
          <w:sz w:val="24"/>
        </w:rPr>
      </w:pPr>
      <w:r>
        <w:rPr>
          <w:b/>
          <w:sz w:val="24"/>
        </w:rPr>
        <w:t>Public Demand for Secondary and Higher Education. </w:t>
      </w:r>
      <w:r>
        <w:rPr>
          <w:sz w:val="24"/>
        </w:rPr>
        <w:t>During recent years, the demand for secondary and higher education has increased enormously. There are several reasons for this, such as:</w:t>
      </w:r>
    </w:p>
    <w:p>
      <w:pPr>
        <w:pStyle w:val="BodyText"/>
        <w:spacing w:before="5"/>
      </w:pPr>
    </w:p>
    <w:p>
      <w:pPr>
        <w:pStyle w:val="ListParagraph"/>
        <w:numPr>
          <w:ilvl w:val="0"/>
          <w:numId w:val="97"/>
        </w:numPr>
        <w:tabs>
          <w:tab w:pos="299" w:val="left" w:leader="none"/>
        </w:tabs>
        <w:spacing w:line="240" w:lineRule="auto" w:before="0" w:after="0"/>
        <w:ind w:left="299" w:right="0" w:hanging="139"/>
        <w:jc w:val="both"/>
        <w:rPr>
          <w:sz w:val="24"/>
        </w:rPr>
      </w:pPr>
      <w:r>
        <w:rPr>
          <w:sz w:val="24"/>
        </w:rPr>
        <w:t>the</w:t>
      </w:r>
      <w:r>
        <w:rPr>
          <w:spacing w:val="-4"/>
          <w:sz w:val="24"/>
        </w:rPr>
        <w:t> </w:t>
      </w:r>
      <w:r>
        <w:rPr>
          <w:sz w:val="24"/>
        </w:rPr>
        <w:t>traditional</w:t>
      </w:r>
      <w:r>
        <w:rPr>
          <w:spacing w:val="-2"/>
          <w:sz w:val="24"/>
        </w:rPr>
        <w:t> </w:t>
      </w:r>
      <w:r>
        <w:rPr>
          <w:sz w:val="24"/>
        </w:rPr>
        <w:t>social</w:t>
      </w:r>
      <w:r>
        <w:rPr>
          <w:spacing w:val="-1"/>
          <w:sz w:val="24"/>
        </w:rPr>
        <w:t> </w:t>
      </w:r>
      <w:r>
        <w:rPr>
          <w:sz w:val="24"/>
        </w:rPr>
        <w:t>status</w:t>
      </w:r>
      <w:r>
        <w:rPr>
          <w:spacing w:val="-2"/>
          <w:sz w:val="24"/>
        </w:rPr>
        <w:t> </w:t>
      </w:r>
      <w:r>
        <w:rPr>
          <w:sz w:val="24"/>
        </w:rPr>
        <w:t>attached</w:t>
      </w:r>
      <w:r>
        <w:rPr>
          <w:spacing w:val="-3"/>
          <w:sz w:val="24"/>
        </w:rPr>
        <w:t> </w:t>
      </w:r>
      <w:r>
        <w:rPr>
          <w:sz w:val="24"/>
        </w:rPr>
        <w:t>to</w:t>
      </w:r>
      <w:r>
        <w:rPr>
          <w:spacing w:val="-1"/>
          <w:sz w:val="24"/>
        </w:rPr>
        <w:t> </w:t>
      </w:r>
      <w:r>
        <w:rPr>
          <w:sz w:val="24"/>
        </w:rPr>
        <w:t>a</w:t>
      </w:r>
      <w:r>
        <w:rPr>
          <w:spacing w:val="-2"/>
          <w:sz w:val="24"/>
        </w:rPr>
        <w:t> </w:t>
      </w:r>
      <w:r>
        <w:rPr>
          <w:sz w:val="24"/>
        </w:rPr>
        <w:t>university</w:t>
      </w:r>
      <w:r>
        <w:rPr>
          <w:spacing w:val="-1"/>
          <w:sz w:val="24"/>
        </w:rPr>
        <w:t> </w:t>
      </w:r>
      <w:r>
        <w:rPr>
          <w:spacing w:val="-2"/>
          <w:sz w:val="24"/>
        </w:rPr>
        <w:t>degree;</w:t>
      </w:r>
    </w:p>
    <w:p>
      <w:pPr>
        <w:pStyle w:val="BodyText"/>
        <w:spacing w:before="3"/>
      </w:pPr>
    </w:p>
    <w:p>
      <w:pPr>
        <w:pStyle w:val="BodyText"/>
        <w:ind w:left="160"/>
        <w:jc w:val="both"/>
      </w:pPr>
      <w:r>
        <w:rPr>
          <w:b/>
          <w:vertAlign w:val="superscript"/>
        </w:rPr>
        <w:t>39</w:t>
      </w:r>
      <w:r>
        <w:rPr>
          <w:vertAlign w:val="baseline"/>
        </w:rPr>
        <w:t>Chapters</w:t>
      </w:r>
      <w:r>
        <w:rPr>
          <w:spacing w:val="-2"/>
          <w:vertAlign w:val="baseline"/>
        </w:rPr>
        <w:t> </w:t>
      </w:r>
      <w:r>
        <w:rPr>
          <w:vertAlign w:val="baseline"/>
        </w:rPr>
        <w:t>VII</w:t>
      </w:r>
      <w:r>
        <w:rPr>
          <w:spacing w:val="-2"/>
          <w:vertAlign w:val="baseline"/>
        </w:rPr>
        <w:t> </w:t>
      </w:r>
      <w:r>
        <w:rPr>
          <w:vertAlign w:val="baseline"/>
        </w:rPr>
        <w:t>and</w:t>
      </w:r>
      <w:r>
        <w:rPr>
          <w:spacing w:val="-2"/>
          <w:vertAlign w:val="baseline"/>
        </w:rPr>
        <w:t> XVII.</w:t>
      </w:r>
    </w:p>
    <w:p>
      <w:pPr>
        <w:spacing w:after="0"/>
        <w:jc w:val="both"/>
        <w:sectPr>
          <w:pgSz w:w="12240" w:h="15840"/>
          <w:pgMar w:header="0" w:footer="743" w:top="1360" w:bottom="940" w:left="1640" w:right="1300"/>
        </w:sectPr>
      </w:pPr>
    </w:p>
    <w:p>
      <w:pPr>
        <w:pStyle w:val="ListParagraph"/>
        <w:numPr>
          <w:ilvl w:val="0"/>
          <w:numId w:val="97"/>
        </w:numPr>
        <w:tabs>
          <w:tab w:pos="314" w:val="left" w:leader="none"/>
        </w:tabs>
        <w:spacing w:line="240" w:lineRule="auto" w:before="76" w:after="0"/>
        <w:ind w:left="159" w:right="496" w:firstLine="0"/>
        <w:jc w:val="both"/>
        <w:rPr>
          <w:sz w:val="24"/>
        </w:rPr>
      </w:pPr>
      <w:r>
        <w:rPr>
          <w:sz w:val="24"/>
        </w:rPr>
        <w:t>the growing hunger for education among the urban people and the middle classes who have realized that the best, and probably the only worthwhile legacy they can leave to their children, is to give them good education;</w:t>
      </w:r>
    </w:p>
    <w:p>
      <w:pPr>
        <w:pStyle w:val="BodyText"/>
        <w:spacing w:before="4"/>
      </w:pPr>
    </w:p>
    <w:p>
      <w:pPr>
        <w:pStyle w:val="ListParagraph"/>
        <w:numPr>
          <w:ilvl w:val="0"/>
          <w:numId w:val="97"/>
        </w:numPr>
        <w:tabs>
          <w:tab w:pos="300" w:val="left" w:leader="none"/>
        </w:tabs>
        <w:spacing w:line="240" w:lineRule="auto" w:before="0" w:after="0"/>
        <w:ind w:left="160" w:right="497" w:firstLine="0"/>
        <w:jc w:val="both"/>
        <w:rPr>
          <w:sz w:val="24"/>
        </w:rPr>
      </w:pPr>
      <w:r>
        <w:rPr>
          <w:sz w:val="24"/>
        </w:rPr>
        <w:t>the</w:t>
      </w:r>
      <w:r>
        <w:rPr>
          <w:spacing w:val="-2"/>
          <w:sz w:val="24"/>
        </w:rPr>
        <w:t> </w:t>
      </w:r>
      <w:r>
        <w:rPr>
          <w:sz w:val="24"/>
        </w:rPr>
        <w:t>awakening</w:t>
      </w:r>
      <w:r>
        <w:rPr>
          <w:spacing w:val="-2"/>
          <w:sz w:val="24"/>
        </w:rPr>
        <w:t> </w:t>
      </w:r>
      <w:r>
        <w:rPr>
          <w:sz w:val="24"/>
        </w:rPr>
        <w:t>among</w:t>
      </w:r>
      <w:r>
        <w:rPr>
          <w:spacing w:val="-2"/>
          <w:sz w:val="24"/>
        </w:rPr>
        <w:t> </w:t>
      </w:r>
      <w:r>
        <w:rPr>
          <w:sz w:val="24"/>
        </w:rPr>
        <w:t>the</w:t>
      </w:r>
      <w:r>
        <w:rPr>
          <w:spacing w:val="-2"/>
          <w:sz w:val="24"/>
        </w:rPr>
        <w:t> </w:t>
      </w:r>
      <w:r>
        <w:rPr>
          <w:sz w:val="24"/>
        </w:rPr>
        <w:t>rural</w:t>
      </w:r>
      <w:r>
        <w:rPr>
          <w:spacing w:val="-2"/>
          <w:sz w:val="24"/>
        </w:rPr>
        <w:t> </w:t>
      </w:r>
      <w:r>
        <w:rPr>
          <w:sz w:val="24"/>
        </w:rPr>
        <w:t>people</w:t>
      </w:r>
      <w:r>
        <w:rPr>
          <w:spacing w:val="-2"/>
          <w:sz w:val="24"/>
        </w:rPr>
        <w:t> </w:t>
      </w:r>
      <w:r>
        <w:rPr>
          <w:sz w:val="24"/>
        </w:rPr>
        <w:t>and</w:t>
      </w:r>
      <w:r>
        <w:rPr>
          <w:spacing w:val="-2"/>
          <w:sz w:val="24"/>
        </w:rPr>
        <w:t> </w:t>
      </w:r>
      <w:r>
        <w:rPr>
          <w:sz w:val="24"/>
        </w:rPr>
        <w:t>the</w:t>
      </w:r>
      <w:r>
        <w:rPr>
          <w:spacing w:val="-2"/>
          <w:sz w:val="24"/>
        </w:rPr>
        <w:t> </w:t>
      </w:r>
      <w:r>
        <w:rPr>
          <w:sz w:val="24"/>
        </w:rPr>
        <w:t>lower</w:t>
      </w:r>
      <w:r>
        <w:rPr>
          <w:spacing w:val="-2"/>
          <w:sz w:val="24"/>
        </w:rPr>
        <w:t> </w:t>
      </w:r>
      <w:r>
        <w:rPr>
          <w:sz w:val="24"/>
        </w:rPr>
        <w:t>classes</w:t>
      </w:r>
      <w:r>
        <w:rPr>
          <w:spacing w:val="-2"/>
          <w:sz w:val="24"/>
        </w:rPr>
        <w:t> </w:t>
      </w:r>
      <w:r>
        <w:rPr>
          <w:sz w:val="24"/>
        </w:rPr>
        <w:t>who</w:t>
      </w:r>
      <w:r>
        <w:rPr>
          <w:spacing w:val="-2"/>
          <w:sz w:val="24"/>
        </w:rPr>
        <w:t> </w:t>
      </w:r>
      <w:r>
        <w:rPr>
          <w:sz w:val="24"/>
        </w:rPr>
        <w:t>are</w:t>
      </w:r>
      <w:r>
        <w:rPr>
          <w:spacing w:val="-2"/>
          <w:sz w:val="24"/>
        </w:rPr>
        <w:t> </w:t>
      </w:r>
      <w:r>
        <w:rPr>
          <w:sz w:val="24"/>
        </w:rPr>
        <w:t>now</w:t>
      </w:r>
      <w:r>
        <w:rPr>
          <w:spacing w:val="-2"/>
          <w:sz w:val="24"/>
        </w:rPr>
        <w:t> </w:t>
      </w:r>
      <w:r>
        <w:rPr>
          <w:sz w:val="24"/>
        </w:rPr>
        <w:t>seeking</w:t>
      </w:r>
      <w:r>
        <w:rPr>
          <w:spacing w:val="-2"/>
          <w:sz w:val="24"/>
        </w:rPr>
        <w:t> </w:t>
      </w:r>
      <w:r>
        <w:rPr>
          <w:sz w:val="24"/>
        </w:rPr>
        <w:t>social advancement-just as the urban and middle classes did during the last hundred years- through education and government service;</w:t>
      </w:r>
    </w:p>
    <w:p>
      <w:pPr>
        <w:pStyle w:val="BodyText"/>
        <w:spacing w:before="5"/>
      </w:pPr>
    </w:p>
    <w:p>
      <w:pPr>
        <w:pStyle w:val="ListParagraph"/>
        <w:numPr>
          <w:ilvl w:val="0"/>
          <w:numId w:val="97"/>
        </w:numPr>
        <w:tabs>
          <w:tab w:pos="370" w:val="left" w:leader="none"/>
        </w:tabs>
        <w:spacing w:line="240" w:lineRule="auto" w:before="0" w:after="0"/>
        <w:ind w:left="160" w:right="499" w:firstLine="0"/>
        <w:jc w:val="both"/>
        <w:rPr>
          <w:sz w:val="24"/>
        </w:rPr>
      </w:pPr>
      <w:r>
        <w:rPr>
          <w:sz w:val="24"/>
        </w:rPr>
        <w:t>the disappearance of the old values' attached to primary education which makes secondary education the 'minimum' and higher education the 'optimum' qualification for any worth- while job;</w:t>
      </w:r>
    </w:p>
    <w:p>
      <w:pPr>
        <w:pStyle w:val="BodyText"/>
        <w:spacing w:before="4"/>
      </w:pPr>
    </w:p>
    <w:p>
      <w:pPr>
        <w:pStyle w:val="BodyText"/>
        <w:ind w:left="160" w:right="497"/>
        <w:jc w:val="both"/>
      </w:pPr>
      <w:r>
        <w:rPr/>
        <w:t>-the absence of adequate employment opportunities for young persons so that many of them are forced to go in for secondary or university education simply because they have nothing else to do;</w:t>
      </w:r>
    </w:p>
    <w:p>
      <w:pPr>
        <w:pStyle w:val="BodyText"/>
        <w:spacing w:before="3"/>
      </w:pPr>
    </w:p>
    <w:p>
      <w:pPr>
        <w:pStyle w:val="BodyText"/>
        <w:ind w:left="160" w:right="497"/>
        <w:jc w:val="both"/>
      </w:pPr>
      <w:r>
        <w:rPr/>
        <w:t>-the increasing provision which is being made by State Governments for free secondary education and for the liberal grant of free studentships, stipends and scholarships at the university stage; and</w:t>
      </w:r>
    </w:p>
    <w:p>
      <w:pPr>
        <w:pStyle w:val="BodyText"/>
        <w:spacing w:before="4"/>
      </w:pPr>
    </w:p>
    <w:p>
      <w:pPr>
        <w:pStyle w:val="BodyText"/>
        <w:ind w:left="160" w:right="494"/>
        <w:jc w:val="both"/>
      </w:pPr>
      <w:r>
        <w:rPr/>
        <w:t>-a</w:t>
      </w:r>
      <w:r>
        <w:rPr>
          <w:spacing w:val="-2"/>
        </w:rPr>
        <w:t> </w:t>
      </w:r>
      <w:r>
        <w:rPr/>
        <w:t>rapid</w:t>
      </w:r>
      <w:r>
        <w:rPr>
          <w:spacing w:val="-3"/>
        </w:rPr>
        <w:t> </w:t>
      </w:r>
      <w:r>
        <w:rPr/>
        <w:t>multiplication</w:t>
      </w:r>
      <w:r>
        <w:rPr>
          <w:spacing w:val="-3"/>
        </w:rPr>
        <w:t> </w:t>
      </w:r>
      <w:r>
        <w:rPr/>
        <w:t>of</w:t>
      </w:r>
      <w:r>
        <w:rPr>
          <w:spacing w:val="-3"/>
        </w:rPr>
        <w:t> </w:t>
      </w:r>
      <w:r>
        <w:rPr/>
        <w:t>educational</w:t>
      </w:r>
      <w:r>
        <w:rPr>
          <w:spacing w:val="-2"/>
        </w:rPr>
        <w:t> </w:t>
      </w:r>
      <w:r>
        <w:rPr/>
        <w:t>institutions</w:t>
      </w:r>
      <w:r>
        <w:rPr>
          <w:spacing w:val="-2"/>
        </w:rPr>
        <w:t> </w:t>
      </w:r>
      <w:r>
        <w:rPr/>
        <w:t>at</w:t>
      </w:r>
      <w:r>
        <w:rPr>
          <w:spacing w:val="-2"/>
        </w:rPr>
        <w:t> </w:t>
      </w:r>
      <w:r>
        <w:rPr/>
        <w:t>this</w:t>
      </w:r>
      <w:r>
        <w:rPr>
          <w:spacing w:val="-2"/>
        </w:rPr>
        <w:t> </w:t>
      </w:r>
      <w:r>
        <w:rPr/>
        <w:t>level</w:t>
      </w:r>
      <w:r>
        <w:rPr>
          <w:spacing w:val="-2"/>
        </w:rPr>
        <w:t> </w:t>
      </w:r>
      <w:r>
        <w:rPr/>
        <w:t>which</w:t>
      </w:r>
      <w:r>
        <w:rPr>
          <w:spacing w:val="-5"/>
        </w:rPr>
        <w:t> </w:t>
      </w:r>
      <w:r>
        <w:rPr/>
        <w:t>has</w:t>
      </w:r>
      <w:r>
        <w:rPr>
          <w:spacing w:val="-2"/>
        </w:rPr>
        <w:t> </w:t>
      </w:r>
      <w:r>
        <w:rPr/>
        <w:t>made</w:t>
      </w:r>
      <w:r>
        <w:rPr>
          <w:spacing w:val="-2"/>
        </w:rPr>
        <w:t> </w:t>
      </w:r>
      <w:r>
        <w:rPr/>
        <w:t>them</w:t>
      </w:r>
      <w:r>
        <w:rPr>
          <w:spacing w:val="-5"/>
        </w:rPr>
        <w:t> </w:t>
      </w:r>
      <w:r>
        <w:rPr/>
        <w:t>easily accessible to young persons in thousands of small and out-of-the-way places.</w:t>
      </w:r>
    </w:p>
    <w:p>
      <w:pPr>
        <w:pStyle w:val="BodyText"/>
        <w:spacing w:before="5"/>
      </w:pPr>
    </w:p>
    <w:p>
      <w:pPr>
        <w:pStyle w:val="ListParagraph"/>
        <w:numPr>
          <w:ilvl w:val="1"/>
          <w:numId w:val="96"/>
        </w:numPr>
        <w:tabs>
          <w:tab w:pos="670" w:val="left" w:leader="none"/>
        </w:tabs>
        <w:spacing w:line="240" w:lineRule="auto" w:before="0" w:after="0"/>
        <w:ind w:left="160" w:right="496" w:firstLine="0"/>
        <w:jc w:val="both"/>
        <w:rPr>
          <w:sz w:val="24"/>
        </w:rPr>
      </w:pPr>
      <w:r>
        <w:rPr>
          <w:sz w:val="24"/>
        </w:rPr>
        <w:t>This situation could have been met in two ways, either by expanding facilities in secondary</w:t>
      </w:r>
      <w:r>
        <w:rPr>
          <w:spacing w:val="-3"/>
          <w:sz w:val="24"/>
        </w:rPr>
        <w:t> </w:t>
      </w:r>
      <w:r>
        <w:rPr>
          <w:sz w:val="24"/>
        </w:rPr>
        <w:t>and</w:t>
      </w:r>
      <w:r>
        <w:rPr>
          <w:spacing w:val="-3"/>
          <w:sz w:val="24"/>
        </w:rPr>
        <w:t> </w:t>
      </w:r>
      <w:r>
        <w:rPr>
          <w:sz w:val="24"/>
        </w:rPr>
        <w:t>higher</w:t>
      </w:r>
      <w:r>
        <w:rPr>
          <w:spacing w:val="-3"/>
          <w:sz w:val="24"/>
        </w:rPr>
        <w:t> </w:t>
      </w:r>
      <w:r>
        <w:rPr>
          <w:sz w:val="24"/>
        </w:rPr>
        <w:t>education</w:t>
      </w:r>
      <w:r>
        <w:rPr>
          <w:spacing w:val="-3"/>
          <w:sz w:val="24"/>
        </w:rPr>
        <w:t> </w:t>
      </w:r>
      <w:r>
        <w:rPr>
          <w:sz w:val="24"/>
        </w:rPr>
        <w:t>strictly</w:t>
      </w:r>
      <w:r>
        <w:rPr>
          <w:spacing w:val="-3"/>
          <w:sz w:val="24"/>
        </w:rPr>
        <w:t> </w:t>
      </w:r>
      <w:r>
        <w:rPr>
          <w:sz w:val="24"/>
        </w:rPr>
        <w:t>on</w:t>
      </w:r>
      <w:r>
        <w:rPr>
          <w:spacing w:val="-3"/>
          <w:sz w:val="24"/>
        </w:rPr>
        <w:t> </w:t>
      </w:r>
      <w:r>
        <w:rPr>
          <w:sz w:val="24"/>
        </w:rPr>
        <w:t>the</w:t>
      </w:r>
      <w:r>
        <w:rPr>
          <w:spacing w:val="-3"/>
          <w:sz w:val="24"/>
        </w:rPr>
        <w:t> </w:t>
      </w:r>
      <w:r>
        <w:rPr>
          <w:sz w:val="24"/>
        </w:rPr>
        <w:t>basis</w:t>
      </w:r>
      <w:r>
        <w:rPr>
          <w:spacing w:val="-3"/>
          <w:sz w:val="24"/>
        </w:rPr>
        <w:t> </w:t>
      </w:r>
      <w:r>
        <w:rPr>
          <w:sz w:val="24"/>
        </w:rPr>
        <w:t>of</w:t>
      </w:r>
      <w:r>
        <w:rPr>
          <w:spacing w:val="-3"/>
          <w:sz w:val="24"/>
        </w:rPr>
        <w:t> </w:t>
      </w:r>
      <w:r>
        <w:rPr>
          <w:sz w:val="24"/>
        </w:rPr>
        <w:t>available</w:t>
      </w:r>
      <w:r>
        <w:rPr>
          <w:spacing w:val="-3"/>
          <w:sz w:val="24"/>
        </w:rPr>
        <w:t> </w:t>
      </w:r>
      <w:r>
        <w:rPr>
          <w:sz w:val="24"/>
        </w:rPr>
        <w:t>real</w:t>
      </w:r>
      <w:r>
        <w:rPr>
          <w:spacing w:val="-4"/>
          <w:sz w:val="24"/>
        </w:rPr>
        <w:t> </w:t>
      </w:r>
      <w:r>
        <w:rPr>
          <w:sz w:val="24"/>
        </w:rPr>
        <w:t>resources</w:t>
      </w:r>
      <w:r>
        <w:rPr>
          <w:spacing w:val="-4"/>
          <w:sz w:val="24"/>
        </w:rPr>
        <w:t> </w:t>
      </w:r>
      <w:r>
        <w:rPr>
          <w:sz w:val="24"/>
        </w:rPr>
        <w:t>in</w:t>
      </w:r>
      <w:r>
        <w:rPr>
          <w:spacing w:val="-4"/>
          <w:sz w:val="24"/>
        </w:rPr>
        <w:t> </w:t>
      </w:r>
      <w:r>
        <w:rPr>
          <w:sz w:val="24"/>
        </w:rPr>
        <w:t>terms</w:t>
      </w:r>
      <w:r>
        <w:rPr>
          <w:spacing w:val="-2"/>
          <w:sz w:val="24"/>
        </w:rPr>
        <w:t> </w:t>
      </w:r>
      <w:r>
        <w:rPr>
          <w:sz w:val="24"/>
        </w:rPr>
        <w:t>of teachers and materials and adopting a policy of selective admissions to bridge the gap between the public demand for such education and the facilities actually provided, or by adopting</w:t>
      </w:r>
      <w:r>
        <w:rPr>
          <w:spacing w:val="-2"/>
          <w:sz w:val="24"/>
        </w:rPr>
        <w:t> </w:t>
      </w:r>
      <w:r>
        <w:rPr>
          <w:sz w:val="24"/>
        </w:rPr>
        <w:t>a</w:t>
      </w:r>
      <w:r>
        <w:rPr>
          <w:spacing w:val="-2"/>
          <w:sz w:val="24"/>
        </w:rPr>
        <w:t> </w:t>
      </w:r>
      <w:r>
        <w:rPr>
          <w:sz w:val="24"/>
        </w:rPr>
        <w:t>policy</w:t>
      </w:r>
      <w:r>
        <w:rPr>
          <w:spacing w:val="-2"/>
          <w:sz w:val="24"/>
        </w:rPr>
        <w:t> </w:t>
      </w:r>
      <w:r>
        <w:rPr>
          <w:sz w:val="24"/>
        </w:rPr>
        <w:t>of</w:t>
      </w:r>
      <w:r>
        <w:rPr>
          <w:spacing w:val="-2"/>
          <w:sz w:val="24"/>
        </w:rPr>
        <w:t> </w:t>
      </w:r>
      <w:r>
        <w:rPr>
          <w:sz w:val="24"/>
        </w:rPr>
        <w:t>open-door</w:t>
      </w:r>
      <w:r>
        <w:rPr>
          <w:spacing w:val="-2"/>
          <w:sz w:val="24"/>
        </w:rPr>
        <w:t> </w:t>
      </w:r>
      <w:r>
        <w:rPr>
          <w:sz w:val="24"/>
        </w:rPr>
        <w:t>access</w:t>
      </w:r>
      <w:r>
        <w:rPr>
          <w:spacing w:val="-2"/>
          <w:sz w:val="24"/>
        </w:rPr>
        <w:t> </w:t>
      </w:r>
      <w:r>
        <w:rPr>
          <w:sz w:val="24"/>
        </w:rPr>
        <w:t>and</w:t>
      </w:r>
      <w:r>
        <w:rPr>
          <w:spacing w:val="-2"/>
          <w:sz w:val="24"/>
        </w:rPr>
        <w:t> </w:t>
      </w:r>
      <w:r>
        <w:rPr>
          <w:sz w:val="24"/>
        </w:rPr>
        <w:t>providing</w:t>
      </w:r>
      <w:r>
        <w:rPr>
          <w:spacing w:val="-3"/>
          <w:sz w:val="24"/>
        </w:rPr>
        <w:t> </w:t>
      </w:r>
      <w:r>
        <w:rPr>
          <w:sz w:val="24"/>
        </w:rPr>
        <w:t>all</w:t>
      </w:r>
      <w:r>
        <w:rPr>
          <w:spacing w:val="-3"/>
          <w:sz w:val="24"/>
        </w:rPr>
        <w:t> </w:t>
      </w:r>
      <w:r>
        <w:rPr>
          <w:sz w:val="24"/>
        </w:rPr>
        <w:t>the</w:t>
      </w:r>
      <w:r>
        <w:rPr>
          <w:spacing w:val="-3"/>
          <w:sz w:val="24"/>
        </w:rPr>
        <w:t> </w:t>
      </w:r>
      <w:r>
        <w:rPr>
          <w:sz w:val="24"/>
        </w:rPr>
        <w:t>resources</w:t>
      </w:r>
      <w:r>
        <w:rPr>
          <w:spacing w:val="-3"/>
          <w:sz w:val="24"/>
        </w:rPr>
        <w:t> </w:t>
      </w:r>
      <w:r>
        <w:rPr>
          <w:sz w:val="24"/>
        </w:rPr>
        <w:t>needed</w:t>
      </w:r>
      <w:r>
        <w:rPr>
          <w:spacing w:val="-3"/>
          <w:sz w:val="24"/>
        </w:rPr>
        <w:t> </w:t>
      </w:r>
      <w:r>
        <w:rPr>
          <w:sz w:val="24"/>
        </w:rPr>
        <w:t>to</w:t>
      </w:r>
      <w:r>
        <w:rPr>
          <w:spacing w:val="-3"/>
          <w:sz w:val="24"/>
        </w:rPr>
        <w:t> </w:t>
      </w:r>
      <w:r>
        <w:rPr>
          <w:sz w:val="24"/>
        </w:rPr>
        <w:t>create</w:t>
      </w:r>
      <w:r>
        <w:rPr>
          <w:spacing w:val="-3"/>
          <w:sz w:val="24"/>
        </w:rPr>
        <w:t> </w:t>
      </w:r>
      <w:r>
        <w:rPr>
          <w:sz w:val="24"/>
        </w:rPr>
        <w:t>the required facilities and to maintain them at the optimum level of efficiency. But as it was neither possible to resist the demand nor to raise all the needed resources, a compromise approach was attempted: the access to all secondary education was provided on an open- door basis; and in higher education, both the selective and open-door policies were operated upon simultaneously in different sectors.</w:t>
      </w:r>
    </w:p>
    <w:p>
      <w:pPr>
        <w:pStyle w:val="BodyText"/>
        <w:spacing w:before="4"/>
      </w:pPr>
    </w:p>
    <w:p>
      <w:pPr>
        <w:pStyle w:val="ListParagraph"/>
        <w:numPr>
          <w:ilvl w:val="1"/>
          <w:numId w:val="96"/>
        </w:numPr>
        <w:tabs>
          <w:tab w:pos="676" w:val="left" w:leader="none"/>
        </w:tabs>
        <w:spacing w:line="240" w:lineRule="auto" w:before="0" w:after="0"/>
        <w:ind w:left="160" w:right="497" w:firstLine="0"/>
        <w:jc w:val="both"/>
        <w:rPr>
          <w:sz w:val="24"/>
        </w:rPr>
      </w:pPr>
      <w:r>
        <w:rPr>
          <w:sz w:val="24"/>
        </w:rPr>
        <w:t>This policy has had several undesirable consequences. As overall resources </w:t>
      </w:r>
      <w:r>
        <w:rPr>
          <w:sz w:val="24"/>
        </w:rPr>
        <w:t>were limited and were absorbed in programmes of expansion of general education, it became impossible to pay adequate attention to programmes of qualitative improvement or vocationalization. Most of this expansion has also been non-egalitarian since secondary schools and colleges enrolled students who had access to them and who could afford the expenditure involved, although their preparation and motivation were often inadequate. On the other hand, they failed to enroll a large proportion of talented students who were prevented from studying further by social or economic handicaps. The benefits of expansion thus went largely to the privileged rather than to the under-privileged classes. Moreover, there grew up an imbalance between the development of general and vocational education, the former far exceeding demand and the latter generally falling much</w:t>
      </w:r>
      <w:r>
        <w:rPr>
          <w:spacing w:val="39"/>
          <w:sz w:val="24"/>
        </w:rPr>
        <w:t> </w:t>
      </w:r>
      <w:r>
        <w:rPr>
          <w:sz w:val="24"/>
        </w:rPr>
        <w:t>below</w:t>
      </w:r>
      <w:r>
        <w:rPr>
          <w:spacing w:val="40"/>
          <w:sz w:val="24"/>
        </w:rPr>
        <w:t> </w:t>
      </w:r>
      <w:r>
        <w:rPr>
          <w:sz w:val="24"/>
        </w:rPr>
        <w:t>it.</w:t>
      </w:r>
      <w:r>
        <w:rPr>
          <w:spacing w:val="40"/>
          <w:sz w:val="24"/>
        </w:rPr>
        <w:t> </w:t>
      </w:r>
      <w:r>
        <w:rPr>
          <w:sz w:val="24"/>
        </w:rPr>
        <w:t>Consequently,</w:t>
      </w:r>
      <w:r>
        <w:rPr>
          <w:spacing w:val="40"/>
          <w:sz w:val="24"/>
        </w:rPr>
        <w:t> </w:t>
      </w:r>
      <w:r>
        <w:rPr>
          <w:sz w:val="24"/>
        </w:rPr>
        <w:t>the</w:t>
      </w:r>
      <w:r>
        <w:rPr>
          <w:spacing w:val="39"/>
          <w:sz w:val="24"/>
        </w:rPr>
        <w:t> </w:t>
      </w:r>
      <w:r>
        <w:rPr>
          <w:sz w:val="24"/>
        </w:rPr>
        <w:t>output</w:t>
      </w:r>
      <w:r>
        <w:rPr>
          <w:spacing w:val="40"/>
          <w:sz w:val="24"/>
        </w:rPr>
        <w:t> </w:t>
      </w:r>
      <w:r>
        <w:rPr>
          <w:sz w:val="24"/>
        </w:rPr>
        <w:t>of</w:t>
      </w:r>
      <w:r>
        <w:rPr>
          <w:spacing w:val="40"/>
          <w:sz w:val="24"/>
        </w:rPr>
        <w:t> </w:t>
      </w:r>
      <w:r>
        <w:rPr>
          <w:sz w:val="24"/>
        </w:rPr>
        <w:t>matriculates</w:t>
      </w:r>
      <w:r>
        <w:rPr>
          <w:spacing w:val="40"/>
          <w:sz w:val="24"/>
        </w:rPr>
        <w:t> </w:t>
      </w:r>
      <w:r>
        <w:rPr>
          <w:sz w:val="24"/>
        </w:rPr>
        <w:t>and</w:t>
      </w:r>
      <w:r>
        <w:rPr>
          <w:spacing w:val="39"/>
          <w:sz w:val="24"/>
        </w:rPr>
        <w:t> </w:t>
      </w:r>
      <w:r>
        <w:rPr>
          <w:sz w:val="24"/>
        </w:rPr>
        <w:t>of</w:t>
      </w:r>
      <w:r>
        <w:rPr>
          <w:spacing w:val="40"/>
          <w:sz w:val="24"/>
        </w:rPr>
        <w:t> </w:t>
      </w:r>
      <w:r>
        <w:rPr>
          <w:sz w:val="24"/>
        </w:rPr>
        <w:t>graduates</w:t>
      </w:r>
      <w:r>
        <w:rPr>
          <w:spacing w:val="40"/>
          <w:sz w:val="24"/>
        </w:rPr>
        <w:t> </w:t>
      </w:r>
      <w:r>
        <w:rPr>
          <w:sz w:val="24"/>
        </w:rPr>
        <w:t>in</w:t>
      </w:r>
      <w:r>
        <w:rPr>
          <w:spacing w:val="40"/>
          <w:sz w:val="24"/>
        </w:rPr>
        <w:t> </w:t>
      </w:r>
      <w:r>
        <w:rPr>
          <w:sz w:val="24"/>
        </w:rPr>
        <w:t>arts</w:t>
      </w:r>
      <w:r>
        <w:rPr>
          <w:spacing w:val="39"/>
          <w:sz w:val="24"/>
        </w:rPr>
        <w:t> </w:t>
      </w:r>
      <w:r>
        <w:rPr>
          <w:spacing w:val="-5"/>
          <w:sz w:val="24"/>
        </w:rPr>
        <w:t>and</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commerce was in excess of demand and created problems of educated unemployment while trained personnel for the development of agriculture, industry or research remained in short supply.</w:t>
      </w:r>
    </w:p>
    <w:p>
      <w:pPr>
        <w:pStyle w:val="BodyText"/>
        <w:spacing w:before="4"/>
      </w:pPr>
    </w:p>
    <w:p>
      <w:pPr>
        <w:pStyle w:val="ListParagraph"/>
        <w:numPr>
          <w:ilvl w:val="1"/>
          <w:numId w:val="96"/>
        </w:numPr>
        <w:tabs>
          <w:tab w:pos="661" w:val="left" w:leader="none"/>
        </w:tabs>
        <w:spacing w:line="240" w:lineRule="auto" w:before="0" w:after="0"/>
        <w:ind w:left="159" w:right="496" w:firstLine="0"/>
        <w:jc w:val="both"/>
        <w:rPr>
          <w:sz w:val="24"/>
        </w:rPr>
      </w:pPr>
      <w:r>
        <w:rPr>
          <w:sz w:val="24"/>
        </w:rPr>
        <w:t>During the next two decades, the demand for secondary and higher education will increase still further as primary education becomes universal and the general economic conditions improve. Under these circumstances, a continuation of the earlier enrolment policies will merely accentuate these evils. It is, therefore, necessary to adopt some definite policy of 'selective admissions' so as to relate enrolments to facilities available and to maintain standards.</w:t>
      </w:r>
    </w:p>
    <w:p>
      <w:pPr>
        <w:pStyle w:val="BodyText"/>
        <w:spacing w:before="4"/>
      </w:pPr>
    </w:p>
    <w:p>
      <w:pPr>
        <w:pStyle w:val="ListParagraph"/>
        <w:numPr>
          <w:ilvl w:val="1"/>
          <w:numId w:val="96"/>
        </w:numPr>
        <w:tabs>
          <w:tab w:pos="641" w:val="left" w:leader="none"/>
        </w:tabs>
        <w:spacing w:line="240" w:lineRule="auto" w:before="0" w:after="0"/>
        <w:ind w:left="160" w:right="497" w:firstLine="0"/>
        <w:jc w:val="both"/>
        <w:rPr>
          <w:b/>
          <w:sz w:val="24"/>
        </w:rPr>
      </w:pPr>
      <w:r>
        <w:rPr>
          <w:b/>
          <w:sz w:val="24"/>
        </w:rPr>
        <w:t>The Pool of Ability. </w:t>
      </w:r>
      <w:r>
        <w:rPr>
          <w:sz w:val="24"/>
        </w:rPr>
        <w:t>Providing secondary and higher education to all the potentially able students generally sets up a very high target which even affluent societies find it difficult to achieve. It will be obviously beyond our reach, at least in the immediate future, in view of the limited resources available. This should, however, be the goal towards which we should continually move. In the transitional period, immediate </w:t>
      </w:r>
      <w:r>
        <w:rPr>
          <w:sz w:val="24"/>
        </w:rPr>
        <w:t>effect should be given to one important implication of this policy, viz., to ensure that all gifted students</w:t>
      </w:r>
      <w:r>
        <w:rPr>
          <w:spacing w:val="-3"/>
          <w:sz w:val="24"/>
        </w:rPr>
        <w:t> </w:t>
      </w:r>
      <w:r>
        <w:rPr>
          <w:sz w:val="24"/>
        </w:rPr>
        <w:t>(at</w:t>
      </w:r>
      <w:r>
        <w:rPr>
          <w:spacing w:val="-3"/>
          <w:sz w:val="24"/>
        </w:rPr>
        <w:t> </w:t>
      </w:r>
      <w:r>
        <w:rPr>
          <w:sz w:val="24"/>
        </w:rPr>
        <w:t>least</w:t>
      </w:r>
      <w:r>
        <w:rPr>
          <w:spacing w:val="-3"/>
          <w:sz w:val="24"/>
        </w:rPr>
        <w:t> </w:t>
      </w:r>
      <w:r>
        <w:rPr>
          <w:sz w:val="24"/>
        </w:rPr>
        <w:t>the</w:t>
      </w:r>
      <w:r>
        <w:rPr>
          <w:spacing w:val="-3"/>
          <w:sz w:val="24"/>
        </w:rPr>
        <w:t> </w:t>
      </w:r>
      <w:r>
        <w:rPr>
          <w:sz w:val="24"/>
        </w:rPr>
        <w:t>top</w:t>
      </w:r>
      <w:r>
        <w:rPr>
          <w:spacing w:val="-3"/>
          <w:sz w:val="24"/>
        </w:rPr>
        <w:t> </w:t>
      </w:r>
      <w:r>
        <w:rPr>
          <w:sz w:val="24"/>
        </w:rPr>
        <w:t>515</w:t>
      </w:r>
      <w:r>
        <w:rPr>
          <w:spacing w:val="-3"/>
          <w:sz w:val="24"/>
        </w:rPr>
        <w:t> </w:t>
      </w:r>
      <w:r>
        <w:rPr>
          <w:sz w:val="24"/>
        </w:rPr>
        <w:t>per</w:t>
      </w:r>
      <w:r>
        <w:rPr>
          <w:spacing w:val="-2"/>
          <w:sz w:val="24"/>
        </w:rPr>
        <w:t> </w:t>
      </w:r>
      <w:r>
        <w:rPr>
          <w:sz w:val="24"/>
        </w:rPr>
        <w:t>cent</w:t>
      </w:r>
      <w:r>
        <w:rPr>
          <w:spacing w:val="-2"/>
          <w:sz w:val="24"/>
        </w:rPr>
        <w:t> </w:t>
      </w:r>
      <w:r>
        <w:rPr>
          <w:sz w:val="24"/>
        </w:rPr>
        <w:t>of</w:t>
      </w:r>
      <w:r>
        <w:rPr>
          <w:spacing w:val="-2"/>
          <w:sz w:val="24"/>
        </w:rPr>
        <w:t> </w:t>
      </w:r>
      <w:r>
        <w:rPr>
          <w:sz w:val="24"/>
        </w:rPr>
        <w:t>all</w:t>
      </w:r>
      <w:r>
        <w:rPr>
          <w:spacing w:val="-2"/>
          <w:sz w:val="24"/>
        </w:rPr>
        <w:t> </w:t>
      </w:r>
      <w:r>
        <w:rPr>
          <w:sz w:val="24"/>
        </w:rPr>
        <w:t>students),</w:t>
      </w:r>
      <w:r>
        <w:rPr>
          <w:spacing w:val="-2"/>
          <w:sz w:val="24"/>
        </w:rPr>
        <w:t> </w:t>
      </w:r>
      <w:r>
        <w:rPr>
          <w:sz w:val="24"/>
        </w:rPr>
        <w:t>who</w:t>
      </w:r>
      <w:r>
        <w:rPr>
          <w:spacing w:val="-2"/>
          <w:sz w:val="24"/>
        </w:rPr>
        <w:t> </w:t>
      </w:r>
      <w:r>
        <w:rPr>
          <w:sz w:val="24"/>
        </w:rPr>
        <w:t>complete</w:t>
      </w:r>
      <w:r>
        <w:rPr>
          <w:spacing w:val="-2"/>
          <w:sz w:val="24"/>
        </w:rPr>
        <w:t> </w:t>
      </w:r>
      <w:r>
        <w:rPr>
          <w:sz w:val="24"/>
        </w:rPr>
        <w:t>primary</w:t>
      </w:r>
      <w:r>
        <w:rPr>
          <w:spacing w:val="-2"/>
          <w:sz w:val="24"/>
        </w:rPr>
        <w:t> </w:t>
      </w:r>
      <w:r>
        <w:rPr>
          <w:sz w:val="24"/>
        </w:rPr>
        <w:t>or</w:t>
      </w:r>
      <w:r>
        <w:rPr>
          <w:spacing w:val="-2"/>
          <w:sz w:val="24"/>
        </w:rPr>
        <w:t> </w:t>
      </w:r>
      <w:r>
        <w:rPr>
          <w:sz w:val="24"/>
        </w:rPr>
        <w:t>secondary education are enabled to study further in institutions of secondary (or higher) education. For this purpose, it will be necessary to provide a large number of scholarships on the lines to be discussed later.</w:t>
      </w:r>
      <w:r>
        <w:rPr>
          <w:b/>
          <w:sz w:val="24"/>
          <w:vertAlign w:val="superscript"/>
        </w:rPr>
        <w:t>40</w:t>
      </w:r>
    </w:p>
    <w:p>
      <w:pPr>
        <w:pStyle w:val="BodyText"/>
        <w:spacing w:before="5"/>
        <w:rPr>
          <w:b/>
        </w:rPr>
      </w:pPr>
    </w:p>
    <w:p>
      <w:pPr>
        <w:pStyle w:val="ListParagraph"/>
        <w:numPr>
          <w:ilvl w:val="1"/>
          <w:numId w:val="98"/>
        </w:numPr>
        <w:tabs>
          <w:tab w:pos="672" w:val="left" w:leader="none"/>
        </w:tabs>
        <w:spacing w:line="240" w:lineRule="auto" w:before="0" w:after="0"/>
        <w:ind w:left="160" w:right="495" w:firstLine="0"/>
        <w:jc w:val="both"/>
        <w:rPr>
          <w:b/>
          <w:sz w:val="24"/>
        </w:rPr>
      </w:pPr>
      <w:r>
        <w:rPr>
          <w:b/>
          <w:sz w:val="24"/>
        </w:rPr>
        <w:t>Capacity to Provide Facilities. </w:t>
      </w:r>
      <w:r>
        <w:rPr>
          <w:sz w:val="24"/>
        </w:rPr>
        <w:t>In planning enrolment facilities, it is essential to take into consideration the real resources available and the capacity of the society to create the educational facilities needed or in demand. There are internal constraints in every educational system which limit expansion of facilities, especially in secondary and higher education. These are the availability of competent teachers, of physical plant and of finance. Even in affluent societies, these built-in constraints make it almost impossible to provide all those facilities, quantitatively and qualitatively, which would be required</w:t>
      </w:r>
      <w:r>
        <w:rPr>
          <w:spacing w:val="40"/>
          <w:sz w:val="24"/>
        </w:rPr>
        <w:t> </w:t>
      </w:r>
      <w:r>
        <w:rPr>
          <w:sz w:val="24"/>
        </w:rPr>
        <w:t>on the basis of public demand or for the development of the total pool of ability. This is all the more so in a developing economy like our own. In trying to meet the pressures of the public demand, these constraints are often overcome by diluting standards. There are many instances where institutions have been started without the necessary teachers being available, without the needed equipment and without adequate financial allocations. This all</w:t>
      </w:r>
      <w:r>
        <w:rPr>
          <w:spacing w:val="-1"/>
          <w:sz w:val="24"/>
        </w:rPr>
        <w:t> </w:t>
      </w:r>
      <w:r>
        <w:rPr>
          <w:sz w:val="24"/>
        </w:rPr>
        <w:t>too</w:t>
      </w:r>
      <w:r>
        <w:rPr>
          <w:spacing w:val="-1"/>
          <w:sz w:val="24"/>
        </w:rPr>
        <w:t> </w:t>
      </w:r>
      <w:r>
        <w:rPr>
          <w:sz w:val="24"/>
        </w:rPr>
        <w:t>common</w:t>
      </w:r>
      <w:r>
        <w:rPr>
          <w:spacing w:val="-1"/>
          <w:sz w:val="24"/>
        </w:rPr>
        <w:t> </w:t>
      </w:r>
      <w:r>
        <w:rPr>
          <w:sz w:val="24"/>
        </w:rPr>
        <w:t>practice</w:t>
      </w:r>
      <w:r>
        <w:rPr>
          <w:spacing w:val="-1"/>
          <w:sz w:val="24"/>
        </w:rPr>
        <w:t> </w:t>
      </w:r>
      <w:r>
        <w:rPr>
          <w:sz w:val="24"/>
        </w:rPr>
        <w:t>must</w:t>
      </w:r>
      <w:r>
        <w:rPr>
          <w:spacing w:val="-1"/>
          <w:sz w:val="24"/>
        </w:rPr>
        <w:t> </w:t>
      </w:r>
      <w:r>
        <w:rPr>
          <w:sz w:val="24"/>
        </w:rPr>
        <w:t>be</w:t>
      </w:r>
      <w:r>
        <w:rPr>
          <w:spacing w:val="-1"/>
          <w:sz w:val="24"/>
        </w:rPr>
        <w:t> </w:t>
      </w:r>
      <w:r>
        <w:rPr>
          <w:sz w:val="24"/>
        </w:rPr>
        <w:t>resisted</w:t>
      </w:r>
      <w:r>
        <w:rPr>
          <w:spacing w:val="-1"/>
          <w:sz w:val="24"/>
        </w:rPr>
        <w:t> </w:t>
      </w:r>
      <w:r>
        <w:rPr>
          <w:sz w:val="24"/>
        </w:rPr>
        <w:t>in</w:t>
      </w:r>
      <w:r>
        <w:rPr>
          <w:spacing w:val="-1"/>
          <w:sz w:val="24"/>
        </w:rPr>
        <w:t> </w:t>
      </w:r>
      <w:r>
        <w:rPr>
          <w:sz w:val="24"/>
        </w:rPr>
        <w:t>the</w:t>
      </w:r>
      <w:r>
        <w:rPr>
          <w:spacing w:val="-1"/>
          <w:sz w:val="24"/>
        </w:rPr>
        <w:t> </w:t>
      </w:r>
      <w:r>
        <w:rPr>
          <w:sz w:val="24"/>
        </w:rPr>
        <w:t>larger</w:t>
      </w:r>
      <w:r>
        <w:rPr>
          <w:spacing w:val="-1"/>
          <w:sz w:val="24"/>
        </w:rPr>
        <w:t> </w:t>
      </w:r>
      <w:r>
        <w:rPr>
          <w:sz w:val="24"/>
        </w:rPr>
        <w:t>interests of the country. If a society</w:t>
      </w:r>
    </w:p>
    <w:p>
      <w:pPr>
        <w:pStyle w:val="BodyText"/>
        <w:spacing w:before="4"/>
      </w:pPr>
    </w:p>
    <w:p>
      <w:pPr>
        <w:pStyle w:val="BodyText"/>
        <w:ind w:left="160" w:right="496"/>
        <w:jc w:val="both"/>
      </w:pPr>
      <w:r>
        <w:rPr/>
        <w:t>does not have the resources to meet the entire public demand for secondary and </w:t>
      </w:r>
      <w:r>
        <w:rPr/>
        <w:t>higher education, that is really unfortunate; but it would be tragic if this limitation was ignored and educational standards were thrown in jeopardy.</w:t>
      </w:r>
    </w:p>
    <w:p>
      <w:pPr>
        <w:pStyle w:val="BodyText"/>
        <w:spacing w:before="3"/>
      </w:pPr>
    </w:p>
    <w:p>
      <w:pPr>
        <w:pStyle w:val="ListParagraph"/>
        <w:numPr>
          <w:ilvl w:val="1"/>
          <w:numId w:val="98"/>
        </w:numPr>
        <w:tabs>
          <w:tab w:pos="647" w:val="left" w:leader="none"/>
        </w:tabs>
        <w:spacing w:line="240" w:lineRule="auto" w:before="1" w:after="0"/>
        <w:ind w:left="160" w:right="498" w:firstLine="0"/>
        <w:jc w:val="both"/>
        <w:rPr>
          <w:b/>
          <w:sz w:val="24"/>
        </w:rPr>
      </w:pPr>
      <w:r>
        <w:rPr>
          <w:b/>
          <w:sz w:val="24"/>
        </w:rPr>
        <w:t>Manpower Needs. </w:t>
      </w:r>
      <w:r>
        <w:rPr>
          <w:sz w:val="24"/>
        </w:rPr>
        <w:t>We would also like to stress the need to pay due attention to the relationship between enrolment and manpower requirements. If India is to achieve its targets of economic growth it must have an adequate supply of educated specialists for</w:t>
      </w:r>
    </w:p>
    <w:p>
      <w:pPr>
        <w:pStyle w:val="BodyText"/>
        <w:spacing w:before="4"/>
      </w:pPr>
    </w:p>
    <w:p>
      <w:pPr>
        <w:pStyle w:val="BodyText"/>
        <w:ind w:left="160"/>
        <w:jc w:val="both"/>
      </w:pPr>
      <w:r>
        <w:rPr>
          <w:b/>
          <w:vertAlign w:val="superscript"/>
        </w:rPr>
        <w:t>40</w:t>
      </w:r>
      <w:r>
        <w:rPr>
          <w:vertAlign w:val="baseline"/>
        </w:rPr>
        <w:t>See</w:t>
      </w:r>
      <w:r>
        <w:rPr>
          <w:spacing w:val="-1"/>
          <w:vertAlign w:val="baseline"/>
        </w:rPr>
        <w:t> </w:t>
      </w:r>
      <w:r>
        <w:rPr>
          <w:vertAlign w:val="baseline"/>
        </w:rPr>
        <w:t>Chapter</w:t>
      </w:r>
      <w:r>
        <w:rPr>
          <w:spacing w:val="-1"/>
          <w:vertAlign w:val="baseline"/>
        </w:rPr>
        <w:t> </w:t>
      </w:r>
      <w:r>
        <w:rPr>
          <w:spacing w:val="-5"/>
          <w:vertAlign w:val="baseline"/>
        </w:rPr>
        <w:t>VI.</w:t>
      </w:r>
    </w:p>
    <w:p>
      <w:pPr>
        <w:spacing w:after="0"/>
        <w:jc w:val="both"/>
        <w:sectPr>
          <w:pgSz w:w="12240" w:h="15840"/>
          <w:pgMar w:header="0" w:footer="743" w:top="1360" w:bottom="940" w:left="1640" w:right="1300"/>
        </w:sectPr>
      </w:pPr>
    </w:p>
    <w:p>
      <w:pPr>
        <w:pStyle w:val="BodyText"/>
        <w:spacing w:before="76"/>
        <w:ind w:left="160" w:right="495"/>
        <w:jc w:val="both"/>
      </w:pPr>
      <w:r>
        <w:rPr/>
        <w:t>each category of job to be performed. Conversely, if there is an excess of trained people in any category, it implies an imprudent use of scarce resources and also creates difficult problems of unemployment of the educated. Even from the point of view of the individual, some matching of educational patterns and job opportunities is vital. Nothing is more frustrating than to be under-qualified or over- qualified for a job, or to be unemployed because there is no call for one's qualifications. We believe, therefore, that estimates of future manpower needs form a useful basis for regulating enrolment patterns above the primary level.</w:t>
      </w:r>
    </w:p>
    <w:p>
      <w:pPr>
        <w:pStyle w:val="BodyText"/>
        <w:spacing w:before="4"/>
      </w:pPr>
    </w:p>
    <w:p>
      <w:pPr>
        <w:pStyle w:val="ListParagraph"/>
        <w:numPr>
          <w:ilvl w:val="1"/>
          <w:numId w:val="98"/>
        </w:numPr>
        <w:tabs>
          <w:tab w:pos="686" w:val="left" w:leader="none"/>
        </w:tabs>
        <w:spacing w:line="240" w:lineRule="auto" w:before="0" w:after="0"/>
        <w:ind w:left="159" w:right="496" w:firstLine="0"/>
        <w:jc w:val="both"/>
        <w:rPr>
          <w:sz w:val="24"/>
        </w:rPr>
      </w:pPr>
      <w:r>
        <w:rPr>
          <w:sz w:val="24"/>
        </w:rPr>
        <w:t>This broad recommendation of relating the provision of educational facilities in secondary and higher education to estimated manpower needs has to be understood in the light of some general reservations. Manpower forecasting is not a precise operation because of the large number of imponderables involved. It is, therefore, necessary </w:t>
      </w:r>
      <w:r>
        <w:rPr>
          <w:sz w:val="24"/>
        </w:rPr>
        <w:t>to make a continuous effort to improve the collection of necessary data and the techniques</w:t>
      </w:r>
      <w:r>
        <w:rPr>
          <w:spacing w:val="40"/>
          <w:sz w:val="24"/>
        </w:rPr>
        <w:t> </w:t>
      </w:r>
      <w:r>
        <w:rPr>
          <w:sz w:val="24"/>
        </w:rPr>
        <w:t>of forecasting. This should be done regularly by the Central and State Governments. As manpower forecasts are ordinarily expressed in quantitative terms, the expansion of educational facilities tends to receive undue emphasis in translating them into enrolment terms. It is, therefore, essential to emphasize the quality of manpower produced because economic growth can be hindered rather' than accelerated if appropriate standards are not maintained. Moreover, manpower needs cannot be the only criterion for regulating the provision of facilities. Before final decisions are taken, its indications will have to be checked with the conclusions drawn from calculations based on the other criteria. However, even after making due allowance for these limitations, estimated manpower needs provide four broad indications in terms of magnitudes, e.g., the total enrolments needed in secondary and higher education; enrolments needed in different types of courses; shortages and surpluses in the manpower situation; and priorities involved.</w:t>
      </w:r>
    </w:p>
    <w:p>
      <w:pPr>
        <w:pStyle w:val="BodyText"/>
        <w:spacing w:before="4"/>
      </w:pPr>
    </w:p>
    <w:p>
      <w:pPr>
        <w:pStyle w:val="ListParagraph"/>
        <w:numPr>
          <w:ilvl w:val="1"/>
          <w:numId w:val="98"/>
        </w:numPr>
        <w:tabs>
          <w:tab w:pos="654" w:val="left" w:leader="none"/>
        </w:tabs>
        <w:spacing w:line="240" w:lineRule="auto" w:before="0" w:after="0"/>
        <w:ind w:left="159" w:right="496" w:firstLine="0"/>
        <w:jc w:val="both"/>
        <w:rPr>
          <w:b/>
          <w:sz w:val="24"/>
        </w:rPr>
      </w:pPr>
      <w:r>
        <w:rPr>
          <w:b/>
          <w:sz w:val="24"/>
        </w:rPr>
        <w:t>A Strategy of Development. </w:t>
      </w:r>
      <w:r>
        <w:rPr>
          <w:sz w:val="24"/>
        </w:rPr>
        <w:t>It will be seen from the foregoing discussion that the minimum level of expansion is provided. by the capacity to expand facilities in terms of real resources and that the public demand for secondary and higher education as well as the need to develop the available pool of talent to the fullest extent possible generally set high targets which are difficult to realize in the immediate future. The gap between these high and low targets can be bridged by considerations which emerge from manpower needs and equalization of educational opportunities. These will indicate the priorities to be adopted, the different courses of study to be developed, the extent to which facilities should be provided in the different courses and the manner in which enrolments in them could be made to include at least the best students in the community.</w:t>
      </w:r>
    </w:p>
    <w:p>
      <w:pPr>
        <w:pStyle w:val="BodyText"/>
        <w:spacing w:before="6"/>
      </w:pPr>
    </w:p>
    <w:p>
      <w:pPr>
        <w:pStyle w:val="Heading1"/>
        <w:spacing w:before="1"/>
        <w:ind w:left="291"/>
      </w:pPr>
      <w:r>
        <w:rPr/>
        <w:t>A</w:t>
      </w:r>
      <w:r>
        <w:rPr>
          <w:spacing w:val="-4"/>
        </w:rPr>
        <w:t> </w:t>
      </w:r>
      <w:r>
        <w:rPr/>
        <w:t>FORECAST</w:t>
      </w:r>
      <w:r>
        <w:rPr>
          <w:spacing w:val="-4"/>
        </w:rPr>
        <w:t> </w:t>
      </w:r>
      <w:r>
        <w:rPr/>
        <w:t>OF</w:t>
      </w:r>
      <w:r>
        <w:rPr>
          <w:spacing w:val="-4"/>
        </w:rPr>
        <w:t> </w:t>
      </w:r>
      <w:r>
        <w:rPr/>
        <w:t>MANPOWER</w:t>
      </w:r>
      <w:r>
        <w:rPr>
          <w:spacing w:val="-4"/>
        </w:rPr>
        <w:t> </w:t>
      </w:r>
      <w:r>
        <w:rPr>
          <w:spacing w:val="-2"/>
        </w:rPr>
        <w:t>NEEDS</w:t>
      </w:r>
    </w:p>
    <w:p>
      <w:pPr>
        <w:pStyle w:val="BodyText"/>
        <w:spacing w:before="2"/>
        <w:rPr>
          <w:b/>
        </w:rPr>
      </w:pPr>
    </w:p>
    <w:p>
      <w:pPr>
        <w:pStyle w:val="ListParagraph"/>
        <w:numPr>
          <w:ilvl w:val="1"/>
          <w:numId w:val="98"/>
        </w:numPr>
        <w:tabs>
          <w:tab w:pos="671" w:val="left" w:leader="none"/>
        </w:tabs>
        <w:spacing w:line="240" w:lineRule="auto" w:before="0" w:after="0"/>
        <w:ind w:left="160" w:right="495" w:firstLine="0"/>
        <w:jc w:val="both"/>
        <w:rPr>
          <w:b/>
          <w:sz w:val="24"/>
        </w:rPr>
      </w:pPr>
      <w:r>
        <w:rPr>
          <w:b/>
          <w:sz w:val="24"/>
        </w:rPr>
        <w:t>The ISI-LSE Estimates. </w:t>
      </w:r>
      <w:r>
        <w:rPr>
          <w:sz w:val="24"/>
        </w:rPr>
        <w:t>We have recommended that educational facilities at the post-primary stage should be broadly related to manpower needs. Our task now is to forecast these needs and study their educational implications. In this, we have been fortunate</w:t>
      </w:r>
      <w:r>
        <w:rPr>
          <w:spacing w:val="-1"/>
          <w:sz w:val="24"/>
        </w:rPr>
        <w:t> </w:t>
      </w:r>
      <w:r>
        <w:rPr>
          <w:sz w:val="24"/>
        </w:rPr>
        <w:t>in</w:t>
      </w:r>
      <w:r>
        <w:rPr>
          <w:spacing w:val="-1"/>
          <w:sz w:val="24"/>
        </w:rPr>
        <w:t> </w:t>
      </w:r>
      <w:r>
        <w:rPr>
          <w:sz w:val="24"/>
        </w:rPr>
        <w:t>having</w:t>
      </w:r>
      <w:r>
        <w:rPr>
          <w:spacing w:val="-1"/>
          <w:sz w:val="24"/>
        </w:rPr>
        <w:t> </w:t>
      </w:r>
      <w:r>
        <w:rPr>
          <w:sz w:val="24"/>
        </w:rPr>
        <w:t>two</w:t>
      </w:r>
      <w:r>
        <w:rPr>
          <w:spacing w:val="-1"/>
          <w:sz w:val="24"/>
        </w:rPr>
        <w:t> </w:t>
      </w:r>
      <w:r>
        <w:rPr>
          <w:sz w:val="24"/>
        </w:rPr>
        <w:t>estimates</w:t>
      </w:r>
      <w:r>
        <w:rPr>
          <w:spacing w:val="-1"/>
          <w:sz w:val="24"/>
        </w:rPr>
        <w:t> </w:t>
      </w:r>
      <w:r>
        <w:rPr>
          <w:sz w:val="24"/>
        </w:rPr>
        <w:t>prepared</w:t>
      </w:r>
      <w:r>
        <w:rPr>
          <w:spacing w:val="-1"/>
          <w:sz w:val="24"/>
        </w:rPr>
        <w:t> </w:t>
      </w:r>
      <w:r>
        <w:rPr>
          <w:sz w:val="24"/>
        </w:rPr>
        <w:t>for</w:t>
      </w:r>
      <w:r>
        <w:rPr>
          <w:spacing w:val="-4"/>
          <w:sz w:val="24"/>
        </w:rPr>
        <w:t> </w:t>
      </w:r>
      <w:r>
        <w:rPr>
          <w:sz w:val="24"/>
        </w:rPr>
        <w:t>us:</w:t>
      </w:r>
      <w:r>
        <w:rPr>
          <w:spacing w:val="-1"/>
          <w:sz w:val="24"/>
        </w:rPr>
        <w:t> </w:t>
      </w:r>
      <w:r>
        <w:rPr>
          <w:sz w:val="24"/>
        </w:rPr>
        <w:t>one,</w:t>
      </w:r>
      <w:r>
        <w:rPr>
          <w:spacing w:val="-1"/>
          <w:sz w:val="24"/>
        </w:rPr>
        <w:t> </w:t>
      </w:r>
      <w:r>
        <w:rPr>
          <w:sz w:val="24"/>
        </w:rPr>
        <w:t>a</w:t>
      </w:r>
      <w:r>
        <w:rPr>
          <w:spacing w:val="-1"/>
          <w:sz w:val="24"/>
        </w:rPr>
        <w:t> </w:t>
      </w:r>
      <w:r>
        <w:rPr>
          <w:sz w:val="24"/>
        </w:rPr>
        <w:t>series</w:t>
      </w:r>
      <w:r>
        <w:rPr>
          <w:spacing w:val="-1"/>
          <w:sz w:val="24"/>
        </w:rPr>
        <w:t> </w:t>
      </w:r>
      <w:r>
        <w:rPr>
          <w:sz w:val="24"/>
        </w:rPr>
        <w:t>of</w:t>
      </w:r>
      <w:r>
        <w:rPr>
          <w:spacing w:val="-1"/>
          <w:sz w:val="24"/>
        </w:rPr>
        <w:t> </w:t>
      </w:r>
      <w:r>
        <w:rPr>
          <w:sz w:val="24"/>
        </w:rPr>
        <w:t>elaborate</w:t>
      </w:r>
      <w:r>
        <w:rPr>
          <w:spacing w:val="-1"/>
          <w:sz w:val="24"/>
        </w:rPr>
        <w:t> </w:t>
      </w:r>
      <w:r>
        <w:rPr>
          <w:sz w:val="24"/>
        </w:rPr>
        <w:t>investigations carried out by the Institute of Applied Manpower Research; and the other, a part of a longer</w:t>
      </w:r>
      <w:r>
        <w:rPr>
          <w:spacing w:val="40"/>
          <w:sz w:val="24"/>
        </w:rPr>
        <w:t> </w:t>
      </w:r>
      <w:r>
        <w:rPr>
          <w:sz w:val="24"/>
        </w:rPr>
        <w:t>study</w:t>
      </w:r>
      <w:r>
        <w:rPr>
          <w:spacing w:val="40"/>
          <w:sz w:val="24"/>
        </w:rPr>
        <w:t> </w:t>
      </w:r>
      <w:r>
        <w:rPr>
          <w:sz w:val="24"/>
        </w:rPr>
        <w:t>undertaken</w:t>
      </w:r>
      <w:r>
        <w:rPr>
          <w:spacing w:val="40"/>
          <w:sz w:val="24"/>
        </w:rPr>
        <w:t> </w:t>
      </w:r>
      <w:r>
        <w:rPr>
          <w:sz w:val="24"/>
        </w:rPr>
        <w:t>by</w:t>
      </w:r>
      <w:r>
        <w:rPr>
          <w:spacing w:val="40"/>
          <w:sz w:val="24"/>
        </w:rPr>
        <w:t> </w:t>
      </w:r>
      <w:r>
        <w:rPr>
          <w:sz w:val="24"/>
        </w:rPr>
        <w:t>the</w:t>
      </w:r>
      <w:r>
        <w:rPr>
          <w:spacing w:val="40"/>
          <w:sz w:val="24"/>
        </w:rPr>
        <w:t> </w:t>
      </w:r>
      <w:r>
        <w:rPr>
          <w:sz w:val="24"/>
        </w:rPr>
        <w:t>Planning</w:t>
      </w:r>
      <w:r>
        <w:rPr>
          <w:spacing w:val="40"/>
          <w:sz w:val="24"/>
        </w:rPr>
        <w:t> </w:t>
      </w:r>
      <w:r>
        <w:rPr>
          <w:sz w:val="24"/>
        </w:rPr>
        <w:t>Unit</w:t>
      </w:r>
      <w:r>
        <w:rPr>
          <w:spacing w:val="40"/>
          <w:sz w:val="24"/>
        </w:rPr>
        <w:t> </w:t>
      </w:r>
      <w:r>
        <w:rPr>
          <w:sz w:val="24"/>
        </w:rPr>
        <w:t>of</w:t>
      </w:r>
      <w:r>
        <w:rPr>
          <w:spacing w:val="40"/>
          <w:sz w:val="24"/>
        </w:rPr>
        <w:t> </w:t>
      </w:r>
      <w:r>
        <w:rPr>
          <w:sz w:val="24"/>
        </w:rPr>
        <w:t>the</w:t>
      </w:r>
      <w:r>
        <w:rPr>
          <w:spacing w:val="40"/>
          <w:sz w:val="24"/>
        </w:rPr>
        <w:t> </w:t>
      </w:r>
      <w:r>
        <w:rPr>
          <w:sz w:val="24"/>
        </w:rPr>
        <w:t>Indian</w:t>
      </w:r>
      <w:r>
        <w:rPr>
          <w:spacing w:val="40"/>
          <w:sz w:val="24"/>
        </w:rPr>
        <w:t> </w:t>
      </w:r>
      <w:r>
        <w:rPr>
          <w:sz w:val="24"/>
        </w:rPr>
        <w:t>Statistical</w:t>
      </w:r>
      <w:r>
        <w:rPr>
          <w:spacing w:val="40"/>
          <w:sz w:val="24"/>
        </w:rPr>
        <w:t> </w:t>
      </w:r>
      <w:r>
        <w:rPr>
          <w:sz w:val="24"/>
        </w:rPr>
        <w:t>Institute,</w:t>
      </w:r>
      <w:r>
        <w:rPr>
          <w:spacing w:val="40"/>
          <w:sz w:val="24"/>
        </w:rPr>
        <w:t> </w:t>
      </w:r>
      <w:r>
        <w:rPr>
          <w:sz w:val="24"/>
        </w:rPr>
        <w:t>New</w:t>
      </w:r>
    </w:p>
    <w:p>
      <w:pPr>
        <w:spacing w:after="0" w:line="240" w:lineRule="auto"/>
        <w:jc w:val="both"/>
        <w:rPr>
          <w:sz w:val="24"/>
        </w:rPr>
        <w:sectPr>
          <w:pgSz w:w="12240" w:h="15840"/>
          <w:pgMar w:header="0" w:footer="743" w:top="1360" w:bottom="940" w:left="1640" w:right="1300"/>
        </w:sectPr>
      </w:pPr>
    </w:p>
    <w:p>
      <w:pPr>
        <w:pStyle w:val="BodyText"/>
        <w:spacing w:before="76"/>
        <w:ind w:left="159" w:right="495"/>
        <w:jc w:val="both"/>
      </w:pPr>
      <w:r>
        <w:rPr/>
        <w:t>Delhi, and the Unit for Economic and Statistical Studies on Higher Education, London School of Economics, in collaboration with the Perspective Planning Division of the Planning Commission. In broad orders of magnitude, the results of the two estimates are similar; and the differences between them can generally be explained by the different assumptions used. For the main presentation of this chapter, we adopt the ISI-LSE estimates as they are more detailed, offer estimates up to 1986 and assume a higher target of economic growth. We believe that the risk involved in over-estimation is comparatively less than in under-estimation and that it is less harmful to have some surplus trained personnel on hand for some time rather than hold up the progress of agriculture or industry for lack of such personnel. At any rate, precise figures are less important than broad directions of policy. On this, both estimates largely agree.</w:t>
      </w:r>
    </w:p>
    <w:p>
      <w:pPr>
        <w:pStyle w:val="BodyText"/>
        <w:spacing w:before="4"/>
      </w:pPr>
    </w:p>
    <w:p>
      <w:pPr>
        <w:pStyle w:val="ListParagraph"/>
        <w:numPr>
          <w:ilvl w:val="1"/>
          <w:numId w:val="98"/>
        </w:numPr>
        <w:tabs>
          <w:tab w:pos="711" w:val="left" w:leader="none"/>
        </w:tabs>
        <w:spacing w:line="240" w:lineRule="auto" w:before="0" w:after="0"/>
        <w:ind w:left="159" w:right="496" w:firstLine="0"/>
        <w:jc w:val="both"/>
        <w:rPr>
          <w:b/>
          <w:sz w:val="24"/>
        </w:rPr>
      </w:pPr>
      <w:r>
        <w:rPr>
          <w:b/>
          <w:sz w:val="24"/>
        </w:rPr>
        <w:t>Manpower (1961). </w:t>
      </w:r>
      <w:r>
        <w:rPr>
          <w:sz w:val="24"/>
        </w:rPr>
        <w:t>We must first explain briefly the manner in which these estimates have been made. The starting point in the preparation of these estimates is provided by the country's stock of educated manpower in 1961 (derived from the 1961 Census and a special tabulation of the National Sample Survey, 16th round), expressed in terms of workers with matriculate, intermediate and degree qualifications. This is shown in Table 5.1.</w:t>
      </w:r>
    </w:p>
    <w:p>
      <w:pPr>
        <w:pStyle w:val="BodyText"/>
        <w:spacing w:before="4"/>
      </w:pPr>
    </w:p>
    <w:p>
      <w:pPr>
        <w:pStyle w:val="ListParagraph"/>
        <w:numPr>
          <w:ilvl w:val="1"/>
          <w:numId w:val="98"/>
        </w:numPr>
        <w:tabs>
          <w:tab w:pos="760" w:val="left" w:leader="none"/>
        </w:tabs>
        <w:spacing w:line="240" w:lineRule="auto" w:before="0" w:after="0"/>
        <w:ind w:left="159" w:right="495" w:firstLine="0"/>
        <w:jc w:val="both"/>
        <w:rPr>
          <w:sz w:val="24"/>
        </w:rPr>
      </w:pPr>
      <w:r>
        <w:rPr>
          <w:sz w:val="24"/>
        </w:rPr>
        <w:t>Broadly there were 5.2 million workers with qualifications equivalent to matriculation</w:t>
      </w:r>
      <w:r>
        <w:rPr>
          <w:spacing w:val="-1"/>
          <w:sz w:val="24"/>
        </w:rPr>
        <w:t> </w:t>
      </w:r>
      <w:r>
        <w:rPr>
          <w:sz w:val="24"/>
        </w:rPr>
        <w:t>and</w:t>
      </w:r>
      <w:r>
        <w:rPr>
          <w:spacing w:val="-1"/>
          <w:sz w:val="24"/>
        </w:rPr>
        <w:t> </w:t>
      </w:r>
      <w:r>
        <w:rPr>
          <w:sz w:val="24"/>
        </w:rPr>
        <w:t>above,</w:t>
      </w:r>
      <w:r>
        <w:rPr>
          <w:spacing w:val="-1"/>
          <w:sz w:val="24"/>
        </w:rPr>
        <w:t> </w:t>
      </w:r>
      <w:r>
        <w:rPr>
          <w:sz w:val="24"/>
        </w:rPr>
        <w:t>two-thirds</w:t>
      </w:r>
      <w:r>
        <w:rPr>
          <w:spacing w:val="-1"/>
          <w:sz w:val="24"/>
        </w:rPr>
        <w:t> </w:t>
      </w:r>
      <w:r>
        <w:rPr>
          <w:sz w:val="24"/>
        </w:rPr>
        <w:t>of</w:t>
      </w:r>
      <w:r>
        <w:rPr>
          <w:spacing w:val="-1"/>
          <w:sz w:val="24"/>
        </w:rPr>
        <w:t> </w:t>
      </w:r>
      <w:r>
        <w:rPr>
          <w:sz w:val="24"/>
        </w:rPr>
        <w:t>them</w:t>
      </w:r>
      <w:r>
        <w:rPr>
          <w:spacing w:val="-3"/>
          <w:sz w:val="24"/>
        </w:rPr>
        <w:t> </w:t>
      </w:r>
      <w:r>
        <w:rPr>
          <w:sz w:val="24"/>
        </w:rPr>
        <w:t>in</w:t>
      </w:r>
      <w:r>
        <w:rPr>
          <w:spacing w:val="-5"/>
          <w:sz w:val="24"/>
        </w:rPr>
        <w:t> </w:t>
      </w:r>
      <w:r>
        <w:rPr>
          <w:sz w:val="24"/>
        </w:rPr>
        <w:t>towns</w:t>
      </w:r>
      <w:r>
        <w:rPr>
          <w:spacing w:val="-1"/>
          <w:sz w:val="24"/>
        </w:rPr>
        <w:t> </w:t>
      </w:r>
      <w:r>
        <w:rPr>
          <w:sz w:val="24"/>
        </w:rPr>
        <w:t>and</w:t>
      </w:r>
      <w:r>
        <w:rPr>
          <w:spacing w:val="-1"/>
          <w:sz w:val="24"/>
        </w:rPr>
        <w:t> </w:t>
      </w:r>
      <w:r>
        <w:rPr>
          <w:sz w:val="24"/>
        </w:rPr>
        <w:t>the</w:t>
      </w:r>
      <w:r>
        <w:rPr>
          <w:spacing w:val="-1"/>
          <w:sz w:val="24"/>
        </w:rPr>
        <w:t> </w:t>
      </w:r>
      <w:r>
        <w:rPr>
          <w:sz w:val="24"/>
        </w:rPr>
        <w:t>rest</w:t>
      </w:r>
      <w:r>
        <w:rPr>
          <w:spacing w:val="-1"/>
          <w:sz w:val="24"/>
        </w:rPr>
        <w:t> </w:t>
      </w:r>
      <w:r>
        <w:rPr>
          <w:sz w:val="24"/>
        </w:rPr>
        <w:t>in</w:t>
      </w:r>
      <w:r>
        <w:rPr>
          <w:spacing w:val="-1"/>
          <w:sz w:val="24"/>
        </w:rPr>
        <w:t> </w:t>
      </w:r>
      <w:r>
        <w:rPr>
          <w:sz w:val="24"/>
        </w:rPr>
        <w:t>rural</w:t>
      </w:r>
      <w:r>
        <w:rPr>
          <w:spacing w:val="-1"/>
          <w:sz w:val="24"/>
        </w:rPr>
        <w:t> </w:t>
      </w:r>
      <w:r>
        <w:rPr>
          <w:sz w:val="24"/>
        </w:rPr>
        <w:t>areas.</w:t>
      </w:r>
      <w:r>
        <w:rPr>
          <w:spacing w:val="-1"/>
          <w:sz w:val="24"/>
        </w:rPr>
        <w:t> </w:t>
      </w:r>
      <w:r>
        <w:rPr>
          <w:sz w:val="24"/>
        </w:rPr>
        <w:t>Over</w:t>
      </w:r>
      <w:r>
        <w:rPr>
          <w:spacing w:val="-1"/>
          <w:sz w:val="24"/>
        </w:rPr>
        <w:t> </w:t>
      </w:r>
      <w:r>
        <w:rPr>
          <w:sz w:val="24"/>
        </w:rPr>
        <w:t>half of these were employed in 'other' services (public administration, education and so on). About one in five of them (1.1 million) were also graduates, and these were even more heavily concentrated in the service occupations. Only some 100,000 were in manufacturing industries.</w:t>
      </w:r>
    </w:p>
    <w:p>
      <w:pPr>
        <w:pStyle w:val="BodyText"/>
        <w:spacing w:before="5"/>
      </w:pPr>
    </w:p>
    <w:p>
      <w:pPr>
        <w:pStyle w:val="ListParagraph"/>
        <w:numPr>
          <w:ilvl w:val="1"/>
          <w:numId w:val="98"/>
        </w:numPr>
        <w:tabs>
          <w:tab w:pos="653" w:val="left" w:leader="none"/>
        </w:tabs>
        <w:spacing w:line="240" w:lineRule="auto" w:before="0" w:after="0"/>
        <w:ind w:left="159" w:right="497" w:firstLine="0"/>
        <w:jc w:val="both"/>
        <w:rPr>
          <w:b/>
          <w:sz w:val="24"/>
        </w:rPr>
      </w:pPr>
      <w:r>
        <w:rPr>
          <w:b/>
          <w:sz w:val="24"/>
        </w:rPr>
        <w:t>Future Requirements of Educated Manpower. </w:t>
      </w:r>
      <w:r>
        <w:rPr>
          <w:sz w:val="24"/>
        </w:rPr>
        <w:t>The question we must ask is how these numbers may be required to grow in the future. How many matriculate and</w:t>
      </w:r>
      <w:r>
        <w:rPr>
          <w:spacing w:val="80"/>
          <w:sz w:val="24"/>
        </w:rPr>
        <w:t> </w:t>
      </w:r>
      <w:r>
        <w:rPr>
          <w:sz w:val="24"/>
        </w:rPr>
        <w:t>graduate workers should there be in 1976 and 1986 ? Two broad methods have been used to answer these questions, one for services, in which many educated people are</w:t>
      </w:r>
      <w:r>
        <w:rPr>
          <w:spacing w:val="40"/>
          <w:sz w:val="24"/>
        </w:rPr>
        <w:t> </w:t>
      </w:r>
      <w:r>
        <w:rPr>
          <w:sz w:val="24"/>
        </w:rPr>
        <w:t>employed, and one for the other sectors of the economy.</w:t>
      </w:r>
    </w:p>
    <w:p>
      <w:pPr>
        <w:pStyle w:val="BodyText"/>
        <w:spacing w:before="4"/>
      </w:pPr>
    </w:p>
    <w:p>
      <w:pPr>
        <w:pStyle w:val="ListParagraph"/>
        <w:numPr>
          <w:ilvl w:val="1"/>
          <w:numId w:val="98"/>
        </w:numPr>
        <w:tabs>
          <w:tab w:pos="650" w:val="left" w:leader="none"/>
        </w:tabs>
        <w:spacing w:line="240" w:lineRule="auto" w:before="0" w:after="0"/>
        <w:ind w:left="159" w:right="496" w:firstLine="0"/>
        <w:jc w:val="both"/>
        <w:rPr>
          <w:sz w:val="24"/>
        </w:rPr>
      </w:pPr>
      <w:r>
        <w:rPr>
          <w:sz w:val="24"/>
        </w:rPr>
        <w:t>To take the latter first, it has been assumed that, as net output in each sector and in each branch of manufacturing industries increases, so proportionately will be the employment of educated manpower. The targets for economic growth assumed in these estimates, for the economy as a whole and for each sector, are those proposed by the Perspective Planning Division of the Planning Commission. The overall growth targets are 6.6 per cent a year from 1961 to 1976</w:t>
      </w:r>
    </w:p>
    <w:p>
      <w:pPr>
        <w:spacing w:after="0" w:line="240" w:lineRule="auto"/>
        <w:jc w:val="both"/>
        <w:rPr>
          <w:sz w:val="24"/>
        </w:rPr>
        <w:sectPr>
          <w:pgSz w:w="12240" w:h="15840"/>
          <w:pgMar w:header="0" w:footer="743" w:top="1360" w:bottom="940" w:left="1640" w:right="1300"/>
        </w:sectPr>
      </w:pPr>
    </w:p>
    <w:p>
      <w:pPr>
        <w:pStyle w:val="BodyText"/>
        <w:spacing w:before="76"/>
        <w:ind w:left="2275" w:right="506" w:hanging="1869"/>
      </w:pPr>
      <w:r>
        <w:rPr/>
        <w:t>TABLE</w:t>
      </w:r>
      <w:r>
        <w:rPr>
          <w:spacing w:val="-7"/>
        </w:rPr>
        <w:t> </w:t>
      </w:r>
      <w:r>
        <w:rPr/>
        <w:t>5.1.</w:t>
      </w:r>
      <w:r>
        <w:rPr>
          <w:spacing w:val="-6"/>
        </w:rPr>
        <w:t> </w:t>
      </w:r>
      <w:r>
        <w:rPr/>
        <w:t>MATRICULATES,</w:t>
      </w:r>
      <w:r>
        <w:rPr>
          <w:spacing w:val="-7"/>
        </w:rPr>
        <w:t> </w:t>
      </w:r>
      <w:r>
        <w:rPr/>
        <w:t>INTERMEDIATES,</w:t>
      </w:r>
      <w:r>
        <w:rPr>
          <w:spacing w:val="-8"/>
        </w:rPr>
        <w:t> </w:t>
      </w:r>
      <w:r>
        <w:rPr/>
        <w:t>GRADUATES</w:t>
      </w:r>
      <w:r>
        <w:rPr>
          <w:spacing w:val="-7"/>
        </w:rPr>
        <w:t> </w:t>
      </w:r>
      <w:r>
        <w:rPr/>
        <w:t>AND</w:t>
      </w:r>
      <w:r>
        <w:rPr>
          <w:spacing w:val="-8"/>
        </w:rPr>
        <w:t> </w:t>
      </w:r>
      <w:r>
        <w:rPr/>
        <w:t>TOTAL WORKERS, BY INDUSTRY: INDIA (1961)</w:t>
      </w:r>
    </w:p>
    <w:p>
      <w:pPr>
        <w:pStyle w:val="BodyText"/>
        <w:ind w:right="610"/>
        <w:jc w:val="right"/>
      </w:pPr>
      <w:r>
        <w:rPr>
          <w:spacing w:val="-2"/>
        </w:rPr>
        <w:t>(Thousands)</w:t>
      </w:r>
    </w:p>
    <w:p>
      <w:pPr>
        <w:pStyle w:val="BodyText"/>
        <w:spacing w:before="6"/>
        <w:rPr>
          <w:sz w:val="18"/>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0"/>
        <w:gridCol w:w="1393"/>
        <w:gridCol w:w="1270"/>
        <w:gridCol w:w="1016"/>
        <w:gridCol w:w="825"/>
        <w:gridCol w:w="1435"/>
      </w:tblGrid>
      <w:tr>
        <w:trPr>
          <w:trHeight w:val="797" w:hRule="atLeast"/>
        </w:trPr>
        <w:tc>
          <w:tcPr>
            <w:tcW w:w="2700" w:type="dxa"/>
            <w:tcBorders>
              <w:top w:val="single" w:sz="12" w:space="0" w:color="808080"/>
              <w:bottom w:val="single" w:sz="12" w:space="0" w:color="808080"/>
            </w:tcBorders>
          </w:tcPr>
          <w:p>
            <w:pPr>
              <w:pStyle w:val="TableParagraph"/>
              <w:spacing w:before="48"/>
              <w:ind w:left="-1"/>
              <w:rPr>
                <w:sz w:val="24"/>
              </w:rPr>
            </w:pPr>
            <w:r>
              <w:rPr>
                <w:sz w:val="24"/>
              </w:rPr>
              <w:t>Industry</w:t>
            </w:r>
            <w:r>
              <w:rPr>
                <w:spacing w:val="-1"/>
                <w:sz w:val="24"/>
              </w:rPr>
              <w:t> </w:t>
            </w:r>
            <w:r>
              <w:rPr>
                <w:spacing w:val="-2"/>
                <w:sz w:val="24"/>
              </w:rPr>
              <w:t>group</w:t>
            </w:r>
          </w:p>
        </w:tc>
        <w:tc>
          <w:tcPr>
            <w:tcW w:w="1393" w:type="dxa"/>
            <w:tcBorders>
              <w:top w:val="single" w:sz="12" w:space="0" w:color="808080"/>
              <w:bottom w:val="single" w:sz="12" w:space="0" w:color="808080"/>
            </w:tcBorders>
          </w:tcPr>
          <w:p>
            <w:pPr>
              <w:pStyle w:val="TableParagraph"/>
              <w:spacing w:before="48"/>
              <w:ind w:left="47" w:right="698"/>
              <w:rPr>
                <w:sz w:val="24"/>
              </w:rPr>
            </w:pPr>
            <w:r>
              <w:rPr>
                <w:spacing w:val="-2"/>
                <w:sz w:val="24"/>
              </w:rPr>
              <w:t>Below Matric</w:t>
            </w:r>
          </w:p>
        </w:tc>
        <w:tc>
          <w:tcPr>
            <w:tcW w:w="1270" w:type="dxa"/>
            <w:tcBorders>
              <w:top w:val="single" w:sz="12" w:space="0" w:color="808080"/>
              <w:bottom w:val="single" w:sz="12" w:space="0" w:color="808080"/>
            </w:tcBorders>
          </w:tcPr>
          <w:p>
            <w:pPr>
              <w:pStyle w:val="TableParagraph"/>
              <w:spacing w:before="48"/>
              <w:ind w:left="486" w:right="111"/>
              <w:rPr>
                <w:sz w:val="24"/>
              </w:rPr>
            </w:pPr>
            <w:r>
              <w:rPr>
                <w:spacing w:val="-2"/>
                <w:sz w:val="24"/>
              </w:rPr>
              <w:t>Matri- culates</w:t>
            </w:r>
          </w:p>
        </w:tc>
        <w:tc>
          <w:tcPr>
            <w:tcW w:w="1016" w:type="dxa"/>
            <w:tcBorders>
              <w:top w:val="single" w:sz="12" w:space="0" w:color="808080"/>
              <w:bottom w:val="single" w:sz="12" w:space="0" w:color="808080"/>
            </w:tcBorders>
          </w:tcPr>
          <w:p>
            <w:pPr>
              <w:pStyle w:val="TableParagraph"/>
              <w:spacing w:before="48"/>
              <w:ind w:left="133" w:right="26" w:hanging="1"/>
              <w:rPr>
                <w:sz w:val="24"/>
              </w:rPr>
            </w:pPr>
            <w:r>
              <w:rPr>
                <w:spacing w:val="-2"/>
                <w:sz w:val="24"/>
              </w:rPr>
              <w:t>Inter- mediates</w:t>
            </w:r>
          </w:p>
        </w:tc>
        <w:tc>
          <w:tcPr>
            <w:tcW w:w="825" w:type="dxa"/>
            <w:tcBorders>
              <w:top w:val="single" w:sz="12" w:space="0" w:color="808080"/>
              <w:bottom w:val="single" w:sz="12" w:space="0" w:color="808080"/>
            </w:tcBorders>
          </w:tcPr>
          <w:p>
            <w:pPr>
              <w:pStyle w:val="TableParagraph"/>
              <w:spacing w:before="48"/>
              <w:ind w:left="88" w:right="115" w:hanging="57"/>
              <w:rPr>
                <w:sz w:val="24"/>
              </w:rPr>
            </w:pPr>
            <w:r>
              <w:rPr>
                <w:spacing w:val="-4"/>
                <w:sz w:val="24"/>
              </w:rPr>
              <w:t>Gra- </w:t>
            </w:r>
            <w:r>
              <w:rPr>
                <w:spacing w:val="-2"/>
                <w:sz w:val="24"/>
              </w:rPr>
              <w:t>duates</w:t>
            </w:r>
          </w:p>
        </w:tc>
        <w:tc>
          <w:tcPr>
            <w:tcW w:w="1435" w:type="dxa"/>
            <w:tcBorders>
              <w:top w:val="single" w:sz="12" w:space="0" w:color="808080"/>
              <w:bottom w:val="single" w:sz="12" w:space="0" w:color="808080"/>
            </w:tcBorders>
          </w:tcPr>
          <w:p>
            <w:pPr>
              <w:pStyle w:val="TableParagraph"/>
              <w:spacing w:before="48"/>
              <w:ind w:left="122" w:right="480" w:firstLine="2"/>
              <w:rPr>
                <w:sz w:val="24"/>
              </w:rPr>
            </w:pPr>
            <w:r>
              <w:rPr>
                <w:spacing w:val="-2"/>
                <w:sz w:val="24"/>
              </w:rPr>
              <w:t>Total Workers</w:t>
            </w:r>
          </w:p>
        </w:tc>
      </w:tr>
      <w:tr>
        <w:trPr>
          <w:trHeight w:val="329" w:hRule="atLeast"/>
        </w:trPr>
        <w:tc>
          <w:tcPr>
            <w:tcW w:w="2700" w:type="dxa"/>
            <w:tcBorders>
              <w:top w:val="single" w:sz="12" w:space="0" w:color="808080"/>
            </w:tcBorders>
          </w:tcPr>
          <w:p>
            <w:pPr>
              <w:pStyle w:val="TableParagraph"/>
              <w:spacing w:line="261" w:lineRule="exact" w:before="48"/>
              <w:ind w:left="-1"/>
              <w:rPr>
                <w:sz w:val="24"/>
              </w:rPr>
            </w:pPr>
            <w:r>
              <w:rPr>
                <w:sz w:val="24"/>
              </w:rPr>
              <w:t>1.</w:t>
            </w:r>
            <w:r>
              <w:rPr>
                <w:spacing w:val="-1"/>
                <w:sz w:val="24"/>
              </w:rPr>
              <w:t> </w:t>
            </w:r>
            <w:r>
              <w:rPr>
                <w:spacing w:val="-2"/>
                <w:sz w:val="24"/>
              </w:rPr>
              <w:t>Agriculture</w:t>
            </w:r>
          </w:p>
        </w:tc>
        <w:tc>
          <w:tcPr>
            <w:tcW w:w="1393" w:type="dxa"/>
            <w:tcBorders>
              <w:top w:val="single" w:sz="12" w:space="0" w:color="808080"/>
            </w:tcBorders>
          </w:tcPr>
          <w:p>
            <w:pPr>
              <w:pStyle w:val="TableParagraph"/>
              <w:spacing w:line="261" w:lineRule="exact" w:before="48"/>
              <w:ind w:left="48"/>
              <w:rPr>
                <w:sz w:val="24"/>
              </w:rPr>
            </w:pPr>
            <w:r>
              <w:rPr>
                <w:spacing w:val="-2"/>
                <w:sz w:val="24"/>
              </w:rPr>
              <w:t>130,648</w:t>
            </w:r>
          </w:p>
        </w:tc>
        <w:tc>
          <w:tcPr>
            <w:tcW w:w="1270" w:type="dxa"/>
            <w:tcBorders>
              <w:top w:val="single" w:sz="12" w:space="0" w:color="808080"/>
            </w:tcBorders>
          </w:tcPr>
          <w:p>
            <w:pPr>
              <w:pStyle w:val="TableParagraph"/>
              <w:spacing w:line="261" w:lineRule="exact" w:before="48"/>
              <w:ind w:left="488"/>
              <w:rPr>
                <w:sz w:val="24"/>
              </w:rPr>
            </w:pPr>
            <w:r>
              <w:rPr>
                <w:spacing w:val="-5"/>
                <w:sz w:val="24"/>
              </w:rPr>
              <w:t>381</w:t>
            </w:r>
          </w:p>
        </w:tc>
        <w:tc>
          <w:tcPr>
            <w:tcW w:w="1016" w:type="dxa"/>
            <w:tcBorders>
              <w:top w:val="single" w:sz="12" w:space="0" w:color="808080"/>
            </w:tcBorders>
          </w:tcPr>
          <w:p>
            <w:pPr>
              <w:pStyle w:val="TableParagraph"/>
              <w:spacing w:line="261" w:lineRule="exact" w:before="48"/>
              <w:ind w:left="133"/>
              <w:rPr>
                <w:sz w:val="24"/>
              </w:rPr>
            </w:pPr>
            <w:r>
              <w:rPr>
                <w:spacing w:val="-5"/>
                <w:sz w:val="24"/>
              </w:rPr>
              <w:t>46</w:t>
            </w:r>
          </w:p>
        </w:tc>
        <w:tc>
          <w:tcPr>
            <w:tcW w:w="825" w:type="dxa"/>
            <w:tcBorders>
              <w:top w:val="single" w:sz="12" w:space="0" w:color="808080"/>
            </w:tcBorders>
          </w:tcPr>
          <w:p>
            <w:pPr>
              <w:pStyle w:val="TableParagraph"/>
              <w:spacing w:line="261" w:lineRule="exact" w:before="48"/>
              <w:ind w:left="32"/>
              <w:rPr>
                <w:sz w:val="24"/>
              </w:rPr>
            </w:pPr>
            <w:r>
              <w:rPr>
                <w:spacing w:val="-5"/>
                <w:sz w:val="24"/>
              </w:rPr>
              <w:t>67</w:t>
            </w:r>
          </w:p>
        </w:tc>
        <w:tc>
          <w:tcPr>
            <w:tcW w:w="1435" w:type="dxa"/>
            <w:tcBorders>
              <w:top w:val="single" w:sz="12" w:space="0" w:color="808080"/>
            </w:tcBorders>
          </w:tcPr>
          <w:p>
            <w:pPr>
              <w:pStyle w:val="TableParagraph"/>
              <w:spacing w:line="261" w:lineRule="exact" w:before="48"/>
              <w:ind w:left="124"/>
              <w:rPr>
                <w:sz w:val="24"/>
              </w:rPr>
            </w:pPr>
            <w:r>
              <w:rPr>
                <w:spacing w:val="-2"/>
                <w:sz w:val="24"/>
              </w:rPr>
              <w:t>131,142</w:t>
            </w:r>
          </w:p>
        </w:tc>
      </w:tr>
      <w:tr>
        <w:trPr>
          <w:trHeight w:val="275" w:hRule="atLeast"/>
        </w:trPr>
        <w:tc>
          <w:tcPr>
            <w:tcW w:w="2700" w:type="dxa"/>
          </w:tcPr>
          <w:p>
            <w:pPr>
              <w:pStyle w:val="TableParagraph"/>
              <w:spacing w:line="256" w:lineRule="exact"/>
              <w:ind w:left="-1"/>
              <w:rPr>
                <w:sz w:val="24"/>
              </w:rPr>
            </w:pPr>
            <w:r>
              <w:rPr>
                <w:sz w:val="24"/>
              </w:rPr>
              <w:t>2.</w:t>
            </w:r>
            <w:r>
              <w:rPr>
                <w:spacing w:val="-1"/>
                <w:sz w:val="24"/>
              </w:rPr>
              <w:t> </w:t>
            </w:r>
            <w:r>
              <w:rPr>
                <w:sz w:val="24"/>
              </w:rPr>
              <w:t>Mining,</w:t>
            </w:r>
            <w:r>
              <w:rPr>
                <w:spacing w:val="-1"/>
                <w:sz w:val="24"/>
              </w:rPr>
              <w:t> </w:t>
            </w:r>
            <w:r>
              <w:rPr>
                <w:spacing w:val="-4"/>
                <w:sz w:val="24"/>
              </w:rPr>
              <w:t>etc.</w:t>
            </w:r>
          </w:p>
        </w:tc>
        <w:tc>
          <w:tcPr>
            <w:tcW w:w="1393" w:type="dxa"/>
          </w:tcPr>
          <w:p>
            <w:pPr>
              <w:pStyle w:val="TableParagraph"/>
              <w:spacing w:line="256" w:lineRule="exact"/>
              <w:ind w:left="47"/>
              <w:rPr>
                <w:sz w:val="24"/>
              </w:rPr>
            </w:pPr>
            <w:r>
              <w:rPr>
                <w:spacing w:val="-2"/>
                <w:sz w:val="24"/>
              </w:rPr>
              <w:t>5,143</w:t>
            </w:r>
          </w:p>
        </w:tc>
        <w:tc>
          <w:tcPr>
            <w:tcW w:w="1270" w:type="dxa"/>
          </w:tcPr>
          <w:p>
            <w:pPr>
              <w:pStyle w:val="TableParagraph"/>
              <w:spacing w:line="256" w:lineRule="exact"/>
              <w:ind w:left="487"/>
              <w:rPr>
                <w:sz w:val="24"/>
              </w:rPr>
            </w:pPr>
            <w:r>
              <w:rPr>
                <w:spacing w:val="-5"/>
                <w:sz w:val="24"/>
              </w:rPr>
              <w:t>68</w:t>
            </w:r>
          </w:p>
        </w:tc>
        <w:tc>
          <w:tcPr>
            <w:tcW w:w="1016" w:type="dxa"/>
          </w:tcPr>
          <w:p>
            <w:pPr>
              <w:pStyle w:val="TableParagraph"/>
              <w:spacing w:line="256" w:lineRule="exact"/>
              <w:ind w:left="132"/>
              <w:rPr>
                <w:sz w:val="24"/>
              </w:rPr>
            </w:pPr>
            <w:r>
              <w:rPr>
                <w:spacing w:val="-10"/>
                <w:sz w:val="24"/>
              </w:rPr>
              <w:t>5</w:t>
            </w:r>
          </w:p>
        </w:tc>
        <w:tc>
          <w:tcPr>
            <w:tcW w:w="825" w:type="dxa"/>
          </w:tcPr>
          <w:p>
            <w:pPr>
              <w:pStyle w:val="TableParagraph"/>
              <w:spacing w:line="256" w:lineRule="exact"/>
              <w:ind w:left="31"/>
              <w:rPr>
                <w:sz w:val="24"/>
              </w:rPr>
            </w:pPr>
            <w:r>
              <w:rPr>
                <w:spacing w:val="-10"/>
                <w:sz w:val="24"/>
              </w:rPr>
              <w:t>6</w:t>
            </w:r>
          </w:p>
        </w:tc>
        <w:tc>
          <w:tcPr>
            <w:tcW w:w="1435" w:type="dxa"/>
          </w:tcPr>
          <w:p>
            <w:pPr>
              <w:pStyle w:val="TableParagraph"/>
              <w:spacing w:line="256" w:lineRule="exact"/>
              <w:ind w:left="123"/>
              <w:rPr>
                <w:sz w:val="24"/>
              </w:rPr>
            </w:pPr>
            <w:r>
              <w:rPr>
                <w:spacing w:val="-2"/>
                <w:sz w:val="24"/>
              </w:rPr>
              <w:t>5,222</w:t>
            </w:r>
          </w:p>
        </w:tc>
      </w:tr>
      <w:tr>
        <w:trPr>
          <w:trHeight w:val="275" w:hRule="atLeast"/>
        </w:trPr>
        <w:tc>
          <w:tcPr>
            <w:tcW w:w="2700" w:type="dxa"/>
          </w:tcPr>
          <w:p>
            <w:pPr>
              <w:pStyle w:val="TableParagraph"/>
              <w:spacing w:line="256" w:lineRule="exact"/>
              <w:ind w:left="-1"/>
              <w:rPr>
                <w:sz w:val="24"/>
              </w:rPr>
            </w:pPr>
            <w:r>
              <w:rPr>
                <w:sz w:val="24"/>
              </w:rPr>
              <w:t>3.</w:t>
            </w:r>
            <w:r>
              <w:rPr>
                <w:spacing w:val="-1"/>
                <w:sz w:val="24"/>
              </w:rPr>
              <w:t> </w:t>
            </w:r>
            <w:r>
              <w:rPr>
                <w:spacing w:val="-2"/>
                <w:sz w:val="24"/>
              </w:rPr>
              <w:t>Manufacturing</w:t>
            </w:r>
          </w:p>
        </w:tc>
        <w:tc>
          <w:tcPr>
            <w:tcW w:w="1393" w:type="dxa"/>
          </w:tcPr>
          <w:p>
            <w:pPr>
              <w:pStyle w:val="TableParagraph"/>
              <w:spacing w:line="256" w:lineRule="exact"/>
              <w:ind w:left="48"/>
              <w:rPr>
                <w:sz w:val="24"/>
              </w:rPr>
            </w:pPr>
            <w:r>
              <w:rPr>
                <w:spacing w:val="-2"/>
                <w:sz w:val="24"/>
              </w:rPr>
              <w:t>19,377</w:t>
            </w:r>
          </w:p>
        </w:tc>
        <w:tc>
          <w:tcPr>
            <w:tcW w:w="1270" w:type="dxa"/>
          </w:tcPr>
          <w:p>
            <w:pPr>
              <w:pStyle w:val="TableParagraph"/>
              <w:spacing w:line="256" w:lineRule="exact"/>
              <w:ind w:left="487"/>
              <w:rPr>
                <w:sz w:val="24"/>
              </w:rPr>
            </w:pPr>
            <w:r>
              <w:rPr>
                <w:spacing w:val="-5"/>
                <w:sz w:val="24"/>
              </w:rPr>
              <w:t>436</w:t>
            </w:r>
          </w:p>
        </w:tc>
        <w:tc>
          <w:tcPr>
            <w:tcW w:w="1016" w:type="dxa"/>
          </w:tcPr>
          <w:p>
            <w:pPr>
              <w:pStyle w:val="TableParagraph"/>
              <w:spacing w:line="256" w:lineRule="exact"/>
              <w:ind w:left="117"/>
              <w:rPr>
                <w:sz w:val="24"/>
              </w:rPr>
            </w:pPr>
            <w:r>
              <w:rPr>
                <w:spacing w:val="-5"/>
                <w:sz w:val="24"/>
              </w:rPr>
              <w:t>89</w:t>
            </w:r>
          </w:p>
        </w:tc>
        <w:tc>
          <w:tcPr>
            <w:tcW w:w="825" w:type="dxa"/>
          </w:tcPr>
          <w:p>
            <w:pPr>
              <w:pStyle w:val="TableParagraph"/>
              <w:spacing w:line="256" w:lineRule="exact"/>
              <w:ind w:left="32"/>
              <w:rPr>
                <w:sz w:val="24"/>
              </w:rPr>
            </w:pPr>
            <w:r>
              <w:rPr>
                <w:spacing w:val="-5"/>
                <w:sz w:val="24"/>
              </w:rPr>
              <w:t>104</w:t>
            </w:r>
          </w:p>
        </w:tc>
        <w:tc>
          <w:tcPr>
            <w:tcW w:w="1435" w:type="dxa"/>
          </w:tcPr>
          <w:p>
            <w:pPr>
              <w:pStyle w:val="TableParagraph"/>
              <w:spacing w:line="256" w:lineRule="exact"/>
              <w:ind w:left="124"/>
              <w:rPr>
                <w:sz w:val="24"/>
              </w:rPr>
            </w:pPr>
            <w:r>
              <w:rPr>
                <w:spacing w:val="-2"/>
                <w:sz w:val="24"/>
              </w:rPr>
              <w:t>20,006</w:t>
            </w:r>
          </w:p>
        </w:tc>
      </w:tr>
      <w:tr>
        <w:trPr>
          <w:trHeight w:val="275" w:hRule="atLeast"/>
        </w:trPr>
        <w:tc>
          <w:tcPr>
            <w:tcW w:w="2700" w:type="dxa"/>
          </w:tcPr>
          <w:p>
            <w:pPr>
              <w:pStyle w:val="TableParagraph"/>
              <w:spacing w:line="256" w:lineRule="exact"/>
              <w:ind w:left="-1"/>
              <w:rPr>
                <w:sz w:val="24"/>
              </w:rPr>
            </w:pPr>
            <w:r>
              <w:rPr>
                <w:sz w:val="24"/>
              </w:rPr>
              <w:t>4. </w:t>
            </w:r>
            <w:r>
              <w:rPr>
                <w:spacing w:val="-2"/>
                <w:sz w:val="24"/>
              </w:rPr>
              <w:t>Construction</w:t>
            </w:r>
          </w:p>
        </w:tc>
        <w:tc>
          <w:tcPr>
            <w:tcW w:w="1393" w:type="dxa"/>
          </w:tcPr>
          <w:p>
            <w:pPr>
              <w:pStyle w:val="TableParagraph"/>
              <w:spacing w:line="256" w:lineRule="exact"/>
              <w:ind w:left="47"/>
              <w:rPr>
                <w:sz w:val="24"/>
              </w:rPr>
            </w:pPr>
            <w:r>
              <w:rPr>
                <w:spacing w:val="-2"/>
                <w:sz w:val="24"/>
              </w:rPr>
              <w:t>1,911</w:t>
            </w:r>
          </w:p>
        </w:tc>
        <w:tc>
          <w:tcPr>
            <w:tcW w:w="1270" w:type="dxa"/>
          </w:tcPr>
          <w:p>
            <w:pPr>
              <w:pStyle w:val="TableParagraph"/>
              <w:spacing w:line="256" w:lineRule="exact"/>
              <w:ind w:left="487"/>
              <w:rPr>
                <w:sz w:val="24"/>
              </w:rPr>
            </w:pPr>
            <w:r>
              <w:rPr>
                <w:spacing w:val="-5"/>
                <w:sz w:val="24"/>
              </w:rPr>
              <w:t>99</w:t>
            </w:r>
          </w:p>
        </w:tc>
        <w:tc>
          <w:tcPr>
            <w:tcW w:w="1016" w:type="dxa"/>
          </w:tcPr>
          <w:p>
            <w:pPr>
              <w:pStyle w:val="TableParagraph"/>
              <w:spacing w:line="256" w:lineRule="exact"/>
              <w:ind w:left="132"/>
              <w:rPr>
                <w:sz w:val="24"/>
              </w:rPr>
            </w:pPr>
            <w:r>
              <w:rPr>
                <w:spacing w:val="-5"/>
                <w:sz w:val="24"/>
              </w:rPr>
              <w:t>30</w:t>
            </w:r>
          </w:p>
        </w:tc>
        <w:tc>
          <w:tcPr>
            <w:tcW w:w="825" w:type="dxa"/>
          </w:tcPr>
          <w:p>
            <w:pPr>
              <w:pStyle w:val="TableParagraph"/>
              <w:spacing w:line="256" w:lineRule="exact"/>
              <w:ind w:left="32"/>
              <w:rPr>
                <w:sz w:val="24"/>
              </w:rPr>
            </w:pPr>
            <w:r>
              <w:rPr>
                <w:spacing w:val="-5"/>
                <w:sz w:val="24"/>
              </w:rPr>
              <w:t>19</w:t>
            </w:r>
          </w:p>
        </w:tc>
        <w:tc>
          <w:tcPr>
            <w:tcW w:w="1435" w:type="dxa"/>
          </w:tcPr>
          <w:p>
            <w:pPr>
              <w:pStyle w:val="TableParagraph"/>
              <w:spacing w:line="256" w:lineRule="exact"/>
              <w:ind w:left="124"/>
              <w:rPr>
                <w:sz w:val="24"/>
              </w:rPr>
            </w:pPr>
            <w:r>
              <w:rPr>
                <w:spacing w:val="-2"/>
                <w:sz w:val="24"/>
              </w:rPr>
              <w:t>2,059</w:t>
            </w:r>
          </w:p>
        </w:tc>
      </w:tr>
      <w:tr>
        <w:trPr>
          <w:trHeight w:val="275" w:hRule="atLeast"/>
        </w:trPr>
        <w:tc>
          <w:tcPr>
            <w:tcW w:w="2700" w:type="dxa"/>
          </w:tcPr>
          <w:p>
            <w:pPr>
              <w:pStyle w:val="TableParagraph"/>
              <w:spacing w:line="256" w:lineRule="exact"/>
              <w:ind w:left="-1"/>
              <w:rPr>
                <w:sz w:val="24"/>
              </w:rPr>
            </w:pPr>
            <w:r>
              <w:rPr>
                <w:sz w:val="24"/>
              </w:rPr>
              <w:t>5. Trade and </w:t>
            </w:r>
            <w:r>
              <w:rPr>
                <w:spacing w:val="-2"/>
                <w:sz w:val="24"/>
              </w:rPr>
              <w:t>Commerce</w:t>
            </w:r>
          </w:p>
        </w:tc>
        <w:tc>
          <w:tcPr>
            <w:tcW w:w="1393" w:type="dxa"/>
          </w:tcPr>
          <w:p>
            <w:pPr>
              <w:pStyle w:val="TableParagraph"/>
              <w:spacing w:line="256" w:lineRule="exact"/>
              <w:ind w:left="46"/>
              <w:rPr>
                <w:sz w:val="24"/>
              </w:rPr>
            </w:pPr>
            <w:r>
              <w:rPr>
                <w:spacing w:val="-2"/>
                <w:sz w:val="24"/>
              </w:rPr>
              <w:t>7,009</w:t>
            </w:r>
          </w:p>
        </w:tc>
        <w:tc>
          <w:tcPr>
            <w:tcW w:w="1270" w:type="dxa"/>
          </w:tcPr>
          <w:p>
            <w:pPr>
              <w:pStyle w:val="TableParagraph"/>
              <w:spacing w:line="256" w:lineRule="exact"/>
              <w:ind w:left="486"/>
              <w:rPr>
                <w:sz w:val="24"/>
              </w:rPr>
            </w:pPr>
            <w:r>
              <w:rPr>
                <w:spacing w:val="-5"/>
                <w:sz w:val="24"/>
              </w:rPr>
              <w:t>452</w:t>
            </w:r>
          </w:p>
        </w:tc>
        <w:tc>
          <w:tcPr>
            <w:tcW w:w="1016" w:type="dxa"/>
          </w:tcPr>
          <w:p>
            <w:pPr>
              <w:pStyle w:val="TableParagraph"/>
              <w:spacing w:line="256" w:lineRule="exact"/>
              <w:ind w:left="131"/>
              <w:rPr>
                <w:sz w:val="24"/>
              </w:rPr>
            </w:pPr>
            <w:r>
              <w:rPr>
                <w:spacing w:val="-5"/>
                <w:sz w:val="24"/>
              </w:rPr>
              <w:t>101</w:t>
            </w:r>
          </w:p>
        </w:tc>
        <w:tc>
          <w:tcPr>
            <w:tcW w:w="825" w:type="dxa"/>
          </w:tcPr>
          <w:p>
            <w:pPr>
              <w:pStyle w:val="TableParagraph"/>
              <w:spacing w:line="256" w:lineRule="exact"/>
              <w:ind w:left="31"/>
              <w:rPr>
                <w:sz w:val="24"/>
              </w:rPr>
            </w:pPr>
            <w:r>
              <w:rPr>
                <w:spacing w:val="-5"/>
                <w:sz w:val="24"/>
              </w:rPr>
              <w:t>92</w:t>
            </w:r>
          </w:p>
        </w:tc>
        <w:tc>
          <w:tcPr>
            <w:tcW w:w="1435" w:type="dxa"/>
          </w:tcPr>
          <w:p>
            <w:pPr>
              <w:pStyle w:val="TableParagraph"/>
              <w:spacing w:line="256" w:lineRule="exact"/>
              <w:ind w:left="123"/>
              <w:rPr>
                <w:sz w:val="24"/>
              </w:rPr>
            </w:pPr>
            <w:r>
              <w:rPr>
                <w:spacing w:val="-2"/>
                <w:sz w:val="24"/>
              </w:rPr>
              <w:t>7,654</w:t>
            </w:r>
          </w:p>
        </w:tc>
      </w:tr>
      <w:tr>
        <w:trPr>
          <w:trHeight w:val="275" w:hRule="atLeast"/>
        </w:trPr>
        <w:tc>
          <w:tcPr>
            <w:tcW w:w="2700" w:type="dxa"/>
          </w:tcPr>
          <w:p>
            <w:pPr>
              <w:pStyle w:val="TableParagraph"/>
              <w:spacing w:line="256" w:lineRule="exact"/>
              <w:ind w:left="-1"/>
              <w:rPr>
                <w:sz w:val="24"/>
              </w:rPr>
            </w:pPr>
            <w:r>
              <w:rPr>
                <w:sz w:val="24"/>
              </w:rPr>
              <w:t>6. Transport and </w:t>
            </w:r>
            <w:r>
              <w:rPr>
                <w:spacing w:val="-2"/>
                <w:sz w:val="24"/>
              </w:rPr>
              <w:t>Commun-</w:t>
            </w:r>
          </w:p>
        </w:tc>
        <w:tc>
          <w:tcPr>
            <w:tcW w:w="1393" w:type="dxa"/>
          </w:tcPr>
          <w:p>
            <w:pPr>
              <w:pStyle w:val="TableParagraph"/>
              <w:rPr>
                <w:sz w:val="20"/>
              </w:rPr>
            </w:pPr>
          </w:p>
        </w:tc>
        <w:tc>
          <w:tcPr>
            <w:tcW w:w="1270" w:type="dxa"/>
          </w:tcPr>
          <w:p>
            <w:pPr>
              <w:pStyle w:val="TableParagraph"/>
              <w:rPr>
                <w:sz w:val="20"/>
              </w:rPr>
            </w:pPr>
          </w:p>
        </w:tc>
        <w:tc>
          <w:tcPr>
            <w:tcW w:w="1016" w:type="dxa"/>
          </w:tcPr>
          <w:p>
            <w:pPr>
              <w:pStyle w:val="TableParagraph"/>
              <w:rPr>
                <w:sz w:val="20"/>
              </w:rPr>
            </w:pPr>
          </w:p>
        </w:tc>
        <w:tc>
          <w:tcPr>
            <w:tcW w:w="825" w:type="dxa"/>
          </w:tcPr>
          <w:p>
            <w:pPr>
              <w:pStyle w:val="TableParagraph"/>
              <w:rPr>
                <w:sz w:val="20"/>
              </w:rPr>
            </w:pPr>
          </w:p>
        </w:tc>
        <w:tc>
          <w:tcPr>
            <w:tcW w:w="1435" w:type="dxa"/>
          </w:tcPr>
          <w:p>
            <w:pPr>
              <w:pStyle w:val="TableParagraph"/>
              <w:rPr>
                <w:sz w:val="20"/>
              </w:rPr>
            </w:pPr>
          </w:p>
        </w:tc>
      </w:tr>
      <w:tr>
        <w:trPr>
          <w:trHeight w:val="275" w:hRule="atLeast"/>
        </w:trPr>
        <w:tc>
          <w:tcPr>
            <w:tcW w:w="2700" w:type="dxa"/>
          </w:tcPr>
          <w:p>
            <w:pPr>
              <w:pStyle w:val="TableParagraph"/>
              <w:spacing w:line="256" w:lineRule="exact"/>
              <w:ind w:left="-1"/>
              <w:rPr>
                <w:sz w:val="24"/>
              </w:rPr>
            </w:pPr>
            <w:r>
              <w:rPr>
                <w:spacing w:val="-2"/>
                <w:sz w:val="24"/>
              </w:rPr>
              <w:t>ications</w:t>
            </w:r>
          </w:p>
        </w:tc>
        <w:tc>
          <w:tcPr>
            <w:tcW w:w="1393" w:type="dxa"/>
          </w:tcPr>
          <w:p>
            <w:pPr>
              <w:pStyle w:val="TableParagraph"/>
              <w:spacing w:line="256" w:lineRule="exact"/>
              <w:ind w:left="47"/>
              <w:rPr>
                <w:sz w:val="24"/>
              </w:rPr>
            </w:pPr>
            <w:r>
              <w:rPr>
                <w:spacing w:val="-2"/>
                <w:sz w:val="24"/>
              </w:rPr>
              <w:t>2,528</w:t>
            </w:r>
          </w:p>
        </w:tc>
        <w:tc>
          <w:tcPr>
            <w:tcW w:w="1270" w:type="dxa"/>
          </w:tcPr>
          <w:p>
            <w:pPr>
              <w:pStyle w:val="TableParagraph"/>
              <w:spacing w:line="256" w:lineRule="exact"/>
              <w:ind w:left="487"/>
              <w:rPr>
                <w:sz w:val="24"/>
              </w:rPr>
            </w:pPr>
            <w:r>
              <w:rPr>
                <w:spacing w:val="-5"/>
                <w:sz w:val="24"/>
              </w:rPr>
              <w:t>318</w:t>
            </w:r>
          </w:p>
        </w:tc>
        <w:tc>
          <w:tcPr>
            <w:tcW w:w="1016" w:type="dxa"/>
          </w:tcPr>
          <w:p>
            <w:pPr>
              <w:pStyle w:val="TableParagraph"/>
              <w:spacing w:line="256" w:lineRule="exact"/>
              <w:ind w:left="132"/>
              <w:rPr>
                <w:sz w:val="24"/>
              </w:rPr>
            </w:pPr>
            <w:r>
              <w:rPr>
                <w:spacing w:val="-5"/>
                <w:sz w:val="24"/>
              </w:rPr>
              <w:t>80</w:t>
            </w:r>
          </w:p>
        </w:tc>
        <w:tc>
          <w:tcPr>
            <w:tcW w:w="825" w:type="dxa"/>
          </w:tcPr>
          <w:p>
            <w:pPr>
              <w:pStyle w:val="TableParagraph"/>
              <w:spacing w:line="256" w:lineRule="exact"/>
              <w:ind w:left="31"/>
              <w:rPr>
                <w:sz w:val="24"/>
              </w:rPr>
            </w:pPr>
            <w:r>
              <w:rPr>
                <w:spacing w:val="-5"/>
                <w:sz w:val="24"/>
              </w:rPr>
              <w:t>93</w:t>
            </w:r>
          </w:p>
        </w:tc>
        <w:tc>
          <w:tcPr>
            <w:tcW w:w="1435" w:type="dxa"/>
          </w:tcPr>
          <w:p>
            <w:pPr>
              <w:pStyle w:val="TableParagraph"/>
              <w:spacing w:line="256" w:lineRule="exact"/>
              <w:ind w:left="123"/>
              <w:rPr>
                <w:sz w:val="24"/>
              </w:rPr>
            </w:pPr>
            <w:r>
              <w:rPr>
                <w:spacing w:val="-2"/>
                <w:sz w:val="24"/>
              </w:rPr>
              <w:t>3,019</w:t>
            </w:r>
          </w:p>
        </w:tc>
      </w:tr>
      <w:tr>
        <w:trPr>
          <w:trHeight w:val="275" w:hRule="atLeast"/>
        </w:trPr>
        <w:tc>
          <w:tcPr>
            <w:tcW w:w="2700" w:type="dxa"/>
          </w:tcPr>
          <w:p>
            <w:pPr>
              <w:pStyle w:val="TableParagraph"/>
              <w:spacing w:line="256" w:lineRule="exact"/>
              <w:ind w:left="-1"/>
              <w:rPr>
                <w:sz w:val="24"/>
              </w:rPr>
            </w:pPr>
            <w:r>
              <w:rPr>
                <w:sz w:val="24"/>
              </w:rPr>
              <w:t>7.</w:t>
            </w:r>
            <w:r>
              <w:rPr>
                <w:spacing w:val="-1"/>
                <w:sz w:val="24"/>
              </w:rPr>
              <w:t> </w:t>
            </w:r>
            <w:r>
              <w:rPr>
                <w:sz w:val="24"/>
              </w:rPr>
              <w:t>Services</w:t>
            </w:r>
            <w:r>
              <w:rPr>
                <w:spacing w:val="-1"/>
                <w:sz w:val="24"/>
              </w:rPr>
              <w:t> </w:t>
            </w:r>
            <w:r>
              <w:rPr>
                <w:spacing w:val="-2"/>
                <w:sz w:val="24"/>
              </w:rPr>
              <w:t>(Other)</w:t>
            </w:r>
          </w:p>
        </w:tc>
        <w:tc>
          <w:tcPr>
            <w:tcW w:w="1393" w:type="dxa"/>
          </w:tcPr>
          <w:p>
            <w:pPr>
              <w:pStyle w:val="TableParagraph"/>
              <w:spacing w:line="256" w:lineRule="exact"/>
              <w:ind w:left="47"/>
              <w:rPr>
                <w:sz w:val="24"/>
              </w:rPr>
            </w:pPr>
            <w:r>
              <w:rPr>
                <w:spacing w:val="-2"/>
                <w:sz w:val="24"/>
              </w:rPr>
              <w:t>16,895</w:t>
            </w:r>
          </w:p>
        </w:tc>
        <w:tc>
          <w:tcPr>
            <w:tcW w:w="1270" w:type="dxa"/>
          </w:tcPr>
          <w:p>
            <w:pPr>
              <w:pStyle w:val="TableParagraph"/>
              <w:spacing w:line="256" w:lineRule="exact"/>
              <w:ind w:left="486"/>
              <w:rPr>
                <w:sz w:val="24"/>
              </w:rPr>
            </w:pPr>
            <w:r>
              <w:rPr>
                <w:spacing w:val="-2"/>
                <w:sz w:val="24"/>
              </w:rPr>
              <w:t>1,509</w:t>
            </w:r>
          </w:p>
        </w:tc>
        <w:tc>
          <w:tcPr>
            <w:tcW w:w="1016" w:type="dxa"/>
          </w:tcPr>
          <w:p>
            <w:pPr>
              <w:pStyle w:val="TableParagraph"/>
              <w:spacing w:line="256" w:lineRule="exact"/>
              <w:ind w:left="132"/>
              <w:rPr>
                <w:sz w:val="24"/>
              </w:rPr>
            </w:pPr>
            <w:r>
              <w:rPr>
                <w:spacing w:val="-5"/>
                <w:sz w:val="24"/>
              </w:rPr>
              <w:t>405</w:t>
            </w:r>
          </w:p>
        </w:tc>
        <w:tc>
          <w:tcPr>
            <w:tcW w:w="825" w:type="dxa"/>
          </w:tcPr>
          <w:p>
            <w:pPr>
              <w:pStyle w:val="TableParagraph"/>
              <w:spacing w:line="256" w:lineRule="exact"/>
              <w:ind w:left="31"/>
              <w:rPr>
                <w:sz w:val="24"/>
              </w:rPr>
            </w:pPr>
            <w:r>
              <w:rPr>
                <w:spacing w:val="-5"/>
                <w:sz w:val="24"/>
              </w:rPr>
              <w:t>765</w:t>
            </w:r>
          </w:p>
        </w:tc>
        <w:tc>
          <w:tcPr>
            <w:tcW w:w="1435" w:type="dxa"/>
          </w:tcPr>
          <w:p>
            <w:pPr>
              <w:pStyle w:val="TableParagraph"/>
              <w:spacing w:line="256" w:lineRule="exact"/>
              <w:ind w:left="122"/>
              <w:rPr>
                <w:sz w:val="24"/>
              </w:rPr>
            </w:pPr>
            <w:r>
              <w:rPr>
                <w:spacing w:val="-2"/>
                <w:sz w:val="24"/>
              </w:rPr>
              <w:t>19574</w:t>
            </w:r>
          </w:p>
        </w:tc>
      </w:tr>
      <w:tr>
        <w:trPr>
          <w:trHeight w:val="276" w:hRule="atLeast"/>
        </w:trPr>
        <w:tc>
          <w:tcPr>
            <w:tcW w:w="2700" w:type="dxa"/>
          </w:tcPr>
          <w:p>
            <w:pPr>
              <w:pStyle w:val="TableParagraph"/>
              <w:spacing w:line="256" w:lineRule="exact"/>
              <w:ind w:left="915"/>
              <w:rPr>
                <w:sz w:val="24"/>
              </w:rPr>
            </w:pPr>
            <w:r>
              <w:rPr>
                <w:sz w:val="24"/>
              </w:rPr>
              <w:t>Public</w:t>
            </w:r>
            <w:r>
              <w:rPr>
                <w:spacing w:val="-3"/>
                <w:sz w:val="24"/>
              </w:rPr>
              <w:t> </w:t>
            </w:r>
            <w:r>
              <w:rPr>
                <w:spacing w:val="-2"/>
                <w:sz w:val="24"/>
              </w:rPr>
              <w:t>services</w:t>
            </w:r>
          </w:p>
        </w:tc>
        <w:tc>
          <w:tcPr>
            <w:tcW w:w="1393" w:type="dxa"/>
          </w:tcPr>
          <w:p>
            <w:pPr>
              <w:pStyle w:val="TableParagraph"/>
              <w:spacing w:line="256" w:lineRule="exact"/>
              <w:ind w:left="48"/>
              <w:rPr>
                <w:sz w:val="24"/>
              </w:rPr>
            </w:pPr>
            <w:r>
              <w:rPr>
                <w:spacing w:val="-2"/>
                <w:sz w:val="24"/>
              </w:rPr>
              <w:t>3,711</w:t>
            </w:r>
          </w:p>
        </w:tc>
        <w:tc>
          <w:tcPr>
            <w:tcW w:w="1270" w:type="dxa"/>
          </w:tcPr>
          <w:p>
            <w:pPr>
              <w:pStyle w:val="TableParagraph"/>
              <w:spacing w:line="256" w:lineRule="exact"/>
              <w:ind w:left="487"/>
              <w:rPr>
                <w:sz w:val="24"/>
              </w:rPr>
            </w:pPr>
            <w:r>
              <w:rPr>
                <w:spacing w:val="-5"/>
                <w:sz w:val="24"/>
              </w:rPr>
              <w:t>722</w:t>
            </w:r>
          </w:p>
        </w:tc>
        <w:tc>
          <w:tcPr>
            <w:tcW w:w="1016" w:type="dxa"/>
          </w:tcPr>
          <w:p>
            <w:pPr>
              <w:pStyle w:val="TableParagraph"/>
              <w:spacing w:line="256" w:lineRule="exact"/>
              <w:ind w:left="132"/>
              <w:rPr>
                <w:sz w:val="24"/>
              </w:rPr>
            </w:pPr>
            <w:r>
              <w:rPr>
                <w:spacing w:val="-5"/>
                <w:sz w:val="24"/>
              </w:rPr>
              <w:t>245</w:t>
            </w:r>
          </w:p>
        </w:tc>
        <w:tc>
          <w:tcPr>
            <w:tcW w:w="825" w:type="dxa"/>
          </w:tcPr>
          <w:p>
            <w:pPr>
              <w:pStyle w:val="TableParagraph"/>
              <w:spacing w:line="256" w:lineRule="exact"/>
              <w:ind w:left="32"/>
              <w:rPr>
                <w:sz w:val="24"/>
              </w:rPr>
            </w:pPr>
            <w:r>
              <w:rPr>
                <w:spacing w:val="-5"/>
                <w:sz w:val="24"/>
              </w:rPr>
              <w:t>296</w:t>
            </w:r>
          </w:p>
        </w:tc>
        <w:tc>
          <w:tcPr>
            <w:tcW w:w="1435" w:type="dxa"/>
          </w:tcPr>
          <w:p>
            <w:pPr>
              <w:pStyle w:val="TableParagraph"/>
              <w:spacing w:line="256" w:lineRule="exact"/>
              <w:ind w:left="123"/>
              <w:rPr>
                <w:sz w:val="24"/>
              </w:rPr>
            </w:pPr>
            <w:r>
              <w:rPr>
                <w:spacing w:val="-2"/>
                <w:sz w:val="24"/>
              </w:rPr>
              <w:t>4,974</w:t>
            </w:r>
          </w:p>
        </w:tc>
      </w:tr>
      <w:tr>
        <w:trPr>
          <w:trHeight w:val="275" w:hRule="atLeast"/>
        </w:trPr>
        <w:tc>
          <w:tcPr>
            <w:tcW w:w="2700" w:type="dxa"/>
          </w:tcPr>
          <w:p>
            <w:pPr>
              <w:pStyle w:val="TableParagraph"/>
              <w:spacing w:line="256" w:lineRule="exact"/>
              <w:ind w:left="915"/>
              <w:rPr>
                <w:sz w:val="24"/>
              </w:rPr>
            </w:pPr>
            <w:r>
              <w:rPr>
                <w:spacing w:val="-2"/>
                <w:sz w:val="24"/>
              </w:rPr>
              <w:t>Educational</w:t>
            </w:r>
          </w:p>
        </w:tc>
        <w:tc>
          <w:tcPr>
            <w:tcW w:w="1393" w:type="dxa"/>
          </w:tcPr>
          <w:p>
            <w:pPr>
              <w:pStyle w:val="TableParagraph"/>
              <w:rPr>
                <w:sz w:val="20"/>
              </w:rPr>
            </w:pPr>
          </w:p>
        </w:tc>
        <w:tc>
          <w:tcPr>
            <w:tcW w:w="1270" w:type="dxa"/>
          </w:tcPr>
          <w:p>
            <w:pPr>
              <w:pStyle w:val="TableParagraph"/>
              <w:rPr>
                <w:sz w:val="20"/>
              </w:rPr>
            </w:pPr>
          </w:p>
        </w:tc>
        <w:tc>
          <w:tcPr>
            <w:tcW w:w="1016" w:type="dxa"/>
          </w:tcPr>
          <w:p>
            <w:pPr>
              <w:pStyle w:val="TableParagraph"/>
              <w:rPr>
                <w:sz w:val="20"/>
              </w:rPr>
            </w:pPr>
          </w:p>
        </w:tc>
        <w:tc>
          <w:tcPr>
            <w:tcW w:w="825" w:type="dxa"/>
          </w:tcPr>
          <w:p>
            <w:pPr>
              <w:pStyle w:val="TableParagraph"/>
              <w:rPr>
                <w:sz w:val="20"/>
              </w:rPr>
            </w:pPr>
          </w:p>
        </w:tc>
        <w:tc>
          <w:tcPr>
            <w:tcW w:w="1435" w:type="dxa"/>
          </w:tcPr>
          <w:p>
            <w:pPr>
              <w:pStyle w:val="TableParagraph"/>
              <w:rPr>
                <w:sz w:val="20"/>
              </w:rPr>
            </w:pPr>
          </w:p>
        </w:tc>
      </w:tr>
      <w:tr>
        <w:trPr>
          <w:trHeight w:val="270" w:hRule="atLeast"/>
        </w:trPr>
        <w:tc>
          <w:tcPr>
            <w:tcW w:w="2700" w:type="dxa"/>
          </w:tcPr>
          <w:p>
            <w:pPr>
              <w:pStyle w:val="TableParagraph"/>
              <w:spacing w:line="251" w:lineRule="exact"/>
              <w:ind w:left="40" w:right="93"/>
              <w:jc w:val="center"/>
              <w:rPr>
                <w:sz w:val="24"/>
              </w:rPr>
            </w:pPr>
            <w:r>
              <w:rPr>
                <w:spacing w:val="-2"/>
                <w:sz w:val="24"/>
              </w:rPr>
              <w:t>Services</w:t>
            </w:r>
          </w:p>
        </w:tc>
        <w:tc>
          <w:tcPr>
            <w:tcW w:w="1393" w:type="dxa"/>
          </w:tcPr>
          <w:p>
            <w:pPr>
              <w:pStyle w:val="TableParagraph"/>
              <w:spacing w:line="251" w:lineRule="exact"/>
              <w:ind w:left="47"/>
              <w:rPr>
                <w:sz w:val="24"/>
              </w:rPr>
            </w:pPr>
            <w:r>
              <w:rPr>
                <w:spacing w:val="-2"/>
                <w:sz w:val="24"/>
              </w:rPr>
              <w:t>1,584</w:t>
            </w:r>
          </w:p>
        </w:tc>
        <w:tc>
          <w:tcPr>
            <w:tcW w:w="1270" w:type="dxa"/>
          </w:tcPr>
          <w:p>
            <w:pPr>
              <w:pStyle w:val="TableParagraph"/>
              <w:spacing w:line="251" w:lineRule="exact"/>
              <w:ind w:left="486"/>
              <w:rPr>
                <w:sz w:val="24"/>
              </w:rPr>
            </w:pPr>
            <w:r>
              <w:rPr>
                <w:spacing w:val="-5"/>
                <w:sz w:val="24"/>
              </w:rPr>
              <w:t>467</w:t>
            </w:r>
          </w:p>
        </w:tc>
        <w:tc>
          <w:tcPr>
            <w:tcW w:w="1016" w:type="dxa"/>
          </w:tcPr>
          <w:p>
            <w:pPr>
              <w:pStyle w:val="TableParagraph"/>
              <w:spacing w:line="251" w:lineRule="exact"/>
              <w:ind w:left="132"/>
              <w:rPr>
                <w:sz w:val="24"/>
              </w:rPr>
            </w:pPr>
            <w:r>
              <w:rPr>
                <w:spacing w:val="-5"/>
                <w:sz w:val="24"/>
              </w:rPr>
              <w:t>103</w:t>
            </w:r>
          </w:p>
        </w:tc>
        <w:tc>
          <w:tcPr>
            <w:tcW w:w="825" w:type="dxa"/>
          </w:tcPr>
          <w:p>
            <w:pPr>
              <w:pStyle w:val="TableParagraph"/>
              <w:spacing w:line="251" w:lineRule="exact"/>
              <w:ind w:left="32"/>
              <w:rPr>
                <w:sz w:val="24"/>
              </w:rPr>
            </w:pPr>
            <w:r>
              <w:rPr>
                <w:spacing w:val="-5"/>
                <w:sz w:val="24"/>
              </w:rPr>
              <w:t>289</w:t>
            </w:r>
          </w:p>
        </w:tc>
        <w:tc>
          <w:tcPr>
            <w:tcW w:w="1435" w:type="dxa"/>
          </w:tcPr>
          <w:p>
            <w:pPr>
              <w:pStyle w:val="TableParagraph"/>
              <w:spacing w:line="251" w:lineRule="exact"/>
              <w:ind w:left="123"/>
              <w:rPr>
                <w:sz w:val="24"/>
              </w:rPr>
            </w:pPr>
            <w:r>
              <w:rPr>
                <w:spacing w:val="-2"/>
                <w:sz w:val="24"/>
              </w:rPr>
              <w:t>2,443</w:t>
            </w:r>
          </w:p>
        </w:tc>
      </w:tr>
      <w:tr>
        <w:trPr>
          <w:trHeight w:val="276" w:hRule="atLeast"/>
        </w:trPr>
        <w:tc>
          <w:tcPr>
            <w:tcW w:w="8639" w:type="dxa"/>
            <w:gridSpan w:val="6"/>
          </w:tcPr>
          <w:p>
            <w:pPr>
              <w:pStyle w:val="TableParagraph"/>
              <w:spacing w:line="256" w:lineRule="exact"/>
              <w:ind w:left="915"/>
              <w:rPr>
                <w:sz w:val="24"/>
              </w:rPr>
            </w:pPr>
            <w:r>
              <w:rPr>
                <w:sz w:val="24"/>
              </w:rPr>
              <w:t>Medical and</w:t>
            </w:r>
            <w:r>
              <w:rPr>
                <w:spacing w:val="-2"/>
                <w:sz w:val="24"/>
              </w:rPr>
              <w:t> health</w:t>
            </w:r>
          </w:p>
        </w:tc>
      </w:tr>
      <w:tr>
        <w:trPr>
          <w:trHeight w:val="276" w:hRule="atLeast"/>
        </w:trPr>
        <w:tc>
          <w:tcPr>
            <w:tcW w:w="2700" w:type="dxa"/>
          </w:tcPr>
          <w:p>
            <w:pPr>
              <w:pStyle w:val="TableParagraph"/>
              <w:spacing w:line="246" w:lineRule="exact"/>
              <w:ind w:right="93"/>
              <w:jc w:val="center"/>
              <w:rPr>
                <w:sz w:val="24"/>
              </w:rPr>
            </w:pPr>
            <w:r>
              <w:rPr>
                <w:spacing w:val="-2"/>
                <w:sz w:val="24"/>
              </w:rPr>
              <w:t>services</w:t>
            </w:r>
          </w:p>
        </w:tc>
        <w:tc>
          <w:tcPr>
            <w:tcW w:w="1393" w:type="dxa"/>
          </w:tcPr>
          <w:p>
            <w:pPr>
              <w:pStyle w:val="TableParagraph"/>
              <w:spacing w:line="246" w:lineRule="exact"/>
              <w:ind w:left="47"/>
              <w:rPr>
                <w:sz w:val="24"/>
              </w:rPr>
            </w:pPr>
            <w:r>
              <w:rPr>
                <w:spacing w:val="-5"/>
                <w:sz w:val="24"/>
              </w:rPr>
              <w:t>765</w:t>
            </w:r>
          </w:p>
        </w:tc>
        <w:tc>
          <w:tcPr>
            <w:tcW w:w="1270" w:type="dxa"/>
          </w:tcPr>
          <w:p>
            <w:pPr>
              <w:pStyle w:val="TableParagraph"/>
              <w:spacing w:line="246" w:lineRule="exact"/>
              <w:ind w:left="487"/>
              <w:rPr>
                <w:sz w:val="24"/>
              </w:rPr>
            </w:pPr>
            <w:r>
              <w:rPr>
                <w:spacing w:val="-5"/>
                <w:sz w:val="24"/>
              </w:rPr>
              <w:t>124</w:t>
            </w:r>
          </w:p>
        </w:tc>
        <w:tc>
          <w:tcPr>
            <w:tcW w:w="1016" w:type="dxa"/>
          </w:tcPr>
          <w:p>
            <w:pPr>
              <w:pStyle w:val="TableParagraph"/>
              <w:spacing w:line="246" w:lineRule="exact"/>
              <w:ind w:left="132"/>
              <w:rPr>
                <w:sz w:val="24"/>
              </w:rPr>
            </w:pPr>
            <w:r>
              <w:rPr>
                <w:spacing w:val="-5"/>
                <w:sz w:val="24"/>
              </w:rPr>
              <w:t>27</w:t>
            </w:r>
          </w:p>
        </w:tc>
        <w:tc>
          <w:tcPr>
            <w:tcW w:w="825" w:type="dxa"/>
          </w:tcPr>
          <w:p>
            <w:pPr>
              <w:pStyle w:val="TableParagraph"/>
              <w:spacing w:line="246" w:lineRule="exact"/>
              <w:ind w:left="31"/>
              <w:rPr>
                <w:sz w:val="24"/>
              </w:rPr>
            </w:pPr>
            <w:r>
              <w:rPr>
                <w:spacing w:val="-5"/>
                <w:sz w:val="24"/>
              </w:rPr>
              <w:t>48</w:t>
            </w:r>
          </w:p>
        </w:tc>
        <w:tc>
          <w:tcPr>
            <w:tcW w:w="1435" w:type="dxa"/>
          </w:tcPr>
          <w:p>
            <w:pPr>
              <w:pStyle w:val="TableParagraph"/>
              <w:spacing w:line="246" w:lineRule="exact"/>
              <w:ind w:left="123"/>
              <w:rPr>
                <w:sz w:val="24"/>
              </w:rPr>
            </w:pPr>
            <w:r>
              <w:rPr>
                <w:spacing w:val="-5"/>
                <w:sz w:val="24"/>
              </w:rPr>
              <w:t>964</w:t>
            </w:r>
          </w:p>
        </w:tc>
      </w:tr>
      <w:tr>
        <w:trPr>
          <w:trHeight w:val="276" w:hRule="atLeast"/>
        </w:trPr>
        <w:tc>
          <w:tcPr>
            <w:tcW w:w="8639" w:type="dxa"/>
            <w:gridSpan w:val="6"/>
          </w:tcPr>
          <w:p>
            <w:pPr>
              <w:pStyle w:val="TableParagraph"/>
              <w:spacing w:line="256" w:lineRule="exact"/>
              <w:ind w:left="915"/>
              <w:rPr>
                <w:sz w:val="24"/>
              </w:rPr>
            </w:pPr>
            <w:r>
              <w:rPr>
                <w:sz w:val="24"/>
              </w:rPr>
              <w:t>Religious</w:t>
            </w:r>
            <w:r>
              <w:rPr>
                <w:spacing w:val="-2"/>
                <w:sz w:val="24"/>
              </w:rPr>
              <w:t> </w:t>
            </w:r>
            <w:r>
              <w:rPr>
                <w:sz w:val="24"/>
              </w:rPr>
              <w:t>and</w:t>
            </w:r>
            <w:r>
              <w:rPr>
                <w:spacing w:val="-1"/>
                <w:sz w:val="24"/>
              </w:rPr>
              <w:t> </w:t>
            </w:r>
            <w:r>
              <w:rPr>
                <w:spacing w:val="-2"/>
                <w:sz w:val="24"/>
              </w:rPr>
              <w:t>welfare</w:t>
            </w:r>
          </w:p>
        </w:tc>
      </w:tr>
      <w:tr>
        <w:trPr>
          <w:trHeight w:val="281" w:hRule="atLeast"/>
        </w:trPr>
        <w:tc>
          <w:tcPr>
            <w:tcW w:w="2700" w:type="dxa"/>
          </w:tcPr>
          <w:p>
            <w:pPr>
              <w:pStyle w:val="TableParagraph"/>
              <w:spacing w:line="251" w:lineRule="exact"/>
              <w:ind w:right="93"/>
              <w:jc w:val="center"/>
              <w:rPr>
                <w:sz w:val="24"/>
              </w:rPr>
            </w:pPr>
            <w:r>
              <w:rPr>
                <w:spacing w:val="-2"/>
                <w:sz w:val="24"/>
              </w:rPr>
              <w:t>services</w:t>
            </w:r>
          </w:p>
        </w:tc>
        <w:tc>
          <w:tcPr>
            <w:tcW w:w="1393" w:type="dxa"/>
          </w:tcPr>
          <w:p>
            <w:pPr>
              <w:pStyle w:val="TableParagraph"/>
              <w:spacing w:line="251" w:lineRule="exact"/>
              <w:ind w:left="47"/>
              <w:rPr>
                <w:sz w:val="24"/>
              </w:rPr>
            </w:pPr>
            <w:r>
              <w:rPr>
                <w:spacing w:val="-2"/>
                <w:sz w:val="24"/>
              </w:rPr>
              <w:t>1,082</w:t>
            </w:r>
          </w:p>
        </w:tc>
        <w:tc>
          <w:tcPr>
            <w:tcW w:w="1270" w:type="dxa"/>
          </w:tcPr>
          <w:p>
            <w:pPr>
              <w:pStyle w:val="TableParagraph"/>
              <w:spacing w:line="251" w:lineRule="exact"/>
              <w:ind w:left="487"/>
              <w:rPr>
                <w:sz w:val="24"/>
              </w:rPr>
            </w:pPr>
            <w:r>
              <w:rPr>
                <w:spacing w:val="-5"/>
                <w:sz w:val="24"/>
              </w:rPr>
              <w:t>38</w:t>
            </w:r>
          </w:p>
        </w:tc>
        <w:tc>
          <w:tcPr>
            <w:tcW w:w="1016" w:type="dxa"/>
          </w:tcPr>
          <w:p>
            <w:pPr>
              <w:pStyle w:val="TableParagraph"/>
              <w:spacing w:line="251" w:lineRule="exact"/>
              <w:ind w:left="132"/>
              <w:rPr>
                <w:sz w:val="24"/>
              </w:rPr>
            </w:pPr>
            <w:r>
              <w:rPr>
                <w:spacing w:val="-10"/>
                <w:sz w:val="24"/>
              </w:rPr>
              <w:t>6</w:t>
            </w:r>
          </w:p>
        </w:tc>
        <w:tc>
          <w:tcPr>
            <w:tcW w:w="825" w:type="dxa"/>
          </w:tcPr>
          <w:p>
            <w:pPr>
              <w:pStyle w:val="TableParagraph"/>
              <w:spacing w:line="251" w:lineRule="exact"/>
              <w:ind w:left="31"/>
              <w:rPr>
                <w:sz w:val="24"/>
              </w:rPr>
            </w:pPr>
            <w:r>
              <w:rPr>
                <w:spacing w:val="-5"/>
                <w:sz w:val="24"/>
              </w:rPr>
              <w:t>26</w:t>
            </w:r>
          </w:p>
        </w:tc>
        <w:tc>
          <w:tcPr>
            <w:tcW w:w="1435" w:type="dxa"/>
          </w:tcPr>
          <w:p>
            <w:pPr>
              <w:pStyle w:val="TableParagraph"/>
              <w:spacing w:line="251" w:lineRule="exact"/>
              <w:ind w:left="123"/>
              <w:rPr>
                <w:sz w:val="24"/>
              </w:rPr>
            </w:pPr>
            <w:r>
              <w:rPr>
                <w:spacing w:val="-2"/>
                <w:sz w:val="24"/>
              </w:rPr>
              <w:t>1,152</w:t>
            </w:r>
          </w:p>
        </w:tc>
      </w:tr>
      <w:tr>
        <w:trPr>
          <w:trHeight w:val="275" w:hRule="atLeast"/>
        </w:trPr>
        <w:tc>
          <w:tcPr>
            <w:tcW w:w="2700" w:type="dxa"/>
          </w:tcPr>
          <w:p>
            <w:pPr>
              <w:pStyle w:val="TableParagraph"/>
              <w:spacing w:line="256" w:lineRule="exact"/>
              <w:ind w:left="915"/>
              <w:rPr>
                <w:sz w:val="24"/>
              </w:rPr>
            </w:pPr>
            <w:r>
              <w:rPr>
                <w:sz w:val="24"/>
              </w:rPr>
              <w:t>Legal services </w:t>
            </w:r>
            <w:r>
              <w:rPr>
                <w:spacing w:val="-10"/>
                <w:sz w:val="24"/>
              </w:rPr>
              <w:t>.</w:t>
            </w:r>
          </w:p>
        </w:tc>
        <w:tc>
          <w:tcPr>
            <w:tcW w:w="1393" w:type="dxa"/>
          </w:tcPr>
          <w:p>
            <w:pPr>
              <w:pStyle w:val="TableParagraph"/>
              <w:spacing w:line="256" w:lineRule="exact"/>
              <w:ind w:left="47"/>
              <w:rPr>
                <w:sz w:val="24"/>
              </w:rPr>
            </w:pPr>
            <w:r>
              <w:rPr>
                <w:spacing w:val="-5"/>
                <w:sz w:val="24"/>
              </w:rPr>
              <w:t>119</w:t>
            </w:r>
          </w:p>
        </w:tc>
        <w:tc>
          <w:tcPr>
            <w:tcW w:w="1270" w:type="dxa"/>
          </w:tcPr>
          <w:p>
            <w:pPr>
              <w:pStyle w:val="TableParagraph"/>
              <w:spacing w:line="256" w:lineRule="exact"/>
              <w:ind w:left="487"/>
              <w:rPr>
                <w:sz w:val="24"/>
              </w:rPr>
            </w:pPr>
            <w:r>
              <w:rPr>
                <w:spacing w:val="-5"/>
                <w:sz w:val="24"/>
              </w:rPr>
              <w:t>39</w:t>
            </w:r>
          </w:p>
        </w:tc>
        <w:tc>
          <w:tcPr>
            <w:tcW w:w="1016" w:type="dxa"/>
          </w:tcPr>
          <w:p>
            <w:pPr>
              <w:pStyle w:val="TableParagraph"/>
              <w:spacing w:line="256" w:lineRule="exact"/>
              <w:ind w:left="132"/>
              <w:rPr>
                <w:sz w:val="24"/>
              </w:rPr>
            </w:pPr>
            <w:r>
              <w:rPr>
                <w:spacing w:val="-10"/>
                <w:sz w:val="24"/>
              </w:rPr>
              <w:t>1</w:t>
            </w:r>
          </w:p>
        </w:tc>
        <w:tc>
          <w:tcPr>
            <w:tcW w:w="825" w:type="dxa"/>
          </w:tcPr>
          <w:p>
            <w:pPr>
              <w:pStyle w:val="TableParagraph"/>
              <w:spacing w:line="256" w:lineRule="exact"/>
              <w:ind w:left="32"/>
              <w:rPr>
                <w:sz w:val="24"/>
              </w:rPr>
            </w:pPr>
            <w:r>
              <w:rPr>
                <w:spacing w:val="-5"/>
                <w:sz w:val="24"/>
              </w:rPr>
              <w:t>60</w:t>
            </w:r>
          </w:p>
        </w:tc>
        <w:tc>
          <w:tcPr>
            <w:tcW w:w="1435" w:type="dxa"/>
          </w:tcPr>
          <w:p>
            <w:pPr>
              <w:pStyle w:val="TableParagraph"/>
              <w:spacing w:line="256" w:lineRule="exact"/>
              <w:ind w:left="124"/>
              <w:rPr>
                <w:sz w:val="24"/>
              </w:rPr>
            </w:pPr>
            <w:r>
              <w:rPr>
                <w:spacing w:val="-5"/>
                <w:sz w:val="24"/>
              </w:rPr>
              <w:t>219</w:t>
            </w:r>
          </w:p>
        </w:tc>
      </w:tr>
      <w:tr>
        <w:trPr>
          <w:trHeight w:val="276" w:hRule="atLeast"/>
        </w:trPr>
        <w:tc>
          <w:tcPr>
            <w:tcW w:w="2700" w:type="dxa"/>
          </w:tcPr>
          <w:p>
            <w:pPr>
              <w:pStyle w:val="TableParagraph"/>
              <w:spacing w:line="256" w:lineRule="exact"/>
              <w:ind w:left="915"/>
              <w:rPr>
                <w:sz w:val="24"/>
              </w:rPr>
            </w:pPr>
            <w:r>
              <w:rPr>
                <w:sz w:val="24"/>
              </w:rPr>
              <w:t>Business, </w:t>
            </w:r>
            <w:r>
              <w:rPr>
                <w:spacing w:val="-2"/>
                <w:sz w:val="24"/>
              </w:rPr>
              <w:t>trade,</w:t>
            </w:r>
          </w:p>
        </w:tc>
        <w:tc>
          <w:tcPr>
            <w:tcW w:w="1393" w:type="dxa"/>
          </w:tcPr>
          <w:p>
            <w:pPr>
              <w:pStyle w:val="TableParagraph"/>
              <w:rPr>
                <w:sz w:val="20"/>
              </w:rPr>
            </w:pPr>
          </w:p>
        </w:tc>
        <w:tc>
          <w:tcPr>
            <w:tcW w:w="1270" w:type="dxa"/>
          </w:tcPr>
          <w:p>
            <w:pPr>
              <w:pStyle w:val="TableParagraph"/>
              <w:rPr>
                <w:sz w:val="20"/>
              </w:rPr>
            </w:pPr>
          </w:p>
        </w:tc>
        <w:tc>
          <w:tcPr>
            <w:tcW w:w="1016" w:type="dxa"/>
          </w:tcPr>
          <w:p>
            <w:pPr>
              <w:pStyle w:val="TableParagraph"/>
              <w:rPr>
                <w:sz w:val="20"/>
              </w:rPr>
            </w:pPr>
          </w:p>
        </w:tc>
        <w:tc>
          <w:tcPr>
            <w:tcW w:w="825" w:type="dxa"/>
          </w:tcPr>
          <w:p>
            <w:pPr>
              <w:pStyle w:val="TableParagraph"/>
              <w:rPr>
                <w:sz w:val="20"/>
              </w:rPr>
            </w:pPr>
          </w:p>
        </w:tc>
        <w:tc>
          <w:tcPr>
            <w:tcW w:w="1435" w:type="dxa"/>
          </w:tcPr>
          <w:p>
            <w:pPr>
              <w:pStyle w:val="TableParagraph"/>
              <w:rPr>
                <w:sz w:val="20"/>
              </w:rPr>
            </w:pPr>
          </w:p>
        </w:tc>
      </w:tr>
      <w:tr>
        <w:trPr>
          <w:trHeight w:val="270" w:hRule="atLeast"/>
        </w:trPr>
        <w:tc>
          <w:tcPr>
            <w:tcW w:w="2700" w:type="dxa"/>
          </w:tcPr>
          <w:p>
            <w:pPr>
              <w:pStyle w:val="TableParagraph"/>
              <w:spacing w:line="251" w:lineRule="exact"/>
              <w:ind w:right="42"/>
              <w:jc w:val="right"/>
              <w:rPr>
                <w:sz w:val="24"/>
              </w:rPr>
            </w:pPr>
            <w:r>
              <w:rPr>
                <w:sz w:val="24"/>
              </w:rPr>
              <w:t>labour </w:t>
            </w:r>
            <w:r>
              <w:rPr>
                <w:spacing w:val="-2"/>
                <w:sz w:val="24"/>
              </w:rPr>
              <w:t>association</w:t>
            </w:r>
          </w:p>
        </w:tc>
        <w:tc>
          <w:tcPr>
            <w:tcW w:w="1393" w:type="dxa"/>
          </w:tcPr>
          <w:p>
            <w:pPr>
              <w:pStyle w:val="TableParagraph"/>
              <w:rPr>
                <w:sz w:val="20"/>
              </w:rPr>
            </w:pPr>
          </w:p>
        </w:tc>
        <w:tc>
          <w:tcPr>
            <w:tcW w:w="1270" w:type="dxa"/>
          </w:tcPr>
          <w:p>
            <w:pPr>
              <w:pStyle w:val="TableParagraph"/>
              <w:rPr>
                <w:sz w:val="20"/>
              </w:rPr>
            </w:pPr>
          </w:p>
        </w:tc>
        <w:tc>
          <w:tcPr>
            <w:tcW w:w="1016" w:type="dxa"/>
          </w:tcPr>
          <w:p>
            <w:pPr>
              <w:pStyle w:val="TableParagraph"/>
              <w:rPr>
                <w:sz w:val="20"/>
              </w:rPr>
            </w:pPr>
          </w:p>
        </w:tc>
        <w:tc>
          <w:tcPr>
            <w:tcW w:w="825" w:type="dxa"/>
          </w:tcPr>
          <w:p>
            <w:pPr>
              <w:pStyle w:val="TableParagraph"/>
              <w:rPr>
                <w:sz w:val="20"/>
              </w:rPr>
            </w:pPr>
          </w:p>
        </w:tc>
        <w:tc>
          <w:tcPr>
            <w:tcW w:w="1435" w:type="dxa"/>
          </w:tcPr>
          <w:p>
            <w:pPr>
              <w:pStyle w:val="TableParagraph"/>
              <w:rPr>
                <w:sz w:val="20"/>
              </w:rPr>
            </w:pPr>
          </w:p>
        </w:tc>
      </w:tr>
      <w:tr>
        <w:trPr>
          <w:trHeight w:val="276" w:hRule="atLeast"/>
        </w:trPr>
        <w:tc>
          <w:tcPr>
            <w:tcW w:w="8639" w:type="dxa"/>
            <w:gridSpan w:val="6"/>
          </w:tcPr>
          <w:p>
            <w:pPr>
              <w:pStyle w:val="TableParagraph"/>
              <w:spacing w:line="256" w:lineRule="exact"/>
              <w:ind w:left="915"/>
              <w:rPr>
                <w:sz w:val="24"/>
              </w:rPr>
            </w:pPr>
            <w:r>
              <w:rPr>
                <w:sz w:val="24"/>
              </w:rPr>
              <w:t>Recreation,</w:t>
            </w:r>
            <w:r>
              <w:rPr>
                <w:spacing w:val="-2"/>
                <w:sz w:val="24"/>
              </w:rPr>
              <w:t> personal</w:t>
            </w:r>
          </w:p>
        </w:tc>
      </w:tr>
      <w:tr>
        <w:trPr>
          <w:trHeight w:val="540" w:hRule="atLeast"/>
        </w:trPr>
        <w:tc>
          <w:tcPr>
            <w:tcW w:w="2700" w:type="dxa"/>
          </w:tcPr>
          <w:p>
            <w:pPr>
              <w:pStyle w:val="TableParagraph"/>
              <w:spacing w:line="266" w:lineRule="exact"/>
              <w:ind w:right="49"/>
              <w:jc w:val="right"/>
              <w:rPr>
                <w:sz w:val="24"/>
              </w:rPr>
            </w:pPr>
            <w:r>
              <w:rPr>
                <w:sz w:val="24"/>
              </w:rPr>
              <w:t>and other </w:t>
            </w:r>
            <w:r>
              <w:rPr>
                <w:spacing w:val="-2"/>
                <w:sz w:val="24"/>
              </w:rPr>
              <w:t>services</w:t>
            </w:r>
          </w:p>
        </w:tc>
        <w:tc>
          <w:tcPr>
            <w:tcW w:w="1393" w:type="dxa"/>
            <w:tcBorders>
              <w:bottom w:val="single" w:sz="4" w:space="0" w:color="000000"/>
            </w:tcBorders>
          </w:tcPr>
          <w:p>
            <w:pPr>
              <w:pStyle w:val="TableParagraph"/>
              <w:spacing w:line="266" w:lineRule="exact"/>
              <w:ind w:left="68"/>
              <w:rPr>
                <w:sz w:val="24"/>
              </w:rPr>
            </w:pPr>
            <w:r>
              <w:rPr>
                <w:spacing w:val="-2"/>
                <w:sz w:val="24"/>
              </w:rPr>
              <w:t>9,443</w:t>
            </w:r>
          </w:p>
        </w:tc>
        <w:tc>
          <w:tcPr>
            <w:tcW w:w="1270" w:type="dxa"/>
            <w:tcBorders>
              <w:bottom w:val="single" w:sz="4" w:space="0" w:color="000000"/>
            </w:tcBorders>
          </w:tcPr>
          <w:p>
            <w:pPr>
              <w:pStyle w:val="TableParagraph"/>
              <w:spacing w:line="266" w:lineRule="exact"/>
              <w:ind w:left="487"/>
              <w:rPr>
                <w:sz w:val="24"/>
              </w:rPr>
            </w:pPr>
            <w:r>
              <w:rPr>
                <w:spacing w:val="-5"/>
                <w:sz w:val="24"/>
              </w:rPr>
              <w:t>81</w:t>
            </w:r>
          </w:p>
        </w:tc>
        <w:tc>
          <w:tcPr>
            <w:tcW w:w="1016" w:type="dxa"/>
            <w:tcBorders>
              <w:bottom w:val="single" w:sz="4" w:space="0" w:color="000000"/>
            </w:tcBorders>
          </w:tcPr>
          <w:p>
            <w:pPr>
              <w:pStyle w:val="TableParagraph"/>
              <w:spacing w:line="266" w:lineRule="exact"/>
              <w:ind w:left="132"/>
              <w:rPr>
                <w:sz w:val="24"/>
              </w:rPr>
            </w:pPr>
            <w:r>
              <w:rPr>
                <w:spacing w:val="-5"/>
                <w:sz w:val="24"/>
              </w:rPr>
              <w:t>18</w:t>
            </w:r>
          </w:p>
        </w:tc>
        <w:tc>
          <w:tcPr>
            <w:tcW w:w="825" w:type="dxa"/>
            <w:tcBorders>
              <w:bottom w:val="single" w:sz="4" w:space="0" w:color="000000"/>
            </w:tcBorders>
          </w:tcPr>
          <w:p>
            <w:pPr>
              <w:pStyle w:val="TableParagraph"/>
              <w:spacing w:line="266" w:lineRule="exact"/>
              <w:ind w:left="32"/>
              <w:rPr>
                <w:sz w:val="24"/>
              </w:rPr>
            </w:pPr>
            <w:r>
              <w:rPr>
                <w:spacing w:val="-5"/>
                <w:sz w:val="24"/>
              </w:rPr>
              <w:t>37</w:t>
            </w:r>
          </w:p>
        </w:tc>
        <w:tc>
          <w:tcPr>
            <w:tcW w:w="1435" w:type="dxa"/>
            <w:tcBorders>
              <w:bottom w:val="single" w:sz="4" w:space="0" w:color="000000"/>
            </w:tcBorders>
          </w:tcPr>
          <w:p>
            <w:pPr>
              <w:pStyle w:val="TableParagraph"/>
              <w:spacing w:line="266" w:lineRule="exact"/>
              <w:ind w:left="124"/>
              <w:rPr>
                <w:sz w:val="24"/>
              </w:rPr>
            </w:pPr>
            <w:r>
              <w:rPr>
                <w:spacing w:val="-2"/>
                <w:sz w:val="24"/>
              </w:rPr>
              <w:t>9,579</w:t>
            </w:r>
          </w:p>
        </w:tc>
      </w:tr>
      <w:tr>
        <w:trPr>
          <w:trHeight w:val="473" w:hRule="atLeast"/>
        </w:trPr>
        <w:tc>
          <w:tcPr>
            <w:tcW w:w="2700" w:type="dxa"/>
            <w:tcBorders>
              <w:bottom w:val="single" w:sz="12" w:space="0" w:color="808080"/>
            </w:tcBorders>
          </w:tcPr>
          <w:p>
            <w:pPr>
              <w:pStyle w:val="TableParagraph"/>
              <w:ind w:left="1560"/>
              <w:rPr>
                <w:sz w:val="24"/>
              </w:rPr>
            </w:pPr>
            <w:r>
              <w:rPr>
                <w:spacing w:val="-2"/>
                <w:sz w:val="24"/>
              </w:rPr>
              <w:t>TOTAL</w:t>
            </w:r>
          </w:p>
        </w:tc>
        <w:tc>
          <w:tcPr>
            <w:tcW w:w="1393" w:type="dxa"/>
            <w:tcBorders>
              <w:top w:val="single" w:sz="4" w:space="0" w:color="000000"/>
              <w:bottom w:val="single" w:sz="12" w:space="0" w:color="808080"/>
            </w:tcBorders>
          </w:tcPr>
          <w:p>
            <w:pPr>
              <w:pStyle w:val="TableParagraph"/>
              <w:ind w:left="127"/>
              <w:rPr>
                <w:sz w:val="24"/>
              </w:rPr>
            </w:pPr>
            <w:r>
              <w:rPr>
                <w:spacing w:val="-2"/>
                <w:sz w:val="24"/>
              </w:rPr>
              <w:t>183,511</w:t>
            </w:r>
          </w:p>
        </w:tc>
        <w:tc>
          <w:tcPr>
            <w:tcW w:w="1270" w:type="dxa"/>
            <w:tcBorders>
              <w:top w:val="single" w:sz="4" w:space="0" w:color="000000"/>
              <w:bottom w:val="single" w:sz="12" w:space="0" w:color="808080"/>
            </w:tcBorders>
          </w:tcPr>
          <w:p>
            <w:pPr>
              <w:pStyle w:val="TableParagraph"/>
              <w:ind w:left="488"/>
              <w:rPr>
                <w:sz w:val="24"/>
              </w:rPr>
            </w:pPr>
            <w:r>
              <w:rPr>
                <w:spacing w:val="-2"/>
                <w:sz w:val="24"/>
              </w:rPr>
              <w:t>3,262</w:t>
            </w:r>
          </w:p>
        </w:tc>
        <w:tc>
          <w:tcPr>
            <w:tcW w:w="1016" w:type="dxa"/>
            <w:tcBorders>
              <w:top w:val="single" w:sz="4" w:space="0" w:color="000000"/>
              <w:bottom w:val="single" w:sz="12" w:space="0" w:color="808080"/>
            </w:tcBorders>
          </w:tcPr>
          <w:p>
            <w:pPr>
              <w:pStyle w:val="TableParagraph"/>
              <w:ind w:left="133"/>
              <w:rPr>
                <w:sz w:val="24"/>
              </w:rPr>
            </w:pPr>
            <w:r>
              <w:rPr>
                <w:spacing w:val="-5"/>
                <w:sz w:val="24"/>
              </w:rPr>
              <w:t>756</w:t>
            </w:r>
          </w:p>
        </w:tc>
        <w:tc>
          <w:tcPr>
            <w:tcW w:w="825" w:type="dxa"/>
            <w:tcBorders>
              <w:top w:val="single" w:sz="4" w:space="0" w:color="000000"/>
              <w:bottom w:val="single" w:sz="12" w:space="0" w:color="808080"/>
            </w:tcBorders>
          </w:tcPr>
          <w:p>
            <w:pPr>
              <w:pStyle w:val="TableParagraph"/>
              <w:ind w:left="33"/>
              <w:rPr>
                <w:sz w:val="24"/>
              </w:rPr>
            </w:pPr>
            <w:r>
              <w:rPr>
                <w:spacing w:val="-2"/>
                <w:sz w:val="24"/>
              </w:rPr>
              <w:t>1,147</w:t>
            </w:r>
          </w:p>
        </w:tc>
        <w:tc>
          <w:tcPr>
            <w:tcW w:w="1435" w:type="dxa"/>
            <w:tcBorders>
              <w:top w:val="single" w:sz="4" w:space="0" w:color="000000"/>
              <w:bottom w:val="single" w:sz="12" w:space="0" w:color="808080"/>
            </w:tcBorders>
          </w:tcPr>
          <w:p>
            <w:pPr>
              <w:pStyle w:val="TableParagraph"/>
              <w:ind w:left="125"/>
              <w:rPr>
                <w:sz w:val="24"/>
              </w:rPr>
            </w:pPr>
            <w:r>
              <w:rPr>
                <w:spacing w:val="-2"/>
                <w:sz w:val="24"/>
              </w:rPr>
              <w:t>188,676</w:t>
            </w:r>
          </w:p>
        </w:tc>
      </w:tr>
      <w:tr>
        <w:trPr>
          <w:trHeight w:val="329" w:hRule="atLeast"/>
        </w:trPr>
        <w:tc>
          <w:tcPr>
            <w:tcW w:w="2700" w:type="dxa"/>
            <w:tcBorders>
              <w:top w:val="single" w:sz="12" w:space="0" w:color="808080"/>
            </w:tcBorders>
          </w:tcPr>
          <w:p>
            <w:pPr>
              <w:pStyle w:val="TableParagraph"/>
              <w:rPr>
                <w:sz w:val="22"/>
              </w:rPr>
            </w:pPr>
          </w:p>
        </w:tc>
        <w:tc>
          <w:tcPr>
            <w:tcW w:w="1393" w:type="dxa"/>
            <w:tcBorders>
              <w:top w:val="single" w:sz="12" w:space="0" w:color="808080"/>
            </w:tcBorders>
          </w:tcPr>
          <w:p>
            <w:pPr>
              <w:pStyle w:val="TableParagraph"/>
              <w:rPr>
                <w:sz w:val="22"/>
              </w:rPr>
            </w:pPr>
          </w:p>
        </w:tc>
        <w:tc>
          <w:tcPr>
            <w:tcW w:w="1270" w:type="dxa"/>
            <w:tcBorders>
              <w:top w:val="single" w:sz="12" w:space="0" w:color="808080"/>
            </w:tcBorders>
          </w:tcPr>
          <w:p>
            <w:pPr>
              <w:pStyle w:val="TableParagraph"/>
              <w:rPr>
                <w:sz w:val="22"/>
              </w:rPr>
            </w:pPr>
          </w:p>
        </w:tc>
        <w:tc>
          <w:tcPr>
            <w:tcW w:w="1016" w:type="dxa"/>
            <w:tcBorders>
              <w:top w:val="single" w:sz="12" w:space="0" w:color="808080"/>
            </w:tcBorders>
          </w:tcPr>
          <w:p>
            <w:pPr>
              <w:pStyle w:val="TableParagraph"/>
              <w:rPr>
                <w:sz w:val="22"/>
              </w:rPr>
            </w:pPr>
          </w:p>
        </w:tc>
        <w:tc>
          <w:tcPr>
            <w:tcW w:w="825" w:type="dxa"/>
            <w:tcBorders>
              <w:top w:val="single" w:sz="12" w:space="0" w:color="808080"/>
            </w:tcBorders>
          </w:tcPr>
          <w:p>
            <w:pPr>
              <w:pStyle w:val="TableParagraph"/>
              <w:rPr>
                <w:sz w:val="22"/>
              </w:rPr>
            </w:pPr>
          </w:p>
        </w:tc>
        <w:tc>
          <w:tcPr>
            <w:tcW w:w="1435" w:type="dxa"/>
            <w:tcBorders>
              <w:top w:val="single" w:sz="12" w:space="0" w:color="808080"/>
            </w:tcBorders>
          </w:tcPr>
          <w:p>
            <w:pPr>
              <w:pStyle w:val="TableParagraph"/>
              <w:spacing w:line="261" w:lineRule="exact" w:before="48"/>
              <w:ind w:left="124"/>
              <w:rPr>
                <w:sz w:val="24"/>
              </w:rPr>
            </w:pPr>
            <w:r>
              <w:rPr>
                <w:spacing w:val="-2"/>
                <w:sz w:val="24"/>
              </w:rPr>
              <w:t>(Percentage)</w:t>
            </w:r>
          </w:p>
        </w:tc>
      </w:tr>
      <w:tr>
        <w:trPr>
          <w:trHeight w:val="276" w:hRule="atLeast"/>
        </w:trPr>
        <w:tc>
          <w:tcPr>
            <w:tcW w:w="2700" w:type="dxa"/>
          </w:tcPr>
          <w:p>
            <w:pPr>
              <w:pStyle w:val="TableParagraph"/>
              <w:spacing w:line="256" w:lineRule="exact"/>
              <w:ind w:left="-1"/>
              <w:rPr>
                <w:sz w:val="24"/>
              </w:rPr>
            </w:pPr>
            <w:r>
              <w:rPr>
                <w:sz w:val="24"/>
              </w:rPr>
              <w:t>1.</w:t>
            </w:r>
            <w:r>
              <w:rPr>
                <w:spacing w:val="29"/>
                <w:sz w:val="24"/>
              </w:rPr>
              <w:t>  </w:t>
            </w:r>
            <w:r>
              <w:rPr>
                <w:spacing w:val="-2"/>
                <w:sz w:val="24"/>
              </w:rPr>
              <w:t>Agriculture</w:t>
            </w:r>
          </w:p>
        </w:tc>
        <w:tc>
          <w:tcPr>
            <w:tcW w:w="1393" w:type="dxa"/>
          </w:tcPr>
          <w:p>
            <w:pPr>
              <w:pStyle w:val="TableParagraph"/>
              <w:spacing w:line="256" w:lineRule="exact"/>
              <w:ind w:left="48"/>
              <w:rPr>
                <w:sz w:val="24"/>
              </w:rPr>
            </w:pPr>
            <w:r>
              <w:rPr>
                <w:spacing w:val="-4"/>
                <w:sz w:val="24"/>
              </w:rPr>
              <w:t>99.6</w:t>
            </w:r>
          </w:p>
        </w:tc>
        <w:tc>
          <w:tcPr>
            <w:tcW w:w="1270" w:type="dxa"/>
          </w:tcPr>
          <w:p>
            <w:pPr>
              <w:pStyle w:val="TableParagraph"/>
              <w:spacing w:line="256" w:lineRule="exact"/>
              <w:ind w:left="487"/>
              <w:rPr>
                <w:sz w:val="24"/>
              </w:rPr>
            </w:pPr>
            <w:r>
              <w:rPr>
                <w:spacing w:val="-5"/>
                <w:sz w:val="24"/>
              </w:rPr>
              <w:t>0.3</w:t>
            </w:r>
          </w:p>
        </w:tc>
        <w:tc>
          <w:tcPr>
            <w:tcW w:w="1016" w:type="dxa"/>
          </w:tcPr>
          <w:p>
            <w:pPr>
              <w:pStyle w:val="TableParagraph"/>
              <w:rPr>
                <w:sz w:val="20"/>
              </w:rPr>
            </w:pPr>
          </w:p>
        </w:tc>
        <w:tc>
          <w:tcPr>
            <w:tcW w:w="825" w:type="dxa"/>
          </w:tcPr>
          <w:p>
            <w:pPr>
              <w:pStyle w:val="TableParagraph"/>
              <w:spacing w:line="256" w:lineRule="exact"/>
              <w:ind w:left="32"/>
              <w:rPr>
                <w:sz w:val="24"/>
              </w:rPr>
            </w:pPr>
            <w:r>
              <w:rPr>
                <w:spacing w:val="-5"/>
                <w:sz w:val="24"/>
              </w:rPr>
              <w:t>0.1</w:t>
            </w:r>
          </w:p>
        </w:tc>
        <w:tc>
          <w:tcPr>
            <w:tcW w:w="1435" w:type="dxa"/>
          </w:tcPr>
          <w:p>
            <w:pPr>
              <w:pStyle w:val="TableParagraph"/>
              <w:spacing w:line="256" w:lineRule="exact"/>
              <w:ind w:left="123"/>
              <w:rPr>
                <w:sz w:val="24"/>
              </w:rPr>
            </w:pPr>
            <w:r>
              <w:rPr>
                <w:spacing w:val="-2"/>
                <w:sz w:val="24"/>
              </w:rPr>
              <w:t>100.0</w:t>
            </w:r>
          </w:p>
        </w:tc>
      </w:tr>
      <w:tr>
        <w:trPr>
          <w:trHeight w:val="275" w:hRule="atLeast"/>
        </w:trPr>
        <w:tc>
          <w:tcPr>
            <w:tcW w:w="2700" w:type="dxa"/>
          </w:tcPr>
          <w:p>
            <w:pPr>
              <w:pStyle w:val="TableParagraph"/>
              <w:spacing w:line="256" w:lineRule="exact"/>
              <w:ind w:left="-1"/>
              <w:rPr>
                <w:sz w:val="24"/>
              </w:rPr>
            </w:pPr>
            <w:r>
              <w:rPr>
                <w:sz w:val="24"/>
              </w:rPr>
              <w:t>2.</w:t>
            </w:r>
            <w:r>
              <w:rPr>
                <w:spacing w:val="29"/>
                <w:sz w:val="24"/>
              </w:rPr>
              <w:t>  </w:t>
            </w:r>
            <w:r>
              <w:rPr>
                <w:sz w:val="24"/>
              </w:rPr>
              <w:t>Mining, </w:t>
            </w:r>
            <w:r>
              <w:rPr>
                <w:spacing w:val="-4"/>
                <w:sz w:val="24"/>
              </w:rPr>
              <w:t>etc.</w:t>
            </w:r>
          </w:p>
        </w:tc>
        <w:tc>
          <w:tcPr>
            <w:tcW w:w="1393" w:type="dxa"/>
          </w:tcPr>
          <w:p>
            <w:pPr>
              <w:pStyle w:val="TableParagraph"/>
              <w:spacing w:line="256" w:lineRule="exact"/>
              <w:ind w:left="47"/>
              <w:rPr>
                <w:sz w:val="24"/>
              </w:rPr>
            </w:pPr>
            <w:r>
              <w:rPr>
                <w:spacing w:val="-4"/>
                <w:sz w:val="24"/>
              </w:rPr>
              <w:t>98.5</w:t>
            </w:r>
          </w:p>
        </w:tc>
        <w:tc>
          <w:tcPr>
            <w:tcW w:w="1270" w:type="dxa"/>
          </w:tcPr>
          <w:p>
            <w:pPr>
              <w:pStyle w:val="TableParagraph"/>
              <w:spacing w:line="256" w:lineRule="exact"/>
              <w:ind w:left="487"/>
              <w:rPr>
                <w:sz w:val="24"/>
              </w:rPr>
            </w:pPr>
            <w:r>
              <w:rPr>
                <w:spacing w:val="-5"/>
                <w:sz w:val="24"/>
              </w:rPr>
              <w:t>1.3</w:t>
            </w:r>
          </w:p>
        </w:tc>
        <w:tc>
          <w:tcPr>
            <w:tcW w:w="1016" w:type="dxa"/>
          </w:tcPr>
          <w:p>
            <w:pPr>
              <w:pStyle w:val="TableParagraph"/>
              <w:spacing w:line="256" w:lineRule="exact"/>
              <w:ind w:left="132"/>
              <w:rPr>
                <w:sz w:val="24"/>
              </w:rPr>
            </w:pPr>
            <w:r>
              <w:rPr>
                <w:spacing w:val="-5"/>
                <w:sz w:val="24"/>
              </w:rPr>
              <w:t>0.1</w:t>
            </w:r>
          </w:p>
        </w:tc>
        <w:tc>
          <w:tcPr>
            <w:tcW w:w="825" w:type="dxa"/>
          </w:tcPr>
          <w:p>
            <w:pPr>
              <w:pStyle w:val="TableParagraph"/>
              <w:spacing w:line="256" w:lineRule="exact"/>
              <w:ind w:left="31"/>
              <w:rPr>
                <w:sz w:val="24"/>
              </w:rPr>
            </w:pPr>
            <w:r>
              <w:rPr>
                <w:spacing w:val="-5"/>
                <w:sz w:val="24"/>
              </w:rPr>
              <w:t>0.1</w:t>
            </w:r>
          </w:p>
        </w:tc>
        <w:tc>
          <w:tcPr>
            <w:tcW w:w="1435" w:type="dxa"/>
          </w:tcPr>
          <w:p>
            <w:pPr>
              <w:pStyle w:val="TableParagraph"/>
              <w:spacing w:line="256" w:lineRule="exact"/>
              <w:ind w:left="123"/>
              <w:rPr>
                <w:sz w:val="24"/>
              </w:rPr>
            </w:pPr>
            <w:r>
              <w:rPr>
                <w:spacing w:val="-2"/>
                <w:sz w:val="24"/>
              </w:rPr>
              <w:t>100.0</w:t>
            </w:r>
          </w:p>
        </w:tc>
      </w:tr>
      <w:tr>
        <w:trPr>
          <w:trHeight w:val="276" w:hRule="atLeast"/>
        </w:trPr>
        <w:tc>
          <w:tcPr>
            <w:tcW w:w="2700" w:type="dxa"/>
          </w:tcPr>
          <w:p>
            <w:pPr>
              <w:pStyle w:val="TableParagraph"/>
              <w:spacing w:line="256" w:lineRule="exact"/>
              <w:ind w:left="-1"/>
              <w:rPr>
                <w:sz w:val="24"/>
              </w:rPr>
            </w:pPr>
            <w:r>
              <w:rPr>
                <w:sz w:val="24"/>
              </w:rPr>
              <w:t>3.</w:t>
            </w:r>
            <w:r>
              <w:rPr>
                <w:spacing w:val="29"/>
                <w:sz w:val="24"/>
              </w:rPr>
              <w:t>  </w:t>
            </w:r>
            <w:r>
              <w:rPr>
                <w:spacing w:val="-2"/>
                <w:sz w:val="24"/>
              </w:rPr>
              <w:t>Manufacturing</w:t>
            </w:r>
          </w:p>
        </w:tc>
        <w:tc>
          <w:tcPr>
            <w:tcW w:w="1393" w:type="dxa"/>
          </w:tcPr>
          <w:p>
            <w:pPr>
              <w:pStyle w:val="TableParagraph"/>
              <w:spacing w:line="256" w:lineRule="exact"/>
              <w:ind w:left="47"/>
              <w:rPr>
                <w:sz w:val="24"/>
              </w:rPr>
            </w:pPr>
            <w:r>
              <w:rPr>
                <w:spacing w:val="-4"/>
                <w:sz w:val="24"/>
              </w:rPr>
              <w:t>96.9</w:t>
            </w:r>
          </w:p>
        </w:tc>
        <w:tc>
          <w:tcPr>
            <w:tcW w:w="1270" w:type="dxa"/>
          </w:tcPr>
          <w:p>
            <w:pPr>
              <w:pStyle w:val="TableParagraph"/>
              <w:spacing w:line="256" w:lineRule="exact"/>
              <w:ind w:left="486"/>
              <w:rPr>
                <w:sz w:val="24"/>
              </w:rPr>
            </w:pPr>
            <w:r>
              <w:rPr>
                <w:spacing w:val="-5"/>
                <w:sz w:val="24"/>
              </w:rPr>
              <w:t>2.2</w:t>
            </w:r>
          </w:p>
        </w:tc>
        <w:tc>
          <w:tcPr>
            <w:tcW w:w="1016" w:type="dxa"/>
          </w:tcPr>
          <w:p>
            <w:pPr>
              <w:pStyle w:val="TableParagraph"/>
              <w:spacing w:line="256" w:lineRule="exact"/>
              <w:ind w:left="131"/>
              <w:rPr>
                <w:sz w:val="24"/>
              </w:rPr>
            </w:pPr>
            <w:r>
              <w:rPr>
                <w:spacing w:val="-5"/>
                <w:sz w:val="24"/>
              </w:rPr>
              <w:t>0.4</w:t>
            </w:r>
          </w:p>
        </w:tc>
        <w:tc>
          <w:tcPr>
            <w:tcW w:w="825" w:type="dxa"/>
          </w:tcPr>
          <w:p>
            <w:pPr>
              <w:pStyle w:val="TableParagraph"/>
              <w:spacing w:line="256" w:lineRule="exact"/>
              <w:ind w:left="31"/>
              <w:rPr>
                <w:sz w:val="24"/>
              </w:rPr>
            </w:pPr>
            <w:r>
              <w:rPr>
                <w:spacing w:val="-5"/>
                <w:sz w:val="24"/>
              </w:rPr>
              <w:t>0.5</w:t>
            </w:r>
          </w:p>
        </w:tc>
        <w:tc>
          <w:tcPr>
            <w:tcW w:w="1435" w:type="dxa"/>
          </w:tcPr>
          <w:p>
            <w:pPr>
              <w:pStyle w:val="TableParagraph"/>
              <w:spacing w:line="256" w:lineRule="exact"/>
              <w:ind w:left="122"/>
              <w:rPr>
                <w:sz w:val="24"/>
              </w:rPr>
            </w:pPr>
            <w:r>
              <w:rPr>
                <w:spacing w:val="-2"/>
                <w:sz w:val="24"/>
              </w:rPr>
              <w:t>100.0</w:t>
            </w:r>
          </w:p>
        </w:tc>
      </w:tr>
      <w:tr>
        <w:trPr>
          <w:trHeight w:val="276" w:hRule="atLeast"/>
        </w:trPr>
        <w:tc>
          <w:tcPr>
            <w:tcW w:w="2700" w:type="dxa"/>
          </w:tcPr>
          <w:p>
            <w:pPr>
              <w:pStyle w:val="TableParagraph"/>
              <w:spacing w:line="256" w:lineRule="exact"/>
              <w:ind w:left="-1"/>
              <w:rPr>
                <w:sz w:val="24"/>
              </w:rPr>
            </w:pPr>
            <w:r>
              <w:rPr>
                <w:sz w:val="24"/>
              </w:rPr>
              <w:t>4.</w:t>
            </w:r>
            <w:r>
              <w:rPr>
                <w:spacing w:val="29"/>
                <w:sz w:val="24"/>
              </w:rPr>
              <w:t>  </w:t>
            </w:r>
            <w:r>
              <w:rPr>
                <w:spacing w:val="-2"/>
                <w:sz w:val="24"/>
              </w:rPr>
              <w:t>Construction</w:t>
            </w:r>
          </w:p>
        </w:tc>
        <w:tc>
          <w:tcPr>
            <w:tcW w:w="1393" w:type="dxa"/>
          </w:tcPr>
          <w:p>
            <w:pPr>
              <w:pStyle w:val="TableParagraph"/>
              <w:spacing w:line="256" w:lineRule="exact"/>
              <w:ind w:left="48"/>
              <w:rPr>
                <w:sz w:val="24"/>
              </w:rPr>
            </w:pPr>
            <w:r>
              <w:rPr>
                <w:spacing w:val="-4"/>
                <w:sz w:val="24"/>
              </w:rPr>
              <w:t>92.8</w:t>
            </w:r>
          </w:p>
        </w:tc>
        <w:tc>
          <w:tcPr>
            <w:tcW w:w="1270" w:type="dxa"/>
          </w:tcPr>
          <w:p>
            <w:pPr>
              <w:pStyle w:val="TableParagraph"/>
              <w:spacing w:line="256" w:lineRule="exact"/>
              <w:ind w:left="487"/>
              <w:rPr>
                <w:sz w:val="24"/>
              </w:rPr>
            </w:pPr>
            <w:r>
              <w:rPr>
                <w:spacing w:val="-5"/>
                <w:sz w:val="24"/>
              </w:rPr>
              <w:t>4.8</w:t>
            </w:r>
          </w:p>
        </w:tc>
        <w:tc>
          <w:tcPr>
            <w:tcW w:w="1016" w:type="dxa"/>
          </w:tcPr>
          <w:p>
            <w:pPr>
              <w:pStyle w:val="TableParagraph"/>
              <w:spacing w:line="256" w:lineRule="exact"/>
              <w:ind w:left="132"/>
              <w:rPr>
                <w:sz w:val="24"/>
              </w:rPr>
            </w:pPr>
            <w:r>
              <w:rPr>
                <w:spacing w:val="-5"/>
                <w:sz w:val="24"/>
              </w:rPr>
              <w:t>1.5</w:t>
            </w:r>
          </w:p>
        </w:tc>
        <w:tc>
          <w:tcPr>
            <w:tcW w:w="825" w:type="dxa"/>
          </w:tcPr>
          <w:p>
            <w:pPr>
              <w:pStyle w:val="TableParagraph"/>
              <w:spacing w:line="256" w:lineRule="exact"/>
              <w:ind w:left="32"/>
              <w:rPr>
                <w:sz w:val="24"/>
              </w:rPr>
            </w:pPr>
            <w:r>
              <w:rPr>
                <w:spacing w:val="-5"/>
                <w:sz w:val="24"/>
              </w:rPr>
              <w:t>0.9</w:t>
            </w:r>
          </w:p>
        </w:tc>
        <w:tc>
          <w:tcPr>
            <w:tcW w:w="1435" w:type="dxa"/>
          </w:tcPr>
          <w:p>
            <w:pPr>
              <w:pStyle w:val="TableParagraph"/>
              <w:spacing w:line="256" w:lineRule="exact"/>
              <w:ind w:left="123"/>
              <w:rPr>
                <w:sz w:val="24"/>
              </w:rPr>
            </w:pPr>
            <w:r>
              <w:rPr>
                <w:spacing w:val="-2"/>
                <w:sz w:val="24"/>
              </w:rPr>
              <w:t>100.0</w:t>
            </w:r>
          </w:p>
        </w:tc>
      </w:tr>
      <w:tr>
        <w:trPr>
          <w:trHeight w:val="276" w:hRule="atLeast"/>
        </w:trPr>
        <w:tc>
          <w:tcPr>
            <w:tcW w:w="2700" w:type="dxa"/>
          </w:tcPr>
          <w:p>
            <w:pPr>
              <w:pStyle w:val="TableParagraph"/>
              <w:spacing w:line="256" w:lineRule="exact"/>
              <w:ind w:left="-1"/>
              <w:rPr>
                <w:sz w:val="24"/>
              </w:rPr>
            </w:pPr>
            <w:r>
              <w:rPr>
                <w:sz w:val="24"/>
              </w:rPr>
              <w:t>5.</w:t>
            </w:r>
            <w:r>
              <w:rPr>
                <w:spacing w:val="30"/>
                <w:sz w:val="24"/>
              </w:rPr>
              <w:t>  </w:t>
            </w:r>
            <w:r>
              <w:rPr>
                <w:sz w:val="24"/>
              </w:rPr>
              <w:t>Trade and </w:t>
            </w:r>
            <w:r>
              <w:rPr>
                <w:spacing w:val="-2"/>
                <w:sz w:val="24"/>
              </w:rPr>
              <w:t>Commerce</w:t>
            </w:r>
          </w:p>
        </w:tc>
        <w:tc>
          <w:tcPr>
            <w:tcW w:w="1393" w:type="dxa"/>
          </w:tcPr>
          <w:p>
            <w:pPr>
              <w:pStyle w:val="TableParagraph"/>
              <w:spacing w:line="256" w:lineRule="exact"/>
              <w:ind w:left="47"/>
              <w:rPr>
                <w:sz w:val="24"/>
              </w:rPr>
            </w:pPr>
            <w:r>
              <w:rPr>
                <w:spacing w:val="-4"/>
                <w:sz w:val="24"/>
              </w:rPr>
              <w:t>91.6</w:t>
            </w:r>
          </w:p>
        </w:tc>
        <w:tc>
          <w:tcPr>
            <w:tcW w:w="1270" w:type="dxa"/>
          </w:tcPr>
          <w:p>
            <w:pPr>
              <w:pStyle w:val="TableParagraph"/>
              <w:spacing w:line="256" w:lineRule="exact"/>
              <w:ind w:left="486"/>
              <w:rPr>
                <w:sz w:val="24"/>
              </w:rPr>
            </w:pPr>
            <w:r>
              <w:rPr>
                <w:spacing w:val="-5"/>
                <w:sz w:val="24"/>
              </w:rPr>
              <w:t>5.9</w:t>
            </w:r>
          </w:p>
        </w:tc>
        <w:tc>
          <w:tcPr>
            <w:tcW w:w="1016" w:type="dxa"/>
          </w:tcPr>
          <w:p>
            <w:pPr>
              <w:pStyle w:val="TableParagraph"/>
              <w:spacing w:line="256" w:lineRule="exact"/>
              <w:ind w:left="132"/>
              <w:rPr>
                <w:sz w:val="24"/>
              </w:rPr>
            </w:pPr>
            <w:r>
              <w:rPr>
                <w:spacing w:val="-5"/>
                <w:sz w:val="24"/>
              </w:rPr>
              <w:t>1.3</w:t>
            </w:r>
          </w:p>
        </w:tc>
        <w:tc>
          <w:tcPr>
            <w:tcW w:w="825" w:type="dxa"/>
          </w:tcPr>
          <w:p>
            <w:pPr>
              <w:pStyle w:val="TableParagraph"/>
              <w:spacing w:line="256" w:lineRule="exact"/>
              <w:ind w:left="31"/>
              <w:rPr>
                <w:sz w:val="24"/>
              </w:rPr>
            </w:pPr>
            <w:r>
              <w:rPr>
                <w:spacing w:val="-5"/>
                <w:sz w:val="24"/>
              </w:rPr>
              <w:t>1.2</w:t>
            </w:r>
          </w:p>
        </w:tc>
        <w:tc>
          <w:tcPr>
            <w:tcW w:w="1435" w:type="dxa"/>
          </w:tcPr>
          <w:p>
            <w:pPr>
              <w:pStyle w:val="TableParagraph"/>
              <w:spacing w:line="256" w:lineRule="exact"/>
              <w:ind w:left="123"/>
              <w:rPr>
                <w:sz w:val="24"/>
              </w:rPr>
            </w:pPr>
            <w:r>
              <w:rPr>
                <w:spacing w:val="-2"/>
                <w:sz w:val="24"/>
              </w:rPr>
              <w:t>100.0</w:t>
            </w:r>
          </w:p>
        </w:tc>
      </w:tr>
      <w:tr>
        <w:trPr>
          <w:trHeight w:val="276" w:hRule="atLeast"/>
        </w:trPr>
        <w:tc>
          <w:tcPr>
            <w:tcW w:w="2700" w:type="dxa"/>
          </w:tcPr>
          <w:p>
            <w:pPr>
              <w:pStyle w:val="TableParagraph"/>
              <w:spacing w:line="256" w:lineRule="exact"/>
              <w:ind w:left="-1"/>
              <w:rPr>
                <w:sz w:val="24"/>
              </w:rPr>
            </w:pPr>
            <w:r>
              <w:rPr>
                <w:sz w:val="24"/>
              </w:rPr>
              <w:t>6.</w:t>
            </w:r>
            <w:r>
              <w:rPr>
                <w:spacing w:val="30"/>
                <w:sz w:val="24"/>
              </w:rPr>
              <w:t>  </w:t>
            </w:r>
            <w:r>
              <w:rPr>
                <w:sz w:val="24"/>
              </w:rPr>
              <w:t>Transport </w:t>
            </w:r>
            <w:r>
              <w:rPr>
                <w:spacing w:val="-5"/>
                <w:sz w:val="24"/>
              </w:rPr>
              <w:t>and</w:t>
            </w:r>
          </w:p>
        </w:tc>
        <w:tc>
          <w:tcPr>
            <w:tcW w:w="1393" w:type="dxa"/>
          </w:tcPr>
          <w:p>
            <w:pPr>
              <w:pStyle w:val="TableParagraph"/>
              <w:rPr>
                <w:sz w:val="20"/>
              </w:rPr>
            </w:pPr>
          </w:p>
        </w:tc>
        <w:tc>
          <w:tcPr>
            <w:tcW w:w="1270" w:type="dxa"/>
          </w:tcPr>
          <w:p>
            <w:pPr>
              <w:pStyle w:val="TableParagraph"/>
              <w:rPr>
                <w:sz w:val="20"/>
              </w:rPr>
            </w:pPr>
          </w:p>
        </w:tc>
        <w:tc>
          <w:tcPr>
            <w:tcW w:w="1016" w:type="dxa"/>
          </w:tcPr>
          <w:p>
            <w:pPr>
              <w:pStyle w:val="TableParagraph"/>
              <w:rPr>
                <w:sz w:val="20"/>
              </w:rPr>
            </w:pPr>
          </w:p>
        </w:tc>
        <w:tc>
          <w:tcPr>
            <w:tcW w:w="825" w:type="dxa"/>
          </w:tcPr>
          <w:p>
            <w:pPr>
              <w:pStyle w:val="TableParagraph"/>
              <w:rPr>
                <w:sz w:val="20"/>
              </w:rPr>
            </w:pPr>
          </w:p>
        </w:tc>
        <w:tc>
          <w:tcPr>
            <w:tcW w:w="1435" w:type="dxa"/>
          </w:tcPr>
          <w:p>
            <w:pPr>
              <w:pStyle w:val="TableParagraph"/>
              <w:rPr>
                <w:sz w:val="20"/>
              </w:rPr>
            </w:pPr>
          </w:p>
        </w:tc>
      </w:tr>
      <w:tr>
        <w:trPr>
          <w:trHeight w:val="276" w:hRule="atLeast"/>
        </w:trPr>
        <w:tc>
          <w:tcPr>
            <w:tcW w:w="2700" w:type="dxa"/>
          </w:tcPr>
          <w:p>
            <w:pPr>
              <w:pStyle w:val="TableParagraph"/>
              <w:spacing w:line="256" w:lineRule="exact"/>
              <w:ind w:left="-1"/>
              <w:rPr>
                <w:sz w:val="24"/>
              </w:rPr>
            </w:pPr>
            <w:r>
              <w:rPr>
                <w:spacing w:val="-2"/>
                <w:sz w:val="24"/>
              </w:rPr>
              <w:t>Communications</w:t>
            </w:r>
          </w:p>
        </w:tc>
        <w:tc>
          <w:tcPr>
            <w:tcW w:w="1393" w:type="dxa"/>
          </w:tcPr>
          <w:p>
            <w:pPr>
              <w:pStyle w:val="TableParagraph"/>
              <w:spacing w:line="256" w:lineRule="exact"/>
              <w:ind w:left="47"/>
              <w:rPr>
                <w:sz w:val="24"/>
              </w:rPr>
            </w:pPr>
            <w:r>
              <w:rPr>
                <w:spacing w:val="-4"/>
                <w:sz w:val="24"/>
              </w:rPr>
              <w:t>83.7</w:t>
            </w:r>
          </w:p>
        </w:tc>
        <w:tc>
          <w:tcPr>
            <w:tcW w:w="1270" w:type="dxa"/>
          </w:tcPr>
          <w:p>
            <w:pPr>
              <w:pStyle w:val="TableParagraph"/>
              <w:spacing w:line="256" w:lineRule="exact"/>
              <w:ind w:left="486"/>
              <w:rPr>
                <w:sz w:val="24"/>
              </w:rPr>
            </w:pPr>
            <w:r>
              <w:rPr>
                <w:spacing w:val="-4"/>
                <w:sz w:val="24"/>
              </w:rPr>
              <w:t>10.5</w:t>
            </w:r>
          </w:p>
        </w:tc>
        <w:tc>
          <w:tcPr>
            <w:tcW w:w="1016" w:type="dxa"/>
          </w:tcPr>
          <w:p>
            <w:pPr>
              <w:pStyle w:val="TableParagraph"/>
              <w:spacing w:line="256" w:lineRule="exact"/>
              <w:ind w:left="132"/>
              <w:rPr>
                <w:sz w:val="24"/>
              </w:rPr>
            </w:pPr>
            <w:r>
              <w:rPr>
                <w:spacing w:val="-5"/>
                <w:sz w:val="24"/>
              </w:rPr>
              <w:t>2.7</w:t>
            </w:r>
          </w:p>
        </w:tc>
        <w:tc>
          <w:tcPr>
            <w:tcW w:w="825" w:type="dxa"/>
          </w:tcPr>
          <w:p>
            <w:pPr>
              <w:pStyle w:val="TableParagraph"/>
              <w:spacing w:line="256" w:lineRule="exact"/>
              <w:ind w:left="31"/>
              <w:rPr>
                <w:sz w:val="24"/>
              </w:rPr>
            </w:pPr>
            <w:r>
              <w:rPr>
                <w:spacing w:val="-5"/>
                <w:sz w:val="24"/>
              </w:rPr>
              <w:t>3.1</w:t>
            </w:r>
          </w:p>
        </w:tc>
        <w:tc>
          <w:tcPr>
            <w:tcW w:w="1435" w:type="dxa"/>
          </w:tcPr>
          <w:p>
            <w:pPr>
              <w:pStyle w:val="TableParagraph"/>
              <w:spacing w:line="256" w:lineRule="exact"/>
              <w:ind w:left="123"/>
              <w:rPr>
                <w:sz w:val="24"/>
              </w:rPr>
            </w:pPr>
            <w:r>
              <w:rPr>
                <w:spacing w:val="-2"/>
                <w:sz w:val="24"/>
              </w:rPr>
              <w:t>100.0</w:t>
            </w:r>
          </w:p>
        </w:tc>
      </w:tr>
      <w:tr>
        <w:trPr>
          <w:trHeight w:val="431" w:hRule="atLeast"/>
        </w:trPr>
        <w:tc>
          <w:tcPr>
            <w:tcW w:w="2700" w:type="dxa"/>
          </w:tcPr>
          <w:p>
            <w:pPr>
              <w:pStyle w:val="TableParagraph"/>
              <w:spacing w:line="271" w:lineRule="exact"/>
              <w:ind w:left="-1"/>
              <w:rPr>
                <w:sz w:val="24"/>
              </w:rPr>
            </w:pPr>
            <w:r>
              <w:rPr>
                <w:sz w:val="24"/>
              </w:rPr>
              <w:t>7.</w:t>
            </w:r>
            <w:r>
              <w:rPr>
                <w:spacing w:val="29"/>
                <w:sz w:val="24"/>
              </w:rPr>
              <w:t>  </w:t>
            </w:r>
            <w:r>
              <w:rPr>
                <w:sz w:val="24"/>
              </w:rPr>
              <w:t>Services</w:t>
            </w:r>
            <w:r>
              <w:rPr>
                <w:spacing w:val="1"/>
                <w:sz w:val="24"/>
              </w:rPr>
              <w:t> </w:t>
            </w:r>
            <w:r>
              <w:rPr>
                <w:sz w:val="24"/>
              </w:rPr>
              <w:t>(Other) </w:t>
            </w:r>
            <w:r>
              <w:rPr>
                <w:spacing w:val="-10"/>
                <w:sz w:val="24"/>
              </w:rPr>
              <w:t>.</w:t>
            </w:r>
          </w:p>
        </w:tc>
        <w:tc>
          <w:tcPr>
            <w:tcW w:w="1393" w:type="dxa"/>
            <w:tcBorders>
              <w:bottom w:val="dashed" w:sz="8" w:space="0" w:color="000000"/>
            </w:tcBorders>
          </w:tcPr>
          <w:p>
            <w:pPr>
              <w:pStyle w:val="TableParagraph"/>
              <w:spacing w:line="271" w:lineRule="exact"/>
              <w:ind w:left="47"/>
              <w:rPr>
                <w:sz w:val="24"/>
              </w:rPr>
            </w:pPr>
            <w:r>
              <w:rPr>
                <w:spacing w:val="-4"/>
                <w:sz w:val="24"/>
              </w:rPr>
              <w:t>86.3</w:t>
            </w:r>
          </w:p>
        </w:tc>
        <w:tc>
          <w:tcPr>
            <w:tcW w:w="1270" w:type="dxa"/>
            <w:tcBorders>
              <w:bottom w:val="dashed" w:sz="8" w:space="0" w:color="000000"/>
            </w:tcBorders>
          </w:tcPr>
          <w:p>
            <w:pPr>
              <w:pStyle w:val="TableParagraph"/>
              <w:spacing w:line="271" w:lineRule="exact"/>
              <w:ind w:left="487"/>
              <w:rPr>
                <w:sz w:val="24"/>
              </w:rPr>
            </w:pPr>
            <w:r>
              <w:rPr>
                <w:spacing w:val="-5"/>
                <w:sz w:val="24"/>
              </w:rPr>
              <w:t>7.7</w:t>
            </w:r>
          </w:p>
        </w:tc>
        <w:tc>
          <w:tcPr>
            <w:tcW w:w="1016" w:type="dxa"/>
            <w:tcBorders>
              <w:bottom w:val="dashed" w:sz="8" w:space="0" w:color="000000"/>
            </w:tcBorders>
          </w:tcPr>
          <w:p>
            <w:pPr>
              <w:pStyle w:val="TableParagraph"/>
              <w:spacing w:line="271" w:lineRule="exact"/>
              <w:ind w:left="132"/>
              <w:rPr>
                <w:sz w:val="24"/>
              </w:rPr>
            </w:pPr>
            <w:r>
              <w:rPr>
                <w:spacing w:val="-5"/>
                <w:sz w:val="24"/>
              </w:rPr>
              <w:t>2.1</w:t>
            </w:r>
          </w:p>
        </w:tc>
        <w:tc>
          <w:tcPr>
            <w:tcW w:w="825" w:type="dxa"/>
            <w:tcBorders>
              <w:bottom w:val="dashed" w:sz="8" w:space="0" w:color="000000"/>
            </w:tcBorders>
          </w:tcPr>
          <w:p>
            <w:pPr>
              <w:pStyle w:val="TableParagraph"/>
              <w:spacing w:line="271" w:lineRule="exact"/>
              <w:ind w:left="32"/>
              <w:rPr>
                <w:sz w:val="24"/>
              </w:rPr>
            </w:pPr>
            <w:r>
              <w:rPr>
                <w:spacing w:val="-5"/>
                <w:sz w:val="24"/>
              </w:rPr>
              <w:t>3.9</w:t>
            </w:r>
          </w:p>
        </w:tc>
        <w:tc>
          <w:tcPr>
            <w:tcW w:w="1435" w:type="dxa"/>
            <w:tcBorders>
              <w:bottom w:val="dashed" w:sz="8" w:space="0" w:color="000000"/>
            </w:tcBorders>
          </w:tcPr>
          <w:p>
            <w:pPr>
              <w:pStyle w:val="TableParagraph"/>
              <w:spacing w:line="271" w:lineRule="exact"/>
              <w:ind w:left="124"/>
              <w:rPr>
                <w:sz w:val="24"/>
              </w:rPr>
            </w:pPr>
            <w:r>
              <w:rPr>
                <w:spacing w:val="-2"/>
                <w:sz w:val="24"/>
              </w:rPr>
              <w:t>100.0</w:t>
            </w:r>
          </w:p>
        </w:tc>
      </w:tr>
      <w:tr>
        <w:trPr>
          <w:trHeight w:val="371" w:hRule="atLeast"/>
        </w:trPr>
        <w:tc>
          <w:tcPr>
            <w:tcW w:w="2700" w:type="dxa"/>
          </w:tcPr>
          <w:p>
            <w:pPr>
              <w:pStyle w:val="TableParagraph"/>
              <w:spacing w:line="256" w:lineRule="exact" w:before="95"/>
              <w:ind w:left="-1"/>
              <w:rPr>
                <w:sz w:val="24"/>
              </w:rPr>
            </w:pPr>
            <w:r>
              <w:rPr>
                <w:spacing w:val="-2"/>
                <w:sz w:val="24"/>
              </w:rPr>
              <w:t>TOTAL</w:t>
            </w:r>
          </w:p>
        </w:tc>
        <w:tc>
          <w:tcPr>
            <w:tcW w:w="1393" w:type="dxa"/>
            <w:tcBorders>
              <w:top w:val="dashed" w:sz="8" w:space="0" w:color="000000"/>
            </w:tcBorders>
          </w:tcPr>
          <w:p>
            <w:pPr>
              <w:pStyle w:val="TableParagraph"/>
              <w:spacing w:line="256" w:lineRule="exact" w:before="95"/>
              <w:ind w:left="48"/>
              <w:rPr>
                <w:sz w:val="24"/>
              </w:rPr>
            </w:pPr>
            <w:r>
              <w:rPr>
                <w:spacing w:val="-4"/>
                <w:sz w:val="24"/>
              </w:rPr>
              <w:t>97.3</w:t>
            </w:r>
          </w:p>
        </w:tc>
        <w:tc>
          <w:tcPr>
            <w:tcW w:w="1270" w:type="dxa"/>
            <w:tcBorders>
              <w:top w:val="dashed" w:sz="8" w:space="0" w:color="000000"/>
            </w:tcBorders>
          </w:tcPr>
          <w:p>
            <w:pPr>
              <w:pStyle w:val="TableParagraph"/>
              <w:spacing w:line="256" w:lineRule="exact" w:before="95"/>
              <w:ind w:left="488"/>
              <w:rPr>
                <w:sz w:val="24"/>
              </w:rPr>
            </w:pPr>
            <w:r>
              <w:rPr>
                <w:spacing w:val="-5"/>
                <w:sz w:val="24"/>
              </w:rPr>
              <w:t>1.7</w:t>
            </w:r>
          </w:p>
        </w:tc>
        <w:tc>
          <w:tcPr>
            <w:tcW w:w="1016" w:type="dxa"/>
            <w:tcBorders>
              <w:top w:val="dashed" w:sz="8" w:space="0" w:color="000000"/>
            </w:tcBorders>
          </w:tcPr>
          <w:p>
            <w:pPr>
              <w:pStyle w:val="TableParagraph"/>
              <w:spacing w:line="256" w:lineRule="exact" w:before="95"/>
              <w:ind w:left="134"/>
              <w:rPr>
                <w:sz w:val="24"/>
              </w:rPr>
            </w:pPr>
            <w:r>
              <w:rPr>
                <w:spacing w:val="-5"/>
                <w:sz w:val="24"/>
              </w:rPr>
              <w:t>0.4</w:t>
            </w:r>
          </w:p>
        </w:tc>
        <w:tc>
          <w:tcPr>
            <w:tcW w:w="825" w:type="dxa"/>
            <w:tcBorders>
              <w:top w:val="dashed" w:sz="8" w:space="0" w:color="000000"/>
            </w:tcBorders>
          </w:tcPr>
          <w:p>
            <w:pPr>
              <w:pStyle w:val="TableParagraph"/>
              <w:spacing w:line="256" w:lineRule="exact" w:before="95"/>
              <w:ind w:left="33"/>
              <w:rPr>
                <w:sz w:val="24"/>
              </w:rPr>
            </w:pPr>
            <w:r>
              <w:rPr>
                <w:spacing w:val="-5"/>
                <w:sz w:val="24"/>
              </w:rPr>
              <w:t>0.6</w:t>
            </w:r>
          </w:p>
        </w:tc>
        <w:tc>
          <w:tcPr>
            <w:tcW w:w="1435" w:type="dxa"/>
            <w:tcBorders>
              <w:top w:val="dashed" w:sz="8" w:space="0" w:color="000000"/>
            </w:tcBorders>
          </w:tcPr>
          <w:p>
            <w:pPr>
              <w:pStyle w:val="TableParagraph"/>
              <w:spacing w:line="256" w:lineRule="exact" w:before="95"/>
              <w:ind w:left="125"/>
              <w:rPr>
                <w:sz w:val="24"/>
              </w:rPr>
            </w:pPr>
            <w:r>
              <w:rPr>
                <w:spacing w:val="-2"/>
                <w:sz w:val="24"/>
              </w:rPr>
              <w:t>100.0</w:t>
            </w:r>
          </w:p>
        </w:tc>
      </w:tr>
    </w:tbl>
    <w:p>
      <w:pPr>
        <w:pStyle w:val="BodyText"/>
        <w:spacing w:before="2"/>
        <w:rPr>
          <w:sz w:val="15"/>
        </w:rPr>
      </w:pPr>
      <w:r>
        <w:rPr/>
        <mc:AlternateContent>
          <mc:Choice Requires="wps">
            <w:drawing>
              <wp:anchor distT="0" distB="0" distL="0" distR="0" allowOverlap="1" layoutInCell="1" locked="0" behindDoc="1" simplePos="0" relativeHeight="487608320">
                <wp:simplePos x="0" y="0"/>
                <wp:positionH relativeFrom="page">
                  <wp:posOffset>1143000</wp:posOffset>
                </wp:positionH>
                <wp:positionV relativeFrom="paragraph">
                  <wp:posOffset>126237</wp:posOffset>
                </wp:positionV>
                <wp:extent cx="5486400" cy="1905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5486400" cy="19050"/>
                          <a:chExt cx="5486400" cy="19050"/>
                        </a:xfrm>
                      </wpg:grpSpPr>
                      <wps:wsp>
                        <wps:cNvPr id="223" name="Graphic 223"/>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224" name="Graphic 224"/>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25" name="Graphic 225"/>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26" name="Graphic 226"/>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227" name="Graphic 227"/>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28" name="Graphic 228"/>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29" name="Graphic 229"/>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3999pt;width:432pt;height:1.5pt;mso-position-horizontal-relative:page;mso-position-vertical-relative:paragraph;z-index:-15708160;mso-wrap-distance-left:0;mso-wrap-distance-right:0" id="docshapegroup215" coordorigin="1800,199" coordsize="8640,30">
                <v:rect style="position:absolute;left:1800;top:198;width:8640;height:30" id="docshape216" filled="true" fillcolor="#808080" stroked="false">
                  <v:fill type="solid"/>
                </v:rect>
                <v:shape style="position:absolute;left:1800;top:198;width:8636;height:5" id="docshape217" coordorigin="1800,199" coordsize="8636,5" path="m10435,199l1805,199,1800,199,1800,204,1805,204,10435,204,10435,199xe" filled="true" fillcolor="#aca89a" stroked="false">
                  <v:path arrowok="t"/>
                  <v:fill type="solid"/>
                </v:shape>
                <v:rect style="position:absolute;left:10435;top:198;width:5;height:5" id="docshape218" filled="true" fillcolor="#f1efe2" stroked="false">
                  <v:fill type="solid"/>
                </v:rect>
                <v:shape style="position:absolute;left:1800;top:198;width:8640;height:26" id="docshape219" coordorigin="1800,199" coordsize="8640,26" path="m1805,204l1800,204,1800,224,1805,224,1805,204xm10440,199l10435,199,10435,204,10440,204,10440,199xe" filled="true" fillcolor="#aca89a" stroked="false">
                  <v:path arrowok="t"/>
                  <v:fill type="solid"/>
                </v:shape>
                <v:rect style="position:absolute;left:10435;top:203;width:5;height:21" id="docshape220" filled="true" fillcolor="#f1efe2" stroked="false">
                  <v:fill type="solid"/>
                </v:rect>
                <v:rect style="position:absolute;left:1800;top:224;width:5;height:5" id="docshape221" filled="true" fillcolor="#aca89a" stroked="false">
                  <v:fill type="solid"/>
                </v:rect>
                <v:shape style="position:absolute;left:1800;top:224;width:8640;height:5" id="docshape222" coordorigin="1800,224" coordsize="8640,5" path="m10440,224l10435,224,1800,224,1800,229,10435,229,10440,229,10440,224xe" filled="true" fillcolor="#f1efe2" stroked="false">
                  <v:path arrowok="t"/>
                  <v:fill type="solid"/>
                </v:shape>
                <w10:wrap type="topAndBottom"/>
              </v:group>
            </w:pict>
          </mc:Fallback>
        </mc:AlternateContent>
      </w:r>
    </w:p>
    <w:p>
      <w:pPr>
        <w:pStyle w:val="BodyText"/>
        <w:spacing w:before="48"/>
        <w:ind w:left="159"/>
      </w:pPr>
      <w:r>
        <w:rPr/>
        <w:t>Source.</w:t>
      </w:r>
      <w:r>
        <w:rPr>
          <w:spacing w:val="50"/>
        </w:rPr>
        <w:t> </w:t>
      </w:r>
      <w:r>
        <w:rPr/>
        <w:t>ISI/LSE</w:t>
      </w:r>
      <w:r>
        <w:rPr>
          <w:spacing w:val="-4"/>
        </w:rPr>
        <w:t> </w:t>
      </w:r>
      <w:r>
        <w:rPr>
          <w:spacing w:val="-2"/>
        </w:rPr>
        <w:t>Paper.</w:t>
      </w:r>
    </w:p>
    <w:p>
      <w:pPr>
        <w:pStyle w:val="BodyText"/>
        <w:ind w:left="159"/>
      </w:pPr>
      <w:r>
        <w:rPr/>
        <w:t>Note.</w:t>
      </w:r>
      <w:r>
        <w:rPr>
          <w:spacing w:val="58"/>
        </w:rPr>
        <w:t> </w:t>
      </w:r>
      <w:r>
        <w:rPr/>
        <w:t>The</w:t>
      </w:r>
      <w:r>
        <w:rPr>
          <w:spacing w:val="-2"/>
        </w:rPr>
        <w:t> </w:t>
      </w:r>
      <w:r>
        <w:rPr/>
        <w:t>totals</w:t>
      </w:r>
      <w:r>
        <w:rPr>
          <w:spacing w:val="-1"/>
        </w:rPr>
        <w:t> </w:t>
      </w:r>
      <w:r>
        <w:rPr/>
        <w:t>do</w:t>
      </w:r>
      <w:r>
        <w:rPr>
          <w:spacing w:val="-1"/>
        </w:rPr>
        <w:t> </w:t>
      </w:r>
      <w:r>
        <w:rPr/>
        <w:t>not</w:t>
      </w:r>
      <w:r>
        <w:rPr>
          <w:spacing w:val="-2"/>
        </w:rPr>
        <w:t> </w:t>
      </w:r>
      <w:r>
        <w:rPr/>
        <w:t>tally</w:t>
      </w:r>
      <w:r>
        <w:rPr>
          <w:spacing w:val="-1"/>
        </w:rPr>
        <w:t> </w:t>
      </w:r>
      <w:r>
        <w:rPr/>
        <w:t>on</w:t>
      </w:r>
      <w:r>
        <w:rPr>
          <w:spacing w:val="-2"/>
        </w:rPr>
        <w:t> </w:t>
      </w:r>
      <w:r>
        <w:rPr/>
        <w:t>account</w:t>
      </w:r>
      <w:r>
        <w:rPr>
          <w:spacing w:val="-1"/>
        </w:rPr>
        <w:t> </w:t>
      </w:r>
      <w:r>
        <w:rPr/>
        <w:t>of</w:t>
      </w:r>
      <w:r>
        <w:rPr>
          <w:spacing w:val="-1"/>
        </w:rPr>
        <w:t> </w:t>
      </w:r>
      <w:r>
        <w:rPr>
          <w:spacing w:val="-2"/>
        </w:rPr>
        <w:t>rounding.</w:t>
      </w:r>
    </w:p>
    <w:p>
      <w:pPr>
        <w:spacing w:after="0"/>
        <w:sectPr>
          <w:pgSz w:w="12240" w:h="15840"/>
          <w:pgMar w:header="0" w:footer="743" w:top="1360" w:bottom="940" w:left="1640" w:right="1300"/>
        </w:sectPr>
      </w:pPr>
    </w:p>
    <w:p>
      <w:pPr>
        <w:pStyle w:val="BodyText"/>
        <w:spacing w:before="78"/>
        <w:ind w:left="160" w:right="495"/>
        <w:jc w:val="both"/>
      </w:pPr>
      <w:r>
        <w:rPr/>
        <w:t>and 7.0 per cent for the whole period of 1961 to 1986. Within these overall targets, sectoral targets naturally vary-from 11.85 per cent (factory establishments including power supply) and 11.24 per cent (construction) to 3.86 per cent (agriculture) in the period 1961-76. Projecting the growth of output in each separately allows for shifts in patterns</w:t>
      </w:r>
      <w:r>
        <w:rPr>
          <w:spacing w:val="-3"/>
        </w:rPr>
        <w:t> </w:t>
      </w:r>
      <w:r>
        <w:rPr/>
        <w:t>of</w:t>
      </w:r>
      <w:r>
        <w:rPr>
          <w:spacing w:val="-3"/>
        </w:rPr>
        <w:t> </w:t>
      </w:r>
      <w:r>
        <w:rPr/>
        <w:t>employment</w:t>
      </w:r>
      <w:r>
        <w:rPr>
          <w:spacing w:val="-3"/>
        </w:rPr>
        <w:t> </w:t>
      </w:r>
      <w:r>
        <w:rPr/>
        <w:t>and</w:t>
      </w:r>
      <w:r>
        <w:rPr>
          <w:spacing w:val="-3"/>
        </w:rPr>
        <w:t> </w:t>
      </w:r>
      <w:r>
        <w:rPr/>
        <w:t>reveals</w:t>
      </w:r>
      <w:r>
        <w:rPr>
          <w:spacing w:val="-3"/>
        </w:rPr>
        <w:t> </w:t>
      </w:r>
      <w:r>
        <w:rPr/>
        <w:t>demands</w:t>
      </w:r>
      <w:r>
        <w:rPr>
          <w:spacing w:val="-3"/>
        </w:rPr>
        <w:t> </w:t>
      </w:r>
      <w:r>
        <w:rPr/>
        <w:t>for</w:t>
      </w:r>
      <w:r>
        <w:rPr>
          <w:spacing w:val="-2"/>
        </w:rPr>
        <w:t> </w:t>
      </w:r>
      <w:r>
        <w:rPr/>
        <w:t>educated</w:t>
      </w:r>
      <w:r>
        <w:rPr>
          <w:spacing w:val="-3"/>
        </w:rPr>
        <w:t> </w:t>
      </w:r>
      <w:r>
        <w:rPr/>
        <w:t>workers</w:t>
      </w:r>
      <w:r>
        <w:rPr>
          <w:spacing w:val="-3"/>
        </w:rPr>
        <w:t> </w:t>
      </w:r>
      <w:r>
        <w:rPr/>
        <w:t>in</w:t>
      </w:r>
      <w:r>
        <w:rPr>
          <w:spacing w:val="-3"/>
        </w:rPr>
        <w:t> </w:t>
      </w:r>
      <w:r>
        <w:rPr/>
        <w:t>fast-growing</w:t>
      </w:r>
      <w:r>
        <w:rPr>
          <w:spacing w:val="-3"/>
        </w:rPr>
        <w:t> </w:t>
      </w:r>
      <w:r>
        <w:rPr/>
        <w:t>highly technical industries which would be lost in a simple overall growth rate.</w:t>
      </w:r>
    </w:p>
    <w:p>
      <w:pPr>
        <w:pStyle w:val="BodyText"/>
        <w:spacing w:before="2"/>
      </w:pPr>
    </w:p>
    <w:p>
      <w:pPr>
        <w:pStyle w:val="ListParagraph"/>
        <w:numPr>
          <w:ilvl w:val="1"/>
          <w:numId w:val="98"/>
        </w:numPr>
        <w:tabs>
          <w:tab w:pos="641" w:val="left" w:leader="none"/>
        </w:tabs>
        <w:spacing w:line="240" w:lineRule="auto" w:before="0" w:after="0"/>
        <w:ind w:left="160" w:right="496" w:firstLine="0"/>
        <w:jc w:val="both"/>
        <w:rPr>
          <w:sz w:val="24"/>
        </w:rPr>
      </w:pPr>
      <w:r>
        <w:rPr>
          <w:sz w:val="24"/>
        </w:rPr>
        <w:t>Within</w:t>
      </w:r>
      <w:r>
        <w:rPr>
          <w:spacing w:val="-2"/>
          <w:sz w:val="24"/>
        </w:rPr>
        <w:t> </w:t>
      </w:r>
      <w:r>
        <w:rPr>
          <w:sz w:val="24"/>
        </w:rPr>
        <w:t>services,</w:t>
      </w:r>
      <w:r>
        <w:rPr>
          <w:spacing w:val="-2"/>
          <w:sz w:val="24"/>
        </w:rPr>
        <w:t> </w:t>
      </w:r>
      <w:r>
        <w:rPr>
          <w:sz w:val="24"/>
        </w:rPr>
        <w:t>each</w:t>
      </w:r>
      <w:r>
        <w:rPr>
          <w:spacing w:val="-2"/>
          <w:sz w:val="24"/>
        </w:rPr>
        <w:t> </w:t>
      </w:r>
      <w:r>
        <w:rPr>
          <w:sz w:val="24"/>
        </w:rPr>
        <w:t>major</w:t>
      </w:r>
      <w:r>
        <w:rPr>
          <w:spacing w:val="-2"/>
          <w:sz w:val="24"/>
        </w:rPr>
        <w:t> </w:t>
      </w:r>
      <w:r>
        <w:rPr>
          <w:sz w:val="24"/>
        </w:rPr>
        <w:t>service</w:t>
      </w:r>
      <w:r>
        <w:rPr>
          <w:spacing w:val="-2"/>
          <w:sz w:val="24"/>
        </w:rPr>
        <w:t> </w:t>
      </w:r>
      <w:r>
        <w:rPr>
          <w:sz w:val="24"/>
        </w:rPr>
        <w:t>has</w:t>
      </w:r>
      <w:r>
        <w:rPr>
          <w:spacing w:val="-2"/>
          <w:sz w:val="24"/>
        </w:rPr>
        <w:t> </w:t>
      </w:r>
      <w:r>
        <w:rPr>
          <w:sz w:val="24"/>
        </w:rPr>
        <w:t>been</w:t>
      </w:r>
      <w:r>
        <w:rPr>
          <w:spacing w:val="-2"/>
          <w:sz w:val="24"/>
        </w:rPr>
        <w:t> </w:t>
      </w:r>
      <w:r>
        <w:rPr>
          <w:sz w:val="24"/>
        </w:rPr>
        <w:t>treated</w:t>
      </w:r>
      <w:r>
        <w:rPr>
          <w:spacing w:val="-2"/>
          <w:sz w:val="24"/>
        </w:rPr>
        <w:t> </w:t>
      </w:r>
      <w:r>
        <w:rPr>
          <w:sz w:val="24"/>
        </w:rPr>
        <w:t>separately.</w:t>
      </w:r>
      <w:r>
        <w:rPr>
          <w:spacing w:val="-4"/>
          <w:sz w:val="24"/>
        </w:rPr>
        <w:t> </w:t>
      </w:r>
      <w:r>
        <w:rPr>
          <w:sz w:val="24"/>
        </w:rPr>
        <w:t>In</w:t>
      </w:r>
      <w:r>
        <w:rPr>
          <w:spacing w:val="-2"/>
          <w:sz w:val="24"/>
        </w:rPr>
        <w:t> </w:t>
      </w:r>
      <w:r>
        <w:rPr>
          <w:sz w:val="24"/>
        </w:rPr>
        <w:t>1961,</w:t>
      </w:r>
      <w:r>
        <w:rPr>
          <w:spacing w:val="-2"/>
          <w:sz w:val="24"/>
        </w:rPr>
        <w:t> </w:t>
      </w:r>
      <w:r>
        <w:rPr>
          <w:sz w:val="24"/>
        </w:rPr>
        <w:t>a</w:t>
      </w:r>
      <w:r>
        <w:rPr>
          <w:spacing w:val="-2"/>
          <w:sz w:val="24"/>
        </w:rPr>
        <w:t> </w:t>
      </w:r>
      <w:r>
        <w:rPr>
          <w:sz w:val="24"/>
        </w:rPr>
        <w:t>quarter</w:t>
      </w:r>
      <w:r>
        <w:rPr>
          <w:spacing w:val="-2"/>
          <w:sz w:val="24"/>
        </w:rPr>
        <w:t> </w:t>
      </w:r>
      <w:r>
        <w:rPr>
          <w:sz w:val="24"/>
        </w:rPr>
        <w:t>of employed matriculates and a similar proportion of employed graduates were in public administration and defence.</w:t>
      </w:r>
    </w:p>
    <w:p>
      <w:pPr>
        <w:pStyle w:val="BodyText"/>
        <w:spacing w:before="4"/>
      </w:pPr>
    </w:p>
    <w:p>
      <w:pPr>
        <w:pStyle w:val="BodyText"/>
        <w:ind w:left="159" w:right="496"/>
        <w:jc w:val="both"/>
      </w:pPr>
      <w:r>
        <w:rPr/>
        <w:t>It is assumed that these will increase at four per cent a year.</w:t>
      </w:r>
      <w:r>
        <w:rPr>
          <w:spacing w:val="40"/>
        </w:rPr>
        <w:t> </w:t>
      </w:r>
      <w:r>
        <w:rPr/>
        <w:t>The need for teachers is derived from enrolment estimates and assumptions about pupil-teacher ratios and teachers' qualifications. The need for medical personnel distinguishes doctors, nurses and auxiliary</w:t>
      </w:r>
      <w:r>
        <w:rPr>
          <w:spacing w:val="-2"/>
        </w:rPr>
        <w:t> </w:t>
      </w:r>
      <w:r>
        <w:rPr/>
        <w:t>personnel.</w:t>
      </w:r>
      <w:r>
        <w:rPr>
          <w:spacing w:val="-2"/>
        </w:rPr>
        <w:t> </w:t>
      </w:r>
      <w:r>
        <w:rPr/>
        <w:t>The</w:t>
      </w:r>
      <w:r>
        <w:rPr>
          <w:spacing w:val="-2"/>
        </w:rPr>
        <w:t> </w:t>
      </w:r>
      <w:r>
        <w:rPr/>
        <w:t>targets</w:t>
      </w:r>
      <w:r>
        <w:rPr>
          <w:spacing w:val="-2"/>
        </w:rPr>
        <w:t> </w:t>
      </w:r>
      <w:r>
        <w:rPr/>
        <w:t>chosen</w:t>
      </w:r>
      <w:r>
        <w:rPr>
          <w:spacing w:val="-2"/>
        </w:rPr>
        <w:t> </w:t>
      </w:r>
      <w:r>
        <w:rPr/>
        <w:t>imply</w:t>
      </w:r>
      <w:r>
        <w:rPr>
          <w:spacing w:val="-2"/>
        </w:rPr>
        <w:t> </w:t>
      </w:r>
      <w:r>
        <w:rPr/>
        <w:t>one</w:t>
      </w:r>
      <w:r>
        <w:rPr>
          <w:spacing w:val="-2"/>
        </w:rPr>
        <w:t> </w:t>
      </w:r>
      <w:r>
        <w:rPr/>
        <w:t>doctor</w:t>
      </w:r>
      <w:r>
        <w:rPr>
          <w:spacing w:val="-2"/>
        </w:rPr>
        <w:t> </w:t>
      </w:r>
      <w:r>
        <w:rPr/>
        <w:t>per</w:t>
      </w:r>
      <w:r>
        <w:rPr>
          <w:spacing w:val="-2"/>
        </w:rPr>
        <w:t> </w:t>
      </w:r>
      <w:r>
        <w:rPr/>
        <w:t>3,000</w:t>
      </w:r>
      <w:r>
        <w:rPr>
          <w:spacing w:val="-3"/>
        </w:rPr>
        <w:t> </w:t>
      </w:r>
      <w:r>
        <w:rPr/>
        <w:t>population</w:t>
      </w:r>
      <w:r>
        <w:rPr>
          <w:spacing w:val="-2"/>
        </w:rPr>
        <w:t> </w:t>
      </w:r>
      <w:r>
        <w:rPr/>
        <w:t>in</w:t>
      </w:r>
      <w:r>
        <w:rPr>
          <w:spacing w:val="-2"/>
        </w:rPr>
        <w:t> </w:t>
      </w:r>
      <w:r>
        <w:rPr/>
        <w:t>1975-76 and one per 2,000 in 1985-86, and similar numbers of fully trained nurses. The estimates for both educational and medical personnel take direct account of population growth and national income. Of the remaining services, legal and business services may grow as fast as the economy as a whole; recreational and personnel services perhaps less fast.</w:t>
      </w:r>
      <w:r>
        <w:rPr>
          <w:spacing w:val="40"/>
        </w:rPr>
        <w:t> </w:t>
      </w:r>
      <w:r>
        <w:rPr/>
        <w:t>For the combined remaining services, a growth of 3 per cent a year has been assumed up to 1976 and of 5 per cent thereafter.</w:t>
      </w:r>
    </w:p>
    <w:p>
      <w:pPr>
        <w:pStyle w:val="BodyText"/>
        <w:spacing w:before="5"/>
      </w:pPr>
    </w:p>
    <w:p>
      <w:pPr>
        <w:pStyle w:val="ListParagraph"/>
        <w:numPr>
          <w:ilvl w:val="1"/>
          <w:numId w:val="98"/>
        </w:numPr>
        <w:tabs>
          <w:tab w:pos="696" w:val="left" w:leader="none"/>
        </w:tabs>
        <w:spacing w:line="240" w:lineRule="auto" w:before="0" w:after="0"/>
        <w:ind w:left="160" w:right="497" w:firstLine="0"/>
        <w:jc w:val="both"/>
        <w:rPr>
          <w:sz w:val="24"/>
        </w:rPr>
      </w:pPr>
      <w:r>
        <w:rPr>
          <w:sz w:val="24"/>
        </w:rPr>
        <w:t>The results of these various calculations show that matriculate workers should increase</w:t>
      </w:r>
      <w:r>
        <w:rPr>
          <w:spacing w:val="40"/>
          <w:sz w:val="24"/>
        </w:rPr>
        <w:t> </w:t>
      </w:r>
      <w:r>
        <w:rPr>
          <w:sz w:val="24"/>
        </w:rPr>
        <w:t>from</w:t>
      </w:r>
      <w:r>
        <w:rPr>
          <w:spacing w:val="40"/>
          <w:sz w:val="24"/>
        </w:rPr>
        <w:t> </w:t>
      </w:r>
      <w:r>
        <w:rPr>
          <w:sz w:val="24"/>
        </w:rPr>
        <w:t>5.2</w:t>
      </w:r>
      <w:r>
        <w:rPr>
          <w:spacing w:val="40"/>
          <w:sz w:val="24"/>
        </w:rPr>
        <w:t> </w:t>
      </w:r>
      <w:r>
        <w:rPr>
          <w:sz w:val="24"/>
        </w:rPr>
        <w:t>million</w:t>
      </w:r>
      <w:r>
        <w:rPr>
          <w:spacing w:val="40"/>
          <w:sz w:val="24"/>
        </w:rPr>
        <w:t> </w:t>
      </w:r>
      <w:r>
        <w:rPr>
          <w:sz w:val="24"/>
        </w:rPr>
        <w:t>in</w:t>
      </w:r>
      <w:r>
        <w:rPr>
          <w:spacing w:val="40"/>
          <w:sz w:val="24"/>
        </w:rPr>
        <w:t> </w:t>
      </w:r>
      <w:r>
        <w:rPr>
          <w:sz w:val="24"/>
        </w:rPr>
        <w:t>1961</w:t>
      </w:r>
      <w:r>
        <w:rPr>
          <w:spacing w:val="40"/>
          <w:sz w:val="24"/>
        </w:rPr>
        <w:t> </w:t>
      </w:r>
      <w:r>
        <w:rPr>
          <w:sz w:val="24"/>
        </w:rPr>
        <w:t>to</w:t>
      </w:r>
      <w:r>
        <w:rPr>
          <w:spacing w:val="40"/>
          <w:sz w:val="24"/>
        </w:rPr>
        <w:t> </w:t>
      </w:r>
      <w:r>
        <w:rPr>
          <w:sz w:val="24"/>
        </w:rPr>
        <w:t>16.6</w:t>
      </w:r>
      <w:r>
        <w:rPr>
          <w:spacing w:val="40"/>
          <w:sz w:val="24"/>
        </w:rPr>
        <w:t> </w:t>
      </w:r>
      <w:r>
        <w:rPr>
          <w:sz w:val="24"/>
        </w:rPr>
        <w:t>million</w:t>
      </w:r>
      <w:r>
        <w:rPr>
          <w:spacing w:val="40"/>
          <w:sz w:val="24"/>
        </w:rPr>
        <w:t> </w:t>
      </w:r>
      <w:r>
        <w:rPr>
          <w:sz w:val="24"/>
        </w:rPr>
        <w:t>in</w:t>
      </w:r>
      <w:r>
        <w:rPr>
          <w:spacing w:val="40"/>
          <w:sz w:val="24"/>
        </w:rPr>
        <w:t> </w:t>
      </w:r>
      <w:r>
        <w:rPr>
          <w:sz w:val="24"/>
        </w:rPr>
        <w:t>1976</w:t>
      </w:r>
      <w:r>
        <w:rPr>
          <w:spacing w:val="40"/>
          <w:sz w:val="24"/>
        </w:rPr>
        <w:t> </w:t>
      </w:r>
      <w:r>
        <w:rPr>
          <w:sz w:val="24"/>
        </w:rPr>
        <w:t>and</w:t>
      </w:r>
      <w:r>
        <w:rPr>
          <w:spacing w:val="40"/>
          <w:sz w:val="24"/>
        </w:rPr>
        <w:t> </w:t>
      </w:r>
      <w:r>
        <w:rPr>
          <w:sz w:val="24"/>
        </w:rPr>
        <w:t>32.6</w:t>
      </w:r>
      <w:r>
        <w:rPr>
          <w:spacing w:val="40"/>
          <w:sz w:val="24"/>
        </w:rPr>
        <w:t> </w:t>
      </w:r>
      <w:r>
        <w:rPr>
          <w:sz w:val="24"/>
        </w:rPr>
        <w:t>million</w:t>
      </w:r>
      <w:r>
        <w:rPr>
          <w:spacing w:val="40"/>
          <w:sz w:val="24"/>
        </w:rPr>
        <w:t> </w:t>
      </w:r>
      <w:r>
        <w:rPr>
          <w:sz w:val="24"/>
        </w:rPr>
        <w:t>in</w:t>
      </w:r>
      <w:r>
        <w:rPr>
          <w:spacing w:val="40"/>
          <w:sz w:val="24"/>
        </w:rPr>
        <w:t> </w:t>
      </w:r>
      <w:r>
        <w:rPr>
          <w:sz w:val="24"/>
        </w:rPr>
        <w:t>1986.</w:t>
      </w:r>
    </w:p>
    <w:p>
      <w:pPr>
        <w:pStyle w:val="BodyText"/>
        <w:ind w:left="160" w:right="498"/>
        <w:jc w:val="both"/>
      </w:pPr>
      <w:r>
        <w:rPr/>
        <w:t>Graduate workers should increase from</w:t>
      </w:r>
      <w:r>
        <w:rPr>
          <w:spacing w:val="-3"/>
        </w:rPr>
        <w:t> </w:t>
      </w:r>
      <w:r>
        <w:rPr/>
        <w:t>1.1 million in 1961 to 3.3 million in 1976 and 6.5 million in 1986. This and other relevant details will be seen from Table 5.2.</w:t>
      </w:r>
    </w:p>
    <w:p>
      <w:pPr>
        <w:pStyle w:val="BodyText"/>
        <w:spacing w:before="3"/>
      </w:pPr>
    </w:p>
    <w:p>
      <w:pPr>
        <w:pStyle w:val="ListParagraph"/>
        <w:numPr>
          <w:ilvl w:val="1"/>
          <w:numId w:val="98"/>
        </w:numPr>
        <w:tabs>
          <w:tab w:pos="675" w:val="left" w:leader="none"/>
        </w:tabs>
        <w:spacing w:line="240" w:lineRule="auto" w:before="1" w:after="0"/>
        <w:ind w:left="159" w:right="495" w:firstLine="0"/>
        <w:jc w:val="both"/>
        <w:rPr>
          <w:b/>
          <w:sz w:val="24"/>
        </w:rPr>
      </w:pPr>
      <w:r>
        <w:rPr>
          <w:b/>
          <w:sz w:val="24"/>
        </w:rPr>
        <w:t>Workers, Stock and Output of Educated Manpower. </w:t>
      </w:r>
      <w:r>
        <w:rPr>
          <w:sz w:val="24"/>
        </w:rPr>
        <w:t>So far, these projections have been in terms of members workers.</w:t>
      </w:r>
      <w:r>
        <w:rPr>
          <w:spacing w:val="80"/>
          <w:sz w:val="24"/>
        </w:rPr>
        <w:t> </w:t>
      </w:r>
      <w:r>
        <w:rPr>
          <w:sz w:val="24"/>
        </w:rPr>
        <w:t>But not all educated people work.</w:t>
      </w:r>
      <w:r>
        <w:rPr>
          <w:spacing w:val="80"/>
          <w:sz w:val="24"/>
        </w:rPr>
        <w:t> </w:t>
      </w:r>
      <w:r>
        <w:rPr>
          <w:sz w:val="24"/>
        </w:rPr>
        <w:t>Some remain students, some are housewives and some remain unemployed. Broadly speaking,</w:t>
      </w:r>
      <w:r>
        <w:rPr>
          <w:spacing w:val="40"/>
          <w:sz w:val="24"/>
        </w:rPr>
        <w:t> </w:t>
      </w:r>
      <w:r>
        <w:rPr>
          <w:sz w:val="24"/>
        </w:rPr>
        <w:t>it</w:t>
      </w:r>
      <w:r>
        <w:rPr>
          <w:spacing w:val="-2"/>
          <w:sz w:val="24"/>
        </w:rPr>
        <w:t> </w:t>
      </w:r>
      <w:r>
        <w:rPr>
          <w:sz w:val="24"/>
        </w:rPr>
        <w:t>has</w:t>
      </w:r>
      <w:r>
        <w:rPr>
          <w:spacing w:val="-2"/>
          <w:sz w:val="24"/>
        </w:rPr>
        <w:t> </w:t>
      </w:r>
      <w:r>
        <w:rPr>
          <w:sz w:val="24"/>
        </w:rPr>
        <w:t>been</w:t>
      </w:r>
      <w:r>
        <w:rPr>
          <w:spacing w:val="-2"/>
          <w:sz w:val="24"/>
        </w:rPr>
        <w:t> </w:t>
      </w:r>
      <w:r>
        <w:rPr>
          <w:sz w:val="24"/>
        </w:rPr>
        <w:t>assumed</w:t>
      </w:r>
      <w:r>
        <w:rPr>
          <w:spacing w:val="-2"/>
          <w:sz w:val="24"/>
        </w:rPr>
        <w:t> </w:t>
      </w:r>
      <w:r>
        <w:rPr>
          <w:sz w:val="24"/>
        </w:rPr>
        <w:t>that</w:t>
      </w:r>
      <w:r>
        <w:rPr>
          <w:spacing w:val="-2"/>
          <w:sz w:val="24"/>
        </w:rPr>
        <w:t> </w:t>
      </w:r>
      <w:r>
        <w:rPr>
          <w:sz w:val="24"/>
        </w:rPr>
        <w:t>the</w:t>
      </w:r>
      <w:r>
        <w:rPr>
          <w:spacing w:val="-2"/>
          <w:sz w:val="24"/>
        </w:rPr>
        <w:t> </w:t>
      </w:r>
      <w:r>
        <w:rPr>
          <w:sz w:val="24"/>
        </w:rPr>
        <w:t>proportion</w:t>
      </w:r>
      <w:r>
        <w:rPr>
          <w:spacing w:val="-2"/>
          <w:sz w:val="24"/>
        </w:rPr>
        <w:t> </w:t>
      </w:r>
      <w:r>
        <w:rPr>
          <w:sz w:val="24"/>
        </w:rPr>
        <w:t>of</w:t>
      </w:r>
      <w:r>
        <w:rPr>
          <w:spacing w:val="-2"/>
          <w:sz w:val="24"/>
        </w:rPr>
        <w:t> </w:t>
      </w:r>
      <w:r>
        <w:rPr>
          <w:sz w:val="24"/>
        </w:rPr>
        <w:t>educated</w:t>
      </w:r>
      <w:r>
        <w:rPr>
          <w:spacing w:val="-2"/>
          <w:sz w:val="24"/>
        </w:rPr>
        <w:t> </w:t>
      </w:r>
      <w:r>
        <w:rPr>
          <w:sz w:val="24"/>
        </w:rPr>
        <w:t>men</w:t>
      </w:r>
      <w:r>
        <w:rPr>
          <w:spacing w:val="-2"/>
          <w:sz w:val="24"/>
        </w:rPr>
        <w:t> </w:t>
      </w:r>
      <w:r>
        <w:rPr>
          <w:sz w:val="24"/>
        </w:rPr>
        <w:t>and</w:t>
      </w:r>
      <w:r>
        <w:rPr>
          <w:spacing w:val="-2"/>
          <w:sz w:val="24"/>
        </w:rPr>
        <w:t> </w:t>
      </w:r>
      <w:r>
        <w:rPr>
          <w:sz w:val="24"/>
        </w:rPr>
        <w:t>women</w:t>
      </w:r>
      <w:r>
        <w:rPr>
          <w:spacing w:val="-2"/>
          <w:sz w:val="24"/>
        </w:rPr>
        <w:t> </w:t>
      </w:r>
      <w:r>
        <w:rPr>
          <w:sz w:val="24"/>
        </w:rPr>
        <w:t>who</w:t>
      </w:r>
      <w:r>
        <w:rPr>
          <w:spacing w:val="-2"/>
          <w:sz w:val="24"/>
        </w:rPr>
        <w:t> </w:t>
      </w:r>
      <w:r>
        <w:rPr>
          <w:sz w:val="24"/>
        </w:rPr>
        <w:t>are</w:t>
      </w:r>
      <w:r>
        <w:rPr>
          <w:spacing w:val="-2"/>
          <w:sz w:val="24"/>
        </w:rPr>
        <w:t> </w:t>
      </w:r>
      <w:r>
        <w:rPr>
          <w:sz w:val="24"/>
        </w:rPr>
        <w:t>at</w:t>
      </w:r>
      <w:r>
        <w:rPr>
          <w:spacing w:val="-2"/>
          <w:sz w:val="24"/>
        </w:rPr>
        <w:t> </w:t>
      </w:r>
      <w:r>
        <w:rPr>
          <w:sz w:val="24"/>
        </w:rPr>
        <w:t>work</w:t>
      </w:r>
      <w:r>
        <w:rPr>
          <w:spacing w:val="-2"/>
          <w:sz w:val="24"/>
        </w:rPr>
        <w:t> </w:t>
      </w:r>
      <w:r>
        <w:rPr>
          <w:sz w:val="24"/>
        </w:rPr>
        <w:t>will remain the same as it was in 1961.</w:t>
      </w:r>
      <w:r>
        <w:rPr>
          <w:spacing w:val="80"/>
          <w:sz w:val="24"/>
        </w:rPr>
        <w:t> </w:t>
      </w:r>
      <w:r>
        <w:rPr>
          <w:sz w:val="24"/>
        </w:rPr>
        <w:t>On this basis, the stocks of workers (as well as the out-turn in each category) were worked out and are given in Table 5.3. It will be seen from it that the total number of those with matriculation and above grows from 8 million to 27 million in 1976</w:t>
      </w:r>
      <w:r>
        <w:rPr>
          <w:spacing w:val="40"/>
          <w:sz w:val="24"/>
        </w:rPr>
        <w:t> </w:t>
      </w:r>
      <w:r>
        <w:rPr>
          <w:sz w:val="24"/>
        </w:rPr>
        <w:t>and 56 million in 1986 (or at the rate of 8.3 per cent a year up to 1976 and 7.5</w:t>
      </w:r>
      <w:r>
        <w:rPr>
          <w:spacing w:val="40"/>
          <w:sz w:val="24"/>
        </w:rPr>
        <w:t> </w:t>
      </w:r>
      <w:r>
        <w:rPr>
          <w:sz w:val="24"/>
        </w:rPr>
        <w:t>per cent in the following decade). The total number of graduates shown grows from 1.5 million in 1961 to 4.5 million in 1976 and 9 million in 19896 (or at a steady growth rate of 7.5 per cent a year, compared with 6 per cent through out the </w:t>
      </w:r>
      <w:r>
        <w:rPr>
          <w:spacing w:val="-2"/>
          <w:sz w:val="24"/>
        </w:rPr>
        <w:t>1950s).</w:t>
      </w:r>
    </w:p>
    <w:p>
      <w:pPr>
        <w:pStyle w:val="BodyText"/>
        <w:spacing w:before="3"/>
      </w:pPr>
    </w:p>
    <w:p>
      <w:pPr>
        <w:pStyle w:val="ListParagraph"/>
        <w:numPr>
          <w:ilvl w:val="1"/>
          <w:numId w:val="98"/>
        </w:numPr>
        <w:tabs>
          <w:tab w:pos="648" w:val="left" w:leader="none"/>
        </w:tabs>
        <w:spacing w:line="240" w:lineRule="auto" w:before="1" w:after="0"/>
        <w:ind w:left="159" w:right="497" w:firstLine="0"/>
        <w:jc w:val="both"/>
        <w:rPr>
          <w:sz w:val="24"/>
        </w:rPr>
      </w:pPr>
      <w:r>
        <w:rPr>
          <w:sz w:val="24"/>
        </w:rPr>
        <w:t>in general, the output from the educational system needed to produce this pattern of stocks should grow at the same rate as the required stock.</w:t>
      </w:r>
      <w:r>
        <w:rPr>
          <w:spacing w:val="40"/>
          <w:sz w:val="24"/>
        </w:rPr>
        <w:t> </w:t>
      </w:r>
      <w:r>
        <w:rPr>
          <w:sz w:val="24"/>
        </w:rPr>
        <w:t>The exception is the output of matriculates up to 1976, which grows rather faster than the required stock as the actual output in 1961 was below the required if stock targets were to be met.</w:t>
      </w:r>
      <w:r>
        <w:rPr>
          <w:spacing w:val="80"/>
          <w:sz w:val="24"/>
        </w:rPr>
        <w:t> </w:t>
      </w:r>
      <w:r>
        <w:rPr>
          <w:sz w:val="24"/>
        </w:rPr>
        <w:t>Overall, the</w:t>
      </w:r>
      <w:r>
        <w:rPr>
          <w:spacing w:val="40"/>
          <w:sz w:val="24"/>
        </w:rPr>
        <w:t> </w:t>
      </w:r>
      <w:r>
        <w:rPr>
          <w:sz w:val="24"/>
        </w:rPr>
        <w:t>annual</w:t>
      </w:r>
      <w:r>
        <w:rPr>
          <w:spacing w:val="-2"/>
          <w:sz w:val="24"/>
        </w:rPr>
        <w:t> </w:t>
      </w:r>
      <w:r>
        <w:rPr>
          <w:sz w:val="24"/>
        </w:rPr>
        <w:t>output</w:t>
      </w:r>
      <w:r>
        <w:rPr>
          <w:spacing w:val="-2"/>
          <w:sz w:val="24"/>
        </w:rPr>
        <w:t> </w:t>
      </w:r>
      <w:r>
        <w:rPr>
          <w:sz w:val="24"/>
        </w:rPr>
        <w:t>of</w:t>
      </w:r>
      <w:r>
        <w:rPr>
          <w:spacing w:val="-2"/>
          <w:sz w:val="24"/>
        </w:rPr>
        <w:t> </w:t>
      </w:r>
      <w:r>
        <w:rPr>
          <w:sz w:val="24"/>
        </w:rPr>
        <w:t>matriculates</w:t>
      </w:r>
      <w:r>
        <w:rPr>
          <w:spacing w:val="-2"/>
          <w:sz w:val="24"/>
        </w:rPr>
        <w:t> </w:t>
      </w:r>
      <w:r>
        <w:rPr>
          <w:sz w:val="24"/>
        </w:rPr>
        <w:t>should</w:t>
      </w:r>
      <w:r>
        <w:rPr>
          <w:spacing w:val="-2"/>
          <w:sz w:val="24"/>
        </w:rPr>
        <w:t> </w:t>
      </w:r>
      <w:r>
        <w:rPr>
          <w:sz w:val="24"/>
        </w:rPr>
        <w:t>grow</w:t>
      </w:r>
      <w:r>
        <w:rPr>
          <w:spacing w:val="-4"/>
          <w:sz w:val="24"/>
        </w:rPr>
        <w:t> </w:t>
      </w:r>
      <w:r>
        <w:rPr>
          <w:sz w:val="24"/>
        </w:rPr>
        <w:t>from</w:t>
      </w:r>
      <w:r>
        <w:rPr>
          <w:spacing w:val="-2"/>
          <w:sz w:val="24"/>
        </w:rPr>
        <w:t> </w:t>
      </w:r>
      <w:r>
        <w:rPr>
          <w:sz w:val="24"/>
        </w:rPr>
        <w:t>0.6</w:t>
      </w:r>
      <w:r>
        <w:rPr>
          <w:spacing w:val="-2"/>
          <w:sz w:val="24"/>
        </w:rPr>
        <w:t> </w:t>
      </w:r>
      <w:r>
        <w:rPr>
          <w:sz w:val="24"/>
        </w:rPr>
        <w:t>million</w:t>
      </w:r>
      <w:r>
        <w:rPr>
          <w:spacing w:val="-2"/>
          <w:sz w:val="24"/>
        </w:rPr>
        <w:t> </w:t>
      </w:r>
      <w:r>
        <w:rPr>
          <w:sz w:val="24"/>
        </w:rPr>
        <w:t>in</w:t>
      </w:r>
      <w:r>
        <w:rPr>
          <w:spacing w:val="-2"/>
          <w:sz w:val="24"/>
        </w:rPr>
        <w:t> </w:t>
      </w:r>
      <w:r>
        <w:rPr>
          <w:sz w:val="24"/>
        </w:rPr>
        <w:t>1961</w:t>
      </w:r>
      <w:r>
        <w:rPr>
          <w:spacing w:val="-2"/>
          <w:sz w:val="24"/>
        </w:rPr>
        <w:t> </w:t>
      </w:r>
      <w:r>
        <w:rPr>
          <w:sz w:val="24"/>
        </w:rPr>
        <w:t>to</w:t>
      </w:r>
      <w:r>
        <w:rPr>
          <w:spacing w:val="-2"/>
          <w:sz w:val="24"/>
        </w:rPr>
        <w:t> </w:t>
      </w:r>
      <w:r>
        <w:rPr>
          <w:sz w:val="24"/>
        </w:rPr>
        <w:t>4.8</w:t>
      </w:r>
      <w:r>
        <w:rPr>
          <w:spacing w:val="-2"/>
          <w:sz w:val="24"/>
        </w:rPr>
        <w:t> </w:t>
      </w:r>
      <w:r>
        <w:rPr>
          <w:sz w:val="24"/>
        </w:rPr>
        <w:t>million</w:t>
      </w:r>
      <w:r>
        <w:rPr>
          <w:spacing w:val="-2"/>
          <w:sz w:val="24"/>
        </w:rPr>
        <w:t> </w:t>
      </w:r>
      <w:r>
        <w:rPr>
          <w:sz w:val="24"/>
        </w:rPr>
        <w:t>in</w:t>
      </w:r>
      <w:r>
        <w:rPr>
          <w:spacing w:val="-2"/>
          <w:sz w:val="24"/>
        </w:rPr>
        <w:t> </w:t>
      </w:r>
      <w:r>
        <w:rPr>
          <w:sz w:val="24"/>
        </w:rPr>
        <w:t>1986 and</w:t>
      </w:r>
      <w:r>
        <w:rPr>
          <w:spacing w:val="8"/>
          <w:sz w:val="24"/>
        </w:rPr>
        <w:t> </w:t>
      </w:r>
      <w:r>
        <w:rPr>
          <w:sz w:val="24"/>
        </w:rPr>
        <w:t>that</w:t>
      </w:r>
      <w:r>
        <w:rPr>
          <w:spacing w:val="9"/>
          <w:sz w:val="24"/>
        </w:rPr>
        <w:t> </w:t>
      </w:r>
      <w:r>
        <w:rPr>
          <w:sz w:val="24"/>
        </w:rPr>
        <w:t>of</w:t>
      </w:r>
      <w:r>
        <w:rPr>
          <w:spacing w:val="9"/>
          <w:sz w:val="24"/>
        </w:rPr>
        <w:t> </w:t>
      </w:r>
      <w:r>
        <w:rPr>
          <w:sz w:val="24"/>
        </w:rPr>
        <w:t>graduates</w:t>
      </w:r>
      <w:r>
        <w:rPr>
          <w:spacing w:val="8"/>
          <w:sz w:val="24"/>
        </w:rPr>
        <w:t> </w:t>
      </w:r>
      <w:r>
        <w:rPr>
          <w:sz w:val="24"/>
        </w:rPr>
        <w:t>from</w:t>
      </w:r>
      <w:r>
        <w:rPr>
          <w:spacing w:val="7"/>
          <w:sz w:val="24"/>
        </w:rPr>
        <w:t> </w:t>
      </w:r>
      <w:r>
        <w:rPr>
          <w:sz w:val="24"/>
        </w:rPr>
        <w:t>0.1</w:t>
      </w:r>
      <w:r>
        <w:rPr>
          <w:spacing w:val="9"/>
          <w:sz w:val="24"/>
        </w:rPr>
        <w:t> </w:t>
      </w:r>
      <w:r>
        <w:rPr>
          <w:sz w:val="24"/>
        </w:rPr>
        <w:t>million</w:t>
      </w:r>
      <w:r>
        <w:rPr>
          <w:spacing w:val="8"/>
          <w:sz w:val="24"/>
        </w:rPr>
        <w:t> </w:t>
      </w:r>
      <w:r>
        <w:rPr>
          <w:sz w:val="24"/>
        </w:rPr>
        <w:t>to</w:t>
      </w:r>
      <w:r>
        <w:rPr>
          <w:spacing w:val="9"/>
          <w:sz w:val="24"/>
        </w:rPr>
        <w:t> </w:t>
      </w:r>
      <w:r>
        <w:rPr>
          <w:sz w:val="24"/>
        </w:rPr>
        <w:t>nearly</w:t>
      </w:r>
      <w:r>
        <w:rPr>
          <w:spacing w:val="8"/>
          <w:sz w:val="24"/>
        </w:rPr>
        <w:t> </w:t>
      </w:r>
      <w:r>
        <w:rPr>
          <w:sz w:val="24"/>
        </w:rPr>
        <w:t>0.8</w:t>
      </w:r>
      <w:r>
        <w:rPr>
          <w:spacing w:val="8"/>
          <w:sz w:val="24"/>
        </w:rPr>
        <w:t> </w:t>
      </w:r>
      <w:r>
        <w:rPr>
          <w:sz w:val="24"/>
        </w:rPr>
        <w:t>million.</w:t>
      </w:r>
      <w:r>
        <w:rPr>
          <w:spacing w:val="8"/>
          <w:sz w:val="24"/>
        </w:rPr>
        <w:t> </w:t>
      </w:r>
      <w:r>
        <w:rPr>
          <w:sz w:val="24"/>
        </w:rPr>
        <w:t>The</w:t>
      </w:r>
      <w:r>
        <w:rPr>
          <w:spacing w:val="9"/>
          <w:sz w:val="24"/>
        </w:rPr>
        <w:t> </w:t>
      </w:r>
      <w:r>
        <w:rPr>
          <w:sz w:val="24"/>
        </w:rPr>
        <w:t>percentage</w:t>
      </w:r>
      <w:r>
        <w:rPr>
          <w:spacing w:val="8"/>
          <w:sz w:val="24"/>
        </w:rPr>
        <w:t> </w:t>
      </w:r>
      <w:r>
        <w:rPr>
          <w:sz w:val="24"/>
        </w:rPr>
        <w:t>of</w:t>
      </w:r>
      <w:r>
        <w:rPr>
          <w:spacing w:val="9"/>
          <w:sz w:val="24"/>
        </w:rPr>
        <w:t> </w:t>
      </w:r>
      <w:r>
        <w:rPr>
          <w:sz w:val="24"/>
        </w:rPr>
        <w:t>each</w:t>
      </w:r>
      <w:r>
        <w:rPr>
          <w:spacing w:val="9"/>
          <w:sz w:val="24"/>
        </w:rPr>
        <w:t> </w:t>
      </w:r>
      <w:r>
        <w:rPr>
          <w:spacing w:val="-4"/>
          <w:sz w:val="24"/>
        </w:rPr>
        <w:t>gae-</w:t>
      </w:r>
    </w:p>
    <w:p>
      <w:pPr>
        <w:spacing w:after="0" w:line="240" w:lineRule="auto"/>
        <w:jc w:val="both"/>
        <w:rPr>
          <w:sz w:val="24"/>
        </w:rPr>
        <w:sectPr>
          <w:pgSz w:w="12240" w:h="15840"/>
          <w:pgMar w:header="0" w:footer="743" w:top="1360" w:bottom="940" w:left="1640" w:right="1300"/>
        </w:sectPr>
      </w:pPr>
    </w:p>
    <w:p>
      <w:pPr>
        <w:pStyle w:val="BodyText"/>
        <w:spacing w:before="76"/>
        <w:ind w:left="160" w:right="510"/>
      </w:pPr>
      <w:r>
        <w:rPr/>
        <w:t>group who matriculate, should rise from</w:t>
      </w:r>
      <w:r>
        <w:rPr>
          <w:spacing w:val="-1"/>
        </w:rPr>
        <w:t> </w:t>
      </w:r>
      <w:r>
        <w:rPr/>
        <w:t>7 per cent to 27 per cent and those who graduate from</w:t>
      </w:r>
      <w:r>
        <w:rPr>
          <w:spacing w:val="40"/>
        </w:rPr>
        <w:t> </w:t>
      </w:r>
      <w:r>
        <w:rPr/>
        <w:t>1.5 per cent to nearly 5 per cent.</w:t>
      </w:r>
    </w:p>
    <w:p>
      <w:pPr>
        <w:pStyle w:val="BodyText"/>
        <w:spacing w:before="29"/>
        <w:rPr>
          <w:sz w:val="20"/>
        </w:rPr>
      </w:pPr>
      <w:r>
        <w:rPr/>
        <w:drawing>
          <wp:anchor distT="0" distB="0" distL="0" distR="0" allowOverlap="1" layoutInCell="1" locked="0" behindDoc="1" simplePos="0" relativeHeight="487608832">
            <wp:simplePos x="0" y="0"/>
            <wp:positionH relativeFrom="page">
              <wp:posOffset>1142999</wp:posOffset>
            </wp:positionH>
            <wp:positionV relativeFrom="paragraph">
              <wp:posOffset>180115</wp:posOffset>
            </wp:positionV>
            <wp:extent cx="5620452" cy="6772179"/>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14" cstate="print"/>
                    <a:stretch>
                      <a:fillRect/>
                    </a:stretch>
                  </pic:blipFill>
                  <pic:spPr>
                    <a:xfrm>
                      <a:off x="0" y="0"/>
                      <a:ext cx="5620452" cy="6772179"/>
                    </a:xfrm>
                    <a:prstGeom prst="rect">
                      <a:avLst/>
                    </a:prstGeom>
                  </pic:spPr>
                </pic:pic>
              </a:graphicData>
            </a:graphic>
          </wp:anchor>
        </w:drawing>
      </w:r>
    </w:p>
    <w:p>
      <w:pPr>
        <w:spacing w:after="0"/>
        <w:rPr>
          <w:sz w:val="20"/>
        </w:rPr>
        <w:sectPr>
          <w:pgSz w:w="12240" w:h="15840"/>
          <w:pgMar w:header="0" w:footer="743" w:top="1360" w:bottom="940" w:left="1640" w:right="1300"/>
        </w:sectPr>
      </w:pPr>
    </w:p>
    <w:p>
      <w:pPr>
        <w:pStyle w:val="BodyText"/>
        <w:spacing w:before="76"/>
        <w:ind w:left="1352" w:hanging="1167"/>
      </w:pPr>
      <w:r>
        <w:rPr/>
        <w:t>TABLE</w:t>
      </w:r>
      <w:r>
        <w:rPr>
          <w:spacing w:val="-5"/>
        </w:rPr>
        <w:t> </w:t>
      </w:r>
      <w:r>
        <w:rPr/>
        <w:t>5.3.</w:t>
      </w:r>
      <w:r>
        <w:rPr>
          <w:spacing w:val="-5"/>
        </w:rPr>
        <w:t> </w:t>
      </w:r>
      <w:r>
        <w:rPr/>
        <w:t>ESTIMATES</w:t>
      </w:r>
      <w:r>
        <w:rPr>
          <w:spacing w:val="-5"/>
        </w:rPr>
        <w:t> </w:t>
      </w:r>
      <w:r>
        <w:rPr/>
        <w:t>OF</w:t>
      </w:r>
      <w:r>
        <w:rPr>
          <w:spacing w:val="-5"/>
        </w:rPr>
        <w:t> </w:t>
      </w:r>
      <w:r>
        <w:rPr/>
        <w:t>REQUIRED</w:t>
      </w:r>
      <w:r>
        <w:rPr>
          <w:spacing w:val="-4"/>
        </w:rPr>
        <w:t> </w:t>
      </w:r>
      <w:r>
        <w:rPr/>
        <w:t>WORKERS,</w:t>
      </w:r>
      <w:r>
        <w:rPr>
          <w:spacing w:val="-5"/>
        </w:rPr>
        <w:t> </w:t>
      </w:r>
      <w:r>
        <w:rPr/>
        <w:t>STOCK</w:t>
      </w:r>
      <w:r>
        <w:rPr>
          <w:spacing w:val="-3"/>
        </w:rPr>
        <w:t> </w:t>
      </w:r>
      <w:r>
        <w:rPr/>
        <w:t>AND</w:t>
      </w:r>
      <w:r>
        <w:rPr>
          <w:spacing w:val="-4"/>
        </w:rPr>
        <w:t> </w:t>
      </w:r>
      <w:r>
        <w:rPr/>
        <w:t>OUT-TURN</w:t>
      </w:r>
      <w:r>
        <w:rPr>
          <w:spacing w:val="-4"/>
        </w:rPr>
        <w:t> </w:t>
      </w:r>
      <w:r>
        <w:rPr/>
        <w:t>OF MATRICULATES AND ABOVE: INDIA (1960-61 to 1985-86)</w:t>
      </w:r>
    </w:p>
    <w:p>
      <w:pPr>
        <w:pStyle w:val="BodyText"/>
        <w:spacing w:before="1"/>
        <w:rPr>
          <w:sz w:val="15"/>
        </w:rPr>
      </w:pPr>
      <w:r>
        <w:rPr/>
        <mc:AlternateContent>
          <mc:Choice Requires="wps">
            <w:drawing>
              <wp:anchor distT="0" distB="0" distL="0" distR="0" allowOverlap="1" layoutInCell="1" locked="0" behindDoc="1" simplePos="0" relativeHeight="487609344">
                <wp:simplePos x="0" y="0"/>
                <wp:positionH relativeFrom="page">
                  <wp:posOffset>1143000</wp:posOffset>
                </wp:positionH>
                <wp:positionV relativeFrom="paragraph">
                  <wp:posOffset>126013</wp:posOffset>
                </wp:positionV>
                <wp:extent cx="5486400" cy="1905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5486400" cy="19050"/>
                          <a:chExt cx="5486400" cy="19050"/>
                        </a:xfrm>
                      </wpg:grpSpPr>
                      <wps:wsp>
                        <wps:cNvPr id="232" name="Graphic 232"/>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33" name="Graphic 233"/>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34" name="Graphic 234"/>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35" name="Graphic 235"/>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236" name="Graphic 236"/>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37" name="Graphic 237"/>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38" name="Graphic 238"/>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2294pt;width:432pt;height:1.5pt;mso-position-horizontal-relative:page;mso-position-vertical-relative:paragraph;z-index:-15707136;mso-wrap-distance-left:0;mso-wrap-distance-right:0" id="docshapegroup223" coordorigin="1800,198" coordsize="8640,30">
                <v:rect style="position:absolute;left:1800;top:198;width:8640;height:30" id="docshape224" filled="true" fillcolor="#808080" stroked="false">
                  <v:fill type="solid"/>
                </v:rect>
                <v:shape style="position:absolute;left:1800;top:198;width:8636;height:5" id="docshape225" coordorigin="1800,198" coordsize="8636,5" path="m10435,198l1805,198,1800,198,1800,203,1805,203,10435,203,10435,198xe" filled="true" fillcolor="#aca89a" stroked="false">
                  <v:path arrowok="t"/>
                  <v:fill type="solid"/>
                </v:shape>
                <v:rect style="position:absolute;left:10435;top:198;width:5;height:5" id="docshape226" filled="true" fillcolor="#f1efe2" stroked="false">
                  <v:fill type="solid"/>
                </v:rect>
                <v:shape style="position:absolute;left:1800;top:198;width:8640;height:26" id="docshape227" coordorigin="1800,198" coordsize="8640,26" path="m1805,203l1800,203,1800,224,1805,224,1805,203xm10440,198l10435,198,10435,203,10440,203,10440,198xe" filled="true" fillcolor="#aca89a" stroked="false">
                  <v:path arrowok="t"/>
                  <v:fill type="solid"/>
                </v:shape>
                <v:rect style="position:absolute;left:10435;top:203;width:5;height:21" id="docshape228" filled="true" fillcolor="#f1efe2" stroked="false">
                  <v:fill type="solid"/>
                </v:rect>
                <v:rect style="position:absolute;left:1800;top:223;width:5;height:5" id="docshape229" filled="true" fillcolor="#aca89a" stroked="false">
                  <v:fill type="solid"/>
                </v:rect>
                <v:shape style="position:absolute;left:1800;top:223;width:8640;height:5" id="docshape230"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tabs>
          <w:tab w:pos="2980" w:val="left" w:leader="none"/>
          <w:tab w:pos="3880" w:val="left" w:leader="none"/>
          <w:tab w:pos="5656" w:val="left" w:leader="none"/>
          <w:tab w:pos="6346" w:val="left" w:leader="none"/>
          <w:tab w:pos="6696" w:val="left" w:leader="none"/>
        </w:tabs>
        <w:spacing w:before="48"/>
        <w:ind w:left="1959" w:right="821" w:firstLine="1787"/>
      </w:pPr>
      <w:r>
        <w:rPr>
          <w:spacing w:val="-2"/>
        </w:rPr>
        <w:t>Thousands</w:t>
      </w:r>
      <w:r>
        <w:rPr/>
        <w:tab/>
        <w:tab/>
        <w:t>Annual Growth Rate </w:t>
      </w:r>
      <w:r>
        <w:rPr>
          <w:spacing w:val="-4"/>
        </w:rPr>
        <w:t>1961</w:t>
      </w:r>
      <w:r>
        <w:rPr/>
        <w:tab/>
      </w:r>
      <w:r>
        <w:rPr>
          <w:spacing w:val="-4"/>
        </w:rPr>
        <w:t>1976</w:t>
      </w:r>
      <w:r>
        <w:rPr/>
        <w:tab/>
      </w:r>
      <w:r>
        <w:rPr>
          <w:spacing w:val="-4"/>
        </w:rPr>
        <w:t>1986</w:t>
      </w:r>
      <w:r>
        <w:rPr/>
        <w:tab/>
        <w:t>1961-</w:t>
      </w:r>
      <w:r>
        <w:rPr>
          <w:spacing w:val="-5"/>
        </w:rPr>
        <w:t>76</w:t>
      </w:r>
      <w:r>
        <w:rPr/>
        <w:tab/>
        <w:t>1976-86</w:t>
      </w:r>
      <w:r>
        <w:rPr>
          <w:spacing w:val="75"/>
          <w:w w:val="150"/>
        </w:rPr>
        <w:t> </w:t>
      </w:r>
      <w:r>
        <w:rPr/>
        <w:t>1961-</w:t>
      </w:r>
      <w:r>
        <w:rPr>
          <w:spacing w:val="-5"/>
        </w:rPr>
        <w:t>86</w:t>
      </w:r>
    </w:p>
    <w:p>
      <w:pPr>
        <w:pStyle w:val="BodyText"/>
        <w:spacing w:before="1"/>
        <w:rPr>
          <w:sz w:val="15"/>
        </w:rPr>
      </w:pPr>
      <w:r>
        <w:rPr/>
        <mc:AlternateContent>
          <mc:Choice Requires="wps">
            <w:drawing>
              <wp:anchor distT="0" distB="0" distL="0" distR="0" allowOverlap="1" layoutInCell="1" locked="0" behindDoc="1" simplePos="0" relativeHeight="487609856">
                <wp:simplePos x="0" y="0"/>
                <wp:positionH relativeFrom="page">
                  <wp:posOffset>1143000</wp:posOffset>
                </wp:positionH>
                <wp:positionV relativeFrom="paragraph">
                  <wp:posOffset>125759</wp:posOffset>
                </wp:positionV>
                <wp:extent cx="5486400" cy="19050"/>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5486400" cy="19050"/>
                          <a:chExt cx="5486400" cy="19050"/>
                        </a:xfrm>
                      </wpg:grpSpPr>
                      <wps:wsp>
                        <wps:cNvPr id="240" name="Graphic 24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41" name="Graphic 241"/>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42" name="Graphic 242"/>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43" name="Graphic 243"/>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44" name="Graphic 244"/>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45" name="Graphic 24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46" name="Graphic 24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2344pt;width:432pt;height:1.5pt;mso-position-horizontal-relative:page;mso-position-vertical-relative:paragraph;z-index:-15706624;mso-wrap-distance-left:0;mso-wrap-distance-right:0" id="docshapegroup231" coordorigin="1800,198" coordsize="8640,30">
                <v:rect style="position:absolute;left:1800;top:198;width:8640;height:30" id="docshape232" filled="true" fillcolor="#808080" stroked="false">
                  <v:fill type="solid"/>
                </v:rect>
                <v:shape style="position:absolute;left:1800;top:198;width:8636;height:5" id="docshape233" coordorigin="1800,198" coordsize="8636,5" path="m10435,198l1805,198,1800,198,1800,203,1805,203,10435,203,10435,198xe" filled="true" fillcolor="#aca89a" stroked="false">
                  <v:path arrowok="t"/>
                  <v:fill type="solid"/>
                </v:shape>
                <v:rect style="position:absolute;left:10435;top:198;width:5;height:5" id="docshape234" filled="true" fillcolor="#f1efe2" stroked="false">
                  <v:fill type="solid"/>
                </v:rect>
                <v:shape style="position:absolute;left:1800;top:198;width:8640;height:26" id="docshape235" coordorigin="1800,198" coordsize="8640,26" path="m1805,203l1800,203,1800,223,1805,223,1805,203xm10440,198l10435,198,10435,203,10440,203,10440,198xe" filled="true" fillcolor="#aca89a" stroked="false">
                  <v:path arrowok="t"/>
                  <v:fill type="solid"/>
                </v:shape>
                <v:rect style="position:absolute;left:10435;top:202;width:5;height:21" id="docshape236" filled="true" fillcolor="#f1efe2" stroked="false">
                  <v:fill type="solid"/>
                </v:rect>
                <v:rect style="position:absolute;left:1800;top:223;width:5;height:5" id="docshape237" filled="true" fillcolor="#aca89a" stroked="false">
                  <v:fill type="solid"/>
                </v:rect>
                <v:shape style="position:absolute;left:1800;top:223;width:8640;height:5" id="docshape238" coordorigin="1800,223" coordsize="8640,5" path="m10440,223l10435,223,1800,223,1800,228,10435,228,10440,228,10440,223xe" filled="true" fillcolor="#f1efe2" stroked="false">
                  <v:path arrowok="t"/>
                  <v:fill type="solid"/>
                </v:shape>
                <w10:wrap type="topAndBottom"/>
              </v:group>
            </w:pict>
          </mc:Fallback>
        </mc:AlternateContent>
      </w:r>
    </w:p>
    <w:p>
      <w:pPr>
        <w:pStyle w:val="Heading2"/>
        <w:spacing w:before="50"/>
        <w:ind w:left="159"/>
      </w:pPr>
      <w:r>
        <w:rPr/>
        <w:t>Matriculates and </w:t>
      </w:r>
      <w:r>
        <w:rPr>
          <w:spacing w:val="-2"/>
        </w:rPr>
        <w:t>above</w:t>
      </w:r>
    </w:p>
    <w:p>
      <w:pPr>
        <w:pStyle w:val="BodyText"/>
        <w:spacing w:before="54"/>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1"/>
        <w:gridCol w:w="1118"/>
        <w:gridCol w:w="997"/>
        <w:gridCol w:w="1403"/>
        <w:gridCol w:w="1283"/>
        <w:gridCol w:w="959"/>
        <w:gridCol w:w="559"/>
      </w:tblGrid>
      <w:tr>
        <w:trPr>
          <w:trHeight w:val="408" w:hRule="atLeast"/>
        </w:trPr>
        <w:tc>
          <w:tcPr>
            <w:tcW w:w="1491" w:type="dxa"/>
          </w:tcPr>
          <w:p>
            <w:pPr>
              <w:pStyle w:val="TableParagraph"/>
              <w:spacing w:line="266" w:lineRule="exact"/>
              <w:ind w:left="50"/>
              <w:rPr>
                <w:sz w:val="24"/>
              </w:rPr>
            </w:pPr>
            <w:r>
              <w:rPr>
                <w:spacing w:val="-2"/>
                <w:sz w:val="24"/>
              </w:rPr>
              <w:t>Workers</w:t>
            </w:r>
          </w:p>
        </w:tc>
        <w:tc>
          <w:tcPr>
            <w:tcW w:w="1118" w:type="dxa"/>
          </w:tcPr>
          <w:p>
            <w:pPr>
              <w:pStyle w:val="TableParagraph"/>
              <w:spacing w:line="266" w:lineRule="exact"/>
              <w:ind w:right="185"/>
              <w:jc w:val="right"/>
              <w:rPr>
                <w:sz w:val="24"/>
              </w:rPr>
            </w:pPr>
            <w:r>
              <w:rPr>
                <w:spacing w:val="-2"/>
                <w:sz w:val="24"/>
              </w:rPr>
              <w:t>5,164</w:t>
            </w:r>
          </w:p>
        </w:tc>
        <w:tc>
          <w:tcPr>
            <w:tcW w:w="997" w:type="dxa"/>
          </w:tcPr>
          <w:p>
            <w:pPr>
              <w:pStyle w:val="TableParagraph"/>
              <w:spacing w:line="266" w:lineRule="exact"/>
              <w:ind w:left="117" w:right="78"/>
              <w:jc w:val="center"/>
              <w:rPr>
                <w:sz w:val="24"/>
              </w:rPr>
            </w:pPr>
            <w:r>
              <w:rPr>
                <w:spacing w:val="-2"/>
                <w:sz w:val="24"/>
              </w:rPr>
              <w:t>16,612</w:t>
            </w:r>
          </w:p>
        </w:tc>
        <w:tc>
          <w:tcPr>
            <w:tcW w:w="1403" w:type="dxa"/>
          </w:tcPr>
          <w:p>
            <w:pPr>
              <w:pStyle w:val="TableParagraph"/>
              <w:spacing w:line="266" w:lineRule="exact"/>
              <w:ind w:left="211"/>
              <w:rPr>
                <w:sz w:val="24"/>
              </w:rPr>
            </w:pPr>
            <w:r>
              <w:rPr>
                <w:spacing w:val="-2"/>
                <w:sz w:val="24"/>
              </w:rPr>
              <w:t>32,554</w:t>
            </w:r>
          </w:p>
        </w:tc>
        <w:tc>
          <w:tcPr>
            <w:tcW w:w="1283" w:type="dxa"/>
          </w:tcPr>
          <w:p>
            <w:pPr>
              <w:pStyle w:val="TableParagraph"/>
              <w:spacing w:line="266" w:lineRule="exact"/>
              <w:ind w:left="91" w:right="2"/>
              <w:jc w:val="center"/>
              <w:rPr>
                <w:sz w:val="24"/>
              </w:rPr>
            </w:pPr>
            <w:r>
              <w:rPr>
                <w:spacing w:val="-5"/>
                <w:sz w:val="24"/>
              </w:rPr>
              <w:t>8.1</w:t>
            </w:r>
          </w:p>
        </w:tc>
        <w:tc>
          <w:tcPr>
            <w:tcW w:w="959" w:type="dxa"/>
          </w:tcPr>
          <w:p>
            <w:pPr>
              <w:pStyle w:val="TableParagraph"/>
              <w:spacing w:line="266" w:lineRule="exact"/>
              <w:ind w:left="513"/>
              <w:rPr>
                <w:sz w:val="24"/>
              </w:rPr>
            </w:pPr>
            <w:r>
              <w:rPr>
                <w:spacing w:val="-5"/>
                <w:sz w:val="24"/>
              </w:rPr>
              <w:t>7.0</w:t>
            </w:r>
          </w:p>
        </w:tc>
        <w:tc>
          <w:tcPr>
            <w:tcW w:w="559" w:type="dxa"/>
          </w:tcPr>
          <w:p>
            <w:pPr>
              <w:pStyle w:val="TableParagraph"/>
              <w:spacing w:line="266" w:lineRule="exact"/>
              <w:ind w:right="42"/>
              <w:jc w:val="right"/>
              <w:rPr>
                <w:sz w:val="24"/>
              </w:rPr>
            </w:pPr>
            <w:r>
              <w:rPr>
                <w:spacing w:val="-5"/>
                <w:sz w:val="24"/>
              </w:rPr>
              <w:t>7.7</w:t>
            </w:r>
          </w:p>
        </w:tc>
      </w:tr>
      <w:tr>
        <w:trPr>
          <w:trHeight w:val="551" w:hRule="atLeast"/>
        </w:trPr>
        <w:tc>
          <w:tcPr>
            <w:tcW w:w="1491" w:type="dxa"/>
          </w:tcPr>
          <w:p>
            <w:pPr>
              <w:pStyle w:val="TableParagraph"/>
              <w:spacing w:before="133"/>
              <w:ind w:left="109"/>
              <w:rPr>
                <w:sz w:val="24"/>
              </w:rPr>
            </w:pPr>
            <w:r>
              <w:rPr>
                <w:sz w:val="24"/>
              </w:rPr>
              <w:t>Total </w:t>
            </w:r>
            <w:r>
              <w:rPr>
                <w:spacing w:val="-2"/>
                <w:sz w:val="24"/>
              </w:rPr>
              <w:t>stock</w:t>
            </w:r>
          </w:p>
        </w:tc>
        <w:tc>
          <w:tcPr>
            <w:tcW w:w="1118" w:type="dxa"/>
          </w:tcPr>
          <w:p>
            <w:pPr>
              <w:pStyle w:val="TableParagraph"/>
              <w:spacing w:before="133"/>
              <w:ind w:right="184"/>
              <w:jc w:val="right"/>
              <w:rPr>
                <w:sz w:val="24"/>
              </w:rPr>
            </w:pPr>
            <w:r>
              <w:rPr>
                <w:spacing w:val="-2"/>
                <w:sz w:val="24"/>
              </w:rPr>
              <w:t>8,227</w:t>
            </w:r>
          </w:p>
        </w:tc>
        <w:tc>
          <w:tcPr>
            <w:tcW w:w="997" w:type="dxa"/>
          </w:tcPr>
          <w:p>
            <w:pPr>
              <w:pStyle w:val="TableParagraph"/>
              <w:spacing w:before="133"/>
              <w:ind w:left="119" w:right="78"/>
              <w:jc w:val="center"/>
              <w:rPr>
                <w:sz w:val="24"/>
              </w:rPr>
            </w:pPr>
            <w:r>
              <w:rPr>
                <w:spacing w:val="-2"/>
                <w:sz w:val="24"/>
              </w:rPr>
              <w:t>27,339</w:t>
            </w:r>
          </w:p>
        </w:tc>
        <w:tc>
          <w:tcPr>
            <w:tcW w:w="1403" w:type="dxa"/>
          </w:tcPr>
          <w:p>
            <w:pPr>
              <w:pStyle w:val="TableParagraph"/>
              <w:spacing w:before="133"/>
              <w:ind w:left="212"/>
              <w:rPr>
                <w:sz w:val="24"/>
              </w:rPr>
            </w:pPr>
            <w:r>
              <w:rPr>
                <w:spacing w:val="-2"/>
                <w:sz w:val="24"/>
              </w:rPr>
              <w:t>56,223</w:t>
            </w:r>
          </w:p>
        </w:tc>
        <w:tc>
          <w:tcPr>
            <w:tcW w:w="1283" w:type="dxa"/>
          </w:tcPr>
          <w:p>
            <w:pPr>
              <w:pStyle w:val="TableParagraph"/>
              <w:spacing w:before="133"/>
              <w:ind w:left="91"/>
              <w:jc w:val="center"/>
              <w:rPr>
                <w:sz w:val="24"/>
              </w:rPr>
            </w:pPr>
            <w:r>
              <w:rPr>
                <w:spacing w:val="-5"/>
                <w:sz w:val="24"/>
              </w:rPr>
              <w:t>8.3</w:t>
            </w:r>
          </w:p>
        </w:tc>
        <w:tc>
          <w:tcPr>
            <w:tcW w:w="959" w:type="dxa"/>
          </w:tcPr>
          <w:p>
            <w:pPr>
              <w:pStyle w:val="TableParagraph"/>
              <w:spacing w:before="133"/>
              <w:ind w:left="514"/>
              <w:rPr>
                <w:sz w:val="24"/>
              </w:rPr>
            </w:pPr>
            <w:r>
              <w:rPr>
                <w:spacing w:val="-5"/>
                <w:sz w:val="24"/>
              </w:rPr>
              <w:t>7.5</w:t>
            </w:r>
          </w:p>
        </w:tc>
        <w:tc>
          <w:tcPr>
            <w:tcW w:w="559" w:type="dxa"/>
          </w:tcPr>
          <w:p>
            <w:pPr>
              <w:pStyle w:val="TableParagraph"/>
              <w:spacing w:before="133"/>
              <w:ind w:right="41"/>
              <w:jc w:val="right"/>
              <w:rPr>
                <w:sz w:val="24"/>
              </w:rPr>
            </w:pPr>
            <w:r>
              <w:rPr>
                <w:spacing w:val="-5"/>
                <w:sz w:val="24"/>
              </w:rPr>
              <w:t>8.0</w:t>
            </w:r>
          </w:p>
        </w:tc>
      </w:tr>
      <w:tr>
        <w:trPr>
          <w:trHeight w:val="689" w:hRule="atLeast"/>
        </w:trPr>
        <w:tc>
          <w:tcPr>
            <w:tcW w:w="1491" w:type="dxa"/>
          </w:tcPr>
          <w:p>
            <w:pPr>
              <w:pStyle w:val="TableParagraph"/>
              <w:spacing w:line="270" w:lineRule="atLeast" w:before="118"/>
              <w:ind w:left="50"/>
              <w:rPr>
                <w:sz w:val="24"/>
              </w:rPr>
            </w:pPr>
            <w:r>
              <w:rPr>
                <w:sz w:val="24"/>
              </w:rPr>
              <w:t>Out-turn of </w:t>
            </w:r>
            <w:r>
              <w:rPr>
                <w:spacing w:val="-2"/>
                <w:sz w:val="24"/>
              </w:rPr>
              <w:t>matriculates</w:t>
            </w:r>
          </w:p>
        </w:tc>
        <w:tc>
          <w:tcPr>
            <w:tcW w:w="1118" w:type="dxa"/>
          </w:tcPr>
          <w:p>
            <w:pPr>
              <w:pStyle w:val="TableParagraph"/>
              <w:spacing w:before="132"/>
              <w:rPr>
                <w:b/>
                <w:sz w:val="24"/>
              </w:rPr>
            </w:pPr>
          </w:p>
          <w:p>
            <w:pPr>
              <w:pStyle w:val="TableParagraph"/>
              <w:spacing w:line="261" w:lineRule="exact" w:before="1"/>
              <w:ind w:left="270"/>
              <w:rPr>
                <w:sz w:val="24"/>
              </w:rPr>
            </w:pPr>
            <w:r>
              <w:rPr>
                <w:spacing w:val="-5"/>
                <w:sz w:val="24"/>
              </w:rPr>
              <w:t>623</w:t>
            </w:r>
          </w:p>
        </w:tc>
        <w:tc>
          <w:tcPr>
            <w:tcW w:w="997" w:type="dxa"/>
          </w:tcPr>
          <w:p>
            <w:pPr>
              <w:pStyle w:val="TableParagraph"/>
              <w:spacing w:before="132"/>
              <w:rPr>
                <w:b/>
                <w:sz w:val="24"/>
              </w:rPr>
            </w:pPr>
          </w:p>
          <w:p>
            <w:pPr>
              <w:pStyle w:val="TableParagraph"/>
              <w:spacing w:line="261" w:lineRule="exact" w:before="1"/>
              <w:ind w:left="41" w:right="119"/>
              <w:jc w:val="center"/>
              <w:rPr>
                <w:sz w:val="24"/>
              </w:rPr>
            </w:pPr>
            <w:r>
              <w:rPr>
                <w:spacing w:val="-2"/>
                <w:sz w:val="24"/>
              </w:rPr>
              <w:t>2,324</w:t>
            </w:r>
          </w:p>
        </w:tc>
        <w:tc>
          <w:tcPr>
            <w:tcW w:w="1403" w:type="dxa"/>
          </w:tcPr>
          <w:p>
            <w:pPr>
              <w:pStyle w:val="TableParagraph"/>
              <w:spacing w:before="132"/>
              <w:rPr>
                <w:b/>
                <w:sz w:val="24"/>
              </w:rPr>
            </w:pPr>
          </w:p>
          <w:p>
            <w:pPr>
              <w:pStyle w:val="TableParagraph"/>
              <w:spacing w:line="261" w:lineRule="exact" w:before="1"/>
              <w:ind w:left="151"/>
              <w:rPr>
                <w:sz w:val="24"/>
              </w:rPr>
            </w:pPr>
            <w:r>
              <w:rPr>
                <w:spacing w:val="-2"/>
                <w:sz w:val="24"/>
              </w:rPr>
              <w:t>4,779</w:t>
            </w:r>
          </w:p>
        </w:tc>
        <w:tc>
          <w:tcPr>
            <w:tcW w:w="1283" w:type="dxa"/>
          </w:tcPr>
          <w:p>
            <w:pPr>
              <w:pStyle w:val="TableParagraph"/>
              <w:spacing w:before="132"/>
              <w:rPr>
                <w:b/>
                <w:sz w:val="24"/>
              </w:rPr>
            </w:pPr>
          </w:p>
          <w:p>
            <w:pPr>
              <w:pStyle w:val="TableParagraph"/>
              <w:spacing w:line="261" w:lineRule="exact" w:before="1"/>
              <w:ind w:left="91" w:right="2"/>
              <w:jc w:val="center"/>
              <w:rPr>
                <w:sz w:val="24"/>
              </w:rPr>
            </w:pPr>
            <w:r>
              <w:rPr>
                <w:spacing w:val="-5"/>
                <w:sz w:val="24"/>
              </w:rPr>
              <w:t>9.2</w:t>
            </w:r>
          </w:p>
        </w:tc>
        <w:tc>
          <w:tcPr>
            <w:tcW w:w="959" w:type="dxa"/>
          </w:tcPr>
          <w:p>
            <w:pPr>
              <w:pStyle w:val="TableParagraph"/>
              <w:spacing w:before="132"/>
              <w:rPr>
                <w:b/>
                <w:sz w:val="24"/>
              </w:rPr>
            </w:pPr>
          </w:p>
          <w:p>
            <w:pPr>
              <w:pStyle w:val="TableParagraph"/>
              <w:spacing w:line="261" w:lineRule="exact" w:before="1"/>
              <w:ind w:left="453"/>
              <w:rPr>
                <w:sz w:val="24"/>
              </w:rPr>
            </w:pPr>
            <w:r>
              <w:rPr>
                <w:spacing w:val="-5"/>
                <w:sz w:val="24"/>
              </w:rPr>
              <w:t>7.5</w:t>
            </w:r>
          </w:p>
        </w:tc>
        <w:tc>
          <w:tcPr>
            <w:tcW w:w="559" w:type="dxa"/>
          </w:tcPr>
          <w:p>
            <w:pPr>
              <w:pStyle w:val="TableParagraph"/>
              <w:spacing w:before="132"/>
              <w:rPr>
                <w:b/>
                <w:sz w:val="24"/>
              </w:rPr>
            </w:pPr>
          </w:p>
          <w:p>
            <w:pPr>
              <w:pStyle w:val="TableParagraph"/>
              <w:spacing w:line="261" w:lineRule="exact" w:before="1"/>
              <w:ind w:right="102"/>
              <w:jc w:val="right"/>
              <w:rPr>
                <w:sz w:val="24"/>
              </w:rPr>
            </w:pPr>
            <w:r>
              <w:rPr>
                <w:spacing w:val="-5"/>
                <w:sz w:val="24"/>
              </w:rPr>
              <w:t>8.5</w:t>
            </w:r>
          </w:p>
        </w:tc>
      </w:tr>
      <w:tr>
        <w:trPr>
          <w:trHeight w:val="270" w:hRule="atLeast"/>
        </w:trPr>
        <w:tc>
          <w:tcPr>
            <w:tcW w:w="1491" w:type="dxa"/>
          </w:tcPr>
          <w:p>
            <w:pPr>
              <w:pStyle w:val="TableParagraph"/>
              <w:rPr>
                <w:sz w:val="20"/>
              </w:rPr>
            </w:pPr>
          </w:p>
        </w:tc>
        <w:tc>
          <w:tcPr>
            <w:tcW w:w="1118" w:type="dxa"/>
          </w:tcPr>
          <w:p>
            <w:pPr>
              <w:pStyle w:val="TableParagraph"/>
              <w:spacing w:line="251" w:lineRule="exact"/>
              <w:ind w:left="391"/>
              <w:rPr>
                <w:sz w:val="24"/>
              </w:rPr>
            </w:pPr>
            <w:r>
              <w:rPr>
                <w:spacing w:val="-2"/>
                <w:sz w:val="24"/>
              </w:rPr>
              <w:t>(6.8)</w:t>
            </w:r>
          </w:p>
        </w:tc>
        <w:tc>
          <w:tcPr>
            <w:tcW w:w="997" w:type="dxa"/>
          </w:tcPr>
          <w:p>
            <w:pPr>
              <w:pStyle w:val="TableParagraph"/>
              <w:spacing w:line="251" w:lineRule="exact"/>
              <w:ind w:left="87" w:right="78"/>
              <w:jc w:val="center"/>
              <w:rPr>
                <w:sz w:val="24"/>
              </w:rPr>
            </w:pPr>
            <w:r>
              <w:rPr>
                <w:spacing w:val="-2"/>
                <w:sz w:val="24"/>
              </w:rPr>
              <w:t>(16.4)</w:t>
            </w:r>
          </w:p>
        </w:tc>
        <w:tc>
          <w:tcPr>
            <w:tcW w:w="1403" w:type="dxa"/>
          </w:tcPr>
          <w:p>
            <w:pPr>
              <w:pStyle w:val="TableParagraph"/>
              <w:spacing w:line="251" w:lineRule="exact"/>
              <w:ind w:left="156"/>
              <w:rPr>
                <w:sz w:val="24"/>
              </w:rPr>
            </w:pPr>
            <w:r>
              <w:rPr>
                <w:spacing w:val="-2"/>
                <w:sz w:val="24"/>
              </w:rPr>
              <w:t>(27.4)</w:t>
            </w:r>
          </w:p>
        </w:tc>
        <w:tc>
          <w:tcPr>
            <w:tcW w:w="1283" w:type="dxa"/>
          </w:tcPr>
          <w:p>
            <w:pPr>
              <w:pStyle w:val="TableParagraph"/>
              <w:rPr>
                <w:sz w:val="20"/>
              </w:rPr>
            </w:pPr>
          </w:p>
        </w:tc>
        <w:tc>
          <w:tcPr>
            <w:tcW w:w="959" w:type="dxa"/>
          </w:tcPr>
          <w:p>
            <w:pPr>
              <w:pStyle w:val="TableParagraph"/>
              <w:rPr>
                <w:sz w:val="20"/>
              </w:rPr>
            </w:pPr>
          </w:p>
        </w:tc>
        <w:tc>
          <w:tcPr>
            <w:tcW w:w="559" w:type="dxa"/>
          </w:tcPr>
          <w:p>
            <w:pPr>
              <w:pStyle w:val="TableParagraph"/>
              <w:rPr>
                <w:sz w:val="20"/>
              </w:rPr>
            </w:pPr>
          </w:p>
        </w:tc>
      </w:tr>
    </w:tbl>
    <w:p>
      <w:pPr>
        <w:pStyle w:val="BodyText"/>
        <w:spacing w:before="4"/>
        <w:rPr>
          <w:b/>
          <w:sz w:val="15"/>
        </w:rPr>
      </w:pPr>
      <w:r>
        <w:rPr/>
        <mc:AlternateContent>
          <mc:Choice Requires="wps">
            <w:drawing>
              <wp:anchor distT="0" distB="0" distL="0" distR="0" allowOverlap="1" layoutInCell="1" locked="0" behindDoc="1" simplePos="0" relativeHeight="487610368">
                <wp:simplePos x="0" y="0"/>
                <wp:positionH relativeFrom="page">
                  <wp:posOffset>1143000</wp:posOffset>
                </wp:positionH>
                <wp:positionV relativeFrom="paragraph">
                  <wp:posOffset>127931</wp:posOffset>
                </wp:positionV>
                <wp:extent cx="5486400" cy="19050"/>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5486400" cy="19050"/>
                          <a:chExt cx="5486400" cy="19050"/>
                        </a:xfrm>
                      </wpg:grpSpPr>
                      <wps:wsp>
                        <wps:cNvPr id="248" name="Graphic 24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49" name="Graphic 249"/>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50" name="Graphic 250"/>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51" name="Graphic 251"/>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52" name="Graphic 252"/>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53" name="Graphic 253"/>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54" name="Graphic 254"/>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73359pt;width:432pt;height:1.5pt;mso-position-horizontal-relative:page;mso-position-vertical-relative:paragraph;z-index:-15706112;mso-wrap-distance-left:0;mso-wrap-distance-right:0" id="docshapegroup239" coordorigin="1800,201" coordsize="8640,30">
                <v:rect style="position:absolute;left:1800;top:201;width:8640;height:30" id="docshape240" filled="true" fillcolor="#808080" stroked="false">
                  <v:fill type="solid"/>
                </v:rect>
                <v:shape style="position:absolute;left:1800;top:201;width:8636;height:5" id="docshape241" coordorigin="1800,201" coordsize="8636,5" path="m10435,201l1805,201,1800,201,1800,206,1805,206,10435,206,10435,201xe" filled="true" fillcolor="#aca89a" stroked="false">
                  <v:path arrowok="t"/>
                  <v:fill type="solid"/>
                </v:shape>
                <v:rect style="position:absolute;left:10435;top:201;width:5;height:5" id="docshape242" filled="true" fillcolor="#f1efe2" stroked="false">
                  <v:fill type="solid"/>
                </v:rect>
                <v:shape style="position:absolute;left:1800;top:201;width:8640;height:26" id="docshape243" coordorigin="1800,201" coordsize="8640,26" path="m1805,206l1800,206,1800,227,1805,227,1805,206xm10440,201l10435,201,10435,206,10440,206,10440,201xe" filled="true" fillcolor="#aca89a" stroked="false">
                  <v:path arrowok="t"/>
                  <v:fill type="solid"/>
                </v:shape>
                <v:rect style="position:absolute;left:10435;top:206;width:5;height:21" id="docshape244" filled="true" fillcolor="#f1efe2" stroked="false">
                  <v:fill type="solid"/>
                </v:rect>
                <v:rect style="position:absolute;left:1800;top:226;width:5;height:5" id="docshape245" filled="true" fillcolor="#aca89a" stroked="false">
                  <v:fill type="solid"/>
                </v:rect>
                <v:shape style="position:absolute;left:1800;top:226;width:8640;height:5" id="docshape246" coordorigin="1800,227" coordsize="8640,5" path="m10440,227l10435,227,1800,227,1800,231,10435,231,10440,231,10440,227xe" filled="true" fillcolor="#f1efe2" stroked="false">
                  <v:path arrowok="t"/>
                  <v:fill type="solid"/>
                </v:shape>
                <w10:wrap type="topAndBottom"/>
              </v:group>
            </w:pict>
          </mc:Fallback>
        </mc:AlternateContent>
      </w:r>
    </w:p>
    <w:p>
      <w:pPr>
        <w:pStyle w:val="BodyText"/>
        <w:spacing w:before="50"/>
        <w:rPr>
          <w:b/>
        </w:rPr>
      </w:pPr>
    </w:p>
    <w:p>
      <w:pPr>
        <w:spacing w:before="0"/>
        <w:ind w:left="159" w:right="0" w:firstLine="0"/>
        <w:jc w:val="left"/>
        <w:rPr>
          <w:b/>
          <w:sz w:val="24"/>
        </w:rPr>
      </w:pPr>
      <w:r>
        <w:rPr/>
        <mc:AlternateContent>
          <mc:Choice Requires="wps">
            <w:drawing>
              <wp:anchor distT="0" distB="0" distL="0" distR="0" allowOverlap="1" layoutInCell="1" locked="0" behindDoc="0" simplePos="0" relativeHeight="15752704">
                <wp:simplePos x="0" y="0"/>
                <wp:positionH relativeFrom="page">
                  <wp:posOffset>6626352</wp:posOffset>
                </wp:positionH>
                <wp:positionV relativeFrom="paragraph">
                  <wp:posOffset>1701052</wp:posOffset>
                </wp:positionV>
                <wp:extent cx="3175" cy="1905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3175" cy="19050"/>
                          <a:chExt cx="3175" cy="19050"/>
                        </a:xfrm>
                      </wpg:grpSpPr>
                      <wps:wsp>
                        <wps:cNvPr id="256" name="Graphic 256"/>
                        <wps:cNvSpPr/>
                        <wps:spPr>
                          <a:xfrm>
                            <a:off x="0"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57" name="Graphic 257"/>
                        <wps:cNvSpPr/>
                        <wps:spPr>
                          <a:xfrm>
                            <a:off x="0"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ACA89A"/>
                          </a:solidFill>
                        </wps:spPr>
                        <wps:bodyPr wrap="square" lIns="0" tIns="0" rIns="0" bIns="0" rtlCol="0">
                          <a:prstTxWarp prst="textNoShape">
                            <a:avLst/>
                          </a:prstTxWarp>
                          <a:noAutofit/>
                        </wps:bodyPr>
                      </wps:wsp>
                      <wps:wsp>
                        <wps:cNvPr id="258" name="Graphic 258"/>
                        <wps:cNvSpPr/>
                        <wps:spPr>
                          <a:xfrm>
                            <a:off x="0" y="3060"/>
                            <a:ext cx="3175" cy="16510"/>
                          </a:xfrm>
                          <a:custGeom>
                            <a:avLst/>
                            <a:gdLst/>
                            <a:ahLst/>
                            <a:cxnLst/>
                            <a:rect l="l" t="t" r="r" b="b"/>
                            <a:pathLst>
                              <a:path w="3175" h="16510">
                                <a:moveTo>
                                  <a:pt x="3035" y="12954"/>
                                </a:moveTo>
                                <a:lnTo>
                                  <a:pt x="0" y="12954"/>
                                </a:lnTo>
                                <a:lnTo>
                                  <a:pt x="0" y="15989"/>
                                </a:lnTo>
                                <a:lnTo>
                                  <a:pt x="3035" y="15989"/>
                                </a:lnTo>
                                <a:lnTo>
                                  <a:pt x="3035" y="12954"/>
                                </a:lnTo>
                                <a:close/>
                              </a:path>
                              <a:path w="3175" h="16510">
                                <a:moveTo>
                                  <a:pt x="3035" y="0"/>
                                </a:moveTo>
                                <a:lnTo>
                                  <a:pt x="0" y="0"/>
                                </a:lnTo>
                                <a:lnTo>
                                  <a:pt x="0" y="12941"/>
                                </a:lnTo>
                                <a:lnTo>
                                  <a:pt x="3035" y="12941"/>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521.76001pt;margin-top:133.941147pt;width:.25pt;height:1.5pt;mso-position-horizontal-relative:page;mso-position-vertical-relative:paragraph;z-index:15752704" id="docshapegroup247" coordorigin="10435,2679" coordsize="5,30">
                <v:rect style="position:absolute;left:10435;top:2678;width:5;height:5" id="docshape248" filled="true" fillcolor="#f1efe2" stroked="false">
                  <v:fill type="solid"/>
                </v:rect>
                <v:rect style="position:absolute;left:10435;top:2678;width:5;height:5" id="docshape249" filled="true" fillcolor="#aca89a" stroked="false">
                  <v:fill type="solid"/>
                </v:rect>
                <v:shape style="position:absolute;left:10435;top:2683;width:5;height:26" id="docshape250" coordorigin="10435,2684" coordsize="5,26" path="m10440,2704l10435,2704,10435,2709,10440,2709,10440,2704xm10440,2684l10435,2684,10435,2704,10440,2704,10440,2684xe" filled="true" fillcolor="#f1efe2"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1143000</wp:posOffset>
                </wp:positionH>
                <wp:positionV relativeFrom="paragraph">
                  <wp:posOffset>1701052</wp:posOffset>
                </wp:positionV>
                <wp:extent cx="5486400" cy="1905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5486400" cy="19050"/>
                          <a:chExt cx="5486400" cy="19050"/>
                        </a:xfrm>
                      </wpg:grpSpPr>
                      <wps:wsp>
                        <wps:cNvPr id="260" name="Graphic 26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61" name="Graphic 261"/>
                        <wps:cNvSpPr/>
                        <wps:spPr>
                          <a:xfrm>
                            <a:off x="0" y="0"/>
                            <a:ext cx="5483860" cy="3175"/>
                          </a:xfrm>
                          <a:custGeom>
                            <a:avLst/>
                            <a:gdLst/>
                            <a:ahLst/>
                            <a:cxnLst/>
                            <a:rect l="l" t="t" r="r" b="b"/>
                            <a:pathLst>
                              <a:path w="5483860" h="3175">
                                <a:moveTo>
                                  <a:pt x="5483352" y="0"/>
                                </a:moveTo>
                                <a:lnTo>
                                  <a:pt x="0" y="0"/>
                                </a:lnTo>
                                <a:lnTo>
                                  <a:pt x="0"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62" name="Graphic 262"/>
                        <wps:cNvSpPr/>
                        <wps:spPr>
                          <a:xfrm>
                            <a:off x="0" y="16002"/>
                            <a:ext cx="5486400" cy="3175"/>
                          </a:xfrm>
                          <a:custGeom>
                            <a:avLst/>
                            <a:gdLst/>
                            <a:ahLst/>
                            <a:cxnLst/>
                            <a:rect l="l" t="t" r="r" b="b"/>
                            <a:pathLst>
                              <a:path w="5486400" h="3175">
                                <a:moveTo>
                                  <a:pt x="5486400" y="0"/>
                                </a:moveTo>
                                <a:lnTo>
                                  <a:pt x="0" y="0"/>
                                </a:lnTo>
                                <a:lnTo>
                                  <a:pt x="0" y="3047"/>
                                </a:lnTo>
                                <a:lnTo>
                                  <a:pt x="5486400" y="3047"/>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33.941147pt;width:432pt;height:1.5pt;mso-position-horizontal-relative:page;mso-position-vertical-relative:paragraph;z-index:15753216" id="docshapegroup251" coordorigin="1800,2679" coordsize="8640,30">
                <v:rect style="position:absolute;left:1800;top:2678;width:8640;height:30" id="docshape252" filled="true" fillcolor="#808080" stroked="false">
                  <v:fill type="solid"/>
                </v:rect>
                <v:rect style="position:absolute;left:1800;top:2678;width:8636;height:5" id="docshape253" filled="true" fillcolor="#aca89a" stroked="false">
                  <v:fill type="solid"/>
                </v:rect>
                <v:rect style="position:absolute;left:1800;top:2704;width:8640;height:5" id="docshape254" filled="true" fillcolor="#f1efe2" stroked="false">
                  <v:fill type="solid"/>
                </v:rect>
                <w10:wrap type="none"/>
              </v:group>
            </w:pict>
          </mc:Fallback>
        </mc:AlternateContent>
      </w:r>
      <w:r>
        <w:rPr>
          <w:b/>
          <w:sz w:val="24"/>
        </w:rPr>
        <w:t>Intermediates</w:t>
      </w:r>
      <w:r>
        <w:rPr>
          <w:b/>
          <w:spacing w:val="-1"/>
          <w:sz w:val="24"/>
        </w:rPr>
        <w:t> </w:t>
      </w:r>
      <w:r>
        <w:rPr>
          <w:b/>
          <w:sz w:val="24"/>
        </w:rPr>
        <w:t>and</w:t>
      </w:r>
      <w:r>
        <w:rPr>
          <w:b/>
          <w:spacing w:val="-1"/>
          <w:sz w:val="24"/>
        </w:rPr>
        <w:t> </w:t>
      </w:r>
      <w:r>
        <w:rPr>
          <w:b/>
          <w:spacing w:val="-2"/>
          <w:sz w:val="24"/>
        </w:rPr>
        <w:t>above</w:t>
      </w:r>
    </w:p>
    <w:p>
      <w:pPr>
        <w:pStyle w:val="BodyText"/>
        <w:spacing w:before="54"/>
        <w:rPr>
          <w:b/>
          <w:sz w:val="20"/>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1"/>
        <w:gridCol w:w="885"/>
        <w:gridCol w:w="931"/>
        <w:gridCol w:w="953"/>
        <w:gridCol w:w="907"/>
        <w:gridCol w:w="948"/>
        <w:gridCol w:w="900"/>
        <w:gridCol w:w="560"/>
      </w:tblGrid>
      <w:tr>
        <w:trPr>
          <w:trHeight w:val="408" w:hRule="atLeast"/>
        </w:trPr>
        <w:tc>
          <w:tcPr>
            <w:tcW w:w="1611" w:type="dxa"/>
          </w:tcPr>
          <w:p>
            <w:pPr>
              <w:pStyle w:val="TableParagraph"/>
              <w:spacing w:line="266" w:lineRule="exact"/>
              <w:ind w:left="50"/>
              <w:rPr>
                <w:sz w:val="24"/>
              </w:rPr>
            </w:pPr>
            <w:r>
              <w:rPr>
                <w:spacing w:val="-2"/>
                <w:sz w:val="24"/>
              </w:rPr>
              <w:t>Workers</w:t>
            </w:r>
          </w:p>
        </w:tc>
        <w:tc>
          <w:tcPr>
            <w:tcW w:w="885" w:type="dxa"/>
          </w:tcPr>
          <w:p>
            <w:pPr>
              <w:pStyle w:val="TableParagraph"/>
              <w:spacing w:line="266" w:lineRule="exact"/>
              <w:ind w:left="270"/>
              <w:rPr>
                <w:sz w:val="24"/>
              </w:rPr>
            </w:pPr>
            <w:r>
              <w:rPr>
                <w:spacing w:val="-2"/>
                <w:sz w:val="24"/>
              </w:rPr>
              <w:t>1,901</w:t>
            </w:r>
          </w:p>
        </w:tc>
        <w:tc>
          <w:tcPr>
            <w:tcW w:w="931" w:type="dxa"/>
          </w:tcPr>
          <w:p>
            <w:pPr>
              <w:pStyle w:val="TableParagraph"/>
              <w:spacing w:line="266" w:lineRule="exact"/>
              <w:ind w:right="87"/>
              <w:jc w:val="right"/>
              <w:rPr>
                <w:sz w:val="24"/>
              </w:rPr>
            </w:pPr>
            <w:r>
              <w:rPr>
                <w:spacing w:val="-2"/>
                <w:sz w:val="24"/>
              </w:rPr>
              <w:t>5,739</w:t>
            </w:r>
          </w:p>
        </w:tc>
        <w:tc>
          <w:tcPr>
            <w:tcW w:w="953" w:type="dxa"/>
          </w:tcPr>
          <w:p>
            <w:pPr>
              <w:pStyle w:val="TableParagraph"/>
              <w:spacing w:line="266" w:lineRule="exact"/>
              <w:ind w:right="80"/>
              <w:jc w:val="right"/>
              <w:rPr>
                <w:sz w:val="24"/>
              </w:rPr>
            </w:pPr>
            <w:r>
              <w:rPr>
                <w:spacing w:val="-2"/>
                <w:sz w:val="24"/>
              </w:rPr>
              <w:t>11,275</w:t>
            </w:r>
          </w:p>
        </w:tc>
        <w:tc>
          <w:tcPr>
            <w:tcW w:w="1855" w:type="dxa"/>
            <w:gridSpan w:val="2"/>
          </w:tcPr>
          <w:p>
            <w:pPr>
              <w:pStyle w:val="TableParagraph"/>
              <w:spacing w:line="266" w:lineRule="exact"/>
              <w:ind w:left="1165"/>
              <w:rPr>
                <w:sz w:val="24"/>
              </w:rPr>
            </w:pPr>
            <w:r>
              <w:rPr>
                <w:spacing w:val="-5"/>
                <w:sz w:val="24"/>
              </w:rPr>
              <w:t>7.6</w:t>
            </w:r>
          </w:p>
        </w:tc>
        <w:tc>
          <w:tcPr>
            <w:tcW w:w="900" w:type="dxa"/>
          </w:tcPr>
          <w:p>
            <w:pPr>
              <w:pStyle w:val="TableParagraph"/>
              <w:spacing w:line="266" w:lineRule="exact"/>
              <w:ind w:left="390"/>
              <w:rPr>
                <w:sz w:val="24"/>
              </w:rPr>
            </w:pPr>
            <w:r>
              <w:rPr>
                <w:spacing w:val="-5"/>
                <w:sz w:val="24"/>
              </w:rPr>
              <w:t>7.0</w:t>
            </w:r>
          </w:p>
        </w:tc>
        <w:tc>
          <w:tcPr>
            <w:tcW w:w="560" w:type="dxa"/>
          </w:tcPr>
          <w:p>
            <w:pPr>
              <w:pStyle w:val="TableParagraph"/>
              <w:spacing w:line="266" w:lineRule="exact"/>
              <w:ind w:right="47"/>
              <w:jc w:val="right"/>
              <w:rPr>
                <w:sz w:val="24"/>
              </w:rPr>
            </w:pPr>
            <w:r>
              <w:rPr>
                <w:spacing w:val="-5"/>
                <w:sz w:val="24"/>
              </w:rPr>
              <w:t>7.4</w:t>
            </w:r>
          </w:p>
        </w:tc>
      </w:tr>
      <w:tr>
        <w:trPr>
          <w:trHeight w:val="552" w:hRule="atLeast"/>
        </w:trPr>
        <w:tc>
          <w:tcPr>
            <w:tcW w:w="1611" w:type="dxa"/>
          </w:tcPr>
          <w:p>
            <w:pPr>
              <w:pStyle w:val="TableParagraph"/>
              <w:spacing w:before="133"/>
              <w:ind w:left="50"/>
              <w:rPr>
                <w:sz w:val="24"/>
              </w:rPr>
            </w:pPr>
            <w:r>
              <w:rPr>
                <w:sz w:val="24"/>
              </w:rPr>
              <w:t>Total</w:t>
            </w:r>
            <w:r>
              <w:rPr>
                <w:spacing w:val="-1"/>
                <w:sz w:val="24"/>
              </w:rPr>
              <w:t> </w:t>
            </w:r>
            <w:r>
              <w:rPr>
                <w:spacing w:val="-2"/>
                <w:sz w:val="24"/>
              </w:rPr>
              <w:t>stock</w:t>
            </w:r>
          </w:p>
        </w:tc>
        <w:tc>
          <w:tcPr>
            <w:tcW w:w="885" w:type="dxa"/>
          </w:tcPr>
          <w:p>
            <w:pPr>
              <w:pStyle w:val="TableParagraph"/>
              <w:spacing w:before="133"/>
              <w:ind w:left="271"/>
              <w:rPr>
                <w:sz w:val="24"/>
              </w:rPr>
            </w:pPr>
            <w:r>
              <w:rPr>
                <w:spacing w:val="-2"/>
                <w:sz w:val="24"/>
              </w:rPr>
              <w:t>2,755</w:t>
            </w:r>
          </w:p>
        </w:tc>
        <w:tc>
          <w:tcPr>
            <w:tcW w:w="931" w:type="dxa"/>
          </w:tcPr>
          <w:p>
            <w:pPr>
              <w:pStyle w:val="TableParagraph"/>
              <w:spacing w:before="133"/>
              <w:ind w:right="87"/>
              <w:jc w:val="right"/>
              <w:rPr>
                <w:sz w:val="24"/>
              </w:rPr>
            </w:pPr>
            <w:r>
              <w:rPr>
                <w:spacing w:val="-2"/>
                <w:sz w:val="24"/>
              </w:rPr>
              <w:t>8,515</w:t>
            </w:r>
          </w:p>
        </w:tc>
        <w:tc>
          <w:tcPr>
            <w:tcW w:w="953" w:type="dxa"/>
          </w:tcPr>
          <w:p>
            <w:pPr>
              <w:pStyle w:val="TableParagraph"/>
              <w:spacing w:before="133"/>
              <w:ind w:right="20"/>
              <w:jc w:val="right"/>
              <w:rPr>
                <w:sz w:val="24"/>
              </w:rPr>
            </w:pPr>
            <w:r>
              <w:rPr>
                <w:spacing w:val="-2"/>
                <w:sz w:val="24"/>
              </w:rPr>
              <w:t>17,464</w:t>
            </w:r>
          </w:p>
        </w:tc>
        <w:tc>
          <w:tcPr>
            <w:tcW w:w="1855" w:type="dxa"/>
            <w:gridSpan w:val="2"/>
          </w:tcPr>
          <w:p>
            <w:pPr>
              <w:pStyle w:val="TableParagraph"/>
              <w:spacing w:before="133"/>
              <w:ind w:left="1165"/>
              <w:rPr>
                <w:sz w:val="24"/>
              </w:rPr>
            </w:pPr>
            <w:r>
              <w:rPr>
                <w:spacing w:val="-5"/>
                <w:sz w:val="24"/>
              </w:rPr>
              <w:t>7.8</w:t>
            </w:r>
          </w:p>
        </w:tc>
        <w:tc>
          <w:tcPr>
            <w:tcW w:w="900" w:type="dxa"/>
          </w:tcPr>
          <w:p>
            <w:pPr>
              <w:pStyle w:val="TableParagraph"/>
              <w:spacing w:before="133"/>
              <w:ind w:left="390"/>
              <w:rPr>
                <w:sz w:val="24"/>
              </w:rPr>
            </w:pPr>
            <w:r>
              <w:rPr>
                <w:spacing w:val="-5"/>
                <w:sz w:val="24"/>
              </w:rPr>
              <w:t>7.6</w:t>
            </w:r>
          </w:p>
        </w:tc>
        <w:tc>
          <w:tcPr>
            <w:tcW w:w="560" w:type="dxa"/>
          </w:tcPr>
          <w:p>
            <w:pPr>
              <w:pStyle w:val="TableParagraph"/>
              <w:spacing w:before="133"/>
              <w:ind w:right="107"/>
              <w:jc w:val="right"/>
              <w:rPr>
                <w:sz w:val="24"/>
              </w:rPr>
            </w:pPr>
            <w:r>
              <w:rPr>
                <w:spacing w:val="-5"/>
                <w:sz w:val="24"/>
              </w:rPr>
              <w:t>7.6</w:t>
            </w:r>
          </w:p>
        </w:tc>
      </w:tr>
      <w:tr>
        <w:trPr>
          <w:trHeight w:val="690" w:hRule="atLeast"/>
        </w:trPr>
        <w:tc>
          <w:tcPr>
            <w:tcW w:w="1611" w:type="dxa"/>
          </w:tcPr>
          <w:p>
            <w:pPr>
              <w:pStyle w:val="TableParagraph"/>
              <w:spacing w:line="270" w:lineRule="atLeast" w:before="118"/>
              <w:ind w:left="50"/>
              <w:rPr>
                <w:sz w:val="24"/>
              </w:rPr>
            </w:pPr>
            <w:r>
              <w:rPr>
                <w:sz w:val="24"/>
              </w:rPr>
              <w:t>Out-turn of </w:t>
            </w:r>
            <w:r>
              <w:rPr>
                <w:spacing w:val="-2"/>
                <w:sz w:val="24"/>
              </w:rPr>
              <w:t>intermediates</w:t>
            </w:r>
          </w:p>
        </w:tc>
        <w:tc>
          <w:tcPr>
            <w:tcW w:w="885" w:type="dxa"/>
          </w:tcPr>
          <w:p>
            <w:pPr>
              <w:pStyle w:val="TableParagraph"/>
              <w:spacing w:before="132"/>
              <w:rPr>
                <w:b/>
                <w:sz w:val="24"/>
              </w:rPr>
            </w:pPr>
          </w:p>
          <w:p>
            <w:pPr>
              <w:pStyle w:val="TableParagraph"/>
              <w:spacing w:line="261" w:lineRule="exact" w:before="1"/>
              <w:ind w:left="270"/>
              <w:rPr>
                <w:sz w:val="24"/>
              </w:rPr>
            </w:pPr>
            <w:r>
              <w:rPr>
                <w:spacing w:val="-5"/>
                <w:sz w:val="24"/>
              </w:rPr>
              <w:t>240</w:t>
            </w:r>
          </w:p>
        </w:tc>
        <w:tc>
          <w:tcPr>
            <w:tcW w:w="931" w:type="dxa"/>
          </w:tcPr>
          <w:p>
            <w:pPr>
              <w:pStyle w:val="TableParagraph"/>
              <w:spacing w:before="132"/>
              <w:rPr>
                <w:b/>
                <w:sz w:val="24"/>
              </w:rPr>
            </w:pPr>
          </w:p>
          <w:p>
            <w:pPr>
              <w:pStyle w:val="TableParagraph"/>
              <w:spacing w:line="261" w:lineRule="exact" w:before="1"/>
              <w:ind w:left="300"/>
              <w:rPr>
                <w:sz w:val="24"/>
              </w:rPr>
            </w:pPr>
            <w:r>
              <w:rPr>
                <w:spacing w:val="-5"/>
                <w:sz w:val="24"/>
              </w:rPr>
              <w:t>749</w:t>
            </w:r>
          </w:p>
        </w:tc>
        <w:tc>
          <w:tcPr>
            <w:tcW w:w="953" w:type="dxa"/>
          </w:tcPr>
          <w:p>
            <w:pPr>
              <w:pStyle w:val="TableParagraph"/>
              <w:spacing w:before="132"/>
              <w:rPr>
                <w:b/>
                <w:sz w:val="24"/>
              </w:rPr>
            </w:pPr>
          </w:p>
          <w:p>
            <w:pPr>
              <w:pStyle w:val="TableParagraph"/>
              <w:spacing w:line="261" w:lineRule="exact" w:before="1"/>
              <w:ind w:left="89"/>
              <w:rPr>
                <w:sz w:val="24"/>
              </w:rPr>
            </w:pPr>
            <w:r>
              <w:rPr>
                <w:spacing w:val="-2"/>
                <w:sz w:val="24"/>
              </w:rPr>
              <w:t>1,537</w:t>
            </w:r>
          </w:p>
        </w:tc>
        <w:tc>
          <w:tcPr>
            <w:tcW w:w="1855" w:type="dxa"/>
            <w:gridSpan w:val="2"/>
          </w:tcPr>
          <w:p>
            <w:pPr>
              <w:pStyle w:val="TableParagraph"/>
              <w:spacing w:before="132"/>
              <w:rPr>
                <w:b/>
                <w:sz w:val="24"/>
              </w:rPr>
            </w:pPr>
          </w:p>
          <w:p>
            <w:pPr>
              <w:pStyle w:val="TableParagraph"/>
              <w:spacing w:line="261" w:lineRule="exact" w:before="1"/>
              <w:ind w:left="1165"/>
              <w:rPr>
                <w:sz w:val="24"/>
              </w:rPr>
            </w:pPr>
            <w:r>
              <w:rPr>
                <w:spacing w:val="-5"/>
                <w:sz w:val="24"/>
              </w:rPr>
              <w:t>7.9</w:t>
            </w:r>
          </w:p>
        </w:tc>
        <w:tc>
          <w:tcPr>
            <w:tcW w:w="900" w:type="dxa"/>
          </w:tcPr>
          <w:p>
            <w:pPr>
              <w:pStyle w:val="TableParagraph"/>
              <w:spacing w:before="132"/>
              <w:rPr>
                <w:b/>
                <w:sz w:val="24"/>
              </w:rPr>
            </w:pPr>
          </w:p>
          <w:p>
            <w:pPr>
              <w:pStyle w:val="TableParagraph"/>
              <w:spacing w:line="261" w:lineRule="exact" w:before="1"/>
              <w:ind w:left="390"/>
              <w:rPr>
                <w:sz w:val="24"/>
              </w:rPr>
            </w:pPr>
            <w:r>
              <w:rPr>
                <w:spacing w:val="-5"/>
                <w:sz w:val="24"/>
              </w:rPr>
              <w:t>7.5</w:t>
            </w:r>
          </w:p>
        </w:tc>
        <w:tc>
          <w:tcPr>
            <w:tcW w:w="560" w:type="dxa"/>
          </w:tcPr>
          <w:p>
            <w:pPr>
              <w:pStyle w:val="TableParagraph"/>
              <w:spacing w:before="132"/>
              <w:rPr>
                <w:b/>
                <w:sz w:val="24"/>
              </w:rPr>
            </w:pPr>
          </w:p>
          <w:p>
            <w:pPr>
              <w:pStyle w:val="TableParagraph"/>
              <w:spacing w:line="261" w:lineRule="exact" w:before="1"/>
              <w:ind w:right="107"/>
              <w:jc w:val="right"/>
              <w:rPr>
                <w:sz w:val="24"/>
              </w:rPr>
            </w:pPr>
            <w:r>
              <w:rPr>
                <w:spacing w:val="-5"/>
                <w:sz w:val="24"/>
              </w:rPr>
              <w:t>7.7</w:t>
            </w:r>
          </w:p>
        </w:tc>
      </w:tr>
      <w:tr>
        <w:trPr>
          <w:trHeight w:val="270" w:hRule="atLeast"/>
        </w:trPr>
        <w:tc>
          <w:tcPr>
            <w:tcW w:w="1611" w:type="dxa"/>
          </w:tcPr>
          <w:p>
            <w:pPr>
              <w:pStyle w:val="TableParagraph"/>
              <w:rPr>
                <w:sz w:val="20"/>
              </w:rPr>
            </w:pPr>
          </w:p>
        </w:tc>
        <w:tc>
          <w:tcPr>
            <w:tcW w:w="885" w:type="dxa"/>
          </w:tcPr>
          <w:p>
            <w:pPr>
              <w:pStyle w:val="TableParagraph"/>
              <w:spacing w:line="251" w:lineRule="exact"/>
              <w:ind w:left="271"/>
              <w:rPr>
                <w:sz w:val="24"/>
              </w:rPr>
            </w:pPr>
            <w:r>
              <w:rPr>
                <w:spacing w:val="-2"/>
                <w:sz w:val="24"/>
              </w:rPr>
              <w:t>(2.8)</w:t>
            </w:r>
          </w:p>
        </w:tc>
        <w:tc>
          <w:tcPr>
            <w:tcW w:w="931" w:type="dxa"/>
          </w:tcPr>
          <w:p>
            <w:pPr>
              <w:pStyle w:val="TableParagraph"/>
              <w:spacing w:line="251" w:lineRule="exact"/>
              <w:ind w:right="142"/>
              <w:jc w:val="right"/>
              <w:rPr>
                <w:sz w:val="24"/>
              </w:rPr>
            </w:pPr>
            <w:r>
              <w:rPr>
                <w:spacing w:val="-2"/>
                <w:sz w:val="24"/>
              </w:rPr>
              <w:t>(5.6)</w:t>
            </w:r>
          </w:p>
        </w:tc>
        <w:tc>
          <w:tcPr>
            <w:tcW w:w="953" w:type="dxa"/>
          </w:tcPr>
          <w:p>
            <w:pPr>
              <w:pStyle w:val="TableParagraph"/>
              <w:spacing w:line="251" w:lineRule="exact"/>
              <w:ind w:left="215"/>
              <w:rPr>
                <w:sz w:val="24"/>
              </w:rPr>
            </w:pPr>
            <w:r>
              <w:rPr>
                <w:spacing w:val="-2"/>
                <w:sz w:val="24"/>
              </w:rPr>
              <w:t>(9.1)</w:t>
            </w:r>
          </w:p>
        </w:tc>
        <w:tc>
          <w:tcPr>
            <w:tcW w:w="1855" w:type="dxa"/>
            <w:gridSpan w:val="2"/>
          </w:tcPr>
          <w:p>
            <w:pPr>
              <w:pStyle w:val="TableParagraph"/>
              <w:rPr>
                <w:sz w:val="20"/>
              </w:rPr>
            </w:pPr>
          </w:p>
        </w:tc>
        <w:tc>
          <w:tcPr>
            <w:tcW w:w="900" w:type="dxa"/>
          </w:tcPr>
          <w:p>
            <w:pPr>
              <w:pStyle w:val="TableParagraph"/>
              <w:rPr>
                <w:sz w:val="20"/>
              </w:rPr>
            </w:pPr>
          </w:p>
        </w:tc>
        <w:tc>
          <w:tcPr>
            <w:tcW w:w="560" w:type="dxa"/>
          </w:tcPr>
          <w:p>
            <w:pPr>
              <w:pStyle w:val="TableParagraph"/>
              <w:rPr>
                <w:sz w:val="20"/>
              </w:rPr>
            </w:pPr>
          </w:p>
        </w:tc>
      </w:tr>
      <w:tr>
        <w:trPr>
          <w:trHeight w:val="553" w:hRule="atLeast"/>
        </w:trPr>
        <w:tc>
          <w:tcPr>
            <w:tcW w:w="7695" w:type="dxa"/>
            <w:gridSpan w:val="8"/>
          </w:tcPr>
          <w:p>
            <w:pPr>
              <w:pStyle w:val="TableParagraph"/>
              <w:spacing w:before="1"/>
              <w:rPr>
                <w:b/>
                <w:sz w:val="17"/>
              </w:rPr>
            </w:pPr>
          </w:p>
          <w:p>
            <w:pPr>
              <w:pStyle w:val="TableParagraph"/>
              <w:spacing w:line="30" w:lineRule="exact"/>
              <w:ind w:left="50"/>
              <w:rPr>
                <w:sz w:val="3"/>
              </w:rPr>
            </w:pPr>
            <w:r>
              <w:rPr>
                <w:position w:val="0"/>
                <w:sz w:val="3"/>
              </w:rPr>
              <mc:AlternateContent>
                <mc:Choice Requires="wps">
                  <w:drawing>
                    <wp:inline distT="0" distB="0" distL="0" distR="0">
                      <wp:extent cx="3175" cy="19050"/>
                      <wp:effectExtent l="0" t="0" r="0" b="0"/>
                      <wp:docPr id="263" name="Group 263"/>
                      <wp:cNvGraphicFramePr>
                        <a:graphicFrameLocks/>
                      </wp:cNvGraphicFramePr>
                      <a:graphic>
                        <a:graphicData uri="http://schemas.microsoft.com/office/word/2010/wordprocessingGroup">
                          <wpg:wgp>
                            <wpg:cNvPr id="263" name="Group 263"/>
                            <wpg:cNvGrpSpPr/>
                            <wpg:grpSpPr>
                              <a:xfrm>
                                <a:off x="0" y="0"/>
                                <a:ext cx="3175" cy="19050"/>
                                <a:chExt cx="3175" cy="19050"/>
                              </a:xfrm>
                            </wpg:grpSpPr>
                            <wps:wsp>
                              <wps:cNvPr id="264" name="Graphic 264"/>
                              <wps:cNvSpPr/>
                              <wps:spPr>
                                <a:xfrm>
                                  <a:off x="0" y="0"/>
                                  <a:ext cx="3175" cy="19050"/>
                                </a:xfrm>
                                <a:custGeom>
                                  <a:avLst/>
                                  <a:gdLst/>
                                  <a:ahLst/>
                                  <a:cxnLst/>
                                  <a:rect l="l" t="t" r="r" b="b"/>
                                  <a:pathLst>
                                    <a:path w="3175" h="19050">
                                      <a:moveTo>
                                        <a:pt x="3048" y="16014"/>
                                      </a:moveTo>
                                      <a:lnTo>
                                        <a:pt x="0" y="16014"/>
                                      </a:lnTo>
                                      <a:lnTo>
                                        <a:pt x="0" y="19050"/>
                                      </a:lnTo>
                                      <a:lnTo>
                                        <a:pt x="3048" y="19050"/>
                                      </a:lnTo>
                                      <a:lnTo>
                                        <a:pt x="3048" y="16014"/>
                                      </a:lnTo>
                                      <a:close/>
                                    </a:path>
                                    <a:path w="3175" h="19050">
                                      <a:moveTo>
                                        <a:pt x="3048" y="3060"/>
                                      </a:moveTo>
                                      <a:lnTo>
                                        <a:pt x="0" y="3060"/>
                                      </a:lnTo>
                                      <a:lnTo>
                                        <a:pt x="0" y="16002"/>
                                      </a:lnTo>
                                      <a:lnTo>
                                        <a:pt x="3048" y="16002"/>
                                      </a:lnTo>
                                      <a:lnTo>
                                        <a:pt x="3048" y="3060"/>
                                      </a:lnTo>
                                      <a:close/>
                                    </a:path>
                                    <a:path w="3175" h="19050">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g:wgp>
                        </a:graphicData>
                      </a:graphic>
                    </wp:inline>
                  </w:drawing>
                </mc:Choice>
                <mc:Fallback>
                  <w:pict>
                    <v:group style="width:.25pt;height:1.5pt;mso-position-horizontal-relative:char;mso-position-vertical-relative:line" id="docshapegroup255" coordorigin="0,0" coordsize="5,30">
                      <v:shape style="position:absolute;left:0;top:0;width:5;height:30" id="docshape256" coordorigin="0,0" coordsize="5,30" path="m5,25l0,25,0,30,5,30,5,25xm5,5l0,5,0,25,5,25,5,5xm5,0l0,0,0,5,5,5,5,0xe" filled="true" fillcolor="#aca89a" stroked="false">
                        <v:path arrowok="t"/>
                        <v:fill type="solid"/>
                      </v:shape>
                    </v:group>
                  </w:pict>
                </mc:Fallback>
              </mc:AlternateContent>
            </w:r>
            <w:r>
              <w:rPr>
                <w:position w:val="0"/>
                <w:sz w:val="3"/>
              </w:rPr>
            </w:r>
          </w:p>
          <w:p>
            <w:pPr>
              <w:pStyle w:val="TableParagraph"/>
              <w:spacing w:line="256" w:lineRule="exact" w:before="50"/>
              <w:ind w:left="50"/>
              <w:rPr>
                <w:b/>
                <w:sz w:val="24"/>
              </w:rPr>
            </w:pPr>
            <w:r>
              <w:rPr>
                <w:b/>
                <w:sz w:val="24"/>
              </w:rPr>
              <w:t>Graduates</w:t>
            </w:r>
            <w:r>
              <w:rPr>
                <w:b/>
                <w:spacing w:val="-1"/>
                <w:sz w:val="24"/>
              </w:rPr>
              <w:t> </w:t>
            </w:r>
            <w:r>
              <w:rPr>
                <w:b/>
                <w:sz w:val="24"/>
              </w:rPr>
              <w:t>and</w:t>
            </w:r>
            <w:r>
              <w:rPr>
                <w:b/>
                <w:spacing w:val="-1"/>
                <w:sz w:val="24"/>
              </w:rPr>
              <w:t> </w:t>
            </w:r>
            <w:r>
              <w:rPr>
                <w:b/>
                <w:spacing w:val="-2"/>
                <w:sz w:val="24"/>
              </w:rPr>
              <w:t>above</w:t>
            </w:r>
          </w:p>
        </w:tc>
      </w:tr>
      <w:tr>
        <w:trPr>
          <w:trHeight w:val="692" w:hRule="atLeast"/>
        </w:trPr>
        <w:tc>
          <w:tcPr>
            <w:tcW w:w="1611" w:type="dxa"/>
          </w:tcPr>
          <w:p>
            <w:pPr>
              <w:pStyle w:val="TableParagraph"/>
              <w:spacing w:before="273"/>
              <w:ind w:left="50"/>
              <w:rPr>
                <w:sz w:val="24"/>
              </w:rPr>
            </w:pPr>
            <w:r>
              <w:rPr>
                <w:spacing w:val="-2"/>
                <w:sz w:val="24"/>
              </w:rPr>
              <w:t>Workers</w:t>
            </w:r>
          </w:p>
        </w:tc>
        <w:tc>
          <w:tcPr>
            <w:tcW w:w="885" w:type="dxa"/>
          </w:tcPr>
          <w:p>
            <w:pPr>
              <w:pStyle w:val="TableParagraph"/>
              <w:spacing w:before="273"/>
              <w:ind w:left="270"/>
              <w:rPr>
                <w:sz w:val="24"/>
              </w:rPr>
            </w:pPr>
            <w:r>
              <w:rPr>
                <w:spacing w:val="-2"/>
                <w:sz w:val="24"/>
              </w:rPr>
              <w:t>1,146</w:t>
            </w:r>
          </w:p>
        </w:tc>
        <w:tc>
          <w:tcPr>
            <w:tcW w:w="931" w:type="dxa"/>
          </w:tcPr>
          <w:p>
            <w:pPr>
              <w:pStyle w:val="TableParagraph"/>
              <w:spacing w:before="273"/>
              <w:ind w:right="87"/>
              <w:jc w:val="right"/>
              <w:rPr>
                <w:sz w:val="24"/>
              </w:rPr>
            </w:pPr>
            <w:r>
              <w:rPr>
                <w:spacing w:val="-2"/>
                <w:sz w:val="24"/>
              </w:rPr>
              <w:t>3,299</w:t>
            </w:r>
          </w:p>
        </w:tc>
        <w:tc>
          <w:tcPr>
            <w:tcW w:w="953" w:type="dxa"/>
          </w:tcPr>
          <w:p>
            <w:pPr>
              <w:pStyle w:val="TableParagraph"/>
              <w:spacing w:before="273"/>
              <w:ind w:left="270"/>
              <w:rPr>
                <w:sz w:val="24"/>
              </w:rPr>
            </w:pPr>
            <w:r>
              <w:rPr>
                <w:spacing w:val="-2"/>
                <w:sz w:val="24"/>
              </w:rPr>
              <w:t>6,543</w:t>
            </w:r>
          </w:p>
        </w:tc>
        <w:tc>
          <w:tcPr>
            <w:tcW w:w="907" w:type="dxa"/>
          </w:tcPr>
          <w:p>
            <w:pPr>
              <w:pStyle w:val="TableParagraph"/>
              <w:rPr>
                <w:sz w:val="22"/>
              </w:rPr>
            </w:pPr>
          </w:p>
        </w:tc>
        <w:tc>
          <w:tcPr>
            <w:tcW w:w="948" w:type="dxa"/>
          </w:tcPr>
          <w:p>
            <w:pPr>
              <w:pStyle w:val="TableParagraph"/>
              <w:spacing w:before="273"/>
              <w:ind w:left="258"/>
              <w:rPr>
                <w:sz w:val="24"/>
              </w:rPr>
            </w:pPr>
            <w:r>
              <w:rPr>
                <w:spacing w:val="-5"/>
                <w:sz w:val="24"/>
              </w:rPr>
              <w:t>7.4</w:t>
            </w:r>
          </w:p>
        </w:tc>
        <w:tc>
          <w:tcPr>
            <w:tcW w:w="900" w:type="dxa"/>
          </w:tcPr>
          <w:p>
            <w:pPr>
              <w:pStyle w:val="TableParagraph"/>
              <w:spacing w:before="273"/>
              <w:ind w:left="390"/>
              <w:rPr>
                <w:sz w:val="24"/>
              </w:rPr>
            </w:pPr>
            <w:r>
              <w:rPr>
                <w:spacing w:val="-5"/>
                <w:sz w:val="24"/>
              </w:rPr>
              <w:t>7.1</w:t>
            </w:r>
          </w:p>
        </w:tc>
        <w:tc>
          <w:tcPr>
            <w:tcW w:w="560" w:type="dxa"/>
          </w:tcPr>
          <w:p>
            <w:pPr>
              <w:pStyle w:val="TableParagraph"/>
              <w:spacing w:before="273"/>
              <w:ind w:right="107"/>
              <w:jc w:val="right"/>
              <w:rPr>
                <w:sz w:val="24"/>
              </w:rPr>
            </w:pPr>
            <w:r>
              <w:rPr>
                <w:spacing w:val="-5"/>
                <w:sz w:val="24"/>
              </w:rPr>
              <w:t>7.2</w:t>
            </w:r>
          </w:p>
        </w:tc>
      </w:tr>
      <w:tr>
        <w:trPr>
          <w:trHeight w:val="552" w:hRule="atLeast"/>
        </w:trPr>
        <w:tc>
          <w:tcPr>
            <w:tcW w:w="1611" w:type="dxa"/>
          </w:tcPr>
          <w:p>
            <w:pPr>
              <w:pStyle w:val="TableParagraph"/>
              <w:spacing w:before="133"/>
              <w:ind w:left="50"/>
              <w:rPr>
                <w:sz w:val="24"/>
              </w:rPr>
            </w:pPr>
            <w:r>
              <w:rPr>
                <w:sz w:val="24"/>
              </w:rPr>
              <w:t>Total </w:t>
            </w:r>
            <w:r>
              <w:rPr>
                <w:spacing w:val="-2"/>
                <w:sz w:val="24"/>
              </w:rPr>
              <w:t>stock</w:t>
            </w:r>
          </w:p>
        </w:tc>
        <w:tc>
          <w:tcPr>
            <w:tcW w:w="885" w:type="dxa"/>
          </w:tcPr>
          <w:p>
            <w:pPr>
              <w:pStyle w:val="TableParagraph"/>
              <w:spacing w:before="133"/>
              <w:ind w:left="271"/>
              <w:rPr>
                <w:sz w:val="24"/>
              </w:rPr>
            </w:pPr>
            <w:r>
              <w:rPr>
                <w:spacing w:val="-2"/>
                <w:sz w:val="24"/>
              </w:rPr>
              <w:t>1,510</w:t>
            </w:r>
          </w:p>
        </w:tc>
        <w:tc>
          <w:tcPr>
            <w:tcW w:w="931" w:type="dxa"/>
          </w:tcPr>
          <w:p>
            <w:pPr>
              <w:pStyle w:val="TableParagraph"/>
              <w:spacing w:before="133"/>
              <w:ind w:right="102"/>
              <w:jc w:val="right"/>
              <w:rPr>
                <w:sz w:val="24"/>
              </w:rPr>
            </w:pPr>
            <w:r>
              <w:rPr>
                <w:spacing w:val="-2"/>
                <w:sz w:val="24"/>
              </w:rPr>
              <w:t>4,433</w:t>
            </w:r>
          </w:p>
        </w:tc>
        <w:tc>
          <w:tcPr>
            <w:tcW w:w="953" w:type="dxa"/>
          </w:tcPr>
          <w:p>
            <w:pPr>
              <w:pStyle w:val="TableParagraph"/>
              <w:spacing w:before="133"/>
              <w:ind w:left="255"/>
              <w:rPr>
                <w:sz w:val="24"/>
              </w:rPr>
            </w:pPr>
            <w:r>
              <w:rPr>
                <w:spacing w:val="-2"/>
                <w:sz w:val="24"/>
              </w:rPr>
              <w:t>9,082</w:t>
            </w:r>
          </w:p>
        </w:tc>
        <w:tc>
          <w:tcPr>
            <w:tcW w:w="907" w:type="dxa"/>
          </w:tcPr>
          <w:p>
            <w:pPr>
              <w:pStyle w:val="TableParagraph"/>
              <w:spacing w:before="133"/>
              <w:ind w:left="202"/>
              <w:rPr>
                <w:sz w:val="24"/>
              </w:rPr>
            </w:pPr>
            <w:r>
              <w:rPr>
                <w:spacing w:val="-5"/>
                <w:sz w:val="24"/>
              </w:rPr>
              <w:t>7.5</w:t>
            </w:r>
          </w:p>
        </w:tc>
        <w:tc>
          <w:tcPr>
            <w:tcW w:w="948" w:type="dxa"/>
          </w:tcPr>
          <w:p>
            <w:pPr>
              <w:pStyle w:val="TableParagraph"/>
              <w:spacing w:before="133"/>
              <w:ind w:left="259"/>
              <w:rPr>
                <w:sz w:val="24"/>
              </w:rPr>
            </w:pPr>
            <w:r>
              <w:rPr>
                <w:spacing w:val="-5"/>
                <w:sz w:val="24"/>
              </w:rPr>
              <w:t>7.4</w:t>
            </w:r>
          </w:p>
        </w:tc>
        <w:tc>
          <w:tcPr>
            <w:tcW w:w="900" w:type="dxa"/>
          </w:tcPr>
          <w:p>
            <w:pPr>
              <w:pStyle w:val="TableParagraph"/>
              <w:spacing w:before="133"/>
              <w:ind w:left="391"/>
              <w:rPr>
                <w:sz w:val="24"/>
              </w:rPr>
            </w:pPr>
            <w:r>
              <w:rPr>
                <w:spacing w:val="-5"/>
                <w:sz w:val="24"/>
              </w:rPr>
              <w:t>7.5</w:t>
            </w:r>
          </w:p>
        </w:tc>
        <w:tc>
          <w:tcPr>
            <w:tcW w:w="560" w:type="dxa"/>
          </w:tcPr>
          <w:p>
            <w:pPr>
              <w:pStyle w:val="TableParagraph"/>
              <w:rPr>
                <w:sz w:val="22"/>
              </w:rPr>
            </w:pPr>
          </w:p>
        </w:tc>
      </w:tr>
      <w:tr>
        <w:trPr>
          <w:trHeight w:val="828" w:hRule="atLeast"/>
        </w:trPr>
        <w:tc>
          <w:tcPr>
            <w:tcW w:w="1611" w:type="dxa"/>
          </w:tcPr>
          <w:p>
            <w:pPr>
              <w:pStyle w:val="TableParagraph"/>
              <w:spacing w:before="133"/>
              <w:ind w:left="50" w:right="469"/>
              <w:rPr>
                <w:sz w:val="24"/>
              </w:rPr>
            </w:pPr>
            <w:r>
              <w:rPr>
                <w:sz w:val="24"/>
              </w:rPr>
              <w:t>Out-turn</w:t>
            </w:r>
            <w:r>
              <w:rPr>
                <w:spacing w:val="-15"/>
                <w:sz w:val="24"/>
              </w:rPr>
              <w:t> </w:t>
            </w:r>
            <w:r>
              <w:rPr>
                <w:sz w:val="24"/>
              </w:rPr>
              <w:t>of </w:t>
            </w:r>
            <w:r>
              <w:rPr>
                <w:spacing w:val="-2"/>
                <w:sz w:val="24"/>
              </w:rPr>
              <w:t>graduates</w:t>
            </w:r>
          </w:p>
        </w:tc>
        <w:tc>
          <w:tcPr>
            <w:tcW w:w="885" w:type="dxa"/>
          </w:tcPr>
          <w:p>
            <w:pPr>
              <w:pStyle w:val="TableParagraph"/>
              <w:spacing w:before="132"/>
              <w:rPr>
                <w:b/>
                <w:sz w:val="24"/>
              </w:rPr>
            </w:pPr>
          </w:p>
          <w:p>
            <w:pPr>
              <w:pStyle w:val="TableParagraph"/>
              <w:spacing w:before="1"/>
              <w:ind w:left="271"/>
              <w:rPr>
                <w:sz w:val="24"/>
              </w:rPr>
            </w:pPr>
            <w:r>
              <w:rPr>
                <w:spacing w:val="-5"/>
                <w:sz w:val="24"/>
              </w:rPr>
              <w:t>123</w:t>
            </w:r>
          </w:p>
        </w:tc>
        <w:tc>
          <w:tcPr>
            <w:tcW w:w="931" w:type="dxa"/>
          </w:tcPr>
          <w:p>
            <w:pPr>
              <w:pStyle w:val="TableParagraph"/>
              <w:spacing w:before="132"/>
              <w:rPr>
                <w:b/>
                <w:sz w:val="24"/>
              </w:rPr>
            </w:pPr>
          </w:p>
          <w:p>
            <w:pPr>
              <w:pStyle w:val="TableParagraph"/>
              <w:spacing w:before="1"/>
              <w:ind w:left="286"/>
              <w:rPr>
                <w:sz w:val="24"/>
              </w:rPr>
            </w:pPr>
            <w:r>
              <w:rPr>
                <w:spacing w:val="-5"/>
                <w:sz w:val="24"/>
              </w:rPr>
              <w:t>377</w:t>
            </w:r>
          </w:p>
        </w:tc>
        <w:tc>
          <w:tcPr>
            <w:tcW w:w="953" w:type="dxa"/>
          </w:tcPr>
          <w:p>
            <w:pPr>
              <w:pStyle w:val="TableParagraph"/>
              <w:spacing w:before="132"/>
              <w:rPr>
                <w:b/>
                <w:sz w:val="24"/>
              </w:rPr>
            </w:pPr>
          </w:p>
          <w:p>
            <w:pPr>
              <w:pStyle w:val="TableParagraph"/>
              <w:spacing w:before="1"/>
              <w:ind w:left="255"/>
              <w:rPr>
                <w:sz w:val="24"/>
              </w:rPr>
            </w:pPr>
            <w:r>
              <w:rPr>
                <w:spacing w:val="-5"/>
                <w:sz w:val="24"/>
              </w:rPr>
              <w:t>772</w:t>
            </w:r>
          </w:p>
        </w:tc>
        <w:tc>
          <w:tcPr>
            <w:tcW w:w="907" w:type="dxa"/>
          </w:tcPr>
          <w:p>
            <w:pPr>
              <w:pStyle w:val="TableParagraph"/>
              <w:spacing w:before="132"/>
              <w:rPr>
                <w:b/>
                <w:sz w:val="24"/>
              </w:rPr>
            </w:pPr>
          </w:p>
          <w:p>
            <w:pPr>
              <w:pStyle w:val="TableParagraph"/>
              <w:spacing w:before="1"/>
              <w:ind w:left="22"/>
              <w:rPr>
                <w:sz w:val="24"/>
              </w:rPr>
            </w:pPr>
            <w:r>
              <w:rPr>
                <w:spacing w:val="-5"/>
                <w:sz w:val="24"/>
              </w:rPr>
              <w:t>7.7</w:t>
            </w:r>
          </w:p>
        </w:tc>
        <w:tc>
          <w:tcPr>
            <w:tcW w:w="948" w:type="dxa"/>
          </w:tcPr>
          <w:p>
            <w:pPr>
              <w:pStyle w:val="TableParagraph"/>
              <w:spacing w:before="132"/>
              <w:rPr>
                <w:b/>
                <w:sz w:val="24"/>
              </w:rPr>
            </w:pPr>
          </w:p>
          <w:p>
            <w:pPr>
              <w:pStyle w:val="TableParagraph"/>
              <w:spacing w:before="1"/>
              <w:ind w:left="259"/>
              <w:rPr>
                <w:sz w:val="24"/>
              </w:rPr>
            </w:pPr>
            <w:r>
              <w:rPr>
                <w:spacing w:val="-5"/>
                <w:sz w:val="24"/>
              </w:rPr>
              <w:t>7.5</w:t>
            </w:r>
          </w:p>
        </w:tc>
        <w:tc>
          <w:tcPr>
            <w:tcW w:w="900" w:type="dxa"/>
          </w:tcPr>
          <w:p>
            <w:pPr>
              <w:pStyle w:val="TableParagraph"/>
              <w:spacing w:before="132"/>
              <w:rPr>
                <w:b/>
                <w:sz w:val="24"/>
              </w:rPr>
            </w:pPr>
          </w:p>
          <w:p>
            <w:pPr>
              <w:pStyle w:val="TableParagraph"/>
              <w:spacing w:before="1"/>
              <w:ind w:left="451"/>
              <w:rPr>
                <w:sz w:val="24"/>
              </w:rPr>
            </w:pPr>
            <w:r>
              <w:rPr>
                <w:spacing w:val="-5"/>
                <w:sz w:val="24"/>
              </w:rPr>
              <w:t>7.6</w:t>
            </w:r>
          </w:p>
        </w:tc>
        <w:tc>
          <w:tcPr>
            <w:tcW w:w="560" w:type="dxa"/>
          </w:tcPr>
          <w:p>
            <w:pPr>
              <w:pStyle w:val="TableParagraph"/>
              <w:rPr>
                <w:sz w:val="22"/>
              </w:rPr>
            </w:pPr>
          </w:p>
        </w:tc>
      </w:tr>
      <w:tr>
        <w:trPr>
          <w:trHeight w:val="408" w:hRule="atLeast"/>
        </w:trPr>
        <w:tc>
          <w:tcPr>
            <w:tcW w:w="1611" w:type="dxa"/>
          </w:tcPr>
          <w:p>
            <w:pPr>
              <w:pStyle w:val="TableParagraph"/>
              <w:rPr>
                <w:sz w:val="22"/>
              </w:rPr>
            </w:pPr>
          </w:p>
        </w:tc>
        <w:tc>
          <w:tcPr>
            <w:tcW w:w="885" w:type="dxa"/>
          </w:tcPr>
          <w:p>
            <w:pPr>
              <w:pStyle w:val="TableParagraph"/>
              <w:rPr>
                <w:sz w:val="22"/>
              </w:rPr>
            </w:pPr>
          </w:p>
        </w:tc>
        <w:tc>
          <w:tcPr>
            <w:tcW w:w="931" w:type="dxa"/>
          </w:tcPr>
          <w:p>
            <w:pPr>
              <w:pStyle w:val="TableParagraph"/>
              <w:spacing w:line="256" w:lineRule="exact" w:before="133"/>
              <w:ind w:left="74"/>
              <w:rPr>
                <w:sz w:val="24"/>
              </w:rPr>
            </w:pPr>
            <w:r>
              <w:rPr>
                <w:spacing w:val="-2"/>
                <w:sz w:val="24"/>
              </w:rPr>
              <w:t>(1.5)</w:t>
            </w:r>
          </w:p>
        </w:tc>
        <w:tc>
          <w:tcPr>
            <w:tcW w:w="953" w:type="dxa"/>
          </w:tcPr>
          <w:p>
            <w:pPr>
              <w:pStyle w:val="TableParagraph"/>
              <w:spacing w:line="256" w:lineRule="exact" w:before="133"/>
              <w:ind w:left="322"/>
              <w:rPr>
                <w:sz w:val="24"/>
              </w:rPr>
            </w:pPr>
            <w:r>
              <w:rPr>
                <w:spacing w:val="-2"/>
                <w:sz w:val="24"/>
              </w:rPr>
              <w:t>(3.2)</w:t>
            </w:r>
          </w:p>
        </w:tc>
        <w:tc>
          <w:tcPr>
            <w:tcW w:w="907" w:type="dxa"/>
          </w:tcPr>
          <w:p>
            <w:pPr>
              <w:pStyle w:val="TableParagraph"/>
              <w:spacing w:line="256" w:lineRule="exact" w:before="133"/>
              <w:ind w:left="189"/>
              <w:rPr>
                <w:sz w:val="24"/>
              </w:rPr>
            </w:pPr>
            <w:r>
              <w:rPr>
                <w:spacing w:val="-2"/>
                <w:sz w:val="24"/>
              </w:rPr>
              <w:t>(4.9)</w:t>
            </w:r>
          </w:p>
        </w:tc>
        <w:tc>
          <w:tcPr>
            <w:tcW w:w="948" w:type="dxa"/>
          </w:tcPr>
          <w:p>
            <w:pPr>
              <w:pStyle w:val="TableParagraph"/>
              <w:rPr>
                <w:sz w:val="22"/>
              </w:rPr>
            </w:pPr>
          </w:p>
        </w:tc>
        <w:tc>
          <w:tcPr>
            <w:tcW w:w="900" w:type="dxa"/>
          </w:tcPr>
          <w:p>
            <w:pPr>
              <w:pStyle w:val="TableParagraph"/>
              <w:rPr>
                <w:sz w:val="22"/>
              </w:rPr>
            </w:pPr>
          </w:p>
        </w:tc>
        <w:tc>
          <w:tcPr>
            <w:tcW w:w="560" w:type="dxa"/>
          </w:tcPr>
          <w:p>
            <w:pPr>
              <w:pStyle w:val="TableParagraph"/>
              <w:rPr>
                <w:sz w:val="22"/>
              </w:rPr>
            </w:pPr>
          </w:p>
        </w:tc>
      </w:tr>
    </w:tbl>
    <w:p>
      <w:pPr>
        <w:pStyle w:val="BodyText"/>
        <w:spacing w:before="4"/>
        <w:rPr>
          <w:b/>
          <w:sz w:val="15"/>
        </w:rPr>
      </w:pPr>
      <w:r>
        <w:rPr/>
        <mc:AlternateContent>
          <mc:Choice Requires="wps">
            <w:drawing>
              <wp:anchor distT="0" distB="0" distL="0" distR="0" allowOverlap="1" layoutInCell="1" locked="0" behindDoc="1" simplePos="0" relativeHeight="487611392">
                <wp:simplePos x="0" y="0"/>
                <wp:positionH relativeFrom="page">
                  <wp:posOffset>1143000</wp:posOffset>
                </wp:positionH>
                <wp:positionV relativeFrom="paragraph">
                  <wp:posOffset>127804</wp:posOffset>
                </wp:positionV>
                <wp:extent cx="5486400" cy="19050"/>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5486400" cy="19050"/>
                          <a:chExt cx="5486400" cy="19050"/>
                        </a:xfrm>
                      </wpg:grpSpPr>
                      <wps:wsp>
                        <wps:cNvPr id="266" name="Graphic 26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67" name="Graphic 267"/>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68" name="Graphic 268"/>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69" name="Graphic 269"/>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270" name="Graphic 270"/>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271" name="Graphic 271"/>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272" name="Graphic 272"/>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6335pt;width:432pt;height:1.5pt;mso-position-horizontal-relative:page;mso-position-vertical-relative:paragraph;z-index:-15705088;mso-wrap-distance-left:0;mso-wrap-distance-right:0" id="docshapegroup257" coordorigin="1800,201" coordsize="8640,30">
                <v:rect style="position:absolute;left:1800;top:201;width:8640;height:30" id="docshape258" filled="true" fillcolor="#808080" stroked="false">
                  <v:fill type="solid"/>
                </v:rect>
                <v:shape style="position:absolute;left:1800;top:201;width:8636;height:5" id="docshape259" coordorigin="1800,201" coordsize="8636,5" path="m10435,201l1805,201,1800,201,1800,206,1805,206,10435,206,10435,201xe" filled="true" fillcolor="#aca89a" stroked="false">
                  <v:path arrowok="t"/>
                  <v:fill type="solid"/>
                </v:shape>
                <v:rect style="position:absolute;left:10435;top:201;width:5;height:5" id="docshape260" filled="true" fillcolor="#f1efe2" stroked="false">
                  <v:fill type="solid"/>
                </v:rect>
                <v:shape style="position:absolute;left:1800;top:201;width:8640;height:26" id="docshape261" coordorigin="1800,201" coordsize="8640,26" path="m1805,206l1800,206,1800,226,1805,226,1805,206xm10440,201l10435,201,10435,206,10440,206,10440,201xe" filled="true" fillcolor="#aca89a" stroked="false">
                  <v:path arrowok="t"/>
                  <v:fill type="solid"/>
                </v:shape>
                <v:rect style="position:absolute;left:10435;top:206;width:5;height:21" id="docshape262" filled="true" fillcolor="#f1efe2" stroked="false">
                  <v:fill type="solid"/>
                </v:rect>
                <v:rect style="position:absolute;left:1800;top:226;width:5;height:5" id="docshape263" filled="true" fillcolor="#aca89a" stroked="false">
                  <v:fill type="solid"/>
                </v:rect>
                <v:shape style="position:absolute;left:1800;top:226;width:8640;height:5" id="docshape264" coordorigin="1800,226" coordsize="8640,5" path="m10440,226l10435,226,1800,226,1800,231,10435,231,10440,231,10440,226xe" filled="true" fillcolor="#f1efe2" stroked="false">
                  <v:path arrowok="t"/>
                  <v:fill type="solid"/>
                </v:shape>
                <w10:wrap type="topAndBottom"/>
              </v:group>
            </w:pict>
          </mc:Fallback>
        </mc:AlternateContent>
      </w:r>
    </w:p>
    <w:p>
      <w:pPr>
        <w:pStyle w:val="BodyText"/>
        <w:spacing w:before="48"/>
        <w:rPr>
          <w:b/>
        </w:rPr>
      </w:pPr>
    </w:p>
    <w:p>
      <w:pPr>
        <w:pStyle w:val="BodyText"/>
        <w:ind w:left="159"/>
      </w:pPr>
      <w:r>
        <w:rPr/>
        <w:t>Source.</w:t>
      </w:r>
      <w:r>
        <w:rPr>
          <w:spacing w:val="79"/>
          <w:w w:val="150"/>
        </w:rPr>
        <w:t> </w:t>
      </w:r>
      <w:r>
        <w:rPr/>
        <w:t>ISI/LSE</w:t>
      </w:r>
      <w:r>
        <w:rPr>
          <w:spacing w:val="-3"/>
        </w:rPr>
        <w:t> </w:t>
      </w:r>
      <w:r>
        <w:rPr>
          <w:spacing w:val="-2"/>
        </w:rPr>
        <w:t>Paper.</w:t>
      </w:r>
    </w:p>
    <w:p>
      <w:pPr>
        <w:pStyle w:val="BodyText"/>
        <w:tabs>
          <w:tab w:pos="840" w:val="left" w:leader="none"/>
          <w:tab w:pos="1787" w:val="left" w:leader="none"/>
          <w:tab w:pos="2200" w:val="left" w:leader="none"/>
          <w:tab w:pos="3547" w:val="left" w:leader="none"/>
          <w:tab w:pos="4534" w:val="left" w:leader="none"/>
          <w:tab w:pos="5893" w:val="left" w:leader="none"/>
          <w:tab w:pos="6318" w:val="left" w:leader="none"/>
          <w:tab w:pos="6838" w:val="left" w:leader="none"/>
          <w:tab w:pos="8092" w:val="left" w:leader="none"/>
          <w:tab w:pos="8505" w:val="left" w:leader="none"/>
        </w:tabs>
        <w:ind w:left="159" w:right="499"/>
      </w:pPr>
      <w:r>
        <w:rPr>
          <w:spacing w:val="-4"/>
        </w:rPr>
        <w:t>N.B.</w:t>
      </w:r>
      <w:r>
        <w:rPr/>
        <w:tab/>
      </w:r>
      <w:r>
        <w:rPr>
          <w:spacing w:val="-2"/>
        </w:rPr>
        <w:t>Figures</w:t>
      </w:r>
      <w:r>
        <w:rPr/>
        <w:tab/>
      </w:r>
      <w:r>
        <w:rPr>
          <w:spacing w:val="-6"/>
        </w:rPr>
        <w:t>in</w:t>
      </w:r>
      <w:r>
        <w:rPr/>
        <w:tab/>
      </w:r>
      <w:r>
        <w:rPr>
          <w:spacing w:val="-2"/>
        </w:rPr>
        <w:t>parentheses</w:t>
      </w:r>
      <w:r>
        <w:rPr/>
        <w:tab/>
      </w:r>
      <w:r>
        <w:rPr>
          <w:spacing w:val="-2"/>
        </w:rPr>
        <w:t>indicate</w:t>
      </w:r>
      <w:r>
        <w:rPr/>
        <w:tab/>
      </w:r>
      <w:r>
        <w:rPr>
          <w:spacing w:val="-2"/>
        </w:rPr>
        <w:t>percentages</w:t>
      </w:r>
      <w:r>
        <w:rPr/>
        <w:tab/>
      </w:r>
      <w:r>
        <w:rPr>
          <w:spacing w:val="-6"/>
        </w:rPr>
        <w:t>of</w:t>
      </w:r>
      <w:r>
        <w:rPr/>
        <w:tab/>
      </w:r>
      <w:r>
        <w:rPr>
          <w:spacing w:val="-4"/>
        </w:rPr>
        <w:t>the</w:t>
      </w:r>
      <w:r>
        <w:rPr/>
        <w:tab/>
      </w:r>
      <w:r>
        <w:rPr>
          <w:spacing w:val="-2"/>
        </w:rPr>
        <w:t>population</w:t>
      </w:r>
      <w:r>
        <w:rPr/>
        <w:tab/>
      </w:r>
      <w:r>
        <w:rPr>
          <w:spacing w:val="-6"/>
        </w:rPr>
        <w:t>in</w:t>
      </w:r>
      <w:r>
        <w:rPr/>
        <w:tab/>
      </w:r>
      <w:r>
        <w:rPr>
          <w:spacing w:val="-4"/>
        </w:rPr>
        <w:t>th</w:t>
      </w:r>
      <w:r>
        <w:rPr>
          <w:spacing w:val="-4"/>
        </w:rPr>
        <w:t>e</w:t>
      </w:r>
      <w:r>
        <w:rPr>
          <w:spacing w:val="-4"/>
        </w:rPr>
        <w:t> </w:t>
      </w:r>
      <w:r>
        <w:rPr/>
        <w:t>corresponding age-groups.</w:t>
      </w:r>
    </w:p>
    <w:p>
      <w:pPr>
        <w:pStyle w:val="BodyText"/>
      </w:pPr>
    </w:p>
    <w:p>
      <w:pPr>
        <w:pStyle w:val="BodyText"/>
        <w:spacing w:before="5"/>
      </w:pPr>
    </w:p>
    <w:p>
      <w:pPr>
        <w:pStyle w:val="ListParagraph"/>
        <w:numPr>
          <w:ilvl w:val="1"/>
          <w:numId w:val="98"/>
        </w:numPr>
        <w:tabs>
          <w:tab w:pos="668" w:val="left" w:leader="none"/>
        </w:tabs>
        <w:spacing w:line="240" w:lineRule="auto" w:before="0" w:after="0"/>
        <w:ind w:left="159" w:right="498" w:firstLine="0"/>
        <w:jc w:val="left"/>
        <w:rPr>
          <w:sz w:val="24"/>
        </w:rPr>
      </w:pPr>
      <w:r>
        <w:rPr>
          <w:sz w:val="24"/>
        </w:rPr>
        <w:t>On</w:t>
      </w:r>
      <w:r>
        <w:rPr>
          <w:spacing w:val="29"/>
          <w:sz w:val="24"/>
        </w:rPr>
        <w:t> </w:t>
      </w:r>
      <w:r>
        <w:rPr>
          <w:sz w:val="24"/>
        </w:rPr>
        <w:t>the</w:t>
      </w:r>
      <w:r>
        <w:rPr>
          <w:spacing w:val="29"/>
          <w:sz w:val="24"/>
        </w:rPr>
        <w:t> </w:t>
      </w:r>
      <w:r>
        <w:rPr>
          <w:sz w:val="24"/>
        </w:rPr>
        <w:t>other</w:t>
      </w:r>
      <w:r>
        <w:rPr>
          <w:spacing w:val="29"/>
          <w:sz w:val="24"/>
        </w:rPr>
        <w:t> </w:t>
      </w:r>
      <w:r>
        <w:rPr>
          <w:sz w:val="24"/>
        </w:rPr>
        <w:t>hand</w:t>
      </w:r>
      <w:r>
        <w:rPr>
          <w:spacing w:val="29"/>
          <w:sz w:val="24"/>
        </w:rPr>
        <w:t> </w:t>
      </w:r>
      <w:r>
        <w:rPr>
          <w:sz w:val="24"/>
        </w:rPr>
        <w:t>the</w:t>
      </w:r>
      <w:r>
        <w:rPr>
          <w:spacing w:val="29"/>
          <w:sz w:val="24"/>
        </w:rPr>
        <w:t> </w:t>
      </w:r>
      <w:r>
        <w:rPr>
          <w:sz w:val="24"/>
        </w:rPr>
        <w:t>proportion</w:t>
      </w:r>
      <w:r>
        <w:rPr>
          <w:spacing w:val="29"/>
          <w:sz w:val="24"/>
        </w:rPr>
        <w:t> </w:t>
      </w:r>
      <w:r>
        <w:rPr>
          <w:sz w:val="24"/>
        </w:rPr>
        <w:t>of</w:t>
      </w:r>
      <w:r>
        <w:rPr>
          <w:spacing w:val="29"/>
          <w:sz w:val="24"/>
        </w:rPr>
        <w:t> </w:t>
      </w:r>
      <w:r>
        <w:rPr>
          <w:sz w:val="24"/>
        </w:rPr>
        <w:t>those</w:t>
      </w:r>
      <w:r>
        <w:rPr>
          <w:spacing w:val="29"/>
          <w:sz w:val="24"/>
        </w:rPr>
        <w:t> </w:t>
      </w:r>
      <w:r>
        <w:rPr>
          <w:sz w:val="24"/>
        </w:rPr>
        <w:t>completing</w:t>
      </w:r>
      <w:r>
        <w:rPr>
          <w:spacing w:val="29"/>
          <w:sz w:val="24"/>
        </w:rPr>
        <w:t> </w:t>
      </w:r>
      <w:r>
        <w:rPr>
          <w:sz w:val="24"/>
        </w:rPr>
        <w:t>class</w:t>
      </w:r>
      <w:r>
        <w:rPr>
          <w:spacing w:val="29"/>
          <w:sz w:val="24"/>
        </w:rPr>
        <w:t> </w:t>
      </w:r>
      <w:r>
        <w:rPr>
          <w:sz w:val="24"/>
        </w:rPr>
        <w:t>VII</w:t>
      </w:r>
      <w:r>
        <w:rPr>
          <w:spacing w:val="29"/>
          <w:sz w:val="24"/>
        </w:rPr>
        <w:t> </w:t>
      </w:r>
      <w:r>
        <w:rPr>
          <w:sz w:val="24"/>
        </w:rPr>
        <w:t>who</w:t>
      </w:r>
      <w:r>
        <w:rPr>
          <w:spacing w:val="29"/>
          <w:sz w:val="24"/>
        </w:rPr>
        <w:t> </w:t>
      </w:r>
      <w:r>
        <w:rPr>
          <w:sz w:val="24"/>
        </w:rPr>
        <w:t>go</w:t>
      </w:r>
      <w:r>
        <w:rPr>
          <w:spacing w:val="29"/>
          <w:sz w:val="24"/>
        </w:rPr>
        <w:t> </w:t>
      </w:r>
      <w:r>
        <w:rPr>
          <w:sz w:val="24"/>
        </w:rPr>
        <w:t>on</w:t>
      </w:r>
      <w:r>
        <w:rPr>
          <w:spacing w:val="29"/>
          <w:sz w:val="24"/>
        </w:rPr>
        <w:t> </w:t>
      </w:r>
      <w:r>
        <w:rPr>
          <w:sz w:val="24"/>
        </w:rPr>
        <w:t>to</w:t>
      </w:r>
      <w:r>
        <w:rPr>
          <w:spacing w:val="29"/>
          <w:sz w:val="24"/>
        </w:rPr>
        <w:t> </w:t>
      </w:r>
      <w:r>
        <w:rPr>
          <w:sz w:val="24"/>
        </w:rPr>
        <w:t>be matriculates and graduates must fall. This is because of the very substantial expansion of</w:t>
      </w:r>
    </w:p>
    <w:p>
      <w:pPr>
        <w:spacing w:after="0" w:line="240" w:lineRule="auto"/>
        <w:jc w:val="left"/>
        <w:rPr>
          <w:sz w:val="24"/>
        </w:rPr>
        <w:sectPr>
          <w:pgSz w:w="12240" w:h="15840"/>
          <w:pgMar w:header="0" w:footer="743" w:top="1360" w:bottom="940" w:left="1640" w:right="1300"/>
        </w:sectPr>
      </w:pPr>
    </w:p>
    <w:p>
      <w:pPr>
        <w:pStyle w:val="BodyText"/>
        <w:spacing w:before="76"/>
        <w:ind w:left="160" w:right="496"/>
        <w:jc w:val="both"/>
      </w:pPr>
      <w:r>
        <w:rPr/>
        <mc:AlternateContent>
          <mc:Choice Requires="wps">
            <w:drawing>
              <wp:anchor distT="0" distB="0" distL="0" distR="0" allowOverlap="1" layoutInCell="1" locked="0" behindDoc="0" simplePos="0" relativeHeight="15754240">
                <wp:simplePos x="0" y="0"/>
                <wp:positionH relativeFrom="page">
                  <wp:posOffset>6626352</wp:posOffset>
                </wp:positionH>
                <wp:positionV relativeFrom="page">
                  <wp:posOffset>6480822</wp:posOffset>
                </wp:positionV>
                <wp:extent cx="3175" cy="1651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510.300995pt;width:.25pt;height:1.3pt;mso-position-horizontal-relative:page;mso-position-vertical-relative:page;z-index:15754240" id="docshape265" coordorigin="10435,10206" coordsize="5,26" path="m10440,10206l10435,10206,10435,10211,10435,10231,10440,10231,10440,10211,10440,10206xe" filled="true" fillcolor="#f1efe2" stroked="false">
                <v:path arrowok="t"/>
                <v:fill type="solid"/>
                <w10:wrap type="none"/>
              </v:shape>
            </w:pict>
          </mc:Fallback>
        </mc:AlternateContent>
      </w:r>
      <w:r>
        <w:rPr/>
        <w:t>numbers in class VII as the Constitutional Directive on free and compulsory education is implemented.</w:t>
      </w:r>
      <w:r>
        <w:rPr>
          <w:spacing w:val="-2"/>
        </w:rPr>
        <w:t> </w:t>
      </w:r>
      <w:r>
        <w:rPr/>
        <w:t>If</w:t>
      </w:r>
      <w:r>
        <w:rPr>
          <w:spacing w:val="-3"/>
        </w:rPr>
        <w:t> </w:t>
      </w:r>
      <w:r>
        <w:rPr/>
        <w:t>the</w:t>
      </w:r>
      <w:r>
        <w:rPr>
          <w:spacing w:val="-2"/>
        </w:rPr>
        <w:t> </w:t>
      </w:r>
      <w:r>
        <w:rPr/>
        <w:t>transition</w:t>
      </w:r>
      <w:r>
        <w:rPr>
          <w:spacing w:val="-2"/>
        </w:rPr>
        <w:t> </w:t>
      </w:r>
      <w:r>
        <w:rPr/>
        <w:t>proportions</w:t>
      </w:r>
      <w:r>
        <w:rPr>
          <w:spacing w:val="-2"/>
        </w:rPr>
        <w:t> </w:t>
      </w:r>
      <w:r>
        <w:rPr/>
        <w:t>(that</w:t>
      </w:r>
      <w:r>
        <w:rPr>
          <w:spacing w:val="-2"/>
        </w:rPr>
        <w:t> </w:t>
      </w:r>
      <w:r>
        <w:rPr/>
        <w:t>is,</w:t>
      </w:r>
      <w:r>
        <w:rPr>
          <w:spacing w:val="-2"/>
        </w:rPr>
        <w:t> </w:t>
      </w:r>
      <w:r>
        <w:rPr/>
        <w:t>those</w:t>
      </w:r>
      <w:r>
        <w:rPr>
          <w:spacing w:val="-2"/>
        </w:rPr>
        <w:t> </w:t>
      </w:r>
      <w:r>
        <w:rPr/>
        <w:t>matriculating</w:t>
      </w:r>
      <w:r>
        <w:rPr>
          <w:spacing w:val="-2"/>
        </w:rPr>
        <w:t> </w:t>
      </w:r>
      <w:r>
        <w:rPr/>
        <w:t>and</w:t>
      </w:r>
      <w:r>
        <w:rPr>
          <w:spacing w:val="-2"/>
        </w:rPr>
        <w:t> </w:t>
      </w:r>
      <w:r>
        <w:rPr/>
        <w:t>graduating</w:t>
      </w:r>
      <w:r>
        <w:rPr>
          <w:spacing w:val="-2"/>
        </w:rPr>
        <w:t> </w:t>
      </w:r>
      <w:r>
        <w:rPr/>
        <w:t>as</w:t>
      </w:r>
      <w:r>
        <w:rPr>
          <w:spacing w:val="-2"/>
        </w:rPr>
        <w:t> </w:t>
      </w:r>
      <w:r>
        <w:rPr/>
        <w:t>a percentage of those in class VII) remain fixed even when all children complete class VII, the stocks of educated manpower would be well in excess of manpower needs. This would become especially serious from mid-1970s onwards: by 1986 there would be 4 million 'too many' matriculates and 1.5 million too many graduates.</w:t>
      </w:r>
    </w:p>
    <w:p>
      <w:pPr>
        <w:pStyle w:val="BodyText"/>
        <w:spacing w:before="4"/>
      </w:pPr>
    </w:p>
    <w:p>
      <w:pPr>
        <w:pStyle w:val="ListParagraph"/>
        <w:numPr>
          <w:ilvl w:val="1"/>
          <w:numId w:val="98"/>
        </w:numPr>
        <w:tabs>
          <w:tab w:pos="673" w:val="left" w:leader="none"/>
        </w:tabs>
        <w:spacing w:line="240" w:lineRule="auto" w:before="0" w:after="0"/>
        <w:ind w:left="160" w:right="494" w:firstLine="0"/>
        <w:jc w:val="both"/>
        <w:rPr>
          <w:sz w:val="24"/>
        </w:rPr>
      </w:pPr>
      <w:r>
        <w:rPr>
          <w:sz w:val="24"/>
        </w:rPr>
        <w:t>In addition to these estimates for workers with broad educational levels, separate estimates have been made for engineers and agricultural graduates. These will be discussed elsewhere.</w:t>
      </w:r>
      <w:r>
        <w:rPr>
          <w:b/>
          <w:sz w:val="24"/>
          <w:vertAlign w:val="superscript"/>
        </w:rPr>
        <w:t>41</w:t>
      </w:r>
      <w:r>
        <w:rPr>
          <w:b/>
          <w:sz w:val="24"/>
          <w:vertAlign w:val="baseline"/>
        </w:rPr>
        <w:t> </w:t>
      </w:r>
      <w:r>
        <w:rPr>
          <w:sz w:val="24"/>
          <w:vertAlign w:val="baseline"/>
        </w:rPr>
        <w:t>When graduates in engineering and agriculture are taken with those in medicine and teaching and related to the total stock of graduates, they form an increasing proportion-33 per cent in 1961, 43 per cent in 1976 and 46 per cent in 1986. Comparable changes are required at lower levels.</w:t>
      </w:r>
    </w:p>
    <w:p>
      <w:pPr>
        <w:pStyle w:val="BodyText"/>
        <w:spacing w:before="5"/>
      </w:pPr>
    </w:p>
    <w:p>
      <w:pPr>
        <w:pStyle w:val="BodyText"/>
        <w:ind w:left="160"/>
        <w:jc w:val="both"/>
      </w:pPr>
      <w:r>
        <w:rPr>
          <w:b/>
          <w:vertAlign w:val="superscript"/>
        </w:rPr>
        <w:t>41</w:t>
      </w:r>
      <w:r>
        <w:rPr>
          <w:vertAlign w:val="baseline"/>
        </w:rPr>
        <w:t>Chapters</w:t>
      </w:r>
      <w:r>
        <w:rPr>
          <w:spacing w:val="-5"/>
          <w:vertAlign w:val="baseline"/>
        </w:rPr>
        <w:t> </w:t>
      </w:r>
      <w:r>
        <w:rPr>
          <w:vertAlign w:val="baseline"/>
        </w:rPr>
        <w:t>XII,</w:t>
      </w:r>
      <w:r>
        <w:rPr>
          <w:spacing w:val="-5"/>
          <w:vertAlign w:val="baseline"/>
        </w:rPr>
        <w:t> </w:t>
      </w:r>
      <w:r>
        <w:rPr>
          <w:vertAlign w:val="baseline"/>
        </w:rPr>
        <w:t>XIV</w:t>
      </w:r>
      <w:r>
        <w:rPr>
          <w:spacing w:val="-5"/>
          <w:vertAlign w:val="baseline"/>
        </w:rPr>
        <w:t> </w:t>
      </w:r>
      <w:r>
        <w:rPr>
          <w:vertAlign w:val="baseline"/>
        </w:rPr>
        <w:t>and</w:t>
      </w:r>
      <w:r>
        <w:rPr>
          <w:spacing w:val="-5"/>
          <w:vertAlign w:val="baseline"/>
        </w:rPr>
        <w:t> XV.</w:t>
      </w:r>
    </w:p>
    <w:p>
      <w:pPr>
        <w:pStyle w:val="BodyText"/>
        <w:spacing w:before="4"/>
      </w:pPr>
    </w:p>
    <w:p>
      <w:pPr>
        <w:pStyle w:val="ListParagraph"/>
        <w:numPr>
          <w:ilvl w:val="1"/>
          <w:numId w:val="98"/>
        </w:numPr>
        <w:tabs>
          <w:tab w:pos="643" w:val="left" w:leader="none"/>
        </w:tabs>
        <w:spacing w:line="240" w:lineRule="auto" w:before="0" w:after="0"/>
        <w:ind w:left="160" w:right="496" w:firstLine="0"/>
        <w:jc w:val="both"/>
        <w:rPr>
          <w:b/>
          <w:sz w:val="24"/>
        </w:rPr>
      </w:pPr>
      <w:r>
        <w:rPr>
          <w:b/>
          <w:sz w:val="24"/>
        </w:rPr>
        <w:t>Enrolments. </w:t>
      </w:r>
      <w:r>
        <w:rPr>
          <w:sz w:val="24"/>
        </w:rPr>
        <w:t>The final stage in the calculation is to say what enrolments are implied by the out-turns required. This has been done on the basis of these observed relationships between enrolments and out-turns in 1960-61, allowance being made for our recommendations on the pattern of education, length of courses, wastages, etc. The net result is given in Table 5.4.</w:t>
      </w:r>
    </w:p>
    <w:p>
      <w:pPr>
        <w:pStyle w:val="BodyText"/>
      </w:pPr>
    </w:p>
    <w:p>
      <w:pPr>
        <w:pStyle w:val="BodyText"/>
        <w:spacing w:before="3"/>
      </w:pPr>
    </w:p>
    <w:p>
      <w:pPr>
        <w:pStyle w:val="BodyText"/>
        <w:spacing w:before="1"/>
        <w:ind w:left="292" w:right="629"/>
        <w:jc w:val="center"/>
      </w:pPr>
      <w:r>
        <w:rPr/>
        <mc:AlternateContent>
          <mc:Choice Requires="wps">
            <w:drawing>
              <wp:anchor distT="0" distB="0" distL="0" distR="0" allowOverlap="1" layoutInCell="1" locked="0" behindDoc="0" simplePos="0" relativeHeight="15753728">
                <wp:simplePos x="0" y="0"/>
                <wp:positionH relativeFrom="page">
                  <wp:posOffset>6626352</wp:posOffset>
                </wp:positionH>
                <wp:positionV relativeFrom="paragraph">
                  <wp:posOffset>651864</wp:posOffset>
                </wp:positionV>
                <wp:extent cx="3175" cy="16510"/>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51.327938pt;width:.25pt;height:1.3pt;mso-position-horizontal-relative:page;mso-position-vertical-relative:paragraph;z-index:15753728" id="docshape266" coordorigin="10435,1027" coordsize="5,26" path="m10440,1027l10435,1027,10435,1031,10435,1052,10440,1052,10440,1031,10440,1027xe" filled="true" fillcolor="#f1efe2" stroked="false">
                <v:path arrowok="t"/>
                <v:fill type="solid"/>
                <w10:wrap type="none"/>
              </v:shape>
            </w:pict>
          </mc:Fallback>
        </mc:AlternateContent>
      </w:r>
      <w:r>
        <w:rPr/>
        <w:t>TABLE</w:t>
      </w:r>
      <w:r>
        <w:rPr>
          <w:spacing w:val="-4"/>
        </w:rPr>
        <w:t> </w:t>
      </w:r>
      <w:r>
        <w:rPr/>
        <w:t>5.4.</w:t>
      </w:r>
      <w:r>
        <w:rPr>
          <w:spacing w:val="-4"/>
        </w:rPr>
        <w:t> </w:t>
      </w:r>
      <w:r>
        <w:rPr/>
        <w:t>ENROLMENTS</w:t>
      </w:r>
      <w:r>
        <w:rPr>
          <w:spacing w:val="-4"/>
        </w:rPr>
        <w:t> </w:t>
      </w:r>
      <w:r>
        <w:rPr/>
        <w:t>PROPOSED</w:t>
      </w:r>
      <w:r>
        <w:rPr>
          <w:spacing w:val="-3"/>
        </w:rPr>
        <w:t> </w:t>
      </w:r>
      <w:r>
        <w:rPr/>
        <w:t>(1960-61</w:t>
      </w:r>
      <w:r>
        <w:rPr>
          <w:spacing w:val="-3"/>
        </w:rPr>
        <w:t> </w:t>
      </w:r>
      <w:r>
        <w:rPr/>
        <w:t>to</w:t>
      </w:r>
      <w:r>
        <w:rPr>
          <w:spacing w:val="-3"/>
        </w:rPr>
        <w:t> </w:t>
      </w:r>
      <w:r>
        <w:rPr/>
        <w:t>1985-</w:t>
      </w:r>
      <w:r>
        <w:rPr>
          <w:spacing w:val="-5"/>
        </w:rPr>
        <w:t>86)</w:t>
      </w:r>
    </w:p>
    <w:p>
      <w:pPr>
        <w:pStyle w:val="BodyText"/>
        <w:spacing w:before="56"/>
        <w:rPr>
          <w:sz w:val="20"/>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24"/>
        <w:gridCol w:w="534"/>
        <w:gridCol w:w="271"/>
        <w:gridCol w:w="880"/>
        <w:gridCol w:w="1011"/>
        <w:gridCol w:w="855"/>
        <w:gridCol w:w="994"/>
        <w:gridCol w:w="1368"/>
      </w:tblGrid>
      <w:tr>
        <w:trPr>
          <w:trHeight w:val="463" w:hRule="atLeast"/>
        </w:trPr>
        <w:tc>
          <w:tcPr>
            <w:tcW w:w="7269" w:type="dxa"/>
            <w:gridSpan w:val="7"/>
            <w:tcBorders>
              <w:bottom w:val="single" w:sz="12" w:space="0" w:color="808080"/>
            </w:tcBorders>
          </w:tcPr>
          <w:p>
            <w:pPr>
              <w:pStyle w:val="TableParagraph"/>
              <w:rPr>
                <w:sz w:val="22"/>
              </w:rPr>
            </w:pPr>
          </w:p>
        </w:tc>
        <w:tc>
          <w:tcPr>
            <w:tcW w:w="1368" w:type="dxa"/>
            <w:tcBorders>
              <w:bottom w:val="single" w:sz="12" w:space="0" w:color="808080"/>
            </w:tcBorders>
          </w:tcPr>
          <w:p>
            <w:pPr>
              <w:pStyle w:val="TableParagraph"/>
              <w:spacing w:line="266" w:lineRule="exact"/>
              <w:ind w:left="59"/>
              <w:rPr>
                <w:sz w:val="24"/>
              </w:rPr>
            </w:pPr>
            <w:r>
              <w:rPr>
                <w:spacing w:val="-2"/>
                <w:sz w:val="24"/>
              </w:rPr>
              <w:t>(Thousands)</w:t>
            </w:r>
          </w:p>
        </w:tc>
      </w:tr>
      <w:tr>
        <w:trPr>
          <w:trHeight w:val="467" w:hRule="atLeast"/>
        </w:trPr>
        <w:tc>
          <w:tcPr>
            <w:tcW w:w="2724" w:type="dxa"/>
            <w:tcBorders>
              <w:top w:val="single" w:sz="12" w:space="0" w:color="808080"/>
            </w:tcBorders>
          </w:tcPr>
          <w:p>
            <w:pPr>
              <w:pStyle w:val="TableParagraph"/>
              <w:rPr>
                <w:sz w:val="22"/>
              </w:rPr>
            </w:pPr>
          </w:p>
        </w:tc>
        <w:tc>
          <w:tcPr>
            <w:tcW w:w="805" w:type="dxa"/>
            <w:gridSpan w:val="2"/>
            <w:tcBorders>
              <w:top w:val="single" w:sz="12" w:space="0" w:color="808080"/>
            </w:tcBorders>
          </w:tcPr>
          <w:p>
            <w:pPr>
              <w:pStyle w:val="TableParagraph"/>
              <w:spacing w:before="48"/>
              <w:ind w:left="35" w:right="-44"/>
              <w:rPr>
                <w:sz w:val="24"/>
              </w:rPr>
            </w:pPr>
            <w:r>
              <w:rPr>
                <w:sz w:val="24"/>
              </w:rPr>
              <w:t>1960-</w:t>
            </w:r>
            <w:r>
              <w:rPr>
                <w:spacing w:val="-5"/>
                <w:sz w:val="24"/>
              </w:rPr>
              <w:t>61</w:t>
            </w:r>
          </w:p>
        </w:tc>
        <w:tc>
          <w:tcPr>
            <w:tcW w:w="880" w:type="dxa"/>
            <w:tcBorders>
              <w:top w:val="single" w:sz="12" w:space="0" w:color="808080"/>
            </w:tcBorders>
          </w:tcPr>
          <w:p>
            <w:pPr>
              <w:pStyle w:val="TableParagraph"/>
              <w:rPr>
                <w:sz w:val="22"/>
              </w:rPr>
            </w:pPr>
          </w:p>
        </w:tc>
        <w:tc>
          <w:tcPr>
            <w:tcW w:w="1011" w:type="dxa"/>
            <w:tcBorders>
              <w:top w:val="single" w:sz="12" w:space="0" w:color="808080"/>
            </w:tcBorders>
          </w:tcPr>
          <w:p>
            <w:pPr>
              <w:pStyle w:val="TableParagraph"/>
              <w:spacing w:before="48"/>
              <w:ind w:left="171"/>
              <w:rPr>
                <w:sz w:val="24"/>
              </w:rPr>
            </w:pPr>
            <w:r>
              <w:rPr>
                <w:sz w:val="24"/>
              </w:rPr>
              <w:t>1975-</w:t>
            </w:r>
            <w:r>
              <w:rPr>
                <w:spacing w:val="-5"/>
                <w:sz w:val="24"/>
              </w:rPr>
              <w:t>76</w:t>
            </w:r>
          </w:p>
        </w:tc>
        <w:tc>
          <w:tcPr>
            <w:tcW w:w="855" w:type="dxa"/>
            <w:tcBorders>
              <w:top w:val="single" w:sz="12" w:space="0" w:color="808080"/>
            </w:tcBorders>
          </w:tcPr>
          <w:p>
            <w:pPr>
              <w:pStyle w:val="TableParagraph"/>
              <w:rPr>
                <w:sz w:val="22"/>
              </w:rPr>
            </w:pPr>
          </w:p>
        </w:tc>
        <w:tc>
          <w:tcPr>
            <w:tcW w:w="994" w:type="dxa"/>
            <w:tcBorders>
              <w:top w:val="single" w:sz="12" w:space="0" w:color="808080"/>
            </w:tcBorders>
          </w:tcPr>
          <w:p>
            <w:pPr>
              <w:pStyle w:val="TableParagraph"/>
              <w:spacing w:before="48"/>
              <w:ind w:left="135"/>
              <w:rPr>
                <w:sz w:val="24"/>
              </w:rPr>
            </w:pPr>
            <w:r>
              <w:rPr>
                <w:sz w:val="24"/>
              </w:rPr>
              <w:t>1985-</w:t>
            </w:r>
            <w:r>
              <w:rPr>
                <w:spacing w:val="-5"/>
                <w:sz w:val="24"/>
              </w:rPr>
              <w:t>86</w:t>
            </w:r>
          </w:p>
        </w:tc>
        <w:tc>
          <w:tcPr>
            <w:tcW w:w="1368" w:type="dxa"/>
            <w:tcBorders>
              <w:top w:val="single" w:sz="12" w:space="0" w:color="808080"/>
            </w:tcBorders>
          </w:tcPr>
          <w:p>
            <w:pPr>
              <w:pStyle w:val="TableParagraph"/>
              <w:rPr>
                <w:sz w:val="22"/>
              </w:rPr>
            </w:pPr>
          </w:p>
        </w:tc>
      </w:tr>
      <w:tr>
        <w:trPr>
          <w:trHeight w:val="414" w:hRule="atLeast"/>
        </w:trPr>
        <w:tc>
          <w:tcPr>
            <w:tcW w:w="2724" w:type="dxa"/>
          </w:tcPr>
          <w:p>
            <w:pPr>
              <w:pStyle w:val="TableParagraph"/>
              <w:rPr>
                <w:sz w:val="22"/>
              </w:rPr>
            </w:pPr>
          </w:p>
        </w:tc>
        <w:tc>
          <w:tcPr>
            <w:tcW w:w="805" w:type="dxa"/>
            <w:gridSpan w:val="2"/>
          </w:tcPr>
          <w:p>
            <w:pPr>
              <w:pStyle w:val="TableParagraph"/>
              <w:spacing w:line="261" w:lineRule="exact" w:before="133"/>
              <w:ind w:left="35"/>
              <w:rPr>
                <w:sz w:val="24"/>
              </w:rPr>
            </w:pPr>
            <w:r>
              <w:rPr>
                <w:spacing w:val="-2"/>
                <w:sz w:val="24"/>
              </w:rPr>
              <w:t>Enrol-</w:t>
            </w:r>
          </w:p>
        </w:tc>
        <w:tc>
          <w:tcPr>
            <w:tcW w:w="880" w:type="dxa"/>
          </w:tcPr>
          <w:p>
            <w:pPr>
              <w:pStyle w:val="TableParagraph"/>
              <w:spacing w:line="261" w:lineRule="exact" w:before="133"/>
              <w:ind w:left="83"/>
              <w:rPr>
                <w:sz w:val="24"/>
              </w:rPr>
            </w:pPr>
            <w:r>
              <w:rPr>
                <w:spacing w:val="-2"/>
                <w:sz w:val="24"/>
              </w:rPr>
              <w:t>Passes</w:t>
            </w:r>
          </w:p>
        </w:tc>
        <w:tc>
          <w:tcPr>
            <w:tcW w:w="1011" w:type="dxa"/>
          </w:tcPr>
          <w:p>
            <w:pPr>
              <w:pStyle w:val="TableParagraph"/>
              <w:spacing w:line="261" w:lineRule="exact" w:before="133"/>
              <w:ind w:left="170"/>
              <w:rPr>
                <w:sz w:val="24"/>
              </w:rPr>
            </w:pPr>
            <w:r>
              <w:rPr>
                <w:spacing w:val="-2"/>
                <w:sz w:val="24"/>
              </w:rPr>
              <w:t>Enrol-</w:t>
            </w:r>
          </w:p>
        </w:tc>
        <w:tc>
          <w:tcPr>
            <w:tcW w:w="855" w:type="dxa"/>
          </w:tcPr>
          <w:p>
            <w:pPr>
              <w:pStyle w:val="TableParagraph"/>
              <w:spacing w:line="261" w:lineRule="exact" w:before="133"/>
              <w:ind w:left="14"/>
              <w:rPr>
                <w:sz w:val="24"/>
              </w:rPr>
            </w:pPr>
            <w:r>
              <w:rPr>
                <w:spacing w:val="-2"/>
                <w:sz w:val="24"/>
              </w:rPr>
              <w:t>Passes</w:t>
            </w:r>
          </w:p>
        </w:tc>
        <w:tc>
          <w:tcPr>
            <w:tcW w:w="994" w:type="dxa"/>
          </w:tcPr>
          <w:p>
            <w:pPr>
              <w:pStyle w:val="TableParagraph"/>
              <w:spacing w:line="261" w:lineRule="exact" w:before="133"/>
              <w:ind w:left="137"/>
              <w:rPr>
                <w:sz w:val="24"/>
              </w:rPr>
            </w:pPr>
            <w:r>
              <w:rPr>
                <w:spacing w:val="-2"/>
                <w:sz w:val="24"/>
              </w:rPr>
              <w:t>Enrol-</w:t>
            </w:r>
          </w:p>
        </w:tc>
        <w:tc>
          <w:tcPr>
            <w:tcW w:w="1368" w:type="dxa"/>
          </w:tcPr>
          <w:p>
            <w:pPr>
              <w:pStyle w:val="TableParagraph"/>
              <w:spacing w:line="261" w:lineRule="exact" w:before="133"/>
              <w:ind w:left="176"/>
              <w:rPr>
                <w:sz w:val="24"/>
              </w:rPr>
            </w:pPr>
            <w:r>
              <w:rPr>
                <w:spacing w:val="-2"/>
                <w:sz w:val="24"/>
              </w:rPr>
              <w:t>Passes</w:t>
            </w:r>
          </w:p>
        </w:tc>
      </w:tr>
      <w:tr>
        <w:trPr>
          <w:trHeight w:val="468" w:hRule="atLeast"/>
        </w:trPr>
        <w:tc>
          <w:tcPr>
            <w:tcW w:w="2724" w:type="dxa"/>
            <w:tcBorders>
              <w:bottom w:val="single" w:sz="12" w:space="0" w:color="808080"/>
            </w:tcBorders>
          </w:tcPr>
          <w:p>
            <w:pPr>
              <w:pStyle w:val="TableParagraph"/>
              <w:rPr>
                <w:sz w:val="22"/>
              </w:rPr>
            </w:pPr>
          </w:p>
        </w:tc>
        <w:tc>
          <w:tcPr>
            <w:tcW w:w="805" w:type="dxa"/>
            <w:gridSpan w:val="2"/>
            <w:tcBorders>
              <w:bottom w:val="single" w:sz="12" w:space="0" w:color="808080"/>
            </w:tcBorders>
          </w:tcPr>
          <w:p>
            <w:pPr>
              <w:pStyle w:val="TableParagraph"/>
              <w:spacing w:line="271" w:lineRule="exact"/>
              <w:ind w:left="37"/>
              <w:rPr>
                <w:sz w:val="24"/>
              </w:rPr>
            </w:pPr>
            <w:r>
              <w:rPr>
                <w:spacing w:val="-2"/>
                <w:sz w:val="24"/>
              </w:rPr>
              <w:t>ments</w:t>
            </w:r>
          </w:p>
        </w:tc>
        <w:tc>
          <w:tcPr>
            <w:tcW w:w="880" w:type="dxa"/>
            <w:tcBorders>
              <w:bottom w:val="single" w:sz="12" w:space="0" w:color="808080"/>
            </w:tcBorders>
          </w:tcPr>
          <w:p>
            <w:pPr>
              <w:pStyle w:val="TableParagraph"/>
              <w:rPr>
                <w:sz w:val="22"/>
              </w:rPr>
            </w:pPr>
          </w:p>
        </w:tc>
        <w:tc>
          <w:tcPr>
            <w:tcW w:w="1011" w:type="dxa"/>
            <w:tcBorders>
              <w:bottom w:val="single" w:sz="12" w:space="0" w:color="808080"/>
            </w:tcBorders>
          </w:tcPr>
          <w:p>
            <w:pPr>
              <w:pStyle w:val="TableParagraph"/>
              <w:spacing w:line="271" w:lineRule="exact"/>
              <w:ind w:left="171"/>
              <w:rPr>
                <w:sz w:val="24"/>
              </w:rPr>
            </w:pPr>
            <w:r>
              <w:rPr>
                <w:spacing w:val="-2"/>
                <w:sz w:val="24"/>
              </w:rPr>
              <w:t>ments</w:t>
            </w:r>
          </w:p>
        </w:tc>
        <w:tc>
          <w:tcPr>
            <w:tcW w:w="855" w:type="dxa"/>
            <w:tcBorders>
              <w:bottom w:val="single" w:sz="12" w:space="0" w:color="808080"/>
            </w:tcBorders>
          </w:tcPr>
          <w:p>
            <w:pPr>
              <w:pStyle w:val="TableParagraph"/>
              <w:rPr>
                <w:sz w:val="22"/>
              </w:rPr>
            </w:pPr>
          </w:p>
        </w:tc>
        <w:tc>
          <w:tcPr>
            <w:tcW w:w="994" w:type="dxa"/>
            <w:tcBorders>
              <w:bottom w:val="single" w:sz="12" w:space="0" w:color="808080"/>
            </w:tcBorders>
          </w:tcPr>
          <w:p>
            <w:pPr>
              <w:pStyle w:val="TableParagraph"/>
              <w:spacing w:line="271" w:lineRule="exact"/>
              <w:ind w:left="134"/>
              <w:rPr>
                <w:sz w:val="24"/>
              </w:rPr>
            </w:pPr>
            <w:r>
              <w:rPr>
                <w:spacing w:val="-2"/>
                <w:sz w:val="24"/>
              </w:rPr>
              <w:t>ments</w:t>
            </w:r>
          </w:p>
        </w:tc>
        <w:tc>
          <w:tcPr>
            <w:tcW w:w="1368" w:type="dxa"/>
            <w:tcBorders>
              <w:bottom w:val="single" w:sz="12" w:space="0" w:color="808080"/>
            </w:tcBorders>
          </w:tcPr>
          <w:p>
            <w:pPr>
              <w:pStyle w:val="TableParagraph"/>
              <w:rPr>
                <w:sz w:val="22"/>
              </w:rPr>
            </w:pPr>
          </w:p>
        </w:tc>
      </w:tr>
      <w:tr>
        <w:trPr>
          <w:trHeight w:val="468" w:hRule="atLeast"/>
        </w:trPr>
        <w:tc>
          <w:tcPr>
            <w:tcW w:w="2724" w:type="dxa"/>
            <w:tcBorders>
              <w:top w:val="single" w:sz="12" w:space="0" w:color="808080"/>
            </w:tcBorders>
          </w:tcPr>
          <w:p>
            <w:pPr>
              <w:pStyle w:val="TableParagraph"/>
              <w:spacing w:before="50"/>
              <w:ind w:left="-1"/>
              <w:rPr>
                <w:b/>
                <w:sz w:val="24"/>
              </w:rPr>
            </w:pPr>
            <w:r>
              <w:rPr>
                <w:b/>
                <w:sz w:val="24"/>
              </w:rPr>
              <w:t>Matriculation </w:t>
            </w:r>
            <w:r>
              <w:rPr>
                <w:b/>
                <w:spacing w:val="-2"/>
                <w:sz w:val="24"/>
              </w:rPr>
              <w:t>level</w:t>
            </w:r>
          </w:p>
        </w:tc>
        <w:tc>
          <w:tcPr>
            <w:tcW w:w="805" w:type="dxa"/>
            <w:gridSpan w:val="2"/>
            <w:tcBorders>
              <w:top w:val="single" w:sz="12" w:space="0" w:color="808080"/>
            </w:tcBorders>
          </w:tcPr>
          <w:p>
            <w:pPr>
              <w:pStyle w:val="TableParagraph"/>
              <w:rPr>
                <w:sz w:val="22"/>
              </w:rPr>
            </w:pPr>
          </w:p>
        </w:tc>
        <w:tc>
          <w:tcPr>
            <w:tcW w:w="880" w:type="dxa"/>
            <w:tcBorders>
              <w:top w:val="single" w:sz="12" w:space="0" w:color="808080"/>
            </w:tcBorders>
          </w:tcPr>
          <w:p>
            <w:pPr>
              <w:pStyle w:val="TableParagraph"/>
              <w:rPr>
                <w:sz w:val="22"/>
              </w:rPr>
            </w:pPr>
          </w:p>
        </w:tc>
        <w:tc>
          <w:tcPr>
            <w:tcW w:w="1011" w:type="dxa"/>
            <w:tcBorders>
              <w:top w:val="single" w:sz="12" w:space="0" w:color="808080"/>
            </w:tcBorders>
          </w:tcPr>
          <w:p>
            <w:pPr>
              <w:pStyle w:val="TableParagraph"/>
              <w:rPr>
                <w:sz w:val="22"/>
              </w:rPr>
            </w:pPr>
          </w:p>
        </w:tc>
        <w:tc>
          <w:tcPr>
            <w:tcW w:w="855" w:type="dxa"/>
            <w:tcBorders>
              <w:top w:val="single" w:sz="12" w:space="0" w:color="808080"/>
            </w:tcBorders>
          </w:tcPr>
          <w:p>
            <w:pPr>
              <w:pStyle w:val="TableParagraph"/>
              <w:rPr>
                <w:sz w:val="22"/>
              </w:rPr>
            </w:pPr>
          </w:p>
        </w:tc>
        <w:tc>
          <w:tcPr>
            <w:tcW w:w="994" w:type="dxa"/>
            <w:tcBorders>
              <w:top w:val="single" w:sz="12" w:space="0" w:color="808080"/>
            </w:tcBorders>
          </w:tcPr>
          <w:p>
            <w:pPr>
              <w:pStyle w:val="TableParagraph"/>
              <w:rPr>
                <w:sz w:val="22"/>
              </w:rPr>
            </w:pPr>
          </w:p>
        </w:tc>
        <w:tc>
          <w:tcPr>
            <w:tcW w:w="1368" w:type="dxa"/>
            <w:tcBorders>
              <w:top w:val="single" w:sz="12" w:space="0" w:color="808080"/>
            </w:tcBorders>
          </w:tcPr>
          <w:p>
            <w:pPr>
              <w:pStyle w:val="TableParagraph"/>
              <w:rPr>
                <w:sz w:val="22"/>
              </w:rPr>
            </w:pPr>
          </w:p>
        </w:tc>
      </w:tr>
      <w:tr>
        <w:trPr>
          <w:trHeight w:val="412" w:hRule="atLeast"/>
        </w:trPr>
        <w:tc>
          <w:tcPr>
            <w:tcW w:w="2724" w:type="dxa"/>
          </w:tcPr>
          <w:p>
            <w:pPr>
              <w:pStyle w:val="TableParagraph"/>
              <w:spacing w:line="261" w:lineRule="exact" w:before="131"/>
              <w:ind w:left="-1"/>
              <w:rPr>
                <w:sz w:val="24"/>
              </w:rPr>
            </w:pPr>
            <w:r>
              <w:rPr>
                <w:sz w:val="24"/>
              </w:rPr>
              <w:t>General</w:t>
            </w:r>
            <w:r>
              <w:rPr>
                <w:spacing w:val="-1"/>
                <w:sz w:val="24"/>
              </w:rPr>
              <w:t> </w:t>
            </w:r>
            <w:r>
              <w:rPr>
                <w:sz w:val="24"/>
              </w:rPr>
              <w:t>:</w:t>
            </w:r>
            <w:r>
              <w:rPr>
                <w:spacing w:val="-1"/>
                <w:sz w:val="24"/>
              </w:rPr>
              <w:t> </w:t>
            </w:r>
            <w:r>
              <w:rPr>
                <w:spacing w:val="-2"/>
                <w:sz w:val="24"/>
              </w:rPr>
              <w:t>Classes</w:t>
            </w:r>
          </w:p>
        </w:tc>
        <w:tc>
          <w:tcPr>
            <w:tcW w:w="805" w:type="dxa"/>
            <w:gridSpan w:val="2"/>
          </w:tcPr>
          <w:p>
            <w:pPr>
              <w:pStyle w:val="TableParagraph"/>
              <w:rPr>
                <w:sz w:val="22"/>
              </w:rPr>
            </w:pPr>
          </w:p>
        </w:tc>
        <w:tc>
          <w:tcPr>
            <w:tcW w:w="880" w:type="dxa"/>
          </w:tcPr>
          <w:p>
            <w:pPr>
              <w:pStyle w:val="TableParagraph"/>
              <w:rPr>
                <w:sz w:val="22"/>
              </w:rPr>
            </w:pPr>
          </w:p>
        </w:tc>
        <w:tc>
          <w:tcPr>
            <w:tcW w:w="1011" w:type="dxa"/>
          </w:tcPr>
          <w:p>
            <w:pPr>
              <w:pStyle w:val="TableParagraph"/>
              <w:rPr>
                <w:sz w:val="22"/>
              </w:rPr>
            </w:pPr>
          </w:p>
        </w:tc>
        <w:tc>
          <w:tcPr>
            <w:tcW w:w="855" w:type="dxa"/>
          </w:tcPr>
          <w:p>
            <w:pPr>
              <w:pStyle w:val="TableParagraph"/>
              <w:rPr>
                <w:sz w:val="22"/>
              </w:rPr>
            </w:pPr>
          </w:p>
        </w:tc>
        <w:tc>
          <w:tcPr>
            <w:tcW w:w="994" w:type="dxa"/>
          </w:tcPr>
          <w:p>
            <w:pPr>
              <w:pStyle w:val="TableParagraph"/>
              <w:rPr>
                <w:sz w:val="22"/>
              </w:rPr>
            </w:pPr>
          </w:p>
        </w:tc>
        <w:tc>
          <w:tcPr>
            <w:tcW w:w="1368" w:type="dxa"/>
          </w:tcPr>
          <w:p>
            <w:pPr>
              <w:pStyle w:val="TableParagraph"/>
              <w:rPr>
                <w:sz w:val="22"/>
              </w:rPr>
            </w:pPr>
          </w:p>
        </w:tc>
      </w:tr>
      <w:tr>
        <w:trPr>
          <w:trHeight w:val="256" w:hRule="atLeast"/>
        </w:trPr>
        <w:tc>
          <w:tcPr>
            <w:tcW w:w="2724" w:type="dxa"/>
          </w:tcPr>
          <w:p>
            <w:pPr>
              <w:pStyle w:val="TableParagraph"/>
              <w:spacing w:line="237" w:lineRule="exact"/>
              <w:ind w:left="-1"/>
              <w:rPr>
                <w:sz w:val="24"/>
              </w:rPr>
            </w:pPr>
            <w:r>
              <w:rPr>
                <w:sz w:val="24"/>
              </w:rPr>
              <w:t>VIII/IX,IX/X,</w:t>
            </w:r>
            <w:r>
              <w:rPr>
                <w:spacing w:val="-13"/>
                <w:sz w:val="24"/>
              </w:rPr>
              <w:t> </w:t>
            </w:r>
            <w:r>
              <w:rPr>
                <w:spacing w:val="-4"/>
                <w:sz w:val="24"/>
              </w:rPr>
              <w:t>X/XI</w:t>
            </w:r>
          </w:p>
        </w:tc>
        <w:tc>
          <w:tcPr>
            <w:tcW w:w="805" w:type="dxa"/>
            <w:gridSpan w:val="2"/>
          </w:tcPr>
          <w:p>
            <w:pPr>
              <w:pStyle w:val="TableParagraph"/>
              <w:spacing w:line="237" w:lineRule="exact"/>
              <w:ind w:left="24"/>
              <w:rPr>
                <w:sz w:val="24"/>
              </w:rPr>
            </w:pPr>
            <w:r>
              <w:rPr>
                <w:spacing w:val="-2"/>
                <w:sz w:val="24"/>
              </w:rPr>
              <w:t>3,582</w:t>
            </w:r>
          </w:p>
        </w:tc>
        <w:tc>
          <w:tcPr>
            <w:tcW w:w="880" w:type="dxa"/>
          </w:tcPr>
          <w:p>
            <w:pPr>
              <w:pStyle w:val="TableParagraph"/>
              <w:spacing w:line="237" w:lineRule="exact"/>
              <w:ind w:left="119"/>
              <w:rPr>
                <w:sz w:val="24"/>
              </w:rPr>
            </w:pPr>
            <w:r>
              <w:rPr>
                <w:spacing w:val="-5"/>
                <w:sz w:val="24"/>
              </w:rPr>
              <w:t>585</w:t>
            </w:r>
          </w:p>
        </w:tc>
        <w:tc>
          <w:tcPr>
            <w:tcW w:w="1011" w:type="dxa"/>
          </w:tcPr>
          <w:p>
            <w:pPr>
              <w:pStyle w:val="TableParagraph"/>
              <w:spacing w:line="237" w:lineRule="exact"/>
              <w:ind w:left="171"/>
              <w:rPr>
                <w:sz w:val="24"/>
              </w:rPr>
            </w:pPr>
            <w:r>
              <w:rPr>
                <w:spacing w:val="-2"/>
                <w:sz w:val="24"/>
              </w:rPr>
              <w:t>12,324</w:t>
            </w:r>
          </w:p>
        </w:tc>
        <w:tc>
          <w:tcPr>
            <w:tcW w:w="855" w:type="dxa"/>
          </w:tcPr>
          <w:p>
            <w:pPr>
              <w:pStyle w:val="TableParagraph"/>
              <w:spacing w:line="237" w:lineRule="exact"/>
              <w:ind w:right="132"/>
              <w:jc w:val="right"/>
              <w:rPr>
                <w:sz w:val="24"/>
              </w:rPr>
            </w:pPr>
            <w:r>
              <w:rPr>
                <w:spacing w:val="-2"/>
                <w:sz w:val="24"/>
              </w:rPr>
              <w:t>2,324</w:t>
            </w:r>
          </w:p>
        </w:tc>
        <w:tc>
          <w:tcPr>
            <w:tcW w:w="994" w:type="dxa"/>
          </w:tcPr>
          <w:p>
            <w:pPr>
              <w:pStyle w:val="TableParagraph"/>
              <w:spacing w:line="237" w:lineRule="exact"/>
              <w:ind w:left="136"/>
              <w:rPr>
                <w:sz w:val="24"/>
              </w:rPr>
            </w:pPr>
            <w:r>
              <w:rPr>
                <w:spacing w:val="-2"/>
                <w:sz w:val="24"/>
              </w:rPr>
              <w:t>23,630</w:t>
            </w:r>
          </w:p>
        </w:tc>
        <w:tc>
          <w:tcPr>
            <w:tcW w:w="1368" w:type="dxa"/>
          </w:tcPr>
          <w:p>
            <w:pPr>
              <w:pStyle w:val="TableParagraph"/>
              <w:spacing w:line="237" w:lineRule="exact"/>
              <w:ind w:left="282"/>
              <w:rPr>
                <w:sz w:val="24"/>
              </w:rPr>
            </w:pPr>
            <w:r>
              <w:rPr>
                <w:spacing w:val="-2"/>
                <w:sz w:val="24"/>
              </w:rPr>
              <w:t>4,779</w:t>
            </w:r>
          </w:p>
        </w:tc>
      </w:tr>
      <w:tr>
        <w:trPr>
          <w:trHeight w:val="295" w:hRule="atLeast"/>
        </w:trPr>
        <w:tc>
          <w:tcPr>
            <w:tcW w:w="2724" w:type="dxa"/>
          </w:tcPr>
          <w:p>
            <w:pPr>
              <w:pStyle w:val="TableParagraph"/>
              <w:spacing w:line="261" w:lineRule="exact" w:before="14"/>
              <w:ind w:left="-1"/>
              <w:rPr>
                <w:b/>
                <w:sz w:val="24"/>
              </w:rPr>
            </w:pPr>
            <w:r>
              <w:rPr>
                <w:sz w:val="24"/>
              </w:rPr>
              <w:t>Vocational </w:t>
            </w:r>
            <w:r>
              <w:rPr>
                <w:spacing w:val="-2"/>
                <w:sz w:val="24"/>
              </w:rPr>
              <w:t>(school)</w:t>
            </w:r>
            <w:r>
              <w:rPr>
                <w:b/>
                <w:spacing w:val="-2"/>
                <w:sz w:val="24"/>
                <w:vertAlign w:val="superscript"/>
              </w:rPr>
              <w:t>1,2</w:t>
            </w:r>
          </w:p>
        </w:tc>
        <w:tc>
          <w:tcPr>
            <w:tcW w:w="805" w:type="dxa"/>
            <w:gridSpan w:val="2"/>
          </w:tcPr>
          <w:p>
            <w:pPr>
              <w:pStyle w:val="TableParagraph"/>
              <w:spacing w:line="261" w:lineRule="exact" w:before="14"/>
              <w:ind w:left="25"/>
              <w:rPr>
                <w:sz w:val="24"/>
              </w:rPr>
            </w:pPr>
            <w:r>
              <w:rPr>
                <w:spacing w:val="-5"/>
                <w:sz w:val="24"/>
              </w:rPr>
              <w:t>119</w:t>
            </w:r>
          </w:p>
        </w:tc>
        <w:tc>
          <w:tcPr>
            <w:tcW w:w="880" w:type="dxa"/>
          </w:tcPr>
          <w:p>
            <w:pPr>
              <w:pStyle w:val="TableParagraph"/>
              <w:spacing w:line="261" w:lineRule="exact" w:before="14"/>
              <w:ind w:left="-1"/>
              <w:rPr>
                <w:sz w:val="24"/>
              </w:rPr>
            </w:pPr>
            <w:r>
              <w:rPr>
                <w:spacing w:val="-5"/>
                <w:sz w:val="24"/>
              </w:rPr>
              <w:t>48</w:t>
            </w:r>
          </w:p>
        </w:tc>
        <w:tc>
          <w:tcPr>
            <w:tcW w:w="1011" w:type="dxa"/>
          </w:tcPr>
          <w:p>
            <w:pPr>
              <w:pStyle w:val="TableParagraph"/>
              <w:spacing w:line="261" w:lineRule="exact" w:before="14"/>
              <w:ind w:left="172"/>
              <w:rPr>
                <w:sz w:val="24"/>
              </w:rPr>
            </w:pPr>
            <w:r>
              <w:rPr>
                <w:spacing w:val="-5"/>
                <w:sz w:val="24"/>
              </w:rPr>
              <w:t>361</w:t>
            </w:r>
          </w:p>
        </w:tc>
        <w:tc>
          <w:tcPr>
            <w:tcW w:w="855" w:type="dxa"/>
          </w:tcPr>
          <w:p>
            <w:pPr>
              <w:pStyle w:val="TableParagraph"/>
              <w:spacing w:line="261" w:lineRule="exact" w:before="14"/>
              <w:rPr>
                <w:sz w:val="24"/>
              </w:rPr>
            </w:pPr>
            <w:r>
              <w:rPr>
                <w:spacing w:val="-5"/>
                <w:sz w:val="24"/>
              </w:rPr>
              <w:t>135</w:t>
            </w:r>
          </w:p>
        </w:tc>
        <w:tc>
          <w:tcPr>
            <w:tcW w:w="994" w:type="dxa"/>
          </w:tcPr>
          <w:p>
            <w:pPr>
              <w:pStyle w:val="TableParagraph"/>
              <w:spacing w:line="261" w:lineRule="exact" w:before="14"/>
              <w:ind w:left="136"/>
              <w:rPr>
                <w:sz w:val="24"/>
              </w:rPr>
            </w:pPr>
            <w:r>
              <w:rPr>
                <w:spacing w:val="-5"/>
                <w:sz w:val="24"/>
              </w:rPr>
              <w:t>738</w:t>
            </w:r>
          </w:p>
        </w:tc>
        <w:tc>
          <w:tcPr>
            <w:tcW w:w="1368" w:type="dxa"/>
          </w:tcPr>
          <w:p>
            <w:pPr>
              <w:pStyle w:val="TableParagraph"/>
              <w:spacing w:line="261" w:lineRule="exact" w:before="14"/>
              <w:ind w:left="102"/>
              <w:rPr>
                <w:sz w:val="24"/>
              </w:rPr>
            </w:pPr>
            <w:r>
              <w:rPr>
                <w:spacing w:val="-5"/>
                <w:sz w:val="24"/>
              </w:rPr>
              <w:t>278</w:t>
            </w:r>
          </w:p>
        </w:tc>
      </w:tr>
      <w:tr>
        <w:trPr>
          <w:trHeight w:val="483" w:hRule="atLeast"/>
        </w:trPr>
        <w:tc>
          <w:tcPr>
            <w:tcW w:w="2724" w:type="dxa"/>
          </w:tcPr>
          <w:p>
            <w:pPr>
              <w:pStyle w:val="TableParagraph"/>
              <w:spacing w:line="271" w:lineRule="exact"/>
              <w:rPr>
                <w:sz w:val="24"/>
              </w:rPr>
            </w:pPr>
            <w:r>
              <w:rPr>
                <w:sz w:val="24"/>
              </w:rPr>
              <w:t>TOTAL </w:t>
            </w:r>
            <w:r>
              <w:rPr>
                <w:spacing w:val="-2"/>
                <w:sz w:val="24"/>
              </w:rPr>
              <w:t>MATRICULATES</w:t>
            </w:r>
          </w:p>
        </w:tc>
        <w:tc>
          <w:tcPr>
            <w:tcW w:w="805" w:type="dxa"/>
            <w:gridSpan w:val="2"/>
          </w:tcPr>
          <w:p>
            <w:pPr>
              <w:pStyle w:val="TableParagraph"/>
              <w:spacing w:line="271" w:lineRule="exact"/>
              <w:ind w:left="36"/>
              <w:rPr>
                <w:sz w:val="24"/>
              </w:rPr>
            </w:pPr>
            <w:r>
              <w:rPr>
                <w:spacing w:val="-2"/>
                <w:sz w:val="24"/>
              </w:rPr>
              <w:t>3,701</w:t>
            </w:r>
          </w:p>
        </w:tc>
        <w:tc>
          <w:tcPr>
            <w:tcW w:w="880" w:type="dxa"/>
          </w:tcPr>
          <w:p>
            <w:pPr>
              <w:pStyle w:val="TableParagraph"/>
              <w:spacing w:line="271" w:lineRule="exact"/>
              <w:ind w:left="131"/>
              <w:rPr>
                <w:sz w:val="24"/>
              </w:rPr>
            </w:pPr>
            <w:r>
              <w:rPr>
                <w:spacing w:val="-5"/>
                <w:sz w:val="24"/>
              </w:rPr>
              <w:t>633</w:t>
            </w:r>
          </w:p>
        </w:tc>
        <w:tc>
          <w:tcPr>
            <w:tcW w:w="1011" w:type="dxa"/>
          </w:tcPr>
          <w:p>
            <w:pPr>
              <w:pStyle w:val="TableParagraph"/>
              <w:spacing w:line="271" w:lineRule="exact"/>
              <w:ind w:left="172"/>
              <w:rPr>
                <w:sz w:val="24"/>
              </w:rPr>
            </w:pPr>
            <w:r>
              <w:rPr>
                <w:spacing w:val="-2"/>
                <w:sz w:val="24"/>
              </w:rPr>
              <w:t>12,685</w:t>
            </w:r>
          </w:p>
        </w:tc>
        <w:tc>
          <w:tcPr>
            <w:tcW w:w="855" w:type="dxa"/>
          </w:tcPr>
          <w:p>
            <w:pPr>
              <w:pStyle w:val="TableParagraph"/>
              <w:spacing w:line="271" w:lineRule="exact"/>
              <w:ind w:right="131"/>
              <w:jc w:val="right"/>
              <w:rPr>
                <w:sz w:val="24"/>
              </w:rPr>
            </w:pPr>
            <w:r>
              <w:rPr>
                <w:spacing w:val="-2"/>
                <w:sz w:val="24"/>
              </w:rPr>
              <w:t>2,459</w:t>
            </w:r>
          </w:p>
        </w:tc>
        <w:tc>
          <w:tcPr>
            <w:tcW w:w="994" w:type="dxa"/>
          </w:tcPr>
          <w:p>
            <w:pPr>
              <w:pStyle w:val="TableParagraph"/>
              <w:spacing w:line="271" w:lineRule="exact"/>
              <w:ind w:left="137"/>
              <w:rPr>
                <w:sz w:val="24"/>
              </w:rPr>
            </w:pPr>
            <w:r>
              <w:rPr>
                <w:spacing w:val="-2"/>
                <w:sz w:val="24"/>
              </w:rPr>
              <w:t>24,368</w:t>
            </w:r>
          </w:p>
        </w:tc>
        <w:tc>
          <w:tcPr>
            <w:tcW w:w="1368" w:type="dxa"/>
          </w:tcPr>
          <w:p>
            <w:pPr>
              <w:pStyle w:val="TableParagraph"/>
              <w:spacing w:line="271" w:lineRule="exact"/>
              <w:ind w:left="283"/>
              <w:rPr>
                <w:sz w:val="24"/>
              </w:rPr>
            </w:pPr>
            <w:r>
              <w:rPr>
                <w:spacing w:val="-2"/>
                <w:sz w:val="24"/>
              </w:rPr>
              <w:t>5,057</w:t>
            </w:r>
          </w:p>
        </w:tc>
      </w:tr>
      <w:tr>
        <w:trPr>
          <w:trHeight w:val="483" w:hRule="atLeast"/>
        </w:trPr>
        <w:tc>
          <w:tcPr>
            <w:tcW w:w="2724" w:type="dxa"/>
          </w:tcPr>
          <w:p>
            <w:pPr>
              <w:pStyle w:val="TableParagraph"/>
              <w:spacing w:before="65"/>
              <w:ind w:left="-1"/>
              <w:rPr>
                <w:b/>
                <w:sz w:val="24"/>
              </w:rPr>
            </w:pPr>
            <w:r>
              <w:rPr/>
              <mc:AlternateContent>
                <mc:Choice Requires="wps">
                  <w:drawing>
                    <wp:anchor distT="0" distB="0" distL="0" distR="0" allowOverlap="1" layoutInCell="1" locked="0" behindDoc="1" simplePos="0" relativeHeight="480873472">
                      <wp:simplePos x="0" y="0"/>
                      <wp:positionH relativeFrom="column">
                        <wp:posOffset>0</wp:posOffset>
                      </wp:positionH>
                      <wp:positionV relativeFrom="paragraph">
                        <wp:posOffset>-9993</wp:posOffset>
                      </wp:positionV>
                      <wp:extent cx="5486400" cy="1905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5486400" cy="19050"/>
                                <a:chExt cx="5486400" cy="19050"/>
                              </a:xfrm>
                            </wpg:grpSpPr>
                            <wps:wsp>
                              <wps:cNvPr id="276" name="Graphic 27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77" name="Graphic 277"/>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78" name="Graphic 278"/>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79" name="Graphic 279"/>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280" name="Graphic 280"/>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281" name="Graphic 281"/>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282" name="Graphic 282"/>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0pt;margin-top:-.786884pt;width:432pt;height:1.5pt;mso-position-horizontal-relative:column;mso-position-vertical-relative:paragraph;z-index:-22443008" id="docshapegroup267" coordorigin="0,-16" coordsize="8640,30">
                      <v:rect style="position:absolute;left:0;top:-16;width:8640;height:30" id="docshape268" filled="true" fillcolor="#808080" stroked="false">
                        <v:fill type="solid"/>
                      </v:rect>
                      <v:shape style="position:absolute;left:0;top:-16;width:8636;height:5" id="docshape269" coordorigin="0,-16" coordsize="8636,5" path="m8635,-16l5,-16,0,-16,0,-11,5,-11,8635,-11,8635,-16xe" filled="true" fillcolor="#aca89a" stroked="false">
                        <v:path arrowok="t"/>
                        <v:fill type="solid"/>
                      </v:shape>
                      <v:rect style="position:absolute;left:8635;top:-16;width:5;height:5" id="docshape270" filled="true" fillcolor="#f1efe2" stroked="false">
                        <v:fill type="solid"/>
                      </v:rect>
                      <v:shape style="position:absolute;left:0;top:-16;width:8640;height:26" id="docshape271" coordorigin="0,-16" coordsize="8640,26" path="m5,-11l0,-11,0,9,5,9,5,-11xm8640,-16l8635,-16,8635,-11,8640,-11,8640,-16xe" filled="true" fillcolor="#aca89a" stroked="false">
                        <v:path arrowok="t"/>
                        <v:fill type="solid"/>
                      </v:shape>
                      <v:rect style="position:absolute;left:8635;top:-11;width:5;height:21" id="docshape272" filled="true" fillcolor="#f1efe2" stroked="false">
                        <v:fill type="solid"/>
                      </v:rect>
                      <v:rect style="position:absolute;left:0;top:9;width:5;height:5" id="docshape273" filled="true" fillcolor="#aca89a" stroked="false">
                        <v:fill type="solid"/>
                      </v:rect>
                      <v:shape style="position:absolute;left:0;top:9;width:8640;height:5" id="docshape274" coordorigin="0,9" coordsize="8640,5" path="m8640,9l8635,9,0,9,0,14,8635,14,8640,14,8640,9xe" filled="true" fillcolor="#f1efe2" stroked="false">
                        <v:path arrowok="t"/>
                        <v:fill type="solid"/>
                      </v:shape>
                      <w10:wrap type="none"/>
                    </v:group>
                  </w:pict>
                </mc:Fallback>
              </mc:AlternateContent>
            </w:r>
            <w:r>
              <w:rPr>
                <w:b/>
                <w:sz w:val="24"/>
              </w:rPr>
              <w:t>Intermediate</w:t>
            </w:r>
            <w:r>
              <w:rPr>
                <w:b/>
                <w:spacing w:val="-3"/>
                <w:sz w:val="24"/>
              </w:rPr>
              <w:t> </w:t>
            </w:r>
            <w:r>
              <w:rPr>
                <w:b/>
                <w:spacing w:val="-4"/>
                <w:sz w:val="24"/>
              </w:rPr>
              <w:t>level</w:t>
            </w:r>
          </w:p>
        </w:tc>
        <w:tc>
          <w:tcPr>
            <w:tcW w:w="534" w:type="dxa"/>
          </w:tcPr>
          <w:p>
            <w:pPr>
              <w:pStyle w:val="TableParagraph"/>
              <w:rPr>
                <w:sz w:val="22"/>
              </w:rPr>
            </w:pPr>
          </w:p>
        </w:tc>
        <w:tc>
          <w:tcPr>
            <w:tcW w:w="1151" w:type="dxa"/>
            <w:gridSpan w:val="2"/>
          </w:tcPr>
          <w:p>
            <w:pPr>
              <w:pStyle w:val="TableParagraph"/>
              <w:rPr>
                <w:sz w:val="22"/>
              </w:rPr>
            </w:pPr>
          </w:p>
        </w:tc>
        <w:tc>
          <w:tcPr>
            <w:tcW w:w="1011" w:type="dxa"/>
          </w:tcPr>
          <w:p>
            <w:pPr>
              <w:pStyle w:val="TableParagraph"/>
              <w:rPr>
                <w:sz w:val="22"/>
              </w:rPr>
            </w:pPr>
          </w:p>
        </w:tc>
        <w:tc>
          <w:tcPr>
            <w:tcW w:w="855" w:type="dxa"/>
          </w:tcPr>
          <w:p>
            <w:pPr>
              <w:pStyle w:val="TableParagraph"/>
              <w:rPr>
                <w:sz w:val="22"/>
              </w:rPr>
            </w:pPr>
          </w:p>
        </w:tc>
        <w:tc>
          <w:tcPr>
            <w:tcW w:w="2362" w:type="dxa"/>
            <w:gridSpan w:val="2"/>
          </w:tcPr>
          <w:p>
            <w:pPr>
              <w:pStyle w:val="TableParagraph"/>
              <w:rPr>
                <w:sz w:val="22"/>
              </w:rPr>
            </w:pPr>
          </w:p>
        </w:tc>
      </w:tr>
      <w:tr>
        <w:trPr>
          <w:trHeight w:val="412" w:hRule="atLeast"/>
        </w:trPr>
        <w:tc>
          <w:tcPr>
            <w:tcW w:w="2724" w:type="dxa"/>
          </w:tcPr>
          <w:p>
            <w:pPr>
              <w:pStyle w:val="TableParagraph"/>
              <w:spacing w:line="261" w:lineRule="exact" w:before="131"/>
              <w:ind w:left="-1"/>
              <w:rPr>
                <w:sz w:val="24"/>
              </w:rPr>
            </w:pPr>
            <w:r>
              <w:rPr>
                <w:sz w:val="24"/>
              </w:rPr>
              <w:t>General</w:t>
            </w:r>
            <w:r>
              <w:rPr>
                <w:spacing w:val="-1"/>
                <w:sz w:val="24"/>
              </w:rPr>
              <w:t> </w:t>
            </w:r>
            <w:r>
              <w:rPr>
                <w:sz w:val="24"/>
              </w:rPr>
              <w:t>:</w:t>
            </w:r>
            <w:r>
              <w:rPr>
                <w:spacing w:val="-1"/>
                <w:sz w:val="24"/>
              </w:rPr>
              <w:t> </w:t>
            </w:r>
            <w:r>
              <w:rPr>
                <w:sz w:val="24"/>
              </w:rPr>
              <w:t>Years</w:t>
            </w:r>
            <w:r>
              <w:rPr>
                <w:spacing w:val="-1"/>
                <w:sz w:val="24"/>
              </w:rPr>
              <w:t> </w:t>
            </w:r>
            <w:r>
              <w:rPr>
                <w:sz w:val="24"/>
              </w:rPr>
              <w:t>1</w:t>
            </w:r>
            <w:r>
              <w:rPr>
                <w:spacing w:val="-1"/>
                <w:sz w:val="24"/>
              </w:rPr>
              <w:t> </w:t>
            </w:r>
            <w:r>
              <w:rPr>
                <w:sz w:val="24"/>
              </w:rPr>
              <w:t>and</w:t>
            </w:r>
            <w:r>
              <w:rPr>
                <w:spacing w:val="-1"/>
                <w:sz w:val="24"/>
              </w:rPr>
              <w:t> </w:t>
            </w:r>
            <w:r>
              <w:rPr>
                <w:spacing w:val="-7"/>
                <w:sz w:val="24"/>
              </w:rPr>
              <w:t>11</w:t>
            </w:r>
          </w:p>
        </w:tc>
        <w:tc>
          <w:tcPr>
            <w:tcW w:w="534" w:type="dxa"/>
          </w:tcPr>
          <w:p>
            <w:pPr>
              <w:pStyle w:val="TableParagraph"/>
              <w:rPr>
                <w:sz w:val="22"/>
              </w:rPr>
            </w:pPr>
          </w:p>
        </w:tc>
        <w:tc>
          <w:tcPr>
            <w:tcW w:w="1151" w:type="dxa"/>
            <w:gridSpan w:val="2"/>
          </w:tcPr>
          <w:p>
            <w:pPr>
              <w:pStyle w:val="TableParagraph"/>
              <w:rPr>
                <w:sz w:val="22"/>
              </w:rPr>
            </w:pPr>
          </w:p>
        </w:tc>
        <w:tc>
          <w:tcPr>
            <w:tcW w:w="1011" w:type="dxa"/>
          </w:tcPr>
          <w:p>
            <w:pPr>
              <w:pStyle w:val="TableParagraph"/>
              <w:rPr>
                <w:sz w:val="22"/>
              </w:rPr>
            </w:pPr>
          </w:p>
        </w:tc>
        <w:tc>
          <w:tcPr>
            <w:tcW w:w="855" w:type="dxa"/>
          </w:tcPr>
          <w:p>
            <w:pPr>
              <w:pStyle w:val="TableParagraph"/>
              <w:rPr>
                <w:sz w:val="22"/>
              </w:rPr>
            </w:pPr>
          </w:p>
        </w:tc>
        <w:tc>
          <w:tcPr>
            <w:tcW w:w="2362" w:type="dxa"/>
            <w:gridSpan w:val="2"/>
          </w:tcPr>
          <w:p>
            <w:pPr>
              <w:pStyle w:val="TableParagraph"/>
              <w:rPr>
                <w:sz w:val="22"/>
              </w:rPr>
            </w:pPr>
          </w:p>
        </w:tc>
      </w:tr>
      <w:tr>
        <w:trPr>
          <w:trHeight w:val="276" w:hRule="atLeast"/>
        </w:trPr>
        <w:tc>
          <w:tcPr>
            <w:tcW w:w="2724" w:type="dxa"/>
          </w:tcPr>
          <w:p>
            <w:pPr>
              <w:pStyle w:val="TableParagraph"/>
              <w:spacing w:line="256" w:lineRule="exact"/>
              <w:ind w:left="-1"/>
              <w:rPr>
                <w:sz w:val="24"/>
              </w:rPr>
            </w:pPr>
            <w:r>
              <w:rPr>
                <w:sz w:val="24"/>
              </w:rPr>
              <w:t>degree </w:t>
            </w:r>
            <w:r>
              <w:rPr>
                <w:spacing w:val="-2"/>
                <w:sz w:val="24"/>
              </w:rPr>
              <w:t>course'</w:t>
            </w:r>
          </w:p>
        </w:tc>
        <w:tc>
          <w:tcPr>
            <w:tcW w:w="534" w:type="dxa"/>
          </w:tcPr>
          <w:p>
            <w:pPr>
              <w:pStyle w:val="TableParagraph"/>
              <w:spacing w:line="256" w:lineRule="exact"/>
              <w:ind w:left="23"/>
              <w:rPr>
                <w:sz w:val="24"/>
              </w:rPr>
            </w:pPr>
            <w:r>
              <w:rPr>
                <w:spacing w:val="-5"/>
                <w:sz w:val="24"/>
              </w:rPr>
              <w:t>597</w:t>
            </w:r>
          </w:p>
        </w:tc>
        <w:tc>
          <w:tcPr>
            <w:tcW w:w="1151" w:type="dxa"/>
            <w:gridSpan w:val="2"/>
          </w:tcPr>
          <w:p>
            <w:pPr>
              <w:pStyle w:val="TableParagraph"/>
              <w:spacing w:line="256" w:lineRule="exact"/>
              <w:ind w:left="209"/>
              <w:rPr>
                <w:sz w:val="24"/>
              </w:rPr>
            </w:pPr>
            <w:r>
              <w:rPr>
                <w:spacing w:val="-5"/>
                <w:sz w:val="24"/>
              </w:rPr>
              <w:t>208</w:t>
            </w:r>
          </w:p>
        </w:tc>
        <w:tc>
          <w:tcPr>
            <w:tcW w:w="1011" w:type="dxa"/>
          </w:tcPr>
          <w:p>
            <w:pPr>
              <w:pStyle w:val="TableParagraph"/>
              <w:tabs>
                <w:tab w:pos="831" w:val="left" w:leader="none"/>
              </w:tabs>
              <w:spacing w:line="256" w:lineRule="exact"/>
              <w:ind w:left="171" w:right="-15"/>
              <w:rPr>
                <w:sz w:val="24"/>
              </w:rPr>
            </w:pPr>
            <w:r>
              <w:rPr>
                <w:spacing w:val="-5"/>
                <w:sz w:val="24"/>
              </w:rPr>
              <w:t>...</w:t>
            </w:r>
            <w:r>
              <w:rPr>
                <w:sz w:val="24"/>
              </w:rPr>
              <w:tab/>
            </w:r>
            <w:r>
              <w:rPr>
                <w:spacing w:val="-5"/>
                <w:sz w:val="24"/>
              </w:rPr>
              <w:t>...</w:t>
            </w:r>
          </w:p>
        </w:tc>
        <w:tc>
          <w:tcPr>
            <w:tcW w:w="855" w:type="dxa"/>
          </w:tcPr>
          <w:p>
            <w:pPr>
              <w:pStyle w:val="TableParagraph"/>
              <w:rPr>
                <w:sz w:val="20"/>
              </w:rPr>
            </w:pPr>
          </w:p>
        </w:tc>
        <w:tc>
          <w:tcPr>
            <w:tcW w:w="2362" w:type="dxa"/>
            <w:gridSpan w:val="2"/>
          </w:tcPr>
          <w:p>
            <w:pPr>
              <w:pStyle w:val="TableParagraph"/>
              <w:tabs>
                <w:tab w:pos="916" w:val="left" w:leader="none"/>
              </w:tabs>
              <w:spacing w:line="256" w:lineRule="exact"/>
              <w:ind w:left="136"/>
              <w:rPr>
                <w:sz w:val="24"/>
              </w:rPr>
            </w:pPr>
            <w:r>
              <w:rPr>
                <w:spacing w:val="-5"/>
                <w:sz w:val="24"/>
              </w:rPr>
              <w:t>...</w:t>
            </w:r>
            <w:r>
              <w:rPr>
                <w:sz w:val="24"/>
              </w:rPr>
              <w:tab/>
            </w:r>
            <w:r>
              <w:rPr>
                <w:spacing w:val="-5"/>
                <w:sz w:val="24"/>
              </w:rPr>
              <w:t>...</w:t>
            </w:r>
          </w:p>
        </w:tc>
      </w:tr>
      <w:tr>
        <w:trPr>
          <w:trHeight w:val="275" w:hRule="atLeast"/>
        </w:trPr>
        <w:tc>
          <w:tcPr>
            <w:tcW w:w="2724" w:type="dxa"/>
          </w:tcPr>
          <w:p>
            <w:pPr>
              <w:pStyle w:val="TableParagraph"/>
              <w:spacing w:line="256" w:lineRule="exact"/>
              <w:ind w:left="-1"/>
              <w:rPr>
                <w:sz w:val="24"/>
              </w:rPr>
            </w:pPr>
            <w:r>
              <w:rPr>
                <w:sz w:val="24"/>
              </w:rPr>
              <w:t>College</w:t>
            </w:r>
            <w:r>
              <w:rPr>
                <w:spacing w:val="-1"/>
                <w:sz w:val="24"/>
              </w:rPr>
              <w:t> </w:t>
            </w:r>
            <w:r>
              <w:rPr>
                <w:spacing w:val="-2"/>
                <w:sz w:val="24"/>
              </w:rPr>
              <w:t>(professional)</w:t>
            </w:r>
          </w:p>
        </w:tc>
        <w:tc>
          <w:tcPr>
            <w:tcW w:w="534" w:type="dxa"/>
          </w:tcPr>
          <w:p>
            <w:pPr>
              <w:pStyle w:val="TableParagraph"/>
              <w:spacing w:line="256" w:lineRule="exact"/>
              <w:ind w:left="23"/>
              <w:rPr>
                <w:sz w:val="24"/>
              </w:rPr>
            </w:pPr>
            <w:r>
              <w:rPr>
                <w:spacing w:val="-5"/>
                <w:sz w:val="24"/>
              </w:rPr>
              <w:t>80</w:t>
            </w:r>
          </w:p>
        </w:tc>
        <w:tc>
          <w:tcPr>
            <w:tcW w:w="1151" w:type="dxa"/>
            <w:gridSpan w:val="2"/>
          </w:tcPr>
          <w:p>
            <w:pPr>
              <w:pStyle w:val="TableParagraph"/>
              <w:spacing w:line="256" w:lineRule="exact"/>
              <w:ind w:left="149"/>
              <w:rPr>
                <w:sz w:val="24"/>
              </w:rPr>
            </w:pPr>
            <w:r>
              <w:rPr>
                <w:spacing w:val="-5"/>
                <w:sz w:val="24"/>
              </w:rPr>
              <w:t>35</w:t>
            </w:r>
          </w:p>
        </w:tc>
        <w:tc>
          <w:tcPr>
            <w:tcW w:w="1011" w:type="dxa"/>
          </w:tcPr>
          <w:p>
            <w:pPr>
              <w:pStyle w:val="TableParagraph"/>
              <w:tabs>
                <w:tab w:pos="830" w:val="left" w:leader="none"/>
              </w:tabs>
              <w:spacing w:line="256" w:lineRule="exact"/>
              <w:ind w:left="170"/>
              <w:rPr>
                <w:sz w:val="24"/>
              </w:rPr>
            </w:pPr>
            <w:r>
              <w:rPr>
                <w:spacing w:val="-5"/>
                <w:sz w:val="24"/>
              </w:rPr>
              <w:t>...</w:t>
            </w:r>
            <w:r>
              <w:rPr>
                <w:sz w:val="24"/>
              </w:rPr>
              <w:tab/>
            </w:r>
            <w:r>
              <w:rPr>
                <w:spacing w:val="-5"/>
                <w:sz w:val="24"/>
              </w:rPr>
              <w:t>...</w:t>
            </w:r>
          </w:p>
        </w:tc>
        <w:tc>
          <w:tcPr>
            <w:tcW w:w="855" w:type="dxa"/>
          </w:tcPr>
          <w:p>
            <w:pPr>
              <w:pStyle w:val="TableParagraph"/>
              <w:rPr>
                <w:sz w:val="20"/>
              </w:rPr>
            </w:pPr>
          </w:p>
        </w:tc>
        <w:tc>
          <w:tcPr>
            <w:tcW w:w="2362" w:type="dxa"/>
            <w:gridSpan w:val="2"/>
          </w:tcPr>
          <w:p>
            <w:pPr>
              <w:pStyle w:val="TableParagraph"/>
              <w:tabs>
                <w:tab w:pos="915" w:val="left" w:leader="none"/>
              </w:tabs>
              <w:spacing w:line="256" w:lineRule="exact"/>
              <w:ind w:left="135"/>
              <w:rPr>
                <w:sz w:val="24"/>
              </w:rPr>
            </w:pPr>
            <w:r>
              <w:rPr>
                <w:spacing w:val="-5"/>
                <w:sz w:val="24"/>
              </w:rPr>
              <w:t>...</w:t>
            </w:r>
            <w:r>
              <w:rPr>
                <w:sz w:val="24"/>
              </w:rPr>
              <w:tab/>
            </w:r>
            <w:r>
              <w:rPr>
                <w:spacing w:val="-5"/>
                <w:sz w:val="24"/>
              </w:rPr>
              <w:t>...</w:t>
            </w:r>
          </w:p>
        </w:tc>
      </w:tr>
      <w:tr>
        <w:trPr>
          <w:trHeight w:val="276" w:hRule="atLeast"/>
        </w:trPr>
        <w:tc>
          <w:tcPr>
            <w:tcW w:w="2724" w:type="dxa"/>
          </w:tcPr>
          <w:p>
            <w:pPr>
              <w:pStyle w:val="TableParagraph"/>
              <w:spacing w:line="256" w:lineRule="exact"/>
              <w:ind w:left="-1"/>
              <w:rPr>
                <w:sz w:val="24"/>
              </w:rPr>
            </w:pPr>
            <w:r>
              <w:rPr>
                <w:sz w:val="24"/>
              </w:rPr>
              <w:t>TOTAL</w:t>
            </w:r>
            <w:r>
              <w:rPr>
                <w:spacing w:val="-4"/>
                <w:sz w:val="24"/>
              </w:rPr>
              <w:t> </w:t>
            </w:r>
            <w:r>
              <w:rPr>
                <w:spacing w:val="-2"/>
                <w:sz w:val="24"/>
              </w:rPr>
              <w:t>COLLEGE</w:t>
            </w:r>
          </w:p>
        </w:tc>
        <w:tc>
          <w:tcPr>
            <w:tcW w:w="534" w:type="dxa"/>
          </w:tcPr>
          <w:p>
            <w:pPr>
              <w:pStyle w:val="TableParagraph"/>
              <w:spacing w:line="256" w:lineRule="exact"/>
              <w:ind w:left="24"/>
              <w:rPr>
                <w:sz w:val="24"/>
              </w:rPr>
            </w:pPr>
            <w:r>
              <w:rPr>
                <w:spacing w:val="-5"/>
                <w:sz w:val="24"/>
              </w:rPr>
              <w:t>677</w:t>
            </w:r>
          </w:p>
        </w:tc>
        <w:tc>
          <w:tcPr>
            <w:tcW w:w="1151" w:type="dxa"/>
            <w:gridSpan w:val="2"/>
          </w:tcPr>
          <w:p>
            <w:pPr>
              <w:pStyle w:val="TableParagraph"/>
              <w:spacing w:line="256" w:lineRule="exact"/>
              <w:ind w:left="210"/>
              <w:rPr>
                <w:sz w:val="24"/>
              </w:rPr>
            </w:pPr>
            <w:r>
              <w:rPr>
                <w:spacing w:val="-5"/>
                <w:sz w:val="24"/>
              </w:rPr>
              <w:t>243</w:t>
            </w:r>
          </w:p>
        </w:tc>
        <w:tc>
          <w:tcPr>
            <w:tcW w:w="1011" w:type="dxa"/>
          </w:tcPr>
          <w:p>
            <w:pPr>
              <w:pStyle w:val="TableParagraph"/>
              <w:spacing w:line="256" w:lineRule="exact"/>
              <w:ind w:left="171"/>
              <w:rPr>
                <w:sz w:val="24"/>
              </w:rPr>
            </w:pPr>
            <w:r>
              <w:rPr>
                <w:spacing w:val="-2"/>
                <w:sz w:val="24"/>
              </w:rPr>
              <w:t>2,176</w:t>
            </w:r>
          </w:p>
        </w:tc>
        <w:tc>
          <w:tcPr>
            <w:tcW w:w="855" w:type="dxa"/>
          </w:tcPr>
          <w:p>
            <w:pPr>
              <w:pStyle w:val="TableParagraph"/>
              <w:spacing w:line="256" w:lineRule="exact"/>
              <w:ind w:left="121"/>
              <w:rPr>
                <w:sz w:val="24"/>
              </w:rPr>
            </w:pPr>
            <w:r>
              <w:rPr>
                <w:spacing w:val="-5"/>
                <w:sz w:val="24"/>
              </w:rPr>
              <w:t>749</w:t>
            </w:r>
          </w:p>
        </w:tc>
        <w:tc>
          <w:tcPr>
            <w:tcW w:w="2362" w:type="dxa"/>
            <w:gridSpan w:val="2"/>
          </w:tcPr>
          <w:p>
            <w:pPr>
              <w:pStyle w:val="TableParagraph"/>
              <w:tabs>
                <w:tab w:pos="1157" w:val="left" w:leader="none"/>
              </w:tabs>
              <w:spacing w:line="256" w:lineRule="exact"/>
              <w:ind w:left="137"/>
              <w:rPr>
                <w:sz w:val="24"/>
              </w:rPr>
            </w:pPr>
            <w:r>
              <w:rPr>
                <w:spacing w:val="-2"/>
                <w:sz w:val="24"/>
              </w:rPr>
              <w:t>4,460</w:t>
            </w:r>
            <w:r>
              <w:rPr>
                <w:sz w:val="24"/>
              </w:rPr>
              <w:tab/>
            </w:r>
            <w:r>
              <w:rPr>
                <w:spacing w:val="-2"/>
                <w:sz w:val="24"/>
              </w:rPr>
              <w:t>1,537</w:t>
            </w:r>
          </w:p>
        </w:tc>
      </w:tr>
      <w:tr>
        <w:trPr>
          <w:trHeight w:val="270" w:hRule="atLeast"/>
        </w:trPr>
        <w:tc>
          <w:tcPr>
            <w:tcW w:w="2724" w:type="dxa"/>
          </w:tcPr>
          <w:p>
            <w:pPr>
              <w:pStyle w:val="TableParagraph"/>
              <w:spacing w:line="251" w:lineRule="exact"/>
              <w:ind w:left="-1"/>
              <w:rPr>
                <w:sz w:val="24"/>
              </w:rPr>
            </w:pPr>
            <w:r>
              <w:rPr>
                <w:sz w:val="24"/>
              </w:rPr>
              <w:t>School </w:t>
            </w:r>
            <w:r>
              <w:rPr>
                <w:spacing w:val="-2"/>
                <w:sz w:val="24"/>
              </w:rPr>
              <w:t>(vocational)</w:t>
            </w:r>
          </w:p>
        </w:tc>
        <w:tc>
          <w:tcPr>
            <w:tcW w:w="534" w:type="dxa"/>
          </w:tcPr>
          <w:p>
            <w:pPr>
              <w:pStyle w:val="TableParagraph"/>
              <w:rPr>
                <w:sz w:val="20"/>
              </w:rPr>
            </w:pPr>
          </w:p>
        </w:tc>
        <w:tc>
          <w:tcPr>
            <w:tcW w:w="1151" w:type="dxa"/>
            <w:gridSpan w:val="2"/>
          </w:tcPr>
          <w:p>
            <w:pPr>
              <w:pStyle w:val="TableParagraph"/>
              <w:rPr>
                <w:sz w:val="20"/>
              </w:rPr>
            </w:pPr>
          </w:p>
        </w:tc>
        <w:tc>
          <w:tcPr>
            <w:tcW w:w="1011" w:type="dxa"/>
          </w:tcPr>
          <w:p>
            <w:pPr>
              <w:pStyle w:val="TableParagraph"/>
              <w:rPr>
                <w:sz w:val="20"/>
              </w:rPr>
            </w:pPr>
          </w:p>
        </w:tc>
        <w:tc>
          <w:tcPr>
            <w:tcW w:w="855" w:type="dxa"/>
          </w:tcPr>
          <w:p>
            <w:pPr>
              <w:pStyle w:val="TableParagraph"/>
              <w:rPr>
                <w:sz w:val="20"/>
              </w:rPr>
            </w:pPr>
          </w:p>
        </w:tc>
        <w:tc>
          <w:tcPr>
            <w:tcW w:w="2362" w:type="dxa"/>
            <w:gridSpan w:val="2"/>
          </w:tcPr>
          <w:p>
            <w:pPr>
              <w:pStyle w:val="TableParagraph"/>
              <w:rPr>
                <w:sz w:val="20"/>
              </w:rPr>
            </w:pPr>
          </w:p>
        </w:tc>
      </w:tr>
    </w:tbl>
    <w:p>
      <w:pPr>
        <w:spacing w:after="0"/>
        <w:rPr>
          <w:sz w:val="20"/>
        </w:rPr>
        <w:sectPr>
          <w:pgSz w:w="12240" w:h="15840"/>
          <w:pgMar w:header="0" w:footer="743" w:top="1360" w:bottom="940" w:left="1640" w:right="1300"/>
        </w:sectPr>
      </w:pPr>
    </w:p>
    <w:p>
      <w:pPr>
        <w:pStyle w:val="BodyText"/>
        <w:spacing w:before="16"/>
      </w:pPr>
    </w:p>
    <w:p>
      <w:pPr>
        <w:pStyle w:val="BodyText"/>
        <w:ind w:left="7530"/>
      </w:pPr>
      <w:r>
        <w:rPr/>
        <mc:AlternateContent>
          <mc:Choice Requires="wps">
            <w:drawing>
              <wp:anchor distT="0" distB="0" distL="0" distR="0" allowOverlap="1" layoutInCell="1" locked="0" behindDoc="0" simplePos="0" relativeHeight="15756288">
                <wp:simplePos x="0" y="0"/>
                <wp:positionH relativeFrom="page">
                  <wp:posOffset>1073150</wp:posOffset>
                </wp:positionH>
                <wp:positionV relativeFrom="paragraph">
                  <wp:posOffset>-168302</wp:posOffset>
                </wp:positionV>
                <wp:extent cx="4554220" cy="86868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4554220" cy="8686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955"/>
                              <w:gridCol w:w="917"/>
                              <w:gridCol w:w="978"/>
                              <w:gridCol w:w="916"/>
                              <w:gridCol w:w="938"/>
                            </w:tblGrid>
                            <w:tr>
                              <w:trPr>
                                <w:trHeight w:val="541" w:hRule="atLeast"/>
                              </w:trPr>
                              <w:tc>
                                <w:tcPr>
                                  <w:tcW w:w="2353" w:type="dxa"/>
                                </w:tcPr>
                                <w:p>
                                  <w:pPr>
                                    <w:pStyle w:val="TableParagraph"/>
                                    <w:spacing w:line="266" w:lineRule="exact"/>
                                    <w:ind w:left="50"/>
                                    <w:rPr>
                                      <w:sz w:val="24"/>
                                    </w:rPr>
                                  </w:pPr>
                                  <w:r>
                                    <w:rPr>
                                      <w:spacing w:val="-2"/>
                                      <w:sz w:val="24"/>
                                    </w:rPr>
                                    <w:t>Engineering</w:t>
                                  </w:r>
                                </w:p>
                                <w:p>
                                  <w:pPr>
                                    <w:pStyle w:val="TableParagraph"/>
                                    <w:spacing w:line="256" w:lineRule="exact"/>
                                    <w:ind w:left="50"/>
                                    <w:rPr>
                                      <w:sz w:val="24"/>
                                    </w:rPr>
                                  </w:pPr>
                                  <w:r>
                                    <w:rPr>
                                      <w:spacing w:val="-2"/>
                                      <w:sz w:val="24"/>
                                    </w:rPr>
                                    <w:t>Diploma</w:t>
                                  </w:r>
                                </w:p>
                              </w:tc>
                              <w:tc>
                                <w:tcPr>
                                  <w:tcW w:w="955" w:type="dxa"/>
                                </w:tcPr>
                                <w:p>
                                  <w:pPr>
                                    <w:pStyle w:val="TableParagraph"/>
                                    <w:spacing w:line="256" w:lineRule="exact" w:before="266"/>
                                    <w:ind w:left="443"/>
                                    <w:rPr>
                                      <w:sz w:val="24"/>
                                    </w:rPr>
                                  </w:pPr>
                                  <w:r>
                                    <w:rPr>
                                      <w:spacing w:val="-5"/>
                                      <w:sz w:val="24"/>
                                    </w:rPr>
                                    <w:t>46</w:t>
                                  </w:r>
                                </w:p>
                              </w:tc>
                              <w:tc>
                                <w:tcPr>
                                  <w:tcW w:w="917" w:type="dxa"/>
                                </w:tcPr>
                                <w:p>
                                  <w:pPr>
                                    <w:pStyle w:val="TableParagraph"/>
                                    <w:spacing w:line="256" w:lineRule="exact" w:before="266"/>
                                    <w:ind w:left="148"/>
                                    <w:rPr>
                                      <w:sz w:val="24"/>
                                    </w:rPr>
                                  </w:pPr>
                                  <w:r>
                                    <w:rPr>
                                      <w:spacing w:val="-5"/>
                                      <w:sz w:val="24"/>
                                    </w:rPr>
                                    <w:t>10</w:t>
                                  </w:r>
                                </w:p>
                              </w:tc>
                              <w:tc>
                                <w:tcPr>
                                  <w:tcW w:w="978" w:type="dxa"/>
                                </w:tcPr>
                                <w:p>
                                  <w:pPr>
                                    <w:pStyle w:val="TableParagraph"/>
                                    <w:spacing w:line="256" w:lineRule="exact" w:before="266"/>
                                    <w:ind w:right="212"/>
                                    <w:jc w:val="right"/>
                                    <w:rPr>
                                      <w:sz w:val="24"/>
                                    </w:rPr>
                                  </w:pPr>
                                  <w:r>
                                    <w:rPr>
                                      <w:spacing w:val="-5"/>
                                      <w:sz w:val="24"/>
                                    </w:rPr>
                                    <w:t>297</w:t>
                                  </w:r>
                                </w:p>
                              </w:tc>
                              <w:tc>
                                <w:tcPr>
                                  <w:tcW w:w="916" w:type="dxa"/>
                                </w:tcPr>
                                <w:p>
                                  <w:pPr>
                                    <w:pStyle w:val="TableParagraph"/>
                                    <w:spacing w:line="256" w:lineRule="exact" w:before="266"/>
                                    <w:ind w:left="265"/>
                                    <w:rPr>
                                      <w:sz w:val="24"/>
                                    </w:rPr>
                                  </w:pPr>
                                  <w:r>
                                    <w:rPr>
                                      <w:spacing w:val="-5"/>
                                      <w:sz w:val="24"/>
                                    </w:rPr>
                                    <w:t>67</w:t>
                                  </w:r>
                                </w:p>
                              </w:tc>
                              <w:tc>
                                <w:tcPr>
                                  <w:tcW w:w="938" w:type="dxa"/>
                                </w:tcPr>
                                <w:p>
                                  <w:pPr>
                                    <w:pStyle w:val="TableParagraph"/>
                                    <w:spacing w:line="256" w:lineRule="exact" w:before="266"/>
                                    <w:ind w:left="340"/>
                                    <w:rPr>
                                      <w:sz w:val="24"/>
                                    </w:rPr>
                                  </w:pPr>
                                  <w:r>
                                    <w:rPr>
                                      <w:spacing w:val="-5"/>
                                      <w:sz w:val="24"/>
                                    </w:rPr>
                                    <w:t>573</w:t>
                                  </w:r>
                                </w:p>
                              </w:tc>
                            </w:tr>
                            <w:tr>
                              <w:trPr>
                                <w:trHeight w:val="557" w:hRule="atLeast"/>
                              </w:trPr>
                              <w:tc>
                                <w:tcPr>
                                  <w:tcW w:w="2353" w:type="dxa"/>
                                </w:tcPr>
                                <w:p>
                                  <w:pPr>
                                    <w:pStyle w:val="TableParagraph"/>
                                    <w:spacing w:line="266" w:lineRule="exact"/>
                                    <w:ind w:left="50"/>
                                    <w:rPr>
                                      <w:sz w:val="24"/>
                                    </w:rPr>
                                  </w:pPr>
                                  <w:r>
                                    <w:rPr>
                                      <w:spacing w:val="-2"/>
                                      <w:sz w:val="24"/>
                                    </w:rPr>
                                    <w:t>Others</w:t>
                                  </w:r>
                                </w:p>
                                <w:p>
                                  <w:pPr>
                                    <w:pStyle w:val="TableParagraph"/>
                                    <w:spacing w:line="261" w:lineRule="exact"/>
                                    <w:ind w:left="50"/>
                                    <w:rPr>
                                      <w:b/>
                                      <w:sz w:val="24"/>
                                    </w:rPr>
                                  </w:pPr>
                                  <w:r>
                                    <w:rPr>
                                      <w:sz w:val="24"/>
                                    </w:rPr>
                                    <w:t>Teacher </w:t>
                                  </w:r>
                                  <w:r>
                                    <w:rPr>
                                      <w:spacing w:val="-2"/>
                                      <w:sz w:val="24"/>
                                    </w:rPr>
                                    <w:t>Training</w:t>
                                  </w:r>
                                  <w:r>
                                    <w:rPr>
                                      <w:b/>
                                      <w:spacing w:val="-2"/>
                                      <w:sz w:val="24"/>
                                      <w:vertAlign w:val="superscript"/>
                                    </w:rPr>
                                    <w:t>1,4</w:t>
                                  </w:r>
                                </w:p>
                              </w:tc>
                              <w:tc>
                                <w:tcPr>
                                  <w:tcW w:w="955" w:type="dxa"/>
                                </w:tcPr>
                                <w:p>
                                  <w:pPr>
                                    <w:pStyle w:val="TableParagraph"/>
                                    <w:spacing w:line="266" w:lineRule="exact"/>
                                    <w:ind w:left="445"/>
                                    <w:rPr>
                                      <w:sz w:val="24"/>
                                    </w:rPr>
                                  </w:pPr>
                                  <w:r>
                                    <w:rPr>
                                      <w:spacing w:val="-5"/>
                                      <w:sz w:val="24"/>
                                    </w:rPr>
                                    <w:t>181</w:t>
                                  </w:r>
                                </w:p>
                              </w:tc>
                              <w:tc>
                                <w:tcPr>
                                  <w:tcW w:w="917" w:type="dxa"/>
                                </w:tcPr>
                                <w:p>
                                  <w:pPr>
                                    <w:pStyle w:val="TableParagraph"/>
                                    <w:spacing w:line="266" w:lineRule="exact"/>
                                    <w:ind w:right="404"/>
                                    <w:jc w:val="right"/>
                                    <w:rPr>
                                      <w:sz w:val="24"/>
                                    </w:rPr>
                                  </w:pPr>
                                  <w:r>
                                    <w:rPr>
                                      <w:spacing w:val="-5"/>
                                      <w:sz w:val="24"/>
                                    </w:rPr>
                                    <w:t>42</w:t>
                                  </w:r>
                                </w:p>
                              </w:tc>
                              <w:tc>
                                <w:tcPr>
                                  <w:tcW w:w="978" w:type="dxa"/>
                                </w:tcPr>
                                <w:p>
                                  <w:pPr>
                                    <w:pStyle w:val="TableParagraph"/>
                                    <w:spacing w:line="266" w:lineRule="exact"/>
                                    <w:ind w:right="210"/>
                                    <w:jc w:val="right"/>
                                    <w:rPr>
                                      <w:sz w:val="24"/>
                                    </w:rPr>
                                  </w:pPr>
                                  <w:r>
                                    <w:rPr>
                                      <w:spacing w:val="-5"/>
                                      <w:sz w:val="24"/>
                                    </w:rPr>
                                    <w:t>701</w:t>
                                  </w:r>
                                </w:p>
                              </w:tc>
                              <w:tc>
                                <w:tcPr>
                                  <w:tcW w:w="916" w:type="dxa"/>
                                </w:tcPr>
                                <w:p>
                                  <w:pPr>
                                    <w:pStyle w:val="TableParagraph"/>
                                    <w:spacing w:line="266" w:lineRule="exact"/>
                                    <w:ind w:right="346"/>
                                    <w:jc w:val="right"/>
                                    <w:rPr>
                                      <w:sz w:val="24"/>
                                    </w:rPr>
                                  </w:pPr>
                                  <w:r>
                                    <w:rPr>
                                      <w:spacing w:val="-5"/>
                                      <w:sz w:val="24"/>
                                    </w:rPr>
                                    <w:t>151</w:t>
                                  </w:r>
                                </w:p>
                              </w:tc>
                              <w:tc>
                                <w:tcPr>
                                  <w:tcW w:w="938" w:type="dxa"/>
                                </w:tcPr>
                                <w:p>
                                  <w:pPr>
                                    <w:pStyle w:val="TableParagraph"/>
                                    <w:spacing w:line="266" w:lineRule="exact"/>
                                    <w:ind w:left="342"/>
                                    <w:rPr>
                                      <w:sz w:val="24"/>
                                    </w:rPr>
                                  </w:pPr>
                                  <w:r>
                                    <w:rPr>
                                      <w:spacing w:val="-2"/>
                                      <w:sz w:val="24"/>
                                    </w:rPr>
                                    <w:t>1,438</w:t>
                                  </w:r>
                                </w:p>
                              </w:tc>
                            </w:tr>
                            <w:tr>
                              <w:trPr>
                                <w:trHeight w:val="270" w:hRule="atLeast"/>
                              </w:trPr>
                              <w:tc>
                                <w:tcPr>
                                  <w:tcW w:w="2353" w:type="dxa"/>
                                </w:tcPr>
                                <w:p>
                                  <w:pPr>
                                    <w:pStyle w:val="TableParagraph"/>
                                    <w:spacing w:line="251" w:lineRule="exact"/>
                                    <w:ind w:left="50"/>
                                    <w:rPr>
                                      <w:sz w:val="24"/>
                                    </w:rPr>
                                  </w:pPr>
                                  <w:r>
                                    <w:rPr>
                                      <w:sz w:val="24"/>
                                    </w:rPr>
                                    <w:t>(all</w:t>
                                  </w:r>
                                  <w:r>
                                    <w:rPr>
                                      <w:spacing w:val="-1"/>
                                      <w:sz w:val="24"/>
                                    </w:rPr>
                                    <w:t> </w:t>
                                  </w:r>
                                  <w:r>
                                    <w:rPr>
                                      <w:sz w:val="24"/>
                                    </w:rPr>
                                    <w:t>non-</w:t>
                                  </w:r>
                                  <w:r>
                                    <w:rPr>
                                      <w:spacing w:val="-2"/>
                                      <w:sz w:val="24"/>
                                    </w:rPr>
                                    <w:t>graduate)</w:t>
                                  </w:r>
                                </w:p>
                              </w:tc>
                              <w:tc>
                                <w:tcPr>
                                  <w:tcW w:w="955" w:type="dxa"/>
                                </w:tcPr>
                                <w:p>
                                  <w:pPr>
                                    <w:pStyle w:val="TableParagraph"/>
                                    <w:spacing w:line="251" w:lineRule="exact"/>
                                    <w:ind w:left="445"/>
                                    <w:rPr>
                                      <w:sz w:val="24"/>
                                    </w:rPr>
                                  </w:pPr>
                                  <w:r>
                                    <w:rPr>
                                      <w:spacing w:val="-5"/>
                                      <w:sz w:val="24"/>
                                    </w:rPr>
                                    <w:t>123</w:t>
                                  </w:r>
                                </w:p>
                              </w:tc>
                              <w:tc>
                                <w:tcPr>
                                  <w:tcW w:w="917" w:type="dxa"/>
                                </w:tcPr>
                                <w:p>
                                  <w:pPr>
                                    <w:pStyle w:val="TableParagraph"/>
                                    <w:spacing w:line="251" w:lineRule="exact"/>
                                    <w:ind w:right="405"/>
                                    <w:jc w:val="right"/>
                                    <w:rPr>
                                      <w:sz w:val="24"/>
                                    </w:rPr>
                                  </w:pPr>
                                  <w:r>
                                    <w:rPr>
                                      <w:spacing w:val="-5"/>
                                      <w:sz w:val="24"/>
                                    </w:rPr>
                                    <w:t>75</w:t>
                                  </w:r>
                                </w:p>
                              </w:tc>
                              <w:tc>
                                <w:tcPr>
                                  <w:tcW w:w="978" w:type="dxa"/>
                                </w:tcPr>
                                <w:p>
                                  <w:pPr>
                                    <w:pStyle w:val="TableParagraph"/>
                                    <w:spacing w:line="251" w:lineRule="exact"/>
                                    <w:ind w:right="210"/>
                                    <w:jc w:val="right"/>
                                    <w:rPr>
                                      <w:sz w:val="24"/>
                                    </w:rPr>
                                  </w:pPr>
                                  <w:r>
                                    <w:rPr>
                                      <w:spacing w:val="-5"/>
                                      <w:sz w:val="24"/>
                                    </w:rPr>
                                    <w:t>453</w:t>
                                  </w:r>
                                </w:p>
                              </w:tc>
                              <w:tc>
                                <w:tcPr>
                                  <w:tcW w:w="916" w:type="dxa"/>
                                </w:tcPr>
                                <w:p>
                                  <w:pPr>
                                    <w:pStyle w:val="TableParagraph"/>
                                    <w:spacing w:line="251" w:lineRule="exact"/>
                                    <w:ind w:right="347"/>
                                    <w:jc w:val="right"/>
                                    <w:rPr>
                                      <w:sz w:val="24"/>
                                    </w:rPr>
                                  </w:pPr>
                                  <w:r>
                                    <w:rPr>
                                      <w:spacing w:val="-5"/>
                                      <w:sz w:val="24"/>
                                    </w:rPr>
                                    <w:t>211</w:t>
                                  </w:r>
                                </w:p>
                              </w:tc>
                              <w:tc>
                                <w:tcPr>
                                  <w:tcW w:w="938" w:type="dxa"/>
                                </w:tcPr>
                                <w:p>
                                  <w:pPr>
                                    <w:pStyle w:val="TableParagraph"/>
                                    <w:spacing w:line="251" w:lineRule="exact"/>
                                    <w:ind w:left="341"/>
                                    <w:rPr>
                                      <w:sz w:val="24"/>
                                    </w:rPr>
                                  </w:pPr>
                                  <w:r>
                                    <w:rPr>
                                      <w:spacing w:val="-5"/>
                                      <w:sz w:val="24"/>
                                    </w:rPr>
                                    <w:t>402</w:t>
                                  </w:r>
                                </w:p>
                              </w:tc>
                            </w:tr>
                          </w:tbl>
                          <w:p>
                            <w:pPr>
                              <w:pStyle w:val="BodyText"/>
                            </w:pPr>
                          </w:p>
                        </w:txbxContent>
                      </wps:txbx>
                      <wps:bodyPr wrap="square" lIns="0" tIns="0" rIns="0" bIns="0" rtlCol="0">
                        <a:noAutofit/>
                      </wps:bodyPr>
                    </wps:wsp>
                  </a:graphicData>
                </a:graphic>
              </wp:anchor>
            </w:drawing>
          </mc:Choice>
          <mc:Fallback>
            <w:pict>
              <v:shape style="position:absolute;margin-left:84.5pt;margin-top:-13.252188pt;width:358.6pt;height:68.4pt;mso-position-horizontal-relative:page;mso-position-vertical-relative:paragraph;z-index:15756288" type="#_x0000_t202" id="docshape27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955"/>
                        <w:gridCol w:w="917"/>
                        <w:gridCol w:w="978"/>
                        <w:gridCol w:w="916"/>
                        <w:gridCol w:w="938"/>
                      </w:tblGrid>
                      <w:tr>
                        <w:trPr>
                          <w:trHeight w:val="541" w:hRule="atLeast"/>
                        </w:trPr>
                        <w:tc>
                          <w:tcPr>
                            <w:tcW w:w="2353" w:type="dxa"/>
                          </w:tcPr>
                          <w:p>
                            <w:pPr>
                              <w:pStyle w:val="TableParagraph"/>
                              <w:spacing w:line="266" w:lineRule="exact"/>
                              <w:ind w:left="50"/>
                              <w:rPr>
                                <w:sz w:val="24"/>
                              </w:rPr>
                            </w:pPr>
                            <w:r>
                              <w:rPr>
                                <w:spacing w:val="-2"/>
                                <w:sz w:val="24"/>
                              </w:rPr>
                              <w:t>Engineering</w:t>
                            </w:r>
                          </w:p>
                          <w:p>
                            <w:pPr>
                              <w:pStyle w:val="TableParagraph"/>
                              <w:spacing w:line="256" w:lineRule="exact"/>
                              <w:ind w:left="50"/>
                              <w:rPr>
                                <w:sz w:val="24"/>
                              </w:rPr>
                            </w:pPr>
                            <w:r>
                              <w:rPr>
                                <w:spacing w:val="-2"/>
                                <w:sz w:val="24"/>
                              </w:rPr>
                              <w:t>Diploma</w:t>
                            </w:r>
                          </w:p>
                        </w:tc>
                        <w:tc>
                          <w:tcPr>
                            <w:tcW w:w="955" w:type="dxa"/>
                          </w:tcPr>
                          <w:p>
                            <w:pPr>
                              <w:pStyle w:val="TableParagraph"/>
                              <w:spacing w:line="256" w:lineRule="exact" w:before="266"/>
                              <w:ind w:left="443"/>
                              <w:rPr>
                                <w:sz w:val="24"/>
                              </w:rPr>
                            </w:pPr>
                            <w:r>
                              <w:rPr>
                                <w:spacing w:val="-5"/>
                                <w:sz w:val="24"/>
                              </w:rPr>
                              <w:t>46</w:t>
                            </w:r>
                          </w:p>
                        </w:tc>
                        <w:tc>
                          <w:tcPr>
                            <w:tcW w:w="917" w:type="dxa"/>
                          </w:tcPr>
                          <w:p>
                            <w:pPr>
                              <w:pStyle w:val="TableParagraph"/>
                              <w:spacing w:line="256" w:lineRule="exact" w:before="266"/>
                              <w:ind w:left="148"/>
                              <w:rPr>
                                <w:sz w:val="24"/>
                              </w:rPr>
                            </w:pPr>
                            <w:r>
                              <w:rPr>
                                <w:spacing w:val="-5"/>
                                <w:sz w:val="24"/>
                              </w:rPr>
                              <w:t>10</w:t>
                            </w:r>
                          </w:p>
                        </w:tc>
                        <w:tc>
                          <w:tcPr>
                            <w:tcW w:w="978" w:type="dxa"/>
                          </w:tcPr>
                          <w:p>
                            <w:pPr>
                              <w:pStyle w:val="TableParagraph"/>
                              <w:spacing w:line="256" w:lineRule="exact" w:before="266"/>
                              <w:ind w:right="212"/>
                              <w:jc w:val="right"/>
                              <w:rPr>
                                <w:sz w:val="24"/>
                              </w:rPr>
                            </w:pPr>
                            <w:r>
                              <w:rPr>
                                <w:spacing w:val="-5"/>
                                <w:sz w:val="24"/>
                              </w:rPr>
                              <w:t>297</w:t>
                            </w:r>
                          </w:p>
                        </w:tc>
                        <w:tc>
                          <w:tcPr>
                            <w:tcW w:w="916" w:type="dxa"/>
                          </w:tcPr>
                          <w:p>
                            <w:pPr>
                              <w:pStyle w:val="TableParagraph"/>
                              <w:spacing w:line="256" w:lineRule="exact" w:before="266"/>
                              <w:ind w:left="265"/>
                              <w:rPr>
                                <w:sz w:val="24"/>
                              </w:rPr>
                            </w:pPr>
                            <w:r>
                              <w:rPr>
                                <w:spacing w:val="-5"/>
                                <w:sz w:val="24"/>
                              </w:rPr>
                              <w:t>67</w:t>
                            </w:r>
                          </w:p>
                        </w:tc>
                        <w:tc>
                          <w:tcPr>
                            <w:tcW w:w="938" w:type="dxa"/>
                          </w:tcPr>
                          <w:p>
                            <w:pPr>
                              <w:pStyle w:val="TableParagraph"/>
                              <w:spacing w:line="256" w:lineRule="exact" w:before="266"/>
                              <w:ind w:left="340"/>
                              <w:rPr>
                                <w:sz w:val="24"/>
                              </w:rPr>
                            </w:pPr>
                            <w:r>
                              <w:rPr>
                                <w:spacing w:val="-5"/>
                                <w:sz w:val="24"/>
                              </w:rPr>
                              <w:t>573</w:t>
                            </w:r>
                          </w:p>
                        </w:tc>
                      </w:tr>
                      <w:tr>
                        <w:trPr>
                          <w:trHeight w:val="557" w:hRule="atLeast"/>
                        </w:trPr>
                        <w:tc>
                          <w:tcPr>
                            <w:tcW w:w="2353" w:type="dxa"/>
                          </w:tcPr>
                          <w:p>
                            <w:pPr>
                              <w:pStyle w:val="TableParagraph"/>
                              <w:spacing w:line="266" w:lineRule="exact"/>
                              <w:ind w:left="50"/>
                              <w:rPr>
                                <w:sz w:val="24"/>
                              </w:rPr>
                            </w:pPr>
                            <w:r>
                              <w:rPr>
                                <w:spacing w:val="-2"/>
                                <w:sz w:val="24"/>
                              </w:rPr>
                              <w:t>Others</w:t>
                            </w:r>
                          </w:p>
                          <w:p>
                            <w:pPr>
                              <w:pStyle w:val="TableParagraph"/>
                              <w:spacing w:line="261" w:lineRule="exact"/>
                              <w:ind w:left="50"/>
                              <w:rPr>
                                <w:b/>
                                <w:sz w:val="24"/>
                              </w:rPr>
                            </w:pPr>
                            <w:r>
                              <w:rPr>
                                <w:sz w:val="24"/>
                              </w:rPr>
                              <w:t>Teacher </w:t>
                            </w:r>
                            <w:r>
                              <w:rPr>
                                <w:spacing w:val="-2"/>
                                <w:sz w:val="24"/>
                              </w:rPr>
                              <w:t>Training</w:t>
                            </w:r>
                            <w:r>
                              <w:rPr>
                                <w:b/>
                                <w:spacing w:val="-2"/>
                                <w:sz w:val="24"/>
                                <w:vertAlign w:val="superscript"/>
                              </w:rPr>
                              <w:t>1,4</w:t>
                            </w:r>
                          </w:p>
                        </w:tc>
                        <w:tc>
                          <w:tcPr>
                            <w:tcW w:w="955" w:type="dxa"/>
                          </w:tcPr>
                          <w:p>
                            <w:pPr>
                              <w:pStyle w:val="TableParagraph"/>
                              <w:spacing w:line="266" w:lineRule="exact"/>
                              <w:ind w:left="445"/>
                              <w:rPr>
                                <w:sz w:val="24"/>
                              </w:rPr>
                            </w:pPr>
                            <w:r>
                              <w:rPr>
                                <w:spacing w:val="-5"/>
                                <w:sz w:val="24"/>
                              </w:rPr>
                              <w:t>181</w:t>
                            </w:r>
                          </w:p>
                        </w:tc>
                        <w:tc>
                          <w:tcPr>
                            <w:tcW w:w="917" w:type="dxa"/>
                          </w:tcPr>
                          <w:p>
                            <w:pPr>
                              <w:pStyle w:val="TableParagraph"/>
                              <w:spacing w:line="266" w:lineRule="exact"/>
                              <w:ind w:right="404"/>
                              <w:jc w:val="right"/>
                              <w:rPr>
                                <w:sz w:val="24"/>
                              </w:rPr>
                            </w:pPr>
                            <w:r>
                              <w:rPr>
                                <w:spacing w:val="-5"/>
                                <w:sz w:val="24"/>
                              </w:rPr>
                              <w:t>42</w:t>
                            </w:r>
                          </w:p>
                        </w:tc>
                        <w:tc>
                          <w:tcPr>
                            <w:tcW w:w="978" w:type="dxa"/>
                          </w:tcPr>
                          <w:p>
                            <w:pPr>
                              <w:pStyle w:val="TableParagraph"/>
                              <w:spacing w:line="266" w:lineRule="exact"/>
                              <w:ind w:right="210"/>
                              <w:jc w:val="right"/>
                              <w:rPr>
                                <w:sz w:val="24"/>
                              </w:rPr>
                            </w:pPr>
                            <w:r>
                              <w:rPr>
                                <w:spacing w:val="-5"/>
                                <w:sz w:val="24"/>
                              </w:rPr>
                              <w:t>701</w:t>
                            </w:r>
                          </w:p>
                        </w:tc>
                        <w:tc>
                          <w:tcPr>
                            <w:tcW w:w="916" w:type="dxa"/>
                          </w:tcPr>
                          <w:p>
                            <w:pPr>
                              <w:pStyle w:val="TableParagraph"/>
                              <w:spacing w:line="266" w:lineRule="exact"/>
                              <w:ind w:right="346"/>
                              <w:jc w:val="right"/>
                              <w:rPr>
                                <w:sz w:val="24"/>
                              </w:rPr>
                            </w:pPr>
                            <w:r>
                              <w:rPr>
                                <w:spacing w:val="-5"/>
                                <w:sz w:val="24"/>
                              </w:rPr>
                              <w:t>151</w:t>
                            </w:r>
                          </w:p>
                        </w:tc>
                        <w:tc>
                          <w:tcPr>
                            <w:tcW w:w="938" w:type="dxa"/>
                          </w:tcPr>
                          <w:p>
                            <w:pPr>
                              <w:pStyle w:val="TableParagraph"/>
                              <w:spacing w:line="266" w:lineRule="exact"/>
                              <w:ind w:left="342"/>
                              <w:rPr>
                                <w:sz w:val="24"/>
                              </w:rPr>
                            </w:pPr>
                            <w:r>
                              <w:rPr>
                                <w:spacing w:val="-2"/>
                                <w:sz w:val="24"/>
                              </w:rPr>
                              <w:t>1,438</w:t>
                            </w:r>
                          </w:p>
                        </w:tc>
                      </w:tr>
                      <w:tr>
                        <w:trPr>
                          <w:trHeight w:val="270" w:hRule="atLeast"/>
                        </w:trPr>
                        <w:tc>
                          <w:tcPr>
                            <w:tcW w:w="2353" w:type="dxa"/>
                          </w:tcPr>
                          <w:p>
                            <w:pPr>
                              <w:pStyle w:val="TableParagraph"/>
                              <w:spacing w:line="251" w:lineRule="exact"/>
                              <w:ind w:left="50"/>
                              <w:rPr>
                                <w:sz w:val="24"/>
                              </w:rPr>
                            </w:pPr>
                            <w:r>
                              <w:rPr>
                                <w:sz w:val="24"/>
                              </w:rPr>
                              <w:t>(all</w:t>
                            </w:r>
                            <w:r>
                              <w:rPr>
                                <w:spacing w:val="-1"/>
                                <w:sz w:val="24"/>
                              </w:rPr>
                              <w:t> </w:t>
                            </w:r>
                            <w:r>
                              <w:rPr>
                                <w:sz w:val="24"/>
                              </w:rPr>
                              <w:t>non-</w:t>
                            </w:r>
                            <w:r>
                              <w:rPr>
                                <w:spacing w:val="-2"/>
                                <w:sz w:val="24"/>
                              </w:rPr>
                              <w:t>graduate)</w:t>
                            </w:r>
                          </w:p>
                        </w:tc>
                        <w:tc>
                          <w:tcPr>
                            <w:tcW w:w="955" w:type="dxa"/>
                          </w:tcPr>
                          <w:p>
                            <w:pPr>
                              <w:pStyle w:val="TableParagraph"/>
                              <w:spacing w:line="251" w:lineRule="exact"/>
                              <w:ind w:left="445"/>
                              <w:rPr>
                                <w:sz w:val="24"/>
                              </w:rPr>
                            </w:pPr>
                            <w:r>
                              <w:rPr>
                                <w:spacing w:val="-5"/>
                                <w:sz w:val="24"/>
                              </w:rPr>
                              <w:t>123</w:t>
                            </w:r>
                          </w:p>
                        </w:tc>
                        <w:tc>
                          <w:tcPr>
                            <w:tcW w:w="917" w:type="dxa"/>
                          </w:tcPr>
                          <w:p>
                            <w:pPr>
                              <w:pStyle w:val="TableParagraph"/>
                              <w:spacing w:line="251" w:lineRule="exact"/>
                              <w:ind w:right="405"/>
                              <w:jc w:val="right"/>
                              <w:rPr>
                                <w:sz w:val="24"/>
                              </w:rPr>
                            </w:pPr>
                            <w:r>
                              <w:rPr>
                                <w:spacing w:val="-5"/>
                                <w:sz w:val="24"/>
                              </w:rPr>
                              <w:t>75</w:t>
                            </w:r>
                          </w:p>
                        </w:tc>
                        <w:tc>
                          <w:tcPr>
                            <w:tcW w:w="978" w:type="dxa"/>
                          </w:tcPr>
                          <w:p>
                            <w:pPr>
                              <w:pStyle w:val="TableParagraph"/>
                              <w:spacing w:line="251" w:lineRule="exact"/>
                              <w:ind w:right="210"/>
                              <w:jc w:val="right"/>
                              <w:rPr>
                                <w:sz w:val="24"/>
                              </w:rPr>
                            </w:pPr>
                            <w:r>
                              <w:rPr>
                                <w:spacing w:val="-5"/>
                                <w:sz w:val="24"/>
                              </w:rPr>
                              <w:t>453</w:t>
                            </w:r>
                          </w:p>
                        </w:tc>
                        <w:tc>
                          <w:tcPr>
                            <w:tcW w:w="916" w:type="dxa"/>
                          </w:tcPr>
                          <w:p>
                            <w:pPr>
                              <w:pStyle w:val="TableParagraph"/>
                              <w:spacing w:line="251" w:lineRule="exact"/>
                              <w:ind w:right="347"/>
                              <w:jc w:val="right"/>
                              <w:rPr>
                                <w:sz w:val="24"/>
                              </w:rPr>
                            </w:pPr>
                            <w:r>
                              <w:rPr>
                                <w:spacing w:val="-5"/>
                                <w:sz w:val="24"/>
                              </w:rPr>
                              <w:t>211</w:t>
                            </w:r>
                          </w:p>
                        </w:tc>
                        <w:tc>
                          <w:tcPr>
                            <w:tcW w:w="938" w:type="dxa"/>
                          </w:tcPr>
                          <w:p>
                            <w:pPr>
                              <w:pStyle w:val="TableParagraph"/>
                              <w:spacing w:line="251" w:lineRule="exact"/>
                              <w:ind w:left="341"/>
                              <w:rPr>
                                <w:sz w:val="24"/>
                              </w:rPr>
                            </w:pPr>
                            <w:r>
                              <w:rPr>
                                <w:spacing w:val="-5"/>
                                <w:sz w:val="24"/>
                              </w:rPr>
                              <w:t>402</w:t>
                            </w:r>
                          </w:p>
                        </w:tc>
                      </w:tr>
                    </w:tbl>
                    <w:p>
                      <w:pPr>
                        <w:pStyle w:val="BodyText"/>
                      </w:pPr>
                    </w:p>
                  </w:txbxContent>
                </v:textbox>
                <w10:wrap type="none"/>
              </v:shape>
            </w:pict>
          </mc:Fallback>
        </mc:AlternateContent>
      </w:r>
      <w:r>
        <w:rPr>
          <w:spacing w:val="-5"/>
        </w:rPr>
        <w:t>139</w:t>
      </w:r>
    </w:p>
    <w:p>
      <w:pPr>
        <w:pStyle w:val="BodyText"/>
        <w:ind w:left="7711"/>
      </w:pPr>
      <w:r>
        <w:rPr>
          <w:spacing w:val="-5"/>
        </w:rPr>
        <w:t>310</w:t>
      </w:r>
    </w:p>
    <w:p>
      <w:pPr>
        <w:pStyle w:val="BodyText"/>
      </w:pPr>
    </w:p>
    <w:p>
      <w:pPr>
        <w:pStyle w:val="BodyText"/>
        <w:spacing w:before="1"/>
        <w:ind w:left="7530"/>
      </w:pPr>
      <w:r>
        <w:rPr/>
        <mc:AlternateContent>
          <mc:Choice Requires="wps">
            <w:drawing>
              <wp:anchor distT="0" distB="0" distL="0" distR="0" allowOverlap="1" layoutInCell="1" locked="0" behindDoc="1" simplePos="0" relativeHeight="480874496">
                <wp:simplePos x="0" y="0"/>
                <wp:positionH relativeFrom="page">
                  <wp:posOffset>1143000</wp:posOffset>
                </wp:positionH>
                <wp:positionV relativeFrom="paragraph">
                  <wp:posOffset>651822</wp:posOffset>
                </wp:positionV>
                <wp:extent cx="5486400" cy="19050"/>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486400" cy="19050"/>
                          <a:chExt cx="5486400" cy="19050"/>
                        </a:xfrm>
                      </wpg:grpSpPr>
                      <wps:wsp>
                        <wps:cNvPr id="285" name="Graphic 28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86" name="Graphic 286"/>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287" name="Graphic 287"/>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288" name="Graphic 288"/>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289" name="Graphic 289"/>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90" name="Graphic 290"/>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291" name="Graphic 291"/>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51.324638pt;width:432pt;height:1.5pt;mso-position-horizontal-relative:page;mso-position-vertical-relative:paragraph;z-index:-22441984" id="docshapegroup276" coordorigin="1800,1026" coordsize="8640,30">
                <v:rect style="position:absolute;left:1800;top:1026;width:8640;height:30" id="docshape277" filled="true" fillcolor="#808080" stroked="false">
                  <v:fill type="solid"/>
                </v:rect>
                <v:shape style="position:absolute;left:1800;top:1026;width:8636;height:5" id="docshape278" coordorigin="1800,1026" coordsize="8636,5" path="m10435,1026l1805,1026,1800,1026,1800,1031,1805,1031,10435,1031,10435,1026xe" filled="true" fillcolor="#aca89a" stroked="false">
                  <v:path arrowok="t"/>
                  <v:fill type="solid"/>
                </v:shape>
                <v:rect style="position:absolute;left:10435;top:1026;width:5;height:5" id="docshape279" filled="true" fillcolor="#f1efe2" stroked="false">
                  <v:fill type="solid"/>
                </v:rect>
                <v:shape style="position:absolute;left:1800;top:1026;width:8640;height:26" id="docshape280" coordorigin="1800,1026" coordsize="8640,26" path="m1805,1031l1800,1031,1800,1052,1805,1052,1805,1031xm10440,1026l10435,1026,10435,1031,10440,1031,10440,1026xe" filled="true" fillcolor="#aca89a" stroked="false">
                  <v:path arrowok="t"/>
                  <v:fill type="solid"/>
                </v:shape>
                <v:rect style="position:absolute;left:10435;top:1031;width:5;height:21" id="docshape281" filled="true" fillcolor="#f1efe2" stroked="false">
                  <v:fill type="solid"/>
                </v:rect>
                <v:rect style="position:absolute;left:1800;top:1051;width:5;height:5" id="docshape282" filled="true" fillcolor="#aca89a" stroked="false">
                  <v:fill type="solid"/>
                </v:rect>
                <v:shape style="position:absolute;left:1800;top:1051;width:8640;height:5" id="docshape283" coordorigin="1800,1052" coordsize="8640,5" path="m10440,1052l10435,1052,1800,1052,1800,1056,10435,1056,10440,1056,10440,1052xe" filled="true" fillcolor="#f1efe2" stroked="false">
                  <v:path arrowok="t"/>
                  <v:fill type="solid"/>
                </v:shape>
                <w10:wrap type="none"/>
              </v:group>
            </w:pict>
          </mc:Fallback>
        </mc:AlternateContent>
      </w:r>
      <w:r>
        <w:rPr>
          <w:spacing w:val="-5"/>
        </w:rPr>
        <w:t>169</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4"/>
        <w:gridCol w:w="657"/>
        <w:gridCol w:w="945"/>
        <w:gridCol w:w="1004"/>
        <w:gridCol w:w="914"/>
        <w:gridCol w:w="1005"/>
        <w:gridCol w:w="829"/>
      </w:tblGrid>
      <w:tr>
        <w:trPr>
          <w:trHeight w:val="309" w:hRule="atLeast"/>
        </w:trPr>
        <w:tc>
          <w:tcPr>
            <w:tcW w:w="2714" w:type="dxa"/>
          </w:tcPr>
          <w:p>
            <w:pPr>
              <w:pStyle w:val="TableParagraph"/>
              <w:ind w:left="50"/>
              <w:rPr>
                <w:b/>
                <w:sz w:val="24"/>
              </w:rPr>
            </w:pPr>
            <w:r>
              <w:rPr>
                <w:sz w:val="24"/>
              </w:rPr>
              <w:t>TOTAL</w:t>
            </w:r>
            <w:r>
              <w:rPr>
                <w:spacing w:val="-4"/>
                <w:sz w:val="24"/>
              </w:rPr>
              <w:t> </w:t>
            </w:r>
            <w:r>
              <w:rPr>
                <w:spacing w:val="-2"/>
                <w:sz w:val="24"/>
              </w:rPr>
              <w:t>SCHOOL</w:t>
            </w:r>
            <w:r>
              <w:rPr>
                <w:b/>
                <w:spacing w:val="-2"/>
                <w:sz w:val="24"/>
                <w:vertAlign w:val="superscript"/>
              </w:rPr>
              <w:t>1</w:t>
            </w:r>
          </w:p>
        </w:tc>
        <w:tc>
          <w:tcPr>
            <w:tcW w:w="657" w:type="dxa"/>
          </w:tcPr>
          <w:p>
            <w:pPr>
              <w:pStyle w:val="TableParagraph"/>
              <w:ind w:right="128"/>
              <w:jc w:val="center"/>
              <w:rPr>
                <w:sz w:val="24"/>
              </w:rPr>
            </w:pPr>
            <w:r>
              <w:rPr>
                <w:spacing w:val="-5"/>
                <w:sz w:val="24"/>
              </w:rPr>
              <w:t>350</w:t>
            </w:r>
          </w:p>
        </w:tc>
        <w:tc>
          <w:tcPr>
            <w:tcW w:w="945" w:type="dxa"/>
          </w:tcPr>
          <w:p>
            <w:pPr>
              <w:pStyle w:val="TableParagraph"/>
              <w:ind w:left="146"/>
              <w:rPr>
                <w:sz w:val="24"/>
              </w:rPr>
            </w:pPr>
            <w:r>
              <w:rPr>
                <w:spacing w:val="-5"/>
                <w:sz w:val="24"/>
              </w:rPr>
              <w:t>127</w:t>
            </w:r>
          </w:p>
        </w:tc>
        <w:tc>
          <w:tcPr>
            <w:tcW w:w="1004" w:type="dxa"/>
          </w:tcPr>
          <w:p>
            <w:pPr>
              <w:pStyle w:val="TableParagraph"/>
              <w:ind w:right="147"/>
              <w:jc w:val="right"/>
              <w:rPr>
                <w:sz w:val="24"/>
              </w:rPr>
            </w:pPr>
            <w:r>
              <w:rPr>
                <w:spacing w:val="-2"/>
                <w:sz w:val="24"/>
              </w:rPr>
              <w:t>1,451</w:t>
            </w:r>
          </w:p>
        </w:tc>
        <w:tc>
          <w:tcPr>
            <w:tcW w:w="914" w:type="dxa"/>
          </w:tcPr>
          <w:p>
            <w:pPr>
              <w:pStyle w:val="TableParagraph"/>
              <w:ind w:left="57" w:right="68"/>
              <w:jc w:val="center"/>
              <w:rPr>
                <w:sz w:val="24"/>
              </w:rPr>
            </w:pPr>
            <w:r>
              <w:rPr>
                <w:spacing w:val="-5"/>
                <w:sz w:val="24"/>
              </w:rPr>
              <w:t>429</w:t>
            </w:r>
          </w:p>
        </w:tc>
        <w:tc>
          <w:tcPr>
            <w:tcW w:w="1005" w:type="dxa"/>
          </w:tcPr>
          <w:p>
            <w:pPr>
              <w:pStyle w:val="TableParagraph"/>
              <w:ind w:right="7"/>
              <w:jc w:val="center"/>
              <w:rPr>
                <w:sz w:val="24"/>
              </w:rPr>
            </w:pPr>
            <w:r>
              <w:rPr>
                <w:spacing w:val="-2"/>
                <w:sz w:val="24"/>
              </w:rPr>
              <w:t>2,413</w:t>
            </w:r>
          </w:p>
        </w:tc>
        <w:tc>
          <w:tcPr>
            <w:tcW w:w="829" w:type="dxa"/>
          </w:tcPr>
          <w:p>
            <w:pPr>
              <w:pStyle w:val="TableParagraph"/>
              <w:ind w:left="257"/>
              <w:jc w:val="center"/>
              <w:rPr>
                <w:sz w:val="24"/>
              </w:rPr>
            </w:pPr>
            <w:r>
              <w:rPr>
                <w:spacing w:val="-5"/>
                <w:sz w:val="24"/>
              </w:rPr>
              <w:t>618</w:t>
            </w:r>
          </w:p>
        </w:tc>
      </w:tr>
      <w:tr>
        <w:trPr>
          <w:trHeight w:val="483" w:hRule="atLeast"/>
        </w:trPr>
        <w:tc>
          <w:tcPr>
            <w:tcW w:w="2714" w:type="dxa"/>
          </w:tcPr>
          <w:p>
            <w:pPr>
              <w:pStyle w:val="TableParagraph"/>
              <w:spacing w:line="242" w:lineRule="exact"/>
              <w:ind w:left="50"/>
              <w:rPr>
                <w:sz w:val="24"/>
              </w:rPr>
            </w:pPr>
            <w:r>
              <w:rPr>
                <w:sz w:val="24"/>
              </w:rPr>
              <w:t>TOTAL</w:t>
            </w:r>
            <w:r>
              <w:rPr>
                <w:spacing w:val="-4"/>
                <w:sz w:val="24"/>
              </w:rPr>
              <w:t> </w:t>
            </w:r>
            <w:r>
              <w:rPr>
                <w:spacing w:val="-2"/>
                <w:sz w:val="24"/>
              </w:rPr>
              <w:t>INTERMEDIATE</w:t>
            </w:r>
          </w:p>
        </w:tc>
        <w:tc>
          <w:tcPr>
            <w:tcW w:w="657" w:type="dxa"/>
          </w:tcPr>
          <w:p>
            <w:pPr>
              <w:pStyle w:val="TableParagraph"/>
              <w:spacing w:line="242" w:lineRule="exact"/>
              <w:ind w:right="54"/>
              <w:jc w:val="center"/>
              <w:rPr>
                <w:sz w:val="24"/>
              </w:rPr>
            </w:pPr>
            <w:r>
              <w:rPr>
                <w:spacing w:val="-2"/>
                <w:sz w:val="24"/>
              </w:rPr>
              <w:t>1,072</w:t>
            </w:r>
          </w:p>
        </w:tc>
        <w:tc>
          <w:tcPr>
            <w:tcW w:w="945" w:type="dxa"/>
          </w:tcPr>
          <w:p>
            <w:pPr>
              <w:pStyle w:val="TableParagraph"/>
              <w:spacing w:line="242" w:lineRule="exact"/>
              <w:ind w:left="273"/>
              <w:rPr>
                <w:sz w:val="24"/>
              </w:rPr>
            </w:pPr>
            <w:r>
              <w:rPr>
                <w:spacing w:val="-5"/>
                <w:sz w:val="24"/>
              </w:rPr>
              <w:t>370</w:t>
            </w:r>
          </w:p>
        </w:tc>
        <w:tc>
          <w:tcPr>
            <w:tcW w:w="1004" w:type="dxa"/>
          </w:tcPr>
          <w:p>
            <w:pPr>
              <w:pStyle w:val="TableParagraph"/>
              <w:spacing w:line="242" w:lineRule="exact"/>
              <w:ind w:right="146"/>
              <w:jc w:val="right"/>
              <w:rPr>
                <w:sz w:val="24"/>
              </w:rPr>
            </w:pPr>
            <w:r>
              <w:rPr>
                <w:spacing w:val="-2"/>
                <w:sz w:val="24"/>
              </w:rPr>
              <w:t>3,627</w:t>
            </w:r>
          </w:p>
        </w:tc>
        <w:tc>
          <w:tcPr>
            <w:tcW w:w="914" w:type="dxa"/>
          </w:tcPr>
          <w:p>
            <w:pPr>
              <w:pStyle w:val="TableParagraph"/>
              <w:spacing w:line="242" w:lineRule="exact"/>
              <w:ind w:right="68"/>
              <w:jc w:val="center"/>
              <w:rPr>
                <w:sz w:val="24"/>
              </w:rPr>
            </w:pPr>
            <w:r>
              <w:rPr>
                <w:spacing w:val="-2"/>
                <w:sz w:val="24"/>
              </w:rPr>
              <w:t>1,178</w:t>
            </w:r>
          </w:p>
        </w:tc>
        <w:tc>
          <w:tcPr>
            <w:tcW w:w="1005" w:type="dxa"/>
          </w:tcPr>
          <w:p>
            <w:pPr>
              <w:pStyle w:val="TableParagraph"/>
              <w:spacing w:line="242" w:lineRule="exact"/>
              <w:ind w:left="2" w:right="7"/>
              <w:jc w:val="center"/>
              <w:rPr>
                <w:sz w:val="24"/>
              </w:rPr>
            </w:pPr>
            <w:r>
              <w:rPr>
                <w:spacing w:val="-2"/>
                <w:sz w:val="24"/>
              </w:rPr>
              <w:t>6,873</w:t>
            </w:r>
          </w:p>
        </w:tc>
        <w:tc>
          <w:tcPr>
            <w:tcW w:w="829" w:type="dxa"/>
          </w:tcPr>
          <w:p>
            <w:pPr>
              <w:pStyle w:val="TableParagraph"/>
              <w:spacing w:line="242" w:lineRule="exact"/>
              <w:ind w:left="199"/>
              <w:jc w:val="center"/>
              <w:rPr>
                <w:sz w:val="24"/>
              </w:rPr>
            </w:pPr>
            <w:r>
              <w:rPr>
                <w:spacing w:val="-2"/>
                <w:sz w:val="24"/>
              </w:rPr>
              <w:t>2,155</w:t>
            </w:r>
          </w:p>
        </w:tc>
      </w:tr>
      <w:tr>
        <w:trPr>
          <w:trHeight w:val="483" w:hRule="atLeast"/>
        </w:trPr>
        <w:tc>
          <w:tcPr>
            <w:tcW w:w="2714" w:type="dxa"/>
          </w:tcPr>
          <w:p>
            <w:pPr>
              <w:pStyle w:val="TableParagraph"/>
              <w:spacing w:before="37"/>
              <w:ind w:left="49"/>
              <w:rPr>
                <w:b/>
                <w:sz w:val="24"/>
              </w:rPr>
            </w:pPr>
            <w:r>
              <w:rPr>
                <w:b/>
                <w:sz w:val="24"/>
              </w:rPr>
              <w:t>Undergraduate </w:t>
            </w:r>
            <w:r>
              <w:rPr>
                <w:b/>
                <w:spacing w:val="-2"/>
                <w:sz w:val="24"/>
              </w:rPr>
              <w:t>level</w:t>
            </w:r>
          </w:p>
        </w:tc>
        <w:tc>
          <w:tcPr>
            <w:tcW w:w="657" w:type="dxa"/>
          </w:tcPr>
          <w:p>
            <w:pPr>
              <w:pStyle w:val="TableParagraph"/>
              <w:rPr>
                <w:sz w:val="22"/>
              </w:rPr>
            </w:pPr>
          </w:p>
        </w:tc>
        <w:tc>
          <w:tcPr>
            <w:tcW w:w="945" w:type="dxa"/>
          </w:tcPr>
          <w:p>
            <w:pPr>
              <w:pStyle w:val="TableParagraph"/>
              <w:rPr>
                <w:sz w:val="22"/>
              </w:rPr>
            </w:pPr>
          </w:p>
        </w:tc>
        <w:tc>
          <w:tcPr>
            <w:tcW w:w="1918" w:type="dxa"/>
            <w:gridSpan w:val="2"/>
          </w:tcPr>
          <w:p>
            <w:pPr>
              <w:pStyle w:val="TableParagraph"/>
              <w:rPr>
                <w:sz w:val="22"/>
              </w:rPr>
            </w:pPr>
          </w:p>
        </w:tc>
        <w:tc>
          <w:tcPr>
            <w:tcW w:w="1834" w:type="dxa"/>
            <w:gridSpan w:val="2"/>
          </w:tcPr>
          <w:p>
            <w:pPr>
              <w:pStyle w:val="TableParagraph"/>
              <w:rPr>
                <w:sz w:val="22"/>
              </w:rPr>
            </w:pPr>
          </w:p>
        </w:tc>
      </w:tr>
      <w:tr>
        <w:trPr>
          <w:trHeight w:val="412" w:hRule="atLeast"/>
        </w:trPr>
        <w:tc>
          <w:tcPr>
            <w:tcW w:w="2714" w:type="dxa"/>
          </w:tcPr>
          <w:p>
            <w:pPr>
              <w:pStyle w:val="TableParagraph"/>
              <w:spacing w:before="103"/>
              <w:ind w:left="49"/>
              <w:rPr>
                <w:sz w:val="24"/>
              </w:rPr>
            </w:pPr>
            <w:r>
              <w:rPr>
                <w:sz w:val="24"/>
              </w:rPr>
              <w:t>First</w:t>
            </w:r>
            <w:r>
              <w:rPr>
                <w:spacing w:val="-2"/>
                <w:sz w:val="24"/>
              </w:rPr>
              <w:t> </w:t>
            </w:r>
            <w:r>
              <w:rPr>
                <w:sz w:val="24"/>
              </w:rPr>
              <w:t>degree</w:t>
            </w:r>
            <w:r>
              <w:rPr>
                <w:spacing w:val="-2"/>
                <w:sz w:val="24"/>
              </w:rPr>
              <w:t> </w:t>
            </w:r>
            <w:r>
              <w:rPr>
                <w:spacing w:val="-10"/>
                <w:sz w:val="24"/>
              </w:rPr>
              <w:t>:</w:t>
            </w:r>
          </w:p>
        </w:tc>
        <w:tc>
          <w:tcPr>
            <w:tcW w:w="657" w:type="dxa"/>
          </w:tcPr>
          <w:p>
            <w:pPr>
              <w:pStyle w:val="TableParagraph"/>
              <w:rPr>
                <w:sz w:val="22"/>
              </w:rPr>
            </w:pPr>
          </w:p>
        </w:tc>
        <w:tc>
          <w:tcPr>
            <w:tcW w:w="945" w:type="dxa"/>
          </w:tcPr>
          <w:p>
            <w:pPr>
              <w:pStyle w:val="TableParagraph"/>
              <w:rPr>
                <w:sz w:val="22"/>
              </w:rPr>
            </w:pPr>
          </w:p>
        </w:tc>
        <w:tc>
          <w:tcPr>
            <w:tcW w:w="1918" w:type="dxa"/>
            <w:gridSpan w:val="2"/>
          </w:tcPr>
          <w:p>
            <w:pPr>
              <w:pStyle w:val="TableParagraph"/>
              <w:rPr>
                <w:sz w:val="22"/>
              </w:rPr>
            </w:pPr>
          </w:p>
        </w:tc>
        <w:tc>
          <w:tcPr>
            <w:tcW w:w="1834" w:type="dxa"/>
            <w:gridSpan w:val="2"/>
          </w:tcPr>
          <w:p>
            <w:pPr>
              <w:pStyle w:val="TableParagraph"/>
              <w:rPr>
                <w:sz w:val="22"/>
              </w:rPr>
            </w:pPr>
          </w:p>
        </w:tc>
      </w:tr>
      <w:tr>
        <w:trPr>
          <w:trHeight w:val="275" w:hRule="atLeast"/>
        </w:trPr>
        <w:tc>
          <w:tcPr>
            <w:tcW w:w="2714" w:type="dxa"/>
          </w:tcPr>
          <w:p>
            <w:pPr>
              <w:pStyle w:val="TableParagraph"/>
              <w:spacing w:line="242" w:lineRule="exact"/>
              <w:ind w:left="49"/>
              <w:rPr>
                <w:sz w:val="24"/>
              </w:rPr>
            </w:pPr>
            <w:r>
              <w:rPr>
                <w:sz w:val="24"/>
              </w:rPr>
              <w:t>Years I, </w:t>
            </w:r>
            <w:r>
              <w:rPr>
                <w:spacing w:val="-5"/>
                <w:sz w:val="24"/>
              </w:rPr>
              <w:t>II,</w:t>
            </w:r>
          </w:p>
        </w:tc>
        <w:tc>
          <w:tcPr>
            <w:tcW w:w="657" w:type="dxa"/>
          </w:tcPr>
          <w:p>
            <w:pPr>
              <w:pStyle w:val="TableParagraph"/>
              <w:rPr>
                <w:sz w:val="20"/>
              </w:rPr>
            </w:pPr>
          </w:p>
        </w:tc>
        <w:tc>
          <w:tcPr>
            <w:tcW w:w="945" w:type="dxa"/>
          </w:tcPr>
          <w:p>
            <w:pPr>
              <w:pStyle w:val="TableParagraph"/>
              <w:rPr>
                <w:sz w:val="20"/>
              </w:rPr>
            </w:pPr>
          </w:p>
        </w:tc>
        <w:tc>
          <w:tcPr>
            <w:tcW w:w="1918" w:type="dxa"/>
            <w:gridSpan w:val="2"/>
          </w:tcPr>
          <w:p>
            <w:pPr>
              <w:pStyle w:val="TableParagraph"/>
              <w:rPr>
                <w:sz w:val="20"/>
              </w:rPr>
            </w:pPr>
          </w:p>
        </w:tc>
        <w:tc>
          <w:tcPr>
            <w:tcW w:w="1834" w:type="dxa"/>
            <w:gridSpan w:val="2"/>
          </w:tcPr>
          <w:p>
            <w:pPr>
              <w:pStyle w:val="TableParagraph"/>
              <w:rPr>
                <w:sz w:val="20"/>
              </w:rPr>
            </w:pPr>
          </w:p>
        </w:tc>
      </w:tr>
      <w:tr>
        <w:trPr>
          <w:trHeight w:val="256" w:hRule="atLeast"/>
        </w:trPr>
        <w:tc>
          <w:tcPr>
            <w:tcW w:w="2714" w:type="dxa"/>
          </w:tcPr>
          <w:p>
            <w:pPr>
              <w:pStyle w:val="TableParagraph"/>
              <w:spacing w:line="228" w:lineRule="exact"/>
              <w:ind w:left="49"/>
              <w:rPr>
                <w:sz w:val="24"/>
              </w:rPr>
            </w:pPr>
            <w:r>
              <w:rPr>
                <w:sz w:val="24"/>
              </w:rPr>
              <w:t>III and </w:t>
            </w:r>
            <w:r>
              <w:rPr>
                <w:spacing w:val="-5"/>
                <w:sz w:val="24"/>
              </w:rPr>
              <w:t>IV</w:t>
            </w:r>
          </w:p>
        </w:tc>
        <w:tc>
          <w:tcPr>
            <w:tcW w:w="657" w:type="dxa"/>
          </w:tcPr>
          <w:p>
            <w:pPr>
              <w:pStyle w:val="TableParagraph"/>
              <w:spacing w:line="228" w:lineRule="exact"/>
              <w:ind w:left="1" w:right="128"/>
              <w:jc w:val="center"/>
              <w:rPr>
                <w:sz w:val="24"/>
              </w:rPr>
            </w:pPr>
            <w:r>
              <w:rPr>
                <w:spacing w:val="-5"/>
                <w:sz w:val="24"/>
              </w:rPr>
              <w:t>822</w:t>
            </w:r>
          </w:p>
        </w:tc>
        <w:tc>
          <w:tcPr>
            <w:tcW w:w="945" w:type="dxa"/>
          </w:tcPr>
          <w:p>
            <w:pPr>
              <w:pStyle w:val="TableParagraph"/>
              <w:spacing w:line="228" w:lineRule="exact"/>
              <w:ind w:left="146"/>
              <w:rPr>
                <w:sz w:val="24"/>
              </w:rPr>
            </w:pPr>
            <w:r>
              <w:rPr>
                <w:spacing w:val="-5"/>
                <w:sz w:val="24"/>
              </w:rPr>
              <w:t>96</w:t>
            </w:r>
          </w:p>
        </w:tc>
        <w:tc>
          <w:tcPr>
            <w:tcW w:w="1918" w:type="dxa"/>
            <w:gridSpan w:val="2"/>
          </w:tcPr>
          <w:p>
            <w:pPr>
              <w:pStyle w:val="TableParagraph"/>
              <w:tabs>
                <w:tab w:pos="914" w:val="left" w:leader="none"/>
              </w:tabs>
              <w:spacing w:line="228" w:lineRule="exact"/>
              <w:ind w:left="314"/>
              <w:rPr>
                <w:sz w:val="24"/>
              </w:rPr>
            </w:pPr>
            <w:r>
              <w:rPr>
                <w:spacing w:val="-5"/>
                <w:sz w:val="24"/>
              </w:rPr>
              <w:t>...</w:t>
            </w:r>
            <w:r>
              <w:rPr>
                <w:sz w:val="24"/>
              </w:rPr>
              <w:tab/>
            </w:r>
            <w:r>
              <w:rPr>
                <w:spacing w:val="-5"/>
                <w:sz w:val="24"/>
              </w:rPr>
              <w:t>...</w:t>
            </w:r>
          </w:p>
        </w:tc>
        <w:tc>
          <w:tcPr>
            <w:tcW w:w="1834" w:type="dxa"/>
            <w:gridSpan w:val="2"/>
          </w:tcPr>
          <w:p>
            <w:pPr>
              <w:pStyle w:val="TableParagraph"/>
              <w:tabs>
                <w:tab w:pos="1007" w:val="left" w:leader="none"/>
              </w:tabs>
              <w:spacing w:line="228" w:lineRule="exact"/>
              <w:ind w:left="227"/>
              <w:rPr>
                <w:sz w:val="24"/>
              </w:rPr>
            </w:pPr>
            <w:r>
              <w:rPr>
                <w:spacing w:val="-5"/>
                <w:sz w:val="24"/>
              </w:rPr>
              <w:t>...</w:t>
            </w:r>
            <w:r>
              <w:rPr>
                <w:sz w:val="24"/>
              </w:rPr>
              <w:tab/>
            </w:r>
            <w:r>
              <w:rPr>
                <w:spacing w:val="-5"/>
                <w:sz w:val="24"/>
              </w:rPr>
              <w:t>...</w:t>
            </w:r>
          </w:p>
        </w:tc>
      </w:tr>
      <w:tr>
        <w:trPr>
          <w:trHeight w:val="295" w:hRule="atLeast"/>
        </w:trPr>
        <w:tc>
          <w:tcPr>
            <w:tcW w:w="2714" w:type="dxa"/>
          </w:tcPr>
          <w:p>
            <w:pPr>
              <w:pStyle w:val="TableParagraph"/>
              <w:spacing w:line="262" w:lineRule="exact"/>
              <w:ind w:left="49"/>
              <w:rPr>
                <w:b/>
                <w:sz w:val="24"/>
              </w:rPr>
            </w:pPr>
            <w:r>
              <w:rPr>
                <w:spacing w:val="-2"/>
                <w:sz w:val="24"/>
              </w:rPr>
              <w:t>Professional</w:t>
            </w:r>
            <w:r>
              <w:rPr>
                <w:b/>
                <w:spacing w:val="-2"/>
                <w:sz w:val="24"/>
                <w:vertAlign w:val="superscript"/>
              </w:rPr>
              <w:t>3</w:t>
            </w:r>
          </w:p>
        </w:tc>
        <w:tc>
          <w:tcPr>
            <w:tcW w:w="657" w:type="dxa"/>
          </w:tcPr>
          <w:p>
            <w:pPr>
              <w:pStyle w:val="TableParagraph"/>
              <w:spacing w:line="262" w:lineRule="exact"/>
              <w:ind w:right="128"/>
              <w:jc w:val="center"/>
              <w:rPr>
                <w:sz w:val="24"/>
              </w:rPr>
            </w:pPr>
            <w:r>
              <w:rPr>
                <w:spacing w:val="-5"/>
                <w:sz w:val="24"/>
              </w:rPr>
              <w:t>174</w:t>
            </w:r>
          </w:p>
        </w:tc>
        <w:tc>
          <w:tcPr>
            <w:tcW w:w="945" w:type="dxa"/>
          </w:tcPr>
          <w:p>
            <w:pPr>
              <w:pStyle w:val="TableParagraph"/>
              <w:spacing w:line="262" w:lineRule="exact"/>
              <w:ind w:left="147"/>
              <w:rPr>
                <w:sz w:val="24"/>
              </w:rPr>
            </w:pPr>
            <w:r>
              <w:rPr>
                <w:spacing w:val="-5"/>
                <w:sz w:val="24"/>
              </w:rPr>
              <w:t>30</w:t>
            </w:r>
          </w:p>
        </w:tc>
        <w:tc>
          <w:tcPr>
            <w:tcW w:w="1918" w:type="dxa"/>
            <w:gridSpan w:val="2"/>
          </w:tcPr>
          <w:p>
            <w:pPr>
              <w:pStyle w:val="TableParagraph"/>
              <w:tabs>
                <w:tab w:pos="914" w:val="left" w:leader="none"/>
              </w:tabs>
              <w:spacing w:line="262" w:lineRule="exact"/>
              <w:ind w:left="314"/>
              <w:rPr>
                <w:sz w:val="24"/>
              </w:rPr>
            </w:pPr>
            <w:r>
              <w:rPr>
                <w:spacing w:val="-5"/>
                <w:sz w:val="24"/>
              </w:rPr>
              <w:t>...</w:t>
            </w:r>
            <w:r>
              <w:rPr>
                <w:sz w:val="24"/>
              </w:rPr>
              <w:tab/>
            </w:r>
            <w:r>
              <w:rPr>
                <w:spacing w:val="-5"/>
                <w:sz w:val="24"/>
              </w:rPr>
              <w:t>...</w:t>
            </w:r>
          </w:p>
        </w:tc>
        <w:tc>
          <w:tcPr>
            <w:tcW w:w="1834" w:type="dxa"/>
            <w:gridSpan w:val="2"/>
          </w:tcPr>
          <w:p>
            <w:pPr>
              <w:pStyle w:val="TableParagraph"/>
              <w:tabs>
                <w:tab w:pos="1007" w:val="left" w:leader="none"/>
              </w:tabs>
              <w:spacing w:line="262" w:lineRule="exact"/>
              <w:ind w:left="227"/>
              <w:rPr>
                <w:sz w:val="24"/>
              </w:rPr>
            </w:pPr>
            <w:r>
              <w:rPr>
                <w:spacing w:val="-5"/>
                <w:sz w:val="24"/>
              </w:rPr>
              <w:t>...</w:t>
            </w:r>
            <w:r>
              <w:rPr>
                <w:sz w:val="24"/>
              </w:rPr>
              <w:tab/>
            </w:r>
            <w:r>
              <w:rPr>
                <w:spacing w:val="-5"/>
                <w:sz w:val="24"/>
              </w:rPr>
              <w:t>...</w:t>
            </w:r>
          </w:p>
        </w:tc>
      </w:tr>
      <w:tr>
        <w:trPr>
          <w:trHeight w:val="270" w:hRule="atLeast"/>
        </w:trPr>
        <w:tc>
          <w:tcPr>
            <w:tcW w:w="2714" w:type="dxa"/>
          </w:tcPr>
          <w:p>
            <w:pPr>
              <w:pStyle w:val="TableParagraph"/>
              <w:spacing w:line="242" w:lineRule="exact"/>
              <w:ind w:left="50"/>
              <w:rPr>
                <w:sz w:val="24"/>
              </w:rPr>
            </w:pPr>
            <w:r>
              <w:rPr>
                <w:spacing w:val="-2"/>
                <w:sz w:val="24"/>
              </w:rPr>
              <w:t>TOTAL</w:t>
            </w:r>
          </w:p>
        </w:tc>
        <w:tc>
          <w:tcPr>
            <w:tcW w:w="657" w:type="dxa"/>
          </w:tcPr>
          <w:p>
            <w:pPr>
              <w:pStyle w:val="TableParagraph"/>
              <w:spacing w:line="242" w:lineRule="exact"/>
              <w:ind w:left="3" w:right="128"/>
              <w:jc w:val="center"/>
              <w:rPr>
                <w:sz w:val="24"/>
              </w:rPr>
            </w:pPr>
            <w:r>
              <w:rPr>
                <w:spacing w:val="-5"/>
                <w:sz w:val="24"/>
              </w:rPr>
              <w:t>996</w:t>
            </w:r>
          </w:p>
        </w:tc>
        <w:tc>
          <w:tcPr>
            <w:tcW w:w="945" w:type="dxa"/>
          </w:tcPr>
          <w:p>
            <w:pPr>
              <w:pStyle w:val="TableParagraph"/>
              <w:spacing w:line="242" w:lineRule="exact"/>
              <w:ind w:left="87"/>
              <w:rPr>
                <w:sz w:val="24"/>
              </w:rPr>
            </w:pPr>
            <w:r>
              <w:rPr>
                <w:spacing w:val="-5"/>
                <w:sz w:val="24"/>
              </w:rPr>
              <w:t>126</w:t>
            </w:r>
          </w:p>
        </w:tc>
        <w:tc>
          <w:tcPr>
            <w:tcW w:w="1918" w:type="dxa"/>
            <w:gridSpan w:val="2"/>
          </w:tcPr>
          <w:p>
            <w:pPr>
              <w:pStyle w:val="TableParagraph"/>
              <w:tabs>
                <w:tab w:pos="1215" w:val="left" w:leader="none"/>
              </w:tabs>
              <w:spacing w:line="242" w:lineRule="exact"/>
              <w:ind w:left="315"/>
              <w:rPr>
                <w:sz w:val="24"/>
              </w:rPr>
            </w:pPr>
            <w:r>
              <w:rPr>
                <w:spacing w:val="-2"/>
                <w:sz w:val="24"/>
              </w:rPr>
              <w:t>3,038</w:t>
            </w:r>
            <w:r>
              <w:rPr>
                <w:sz w:val="24"/>
              </w:rPr>
              <w:tab/>
            </w:r>
            <w:r>
              <w:rPr>
                <w:spacing w:val="-5"/>
                <w:sz w:val="24"/>
              </w:rPr>
              <w:t>377</w:t>
            </w:r>
          </w:p>
        </w:tc>
        <w:tc>
          <w:tcPr>
            <w:tcW w:w="1834" w:type="dxa"/>
            <w:gridSpan w:val="2"/>
          </w:tcPr>
          <w:p>
            <w:pPr>
              <w:pStyle w:val="TableParagraph"/>
              <w:tabs>
                <w:tab w:pos="1308" w:val="left" w:leader="none"/>
              </w:tabs>
              <w:spacing w:line="242" w:lineRule="exact"/>
              <w:ind w:left="228"/>
              <w:rPr>
                <w:sz w:val="24"/>
              </w:rPr>
            </w:pPr>
            <w:r>
              <w:rPr>
                <w:spacing w:val="-2"/>
                <w:sz w:val="24"/>
              </w:rPr>
              <w:t>6,216</w:t>
            </w:r>
            <w:r>
              <w:rPr>
                <w:sz w:val="24"/>
              </w:rPr>
              <w:tab/>
            </w:r>
            <w:r>
              <w:rPr>
                <w:spacing w:val="-5"/>
                <w:sz w:val="24"/>
              </w:rPr>
              <w:t>772</w:t>
            </w:r>
          </w:p>
        </w:tc>
      </w:tr>
    </w:tbl>
    <w:p>
      <w:pPr>
        <w:pStyle w:val="BodyText"/>
        <w:ind w:left="160"/>
        <w:rPr>
          <w:b/>
        </w:rPr>
      </w:pPr>
      <w:r>
        <w:rPr/>
        <w:t>TOTAL (ENROLMENTS </w:t>
      </w:r>
      <w:r>
        <w:rPr>
          <w:spacing w:val="-5"/>
        </w:rPr>
        <w:t>IN</w:t>
      </w:r>
      <w:r>
        <w:rPr>
          <w:b/>
          <w:spacing w:val="-5"/>
          <w:vertAlign w:val="superscript"/>
        </w:rPr>
        <w:t>6</w:t>
      </w:r>
    </w:p>
    <w:p>
      <w:pPr>
        <w:pStyle w:val="BodyText"/>
        <w:tabs>
          <w:tab w:pos="2908" w:val="left" w:leader="none"/>
          <w:tab w:pos="3568" w:val="left" w:leader="none"/>
          <w:tab w:pos="4740" w:val="left" w:leader="none"/>
          <w:tab w:pos="5460" w:val="left" w:leader="none"/>
          <w:tab w:pos="6572" w:val="left" w:leader="none"/>
          <w:tab w:pos="8012" w:val="right" w:leader="none"/>
        </w:tabs>
        <w:ind w:left="160"/>
      </w:pPr>
      <w:r>
        <w:rPr/>
        <w:t>YEARS III, IV </w:t>
      </w:r>
      <w:r>
        <w:rPr>
          <w:spacing w:val="-2"/>
        </w:rPr>
        <w:t>ONLY)</w:t>
      </w:r>
      <w:r>
        <w:rPr/>
        <w:tab/>
      </w:r>
      <w:r>
        <w:rPr>
          <w:spacing w:val="-5"/>
        </w:rPr>
        <w:t>320</w:t>
      </w:r>
      <w:r>
        <w:rPr/>
        <w:tab/>
      </w:r>
      <w:r>
        <w:rPr>
          <w:spacing w:val="-5"/>
        </w:rPr>
        <w:t>126</w:t>
      </w:r>
      <w:r>
        <w:rPr/>
        <w:tab/>
      </w:r>
      <w:r>
        <w:rPr>
          <w:spacing w:val="-5"/>
        </w:rPr>
        <w:t>972</w:t>
      </w:r>
      <w:r>
        <w:rPr/>
        <w:tab/>
      </w:r>
      <w:r>
        <w:rPr>
          <w:spacing w:val="-5"/>
        </w:rPr>
        <w:t>377</w:t>
      </w:r>
      <w:r>
        <w:rPr/>
        <w:tab/>
      </w:r>
      <w:r>
        <w:rPr>
          <w:spacing w:val="-2"/>
        </w:rPr>
        <w:t>2,985</w:t>
      </w:r>
      <w:r>
        <w:rPr/>
        <w:tab/>
      </w:r>
      <w:r>
        <w:rPr>
          <w:spacing w:val="-5"/>
        </w:rPr>
        <w:t>772</w:t>
      </w:r>
    </w:p>
    <w:p>
      <w:pPr>
        <w:pStyle w:val="BodyText"/>
        <w:spacing w:before="1"/>
        <w:rPr>
          <w:sz w:val="13"/>
        </w:rPr>
      </w:pPr>
      <w:r>
        <w:rPr/>
        <mc:AlternateContent>
          <mc:Choice Requires="wps">
            <w:drawing>
              <wp:anchor distT="0" distB="0" distL="0" distR="0" allowOverlap="1" layoutInCell="1" locked="0" behindDoc="1" simplePos="0" relativeHeight="487614464">
                <wp:simplePos x="0" y="0"/>
                <wp:positionH relativeFrom="page">
                  <wp:posOffset>1143000</wp:posOffset>
                </wp:positionH>
                <wp:positionV relativeFrom="paragraph">
                  <wp:posOffset>110848</wp:posOffset>
                </wp:positionV>
                <wp:extent cx="5486400" cy="19050"/>
                <wp:effectExtent l="0" t="0" r="0" b="0"/>
                <wp:wrapTopAndBottom/>
                <wp:docPr id="292" name="Group 292"/>
                <wp:cNvGraphicFramePr>
                  <a:graphicFrameLocks/>
                </wp:cNvGraphicFramePr>
                <a:graphic>
                  <a:graphicData uri="http://schemas.microsoft.com/office/word/2010/wordprocessingGroup">
                    <wpg:wgp>
                      <wpg:cNvPr id="292" name="Group 292"/>
                      <wpg:cNvGrpSpPr/>
                      <wpg:grpSpPr>
                        <a:xfrm>
                          <a:off x="0" y="0"/>
                          <a:ext cx="5486400" cy="19050"/>
                          <a:chExt cx="5486400" cy="19050"/>
                        </a:xfrm>
                      </wpg:grpSpPr>
                      <wps:wsp>
                        <wps:cNvPr id="293" name="Graphic 29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294" name="Graphic 294"/>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295" name="Graphic 295"/>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296" name="Graphic 296"/>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297" name="Graphic 297"/>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298" name="Graphic 298"/>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299" name="Graphic 299"/>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8.728203pt;width:432pt;height:1.5pt;mso-position-horizontal-relative:page;mso-position-vertical-relative:paragraph;z-index:-15702016;mso-wrap-distance-left:0;mso-wrap-distance-right:0" id="docshapegroup284" coordorigin="1800,175" coordsize="8640,30">
                <v:rect style="position:absolute;left:1800;top:174;width:8640;height:30" id="docshape285" filled="true" fillcolor="#808080" stroked="false">
                  <v:fill type="solid"/>
                </v:rect>
                <v:shape style="position:absolute;left:1800;top:174;width:8636;height:5" id="docshape286" coordorigin="1800,175" coordsize="8636,5" path="m10435,175l1805,175,1800,175,1800,179,1805,179,10435,179,10435,175xe" filled="true" fillcolor="#aca89a" stroked="false">
                  <v:path arrowok="t"/>
                  <v:fill type="solid"/>
                </v:shape>
                <v:rect style="position:absolute;left:10435;top:174;width:5;height:5" id="docshape287" filled="true" fillcolor="#f1efe2" stroked="false">
                  <v:fill type="solid"/>
                </v:rect>
                <v:shape style="position:absolute;left:1800;top:174;width:8640;height:26" id="docshape288" coordorigin="1800,175" coordsize="8640,26" path="m1805,179l1800,179,1800,200,1805,200,1805,179xm10440,175l10435,175,10435,179,10440,179,10440,175xe" filled="true" fillcolor="#aca89a" stroked="false">
                  <v:path arrowok="t"/>
                  <v:fill type="solid"/>
                </v:shape>
                <v:rect style="position:absolute;left:10435;top:179;width:5;height:21" id="docshape289" filled="true" fillcolor="#f1efe2" stroked="false">
                  <v:fill type="solid"/>
                </v:rect>
                <v:rect style="position:absolute;left:1800;top:199;width:5;height:5" id="docshape290" filled="true" fillcolor="#aca89a" stroked="false">
                  <v:fill type="solid"/>
                </v:rect>
                <v:shape style="position:absolute;left:1800;top:199;width:8640;height:5" id="docshape291" coordorigin="1800,200" coordsize="8640,5" path="m10440,200l10435,200,1800,200,1800,205,10435,205,10440,205,10440,200xe" filled="true" fillcolor="#f1efe2" stroked="false">
                  <v:path arrowok="t"/>
                  <v:fill type="solid"/>
                </v:shape>
                <w10:wrap type="topAndBottom"/>
              </v:group>
            </w:pict>
          </mc:Fallback>
        </mc:AlternateContent>
      </w:r>
    </w:p>
    <w:p>
      <w:pPr>
        <w:pStyle w:val="BodyText"/>
        <w:spacing w:line="484" w:lineRule="auto" w:before="48"/>
        <w:ind w:left="159" w:right="6611"/>
      </w:pPr>
      <w:r>
        <w:rPr/>
        <w:t>Source.</w:t>
      </w:r>
      <w:r>
        <w:rPr>
          <w:spacing w:val="35"/>
        </w:rPr>
        <w:t> </w:t>
      </w:r>
      <w:r>
        <w:rPr/>
        <w:t>ISI/LSE</w:t>
      </w:r>
      <w:r>
        <w:rPr>
          <w:spacing w:val="-13"/>
        </w:rPr>
        <w:t> </w:t>
      </w:r>
      <w:r>
        <w:rPr/>
        <w:t>Paper. </w:t>
      </w:r>
      <w:r>
        <w:rPr>
          <w:spacing w:val="-2"/>
        </w:rPr>
        <w:t>Notes.</w:t>
      </w:r>
    </w:p>
    <w:p>
      <w:pPr>
        <w:pStyle w:val="ListParagraph"/>
        <w:numPr>
          <w:ilvl w:val="0"/>
          <w:numId w:val="99"/>
        </w:numPr>
        <w:tabs>
          <w:tab w:pos="338" w:val="left" w:leader="none"/>
        </w:tabs>
        <w:spacing w:line="273" w:lineRule="exact" w:before="0" w:after="0"/>
        <w:ind w:left="338" w:right="0" w:hanging="179"/>
        <w:jc w:val="left"/>
        <w:rPr>
          <w:sz w:val="24"/>
        </w:rPr>
      </w:pPr>
      <w:r>
        <w:rPr>
          <w:sz w:val="24"/>
        </w:rPr>
        <w:t>Not</w:t>
      </w:r>
      <w:r>
        <w:rPr>
          <w:spacing w:val="-2"/>
          <w:sz w:val="24"/>
        </w:rPr>
        <w:t> </w:t>
      </w:r>
      <w:r>
        <w:rPr>
          <w:sz w:val="24"/>
        </w:rPr>
        <w:t>represented</w:t>
      </w:r>
      <w:r>
        <w:rPr>
          <w:spacing w:val="-1"/>
          <w:sz w:val="24"/>
        </w:rPr>
        <w:t> </w:t>
      </w:r>
      <w:r>
        <w:rPr>
          <w:sz w:val="24"/>
        </w:rPr>
        <w:t>in</w:t>
      </w:r>
      <w:r>
        <w:rPr>
          <w:spacing w:val="-2"/>
          <w:sz w:val="24"/>
        </w:rPr>
        <w:t> </w:t>
      </w:r>
      <w:r>
        <w:rPr>
          <w:sz w:val="24"/>
        </w:rPr>
        <w:t>the</w:t>
      </w:r>
      <w:r>
        <w:rPr>
          <w:spacing w:val="-1"/>
          <w:sz w:val="24"/>
        </w:rPr>
        <w:t> </w:t>
      </w:r>
      <w:r>
        <w:rPr>
          <w:sz w:val="24"/>
        </w:rPr>
        <w:t>manpower</w:t>
      </w:r>
      <w:r>
        <w:rPr>
          <w:spacing w:val="-1"/>
          <w:sz w:val="24"/>
        </w:rPr>
        <w:t> </w:t>
      </w:r>
      <w:r>
        <w:rPr>
          <w:spacing w:val="-2"/>
          <w:sz w:val="24"/>
        </w:rPr>
        <w:t>data.</w:t>
      </w:r>
    </w:p>
    <w:p>
      <w:pPr>
        <w:pStyle w:val="BodyText"/>
        <w:spacing w:before="5"/>
      </w:pPr>
    </w:p>
    <w:p>
      <w:pPr>
        <w:pStyle w:val="ListParagraph"/>
        <w:numPr>
          <w:ilvl w:val="0"/>
          <w:numId w:val="99"/>
        </w:numPr>
        <w:tabs>
          <w:tab w:pos="338" w:val="left" w:leader="none"/>
        </w:tabs>
        <w:spacing w:line="240" w:lineRule="auto" w:before="0" w:after="0"/>
        <w:ind w:left="338" w:right="0" w:hanging="179"/>
        <w:jc w:val="left"/>
        <w:rPr>
          <w:sz w:val="24"/>
        </w:rPr>
      </w:pPr>
      <w:r>
        <w:rPr>
          <w:sz w:val="24"/>
        </w:rPr>
        <w:t>Including</w:t>
      </w:r>
      <w:r>
        <w:rPr>
          <w:spacing w:val="-5"/>
          <w:sz w:val="24"/>
        </w:rPr>
        <w:t> </w:t>
      </w:r>
      <w:r>
        <w:rPr>
          <w:sz w:val="24"/>
        </w:rPr>
        <w:t>some</w:t>
      </w:r>
      <w:r>
        <w:rPr>
          <w:spacing w:val="-1"/>
          <w:sz w:val="24"/>
        </w:rPr>
        <w:t> </w:t>
      </w:r>
      <w:r>
        <w:rPr>
          <w:sz w:val="24"/>
        </w:rPr>
        <w:t>teacher</w:t>
      </w:r>
      <w:r>
        <w:rPr>
          <w:spacing w:val="-2"/>
          <w:sz w:val="24"/>
        </w:rPr>
        <w:t> </w:t>
      </w:r>
      <w:r>
        <w:rPr>
          <w:sz w:val="24"/>
        </w:rPr>
        <w:t>training,</w:t>
      </w:r>
      <w:r>
        <w:rPr>
          <w:spacing w:val="-2"/>
          <w:sz w:val="24"/>
        </w:rPr>
        <w:t> </w:t>
      </w:r>
      <w:r>
        <w:rPr>
          <w:sz w:val="24"/>
        </w:rPr>
        <w:t>1960-61</w:t>
      </w:r>
      <w:r>
        <w:rPr>
          <w:spacing w:val="-2"/>
          <w:sz w:val="24"/>
        </w:rPr>
        <w:t> only.</w:t>
      </w:r>
    </w:p>
    <w:p>
      <w:pPr>
        <w:pStyle w:val="BodyText"/>
        <w:spacing w:before="3"/>
      </w:pPr>
    </w:p>
    <w:p>
      <w:pPr>
        <w:pStyle w:val="ListParagraph"/>
        <w:numPr>
          <w:ilvl w:val="0"/>
          <w:numId w:val="99"/>
        </w:numPr>
        <w:tabs>
          <w:tab w:pos="339" w:val="left" w:leader="none"/>
        </w:tabs>
        <w:spacing w:line="240" w:lineRule="auto" w:before="1" w:after="0"/>
        <w:ind w:left="339" w:right="0" w:hanging="180"/>
        <w:jc w:val="left"/>
        <w:rPr>
          <w:sz w:val="24"/>
        </w:rPr>
      </w:pPr>
      <w:r>
        <w:rPr>
          <w:sz w:val="24"/>
        </w:rPr>
        <w:t>First degree only (excluding degree in teaching and </w:t>
      </w:r>
      <w:r>
        <w:rPr>
          <w:spacing w:val="-2"/>
          <w:sz w:val="24"/>
        </w:rPr>
        <w:t>law).</w:t>
      </w:r>
    </w:p>
    <w:p>
      <w:pPr>
        <w:pStyle w:val="BodyText"/>
        <w:spacing w:before="3"/>
      </w:pPr>
    </w:p>
    <w:p>
      <w:pPr>
        <w:pStyle w:val="ListParagraph"/>
        <w:numPr>
          <w:ilvl w:val="0"/>
          <w:numId w:val="99"/>
        </w:numPr>
        <w:tabs>
          <w:tab w:pos="338" w:val="left" w:leader="none"/>
        </w:tabs>
        <w:spacing w:line="240" w:lineRule="auto" w:before="0" w:after="0"/>
        <w:ind w:left="338" w:right="0" w:hanging="179"/>
        <w:jc w:val="left"/>
        <w:rPr>
          <w:sz w:val="24"/>
        </w:rPr>
      </w:pPr>
      <w:r>
        <w:rPr>
          <w:sz w:val="24"/>
        </w:rPr>
        <w:t>Excluding</w:t>
      </w:r>
      <w:r>
        <w:rPr>
          <w:spacing w:val="-4"/>
          <w:sz w:val="24"/>
        </w:rPr>
        <w:t> </w:t>
      </w:r>
      <w:r>
        <w:rPr>
          <w:sz w:val="24"/>
        </w:rPr>
        <w:t>courses</w:t>
      </w:r>
      <w:r>
        <w:rPr>
          <w:spacing w:val="-1"/>
          <w:sz w:val="24"/>
        </w:rPr>
        <w:t> </w:t>
      </w:r>
      <w:r>
        <w:rPr>
          <w:sz w:val="24"/>
        </w:rPr>
        <w:t>at</w:t>
      </w:r>
      <w:r>
        <w:rPr>
          <w:spacing w:val="-1"/>
          <w:sz w:val="24"/>
        </w:rPr>
        <w:t> </w:t>
      </w:r>
      <w:r>
        <w:rPr>
          <w:sz w:val="24"/>
        </w:rPr>
        <w:t>matriculate</w:t>
      </w:r>
      <w:r>
        <w:rPr>
          <w:spacing w:val="-2"/>
          <w:sz w:val="24"/>
        </w:rPr>
        <w:t> </w:t>
      </w:r>
      <w:r>
        <w:rPr>
          <w:sz w:val="24"/>
        </w:rPr>
        <w:t>level</w:t>
      </w:r>
      <w:r>
        <w:rPr>
          <w:spacing w:val="-1"/>
          <w:sz w:val="24"/>
        </w:rPr>
        <w:t> </w:t>
      </w:r>
      <w:r>
        <w:rPr>
          <w:sz w:val="24"/>
        </w:rPr>
        <w:t>in</w:t>
      </w:r>
      <w:r>
        <w:rPr>
          <w:spacing w:val="-1"/>
          <w:sz w:val="24"/>
        </w:rPr>
        <w:t> </w:t>
      </w:r>
      <w:r>
        <w:rPr>
          <w:sz w:val="24"/>
        </w:rPr>
        <w:t>1960-</w:t>
      </w:r>
      <w:r>
        <w:rPr>
          <w:spacing w:val="-5"/>
          <w:sz w:val="24"/>
        </w:rPr>
        <w:t>61.</w:t>
      </w:r>
    </w:p>
    <w:p>
      <w:pPr>
        <w:pStyle w:val="BodyText"/>
        <w:spacing w:before="5"/>
      </w:pPr>
    </w:p>
    <w:p>
      <w:pPr>
        <w:pStyle w:val="ListParagraph"/>
        <w:numPr>
          <w:ilvl w:val="0"/>
          <w:numId w:val="99"/>
        </w:numPr>
        <w:tabs>
          <w:tab w:pos="339" w:val="left" w:leader="none"/>
        </w:tabs>
        <w:spacing w:line="240" w:lineRule="auto" w:before="0" w:after="0"/>
        <w:ind w:left="339" w:right="0" w:hanging="180"/>
        <w:jc w:val="left"/>
        <w:rPr>
          <w:sz w:val="24"/>
        </w:rPr>
      </w:pPr>
      <w:r>
        <w:rPr>
          <w:sz w:val="24"/>
        </w:rPr>
        <w:t>Enrolment</w:t>
      </w:r>
      <w:r>
        <w:rPr>
          <w:spacing w:val="-1"/>
          <w:sz w:val="24"/>
        </w:rPr>
        <w:t> </w:t>
      </w:r>
      <w:r>
        <w:rPr>
          <w:sz w:val="24"/>
        </w:rPr>
        <w:t>in</w:t>
      </w:r>
      <w:r>
        <w:rPr>
          <w:spacing w:val="-1"/>
          <w:sz w:val="24"/>
        </w:rPr>
        <w:t> </w:t>
      </w:r>
      <w:r>
        <w:rPr>
          <w:sz w:val="24"/>
        </w:rPr>
        <w:t>Classes XI</w:t>
      </w:r>
      <w:r>
        <w:rPr>
          <w:spacing w:val="-1"/>
          <w:sz w:val="24"/>
        </w:rPr>
        <w:t> </w:t>
      </w:r>
      <w:r>
        <w:rPr>
          <w:sz w:val="24"/>
        </w:rPr>
        <w:t>and/or XII</w:t>
      </w:r>
      <w:r>
        <w:rPr>
          <w:spacing w:val="-1"/>
          <w:sz w:val="24"/>
        </w:rPr>
        <w:t> </w:t>
      </w:r>
      <w:r>
        <w:rPr>
          <w:sz w:val="24"/>
        </w:rPr>
        <w:t>and</w:t>
      </w:r>
      <w:r>
        <w:rPr>
          <w:spacing w:val="-1"/>
          <w:sz w:val="24"/>
        </w:rPr>
        <w:t> </w:t>
      </w:r>
      <w:r>
        <w:rPr>
          <w:sz w:val="24"/>
        </w:rPr>
        <w:t>intermediate and</w:t>
      </w:r>
      <w:r>
        <w:rPr>
          <w:spacing w:val="-1"/>
          <w:sz w:val="24"/>
        </w:rPr>
        <w:t> </w:t>
      </w:r>
      <w:r>
        <w:rPr>
          <w:sz w:val="24"/>
        </w:rPr>
        <w:t>equivalent </w:t>
      </w:r>
      <w:r>
        <w:rPr>
          <w:spacing w:val="-2"/>
          <w:sz w:val="24"/>
        </w:rPr>
        <w:t>classes.</w:t>
      </w:r>
    </w:p>
    <w:p>
      <w:pPr>
        <w:pStyle w:val="BodyText"/>
        <w:spacing w:before="2"/>
      </w:pPr>
    </w:p>
    <w:p>
      <w:pPr>
        <w:pStyle w:val="ListParagraph"/>
        <w:numPr>
          <w:ilvl w:val="0"/>
          <w:numId w:val="99"/>
        </w:numPr>
        <w:tabs>
          <w:tab w:pos="369" w:val="left" w:leader="none"/>
        </w:tabs>
        <w:spacing w:line="240" w:lineRule="auto" w:before="0" w:after="0"/>
        <w:ind w:left="159" w:right="497" w:firstLine="0"/>
        <w:jc w:val="left"/>
        <w:rPr>
          <w:sz w:val="24"/>
        </w:rPr>
      </w:pPr>
      <w:r>
        <w:rPr>
          <w:sz w:val="24"/>
        </w:rPr>
        <w:t>In</w:t>
      </w:r>
      <w:r>
        <w:rPr>
          <w:spacing w:val="27"/>
          <w:sz w:val="24"/>
        </w:rPr>
        <w:t> </w:t>
      </w:r>
      <w:r>
        <w:rPr>
          <w:sz w:val="24"/>
        </w:rPr>
        <w:t>1985-86</w:t>
      </w:r>
      <w:r>
        <w:rPr>
          <w:spacing w:val="27"/>
          <w:sz w:val="24"/>
        </w:rPr>
        <w:t> </w:t>
      </w:r>
      <w:r>
        <w:rPr>
          <w:sz w:val="24"/>
        </w:rPr>
        <w:t>the</w:t>
      </w:r>
      <w:r>
        <w:rPr>
          <w:spacing w:val="27"/>
          <w:sz w:val="24"/>
        </w:rPr>
        <w:t> </w:t>
      </w:r>
      <w:r>
        <w:rPr>
          <w:sz w:val="24"/>
        </w:rPr>
        <w:t>enrolment</w:t>
      </w:r>
      <w:r>
        <w:rPr>
          <w:spacing w:val="27"/>
          <w:sz w:val="24"/>
        </w:rPr>
        <w:t> </w:t>
      </w:r>
      <w:r>
        <w:rPr>
          <w:sz w:val="24"/>
        </w:rPr>
        <w:t>figure</w:t>
      </w:r>
      <w:r>
        <w:rPr>
          <w:spacing w:val="27"/>
          <w:sz w:val="24"/>
        </w:rPr>
        <w:t> </w:t>
      </w:r>
      <w:r>
        <w:rPr>
          <w:sz w:val="24"/>
        </w:rPr>
        <w:t>is</w:t>
      </w:r>
      <w:r>
        <w:rPr>
          <w:spacing w:val="27"/>
          <w:sz w:val="24"/>
        </w:rPr>
        <w:t> </w:t>
      </w:r>
      <w:r>
        <w:rPr>
          <w:sz w:val="24"/>
        </w:rPr>
        <w:t>based</w:t>
      </w:r>
      <w:r>
        <w:rPr>
          <w:spacing w:val="27"/>
          <w:sz w:val="24"/>
        </w:rPr>
        <w:t> </w:t>
      </w:r>
      <w:r>
        <w:rPr>
          <w:sz w:val="24"/>
        </w:rPr>
        <w:t>upon</w:t>
      </w:r>
      <w:r>
        <w:rPr>
          <w:spacing w:val="27"/>
          <w:sz w:val="24"/>
        </w:rPr>
        <w:t> </w:t>
      </w:r>
      <w:r>
        <w:rPr>
          <w:sz w:val="24"/>
        </w:rPr>
        <w:t>three-year</w:t>
      </w:r>
      <w:r>
        <w:rPr>
          <w:spacing w:val="27"/>
          <w:sz w:val="24"/>
        </w:rPr>
        <w:t> </w:t>
      </w:r>
      <w:r>
        <w:rPr>
          <w:sz w:val="24"/>
        </w:rPr>
        <w:t>course</w:t>
      </w:r>
      <w:r>
        <w:rPr>
          <w:spacing w:val="27"/>
          <w:sz w:val="24"/>
        </w:rPr>
        <w:t> </w:t>
      </w:r>
      <w:r>
        <w:rPr>
          <w:sz w:val="24"/>
        </w:rPr>
        <w:t>and</w:t>
      </w:r>
      <w:r>
        <w:rPr>
          <w:spacing w:val="27"/>
          <w:sz w:val="24"/>
        </w:rPr>
        <w:t> </w:t>
      </w:r>
      <w:r>
        <w:rPr>
          <w:sz w:val="24"/>
        </w:rPr>
        <w:t>thus</w:t>
      </w:r>
      <w:r>
        <w:rPr>
          <w:spacing w:val="27"/>
          <w:sz w:val="24"/>
        </w:rPr>
        <w:t> </w:t>
      </w:r>
      <w:r>
        <w:rPr>
          <w:sz w:val="24"/>
        </w:rPr>
        <w:t>represents enrolments in Years III, IV and V.</w:t>
      </w:r>
    </w:p>
    <w:p>
      <w:pPr>
        <w:pStyle w:val="BodyText"/>
        <w:spacing w:before="6"/>
      </w:pPr>
    </w:p>
    <w:p>
      <w:pPr>
        <w:pStyle w:val="Heading1"/>
        <w:spacing w:before="1"/>
      </w:pPr>
      <w:r>
        <w:rPr/>
        <w:t>EDUCATIONAL</w:t>
      </w:r>
      <w:r>
        <w:rPr>
          <w:spacing w:val="-6"/>
        </w:rPr>
        <w:t> </w:t>
      </w:r>
      <w:r>
        <w:rPr/>
        <w:t>IMPLICATIONS</w:t>
      </w:r>
      <w:r>
        <w:rPr>
          <w:spacing w:val="-6"/>
        </w:rPr>
        <w:t> </w:t>
      </w:r>
      <w:r>
        <w:rPr/>
        <w:t>OF</w:t>
      </w:r>
      <w:r>
        <w:rPr>
          <w:spacing w:val="-6"/>
        </w:rPr>
        <w:t> </w:t>
      </w:r>
      <w:r>
        <w:rPr/>
        <w:t>THE</w:t>
      </w:r>
      <w:r>
        <w:rPr>
          <w:spacing w:val="-5"/>
        </w:rPr>
        <w:t> </w:t>
      </w:r>
      <w:r>
        <w:rPr>
          <w:spacing w:val="-2"/>
        </w:rPr>
        <w:t>ESTIMATES</w:t>
      </w:r>
    </w:p>
    <w:p>
      <w:pPr>
        <w:pStyle w:val="BodyText"/>
        <w:spacing w:before="2"/>
        <w:rPr>
          <w:b/>
        </w:rPr>
      </w:pPr>
    </w:p>
    <w:p>
      <w:pPr>
        <w:pStyle w:val="ListParagraph"/>
        <w:numPr>
          <w:ilvl w:val="1"/>
          <w:numId w:val="98"/>
        </w:numPr>
        <w:tabs>
          <w:tab w:pos="672" w:val="left" w:leader="none"/>
        </w:tabs>
        <w:spacing w:line="240" w:lineRule="auto" w:before="0" w:after="0"/>
        <w:ind w:left="159" w:right="496" w:firstLine="0"/>
        <w:jc w:val="both"/>
        <w:rPr>
          <w:sz w:val="24"/>
        </w:rPr>
      </w:pPr>
      <w:r>
        <w:rPr>
          <w:sz w:val="24"/>
        </w:rPr>
        <w:t>We broadly accept these forecasts, subject to periodical revision, as a basis for a national enrolment policy and invite attention to the main conclusion they indicate with regard to future educational development. These are:</w:t>
      </w:r>
    </w:p>
    <w:p>
      <w:pPr>
        <w:pStyle w:val="BodyText"/>
        <w:spacing w:before="3"/>
      </w:pPr>
    </w:p>
    <w:p>
      <w:pPr>
        <w:pStyle w:val="ListParagraph"/>
        <w:numPr>
          <w:ilvl w:val="2"/>
          <w:numId w:val="98"/>
        </w:numPr>
        <w:tabs>
          <w:tab w:pos="324" w:val="left" w:leader="none"/>
        </w:tabs>
        <w:spacing w:line="240" w:lineRule="auto" w:before="1" w:after="0"/>
        <w:ind w:left="159" w:right="497" w:firstLine="0"/>
        <w:jc w:val="left"/>
        <w:rPr>
          <w:sz w:val="24"/>
        </w:rPr>
      </w:pPr>
      <w:r>
        <w:rPr>
          <w:sz w:val="24"/>
        </w:rPr>
        <w:t>to restrict the unplanned and uncontrolled expansion of general secondary and higher</w:t>
      </w:r>
      <w:r>
        <w:rPr>
          <w:spacing w:val="80"/>
          <w:sz w:val="24"/>
        </w:rPr>
        <w:t> </w:t>
      </w:r>
      <w:r>
        <w:rPr>
          <w:sz w:val="24"/>
        </w:rPr>
        <w:t>education, if massive educated unemployment is to be avoided;</w:t>
      </w:r>
    </w:p>
    <w:p>
      <w:pPr>
        <w:pStyle w:val="BodyText"/>
        <w:spacing w:before="3"/>
      </w:pPr>
    </w:p>
    <w:p>
      <w:pPr>
        <w:pStyle w:val="ListParagraph"/>
        <w:numPr>
          <w:ilvl w:val="2"/>
          <w:numId w:val="98"/>
        </w:numPr>
        <w:tabs>
          <w:tab w:pos="358" w:val="left" w:leader="none"/>
        </w:tabs>
        <w:spacing w:line="240" w:lineRule="auto" w:before="0" w:after="0"/>
        <w:ind w:left="159" w:right="497" w:firstLine="0"/>
        <w:jc w:val="left"/>
        <w:rPr>
          <w:sz w:val="24"/>
        </w:rPr>
      </w:pPr>
      <w:r>
        <w:rPr>
          <w:sz w:val="24"/>
        </w:rPr>
        <w:t>to</w:t>
      </w:r>
      <w:r>
        <w:rPr>
          <w:spacing w:val="40"/>
          <w:sz w:val="24"/>
        </w:rPr>
        <w:t> </w:t>
      </w:r>
      <w:r>
        <w:rPr>
          <w:sz w:val="24"/>
        </w:rPr>
        <w:t>make</w:t>
      </w:r>
      <w:r>
        <w:rPr>
          <w:spacing w:val="40"/>
          <w:sz w:val="24"/>
        </w:rPr>
        <w:t> </w:t>
      </w:r>
      <w:r>
        <w:rPr>
          <w:sz w:val="24"/>
        </w:rPr>
        <w:t>special</w:t>
      </w:r>
      <w:r>
        <w:rPr>
          <w:spacing w:val="40"/>
          <w:sz w:val="24"/>
        </w:rPr>
        <w:t> </w:t>
      </w:r>
      <w:r>
        <w:rPr>
          <w:sz w:val="24"/>
        </w:rPr>
        <w:t>and</w:t>
      </w:r>
      <w:r>
        <w:rPr>
          <w:spacing w:val="40"/>
          <w:sz w:val="24"/>
        </w:rPr>
        <w:t> </w:t>
      </w:r>
      <w:r>
        <w:rPr>
          <w:sz w:val="24"/>
        </w:rPr>
        <w:t>intensive</w:t>
      </w:r>
      <w:r>
        <w:rPr>
          <w:spacing w:val="40"/>
          <w:sz w:val="24"/>
        </w:rPr>
        <w:t> </w:t>
      </w:r>
      <w:r>
        <w:rPr>
          <w:sz w:val="24"/>
        </w:rPr>
        <w:t>efforts</w:t>
      </w:r>
      <w:r>
        <w:rPr>
          <w:spacing w:val="40"/>
          <w:sz w:val="24"/>
        </w:rPr>
        <w:t> </w:t>
      </w:r>
      <w:r>
        <w:rPr>
          <w:sz w:val="24"/>
        </w:rPr>
        <w:t>to</w:t>
      </w:r>
      <w:r>
        <w:rPr>
          <w:spacing w:val="40"/>
          <w:sz w:val="24"/>
        </w:rPr>
        <w:t> </w:t>
      </w:r>
      <w:r>
        <w:rPr>
          <w:sz w:val="24"/>
        </w:rPr>
        <w:t>vocationalize</w:t>
      </w:r>
      <w:r>
        <w:rPr>
          <w:spacing w:val="40"/>
          <w:sz w:val="24"/>
        </w:rPr>
        <w:t> </w:t>
      </w:r>
      <w:r>
        <w:rPr>
          <w:sz w:val="24"/>
        </w:rPr>
        <w:t>secondary</w:t>
      </w:r>
      <w:r>
        <w:rPr>
          <w:spacing w:val="40"/>
          <w:sz w:val="24"/>
        </w:rPr>
        <w:t> </w:t>
      </w:r>
      <w:r>
        <w:rPr>
          <w:sz w:val="24"/>
        </w:rPr>
        <w:t>education</w:t>
      </w:r>
      <w:r>
        <w:rPr>
          <w:spacing w:val="40"/>
          <w:sz w:val="24"/>
        </w:rPr>
        <w:t> </w:t>
      </w:r>
      <w:r>
        <w:rPr>
          <w:sz w:val="24"/>
        </w:rPr>
        <w:t>and</w:t>
      </w:r>
      <w:r>
        <w:rPr>
          <w:spacing w:val="40"/>
          <w:sz w:val="24"/>
        </w:rPr>
        <w:t> </w:t>
      </w:r>
      <w:r>
        <w:rPr>
          <w:sz w:val="24"/>
        </w:rPr>
        <w:t>to develop professional education at the university stage; and</w:t>
      </w:r>
    </w:p>
    <w:p>
      <w:pPr>
        <w:spacing w:after="0" w:line="240" w:lineRule="auto"/>
        <w:jc w:val="left"/>
        <w:rPr>
          <w:sz w:val="24"/>
        </w:rPr>
        <w:sectPr>
          <w:pgSz w:w="12240" w:h="15840"/>
          <w:pgMar w:header="0" w:footer="743" w:top="1420" w:bottom="940" w:left="1640" w:right="1300"/>
        </w:sectPr>
      </w:pPr>
    </w:p>
    <w:p>
      <w:pPr>
        <w:pStyle w:val="ListParagraph"/>
        <w:numPr>
          <w:ilvl w:val="2"/>
          <w:numId w:val="98"/>
        </w:numPr>
        <w:tabs>
          <w:tab w:pos="307" w:val="left" w:leader="none"/>
        </w:tabs>
        <w:spacing w:line="240" w:lineRule="auto" w:before="76" w:after="0"/>
        <w:ind w:left="159" w:right="496" w:firstLine="0"/>
        <w:jc w:val="both"/>
        <w:rPr>
          <w:sz w:val="24"/>
        </w:rPr>
      </w:pPr>
      <w:r>
        <w:rPr>
          <w:sz w:val="24"/>
        </w:rPr>
        <w:t>to devise suitable machinery, at both the national and State levels, which will relate the estimates of manpower needs effectively to the output of the educational system so that, by</w:t>
      </w:r>
      <w:r>
        <w:rPr>
          <w:spacing w:val="-1"/>
          <w:sz w:val="24"/>
        </w:rPr>
        <w:t> </w:t>
      </w:r>
      <w:r>
        <w:rPr>
          <w:sz w:val="24"/>
        </w:rPr>
        <w:t>and</w:t>
      </w:r>
      <w:r>
        <w:rPr>
          <w:spacing w:val="-1"/>
          <w:sz w:val="24"/>
        </w:rPr>
        <w:t> </w:t>
      </w:r>
      <w:r>
        <w:rPr>
          <w:sz w:val="24"/>
        </w:rPr>
        <w:t>large,</w:t>
      </w:r>
      <w:r>
        <w:rPr>
          <w:spacing w:val="-1"/>
          <w:sz w:val="24"/>
        </w:rPr>
        <w:t> </w:t>
      </w:r>
      <w:r>
        <w:rPr>
          <w:sz w:val="24"/>
        </w:rPr>
        <w:t>there</w:t>
      </w:r>
      <w:r>
        <w:rPr>
          <w:spacing w:val="-1"/>
          <w:sz w:val="24"/>
        </w:rPr>
        <w:t> </w:t>
      </w:r>
      <w:r>
        <w:rPr>
          <w:sz w:val="24"/>
        </w:rPr>
        <w:t>is</w:t>
      </w:r>
      <w:r>
        <w:rPr>
          <w:spacing w:val="-1"/>
          <w:sz w:val="24"/>
        </w:rPr>
        <w:t> </w:t>
      </w:r>
      <w:r>
        <w:rPr>
          <w:sz w:val="24"/>
        </w:rPr>
        <w:t>some</w:t>
      </w:r>
      <w:r>
        <w:rPr>
          <w:spacing w:val="-1"/>
          <w:sz w:val="24"/>
        </w:rPr>
        <w:t> </w:t>
      </w:r>
      <w:r>
        <w:rPr>
          <w:sz w:val="24"/>
        </w:rPr>
        <w:t>assurance</w:t>
      </w:r>
      <w:r>
        <w:rPr>
          <w:spacing w:val="-1"/>
          <w:sz w:val="24"/>
        </w:rPr>
        <w:t> </w:t>
      </w:r>
      <w:r>
        <w:rPr>
          <w:sz w:val="24"/>
        </w:rPr>
        <w:t>that</w:t>
      </w:r>
      <w:r>
        <w:rPr>
          <w:spacing w:val="-1"/>
          <w:sz w:val="24"/>
        </w:rPr>
        <w:t> </w:t>
      </w:r>
      <w:r>
        <w:rPr>
          <w:sz w:val="24"/>
        </w:rPr>
        <w:t>a</w:t>
      </w:r>
      <w:r>
        <w:rPr>
          <w:spacing w:val="-1"/>
          <w:sz w:val="24"/>
        </w:rPr>
        <w:t> </w:t>
      </w:r>
      <w:r>
        <w:rPr>
          <w:sz w:val="24"/>
        </w:rPr>
        <w:t>suitably</w:t>
      </w:r>
      <w:r>
        <w:rPr>
          <w:spacing w:val="-1"/>
          <w:sz w:val="24"/>
        </w:rPr>
        <w:t> </w:t>
      </w:r>
      <w:r>
        <w:rPr>
          <w:sz w:val="24"/>
        </w:rPr>
        <w:t>trained</w:t>
      </w:r>
      <w:r>
        <w:rPr>
          <w:spacing w:val="-1"/>
          <w:sz w:val="24"/>
        </w:rPr>
        <w:t> </w:t>
      </w:r>
      <w:r>
        <w:rPr>
          <w:sz w:val="24"/>
        </w:rPr>
        <w:t>person</w:t>
      </w:r>
      <w:r>
        <w:rPr>
          <w:spacing w:val="-1"/>
          <w:sz w:val="24"/>
        </w:rPr>
        <w:t> </w:t>
      </w:r>
      <w:r>
        <w:rPr>
          <w:sz w:val="24"/>
        </w:rPr>
        <w:t>would</w:t>
      </w:r>
      <w:r>
        <w:rPr>
          <w:spacing w:val="-1"/>
          <w:sz w:val="24"/>
        </w:rPr>
        <w:t> </w:t>
      </w:r>
      <w:r>
        <w:rPr>
          <w:sz w:val="24"/>
        </w:rPr>
        <w:t>be</w:t>
      </w:r>
      <w:r>
        <w:rPr>
          <w:spacing w:val="-1"/>
          <w:sz w:val="24"/>
        </w:rPr>
        <w:t> </w:t>
      </w:r>
      <w:r>
        <w:rPr>
          <w:sz w:val="24"/>
        </w:rPr>
        <w:t>available</w:t>
      </w:r>
      <w:r>
        <w:rPr>
          <w:spacing w:val="-1"/>
          <w:sz w:val="24"/>
        </w:rPr>
        <w:t> </w:t>
      </w:r>
      <w:r>
        <w:rPr>
          <w:sz w:val="24"/>
        </w:rPr>
        <w:t>for every job to be done and every educated person would find a job appropriate for his education and professional training.</w:t>
      </w:r>
    </w:p>
    <w:p>
      <w:pPr>
        <w:pStyle w:val="BodyText"/>
        <w:spacing w:before="5"/>
      </w:pPr>
    </w:p>
    <w:p>
      <w:pPr>
        <w:pStyle w:val="BodyText"/>
        <w:ind w:left="159"/>
        <w:jc w:val="both"/>
      </w:pPr>
      <w:r>
        <w:rPr/>
        <w:t>We</w:t>
      </w:r>
      <w:r>
        <w:rPr>
          <w:spacing w:val="-2"/>
        </w:rPr>
        <w:t> </w:t>
      </w:r>
      <w:r>
        <w:rPr/>
        <w:t>shall</w:t>
      </w:r>
      <w:r>
        <w:rPr>
          <w:spacing w:val="-1"/>
        </w:rPr>
        <w:t> </w:t>
      </w:r>
      <w:r>
        <w:rPr/>
        <w:t>now</w:t>
      </w:r>
      <w:r>
        <w:rPr>
          <w:spacing w:val="-1"/>
        </w:rPr>
        <w:t> </w:t>
      </w:r>
      <w:r>
        <w:rPr/>
        <w:t>examine</w:t>
      </w:r>
      <w:r>
        <w:rPr>
          <w:spacing w:val="-1"/>
        </w:rPr>
        <w:t> </w:t>
      </w:r>
      <w:r>
        <w:rPr/>
        <w:t>these</w:t>
      </w:r>
      <w:r>
        <w:rPr>
          <w:spacing w:val="-1"/>
        </w:rPr>
        <w:t> </w:t>
      </w:r>
      <w:r>
        <w:rPr/>
        <w:t>conclusions</w:t>
      </w:r>
      <w:r>
        <w:rPr>
          <w:spacing w:val="-1"/>
        </w:rPr>
        <w:t> </w:t>
      </w:r>
      <w:r>
        <w:rPr>
          <w:spacing w:val="-2"/>
        </w:rPr>
        <w:t>briefly.</w:t>
      </w:r>
    </w:p>
    <w:p>
      <w:pPr>
        <w:pStyle w:val="BodyText"/>
        <w:spacing w:before="4"/>
      </w:pPr>
    </w:p>
    <w:p>
      <w:pPr>
        <w:pStyle w:val="ListParagraph"/>
        <w:numPr>
          <w:ilvl w:val="1"/>
          <w:numId w:val="98"/>
        </w:numPr>
        <w:tabs>
          <w:tab w:pos="677" w:val="left" w:leader="none"/>
        </w:tabs>
        <w:spacing w:line="240" w:lineRule="auto" w:before="0" w:after="0"/>
        <w:ind w:left="159" w:right="496" w:firstLine="0"/>
        <w:jc w:val="both"/>
        <w:rPr>
          <w:b/>
          <w:sz w:val="24"/>
        </w:rPr>
      </w:pPr>
      <w:r>
        <w:rPr>
          <w:b/>
          <w:sz w:val="24"/>
        </w:rPr>
        <w:t>Admissions to Lower Secondary Education. </w:t>
      </w:r>
      <w:r>
        <w:rPr>
          <w:sz w:val="24"/>
        </w:rPr>
        <w:t>In order to restrict unplanned </w:t>
      </w:r>
      <w:r>
        <w:rPr>
          <w:sz w:val="24"/>
        </w:rPr>
        <w:t>and uncontrolled expansion of secondary and higher education, it is necessary to restrict the provision for places in accordance with manpower estimates and wherever the applicants for admission exceed the places, to make the admissions on a selective basis. At the</w:t>
      </w:r>
      <w:r>
        <w:rPr>
          <w:spacing w:val="80"/>
          <w:sz w:val="24"/>
        </w:rPr>
        <w:t> </w:t>
      </w:r>
      <w:r>
        <w:rPr>
          <w:sz w:val="24"/>
        </w:rPr>
        <w:t>lower secondary stage, however, which is to be regarded as completion of general education, emphasis should not be laid on ` selection' in the sense of admitting the 'fit' students and weeding out the 'unfit'. At this level, selection should be oriented more towards ` testing and guidance' than towards 'elimination'. Its main objective should be to enable a student to know his own level of achievement and his potentialities and to</w:t>
      </w:r>
      <w:r>
        <w:rPr>
          <w:spacing w:val="80"/>
          <w:sz w:val="24"/>
        </w:rPr>
        <w:t> </w:t>
      </w:r>
      <w:r>
        <w:rPr>
          <w:sz w:val="24"/>
        </w:rPr>
        <w:t>decide whether it would be in his interest to leave the school and enter the world of work, or to join a particular vocational course, or to</w:t>
      </w:r>
      <w:r>
        <w:rPr>
          <w:spacing w:val="-2"/>
          <w:sz w:val="24"/>
        </w:rPr>
        <w:t> </w:t>
      </w:r>
      <w:r>
        <w:rPr>
          <w:sz w:val="24"/>
        </w:rPr>
        <w:t>continue in the</w:t>
      </w:r>
      <w:r>
        <w:rPr>
          <w:spacing w:val="-1"/>
          <w:sz w:val="24"/>
        </w:rPr>
        <w:t> </w:t>
      </w:r>
      <w:r>
        <w:rPr>
          <w:sz w:val="24"/>
        </w:rPr>
        <w:t>stream</w:t>
      </w:r>
      <w:r>
        <w:rPr>
          <w:spacing w:val="-3"/>
          <w:sz w:val="24"/>
        </w:rPr>
        <w:t> </w:t>
      </w:r>
      <w:r>
        <w:rPr>
          <w:sz w:val="24"/>
        </w:rPr>
        <w:t>of general education. In other words, ` selection' at this stage will be mostly 'self-selection' helped through a testing and guidance service. This service should be available to all schools in all areas, irrespective of the level of expansion of secondary education.</w:t>
      </w:r>
      <w:r>
        <w:rPr>
          <w:b/>
          <w:sz w:val="24"/>
          <w:vertAlign w:val="superscript"/>
        </w:rPr>
        <w:t>42</w:t>
      </w:r>
      <w:r>
        <w:rPr>
          <w:b/>
          <w:sz w:val="24"/>
          <w:vertAlign w:val="baseline"/>
        </w:rPr>
        <w:t> </w:t>
      </w:r>
      <w:r>
        <w:rPr>
          <w:sz w:val="24"/>
          <w:vertAlign w:val="baseline"/>
        </w:rPr>
        <w:t>Whether a system of</w:t>
      </w:r>
      <w:r>
        <w:rPr>
          <w:spacing w:val="40"/>
          <w:sz w:val="24"/>
          <w:vertAlign w:val="baseline"/>
        </w:rPr>
        <w:t> </w:t>
      </w:r>
      <w:r>
        <w:rPr>
          <w:sz w:val="24"/>
          <w:vertAlign w:val="baseline"/>
        </w:rPr>
        <w:t>more rigorous selections is needed or not in a particular area is a matter for local decision and will depend upon the needs for manpower in the area and the level of expansion already reached.</w:t>
      </w:r>
    </w:p>
    <w:p>
      <w:pPr>
        <w:pStyle w:val="BodyText"/>
        <w:spacing w:before="4"/>
      </w:pPr>
    </w:p>
    <w:p>
      <w:pPr>
        <w:pStyle w:val="ListParagraph"/>
        <w:numPr>
          <w:ilvl w:val="1"/>
          <w:numId w:val="98"/>
        </w:numPr>
        <w:tabs>
          <w:tab w:pos="668" w:val="left" w:leader="none"/>
        </w:tabs>
        <w:spacing w:line="240" w:lineRule="auto" w:before="0" w:after="0"/>
        <w:ind w:left="159" w:right="494" w:firstLine="0"/>
        <w:jc w:val="both"/>
        <w:rPr>
          <w:b/>
          <w:sz w:val="24"/>
        </w:rPr>
      </w:pPr>
      <w:r>
        <w:rPr>
          <w:b/>
          <w:sz w:val="24"/>
        </w:rPr>
        <w:t>Admissions to Higher Secondary and University Education. </w:t>
      </w:r>
      <w:r>
        <w:rPr>
          <w:sz w:val="24"/>
        </w:rPr>
        <w:t>Beyond the lower secondary stage, a system of selective admissions becomes inescapable in view of the limited resources available. This idea is gaining much wider support but is still opposed on certain socio-economic grounds. It is argued, for instance, that this policy would adversely affect access to higher education of the backward classes, the rural areas and under-privileged groups now entering higher education for the first time. These fears</w:t>
      </w:r>
      <w:r>
        <w:rPr>
          <w:spacing w:val="40"/>
          <w:sz w:val="24"/>
        </w:rPr>
        <w:t> </w:t>
      </w:r>
      <w:r>
        <w:rPr>
          <w:sz w:val="24"/>
        </w:rPr>
        <w:t>have some Justification. But the remedy is not to be sought in the continuance of the present policy of open-door access. The under-privileged sections have a very small and disproportionate share in existing facilities in spite of the unrestricted admissions. This inequality would be removed more quickly, not by continuing the present laissez- faire policy, but by adopting positive measures to promote equalization of opportunities, such as the grant of scholarships on the 'school cluster' basis recommended elsewhere.</w:t>
      </w:r>
      <w:r>
        <w:rPr>
          <w:b/>
          <w:sz w:val="24"/>
          <w:vertAlign w:val="superscript"/>
        </w:rPr>
        <w:t>43</w:t>
      </w:r>
      <w:r>
        <w:rPr>
          <w:b/>
          <w:sz w:val="24"/>
          <w:vertAlign w:val="baseline"/>
        </w:rPr>
        <w:t> </w:t>
      </w:r>
      <w:r>
        <w:rPr>
          <w:sz w:val="24"/>
          <w:vertAlign w:val="baseline"/>
        </w:rPr>
        <w:t>When such measures are provided on an adequate scale and it is clearly demonstrated that they increase the proportional enrolment of the backward or under-privileged groups in institutions of higher education, opposition to selective admissions will quickly diminish and even disappear. As a transitional measure, however, these fears may be allayed, if necessary, by adopting a suitable system of reservation of seats.</w:t>
      </w:r>
    </w:p>
    <w:p>
      <w:pPr>
        <w:pStyle w:val="BodyText"/>
        <w:spacing w:before="5"/>
      </w:pPr>
    </w:p>
    <w:p>
      <w:pPr>
        <w:pStyle w:val="BodyText"/>
        <w:ind w:left="160"/>
        <w:jc w:val="both"/>
      </w:pPr>
      <w:r>
        <w:rPr>
          <w:b/>
          <w:vertAlign w:val="superscript"/>
        </w:rPr>
        <w:t>42</w:t>
      </w:r>
      <w:r>
        <w:rPr>
          <w:vertAlign w:val="baseline"/>
        </w:rPr>
        <w:t>The</w:t>
      </w:r>
      <w:r>
        <w:rPr>
          <w:spacing w:val="-1"/>
          <w:vertAlign w:val="baseline"/>
        </w:rPr>
        <w:t> </w:t>
      </w:r>
      <w:r>
        <w:rPr>
          <w:vertAlign w:val="baseline"/>
        </w:rPr>
        <w:t>details</w:t>
      </w:r>
      <w:r>
        <w:rPr>
          <w:spacing w:val="-1"/>
          <w:vertAlign w:val="baseline"/>
        </w:rPr>
        <w:t> </w:t>
      </w:r>
      <w:r>
        <w:rPr>
          <w:vertAlign w:val="baseline"/>
        </w:rPr>
        <w:t>about</w:t>
      </w:r>
      <w:r>
        <w:rPr>
          <w:spacing w:val="-1"/>
          <w:vertAlign w:val="baseline"/>
        </w:rPr>
        <w:t> </w:t>
      </w:r>
      <w:r>
        <w:rPr>
          <w:vertAlign w:val="baseline"/>
        </w:rPr>
        <w:t>its</w:t>
      </w:r>
      <w:r>
        <w:rPr>
          <w:spacing w:val="-1"/>
          <w:vertAlign w:val="baseline"/>
        </w:rPr>
        <w:t> </w:t>
      </w:r>
      <w:r>
        <w:rPr>
          <w:vertAlign w:val="baseline"/>
        </w:rPr>
        <w:t>organization</w:t>
      </w:r>
      <w:r>
        <w:rPr>
          <w:spacing w:val="-2"/>
          <w:vertAlign w:val="baseline"/>
        </w:rPr>
        <w:t> </w:t>
      </w:r>
      <w:r>
        <w:rPr>
          <w:vertAlign w:val="baseline"/>
        </w:rPr>
        <w:t>are</w:t>
      </w:r>
      <w:r>
        <w:rPr>
          <w:spacing w:val="-2"/>
          <w:vertAlign w:val="baseline"/>
        </w:rPr>
        <w:t> </w:t>
      </w:r>
      <w:r>
        <w:rPr>
          <w:vertAlign w:val="baseline"/>
        </w:rPr>
        <w:t>discussed</w:t>
      </w:r>
      <w:r>
        <w:rPr>
          <w:spacing w:val="-1"/>
          <w:vertAlign w:val="baseline"/>
        </w:rPr>
        <w:t> </w:t>
      </w:r>
      <w:r>
        <w:rPr>
          <w:vertAlign w:val="baseline"/>
        </w:rPr>
        <w:t>in</w:t>
      </w:r>
      <w:r>
        <w:rPr>
          <w:spacing w:val="-2"/>
          <w:vertAlign w:val="baseline"/>
        </w:rPr>
        <w:t> </w:t>
      </w:r>
      <w:r>
        <w:rPr>
          <w:vertAlign w:val="baseline"/>
        </w:rPr>
        <w:t>Chapter</w:t>
      </w:r>
      <w:r>
        <w:rPr>
          <w:spacing w:val="-2"/>
          <w:vertAlign w:val="baseline"/>
        </w:rPr>
        <w:t> </w:t>
      </w:r>
      <w:r>
        <w:rPr>
          <w:vertAlign w:val="baseline"/>
        </w:rPr>
        <w:t>X.</w:t>
      </w:r>
      <w:r>
        <w:rPr>
          <w:spacing w:val="-2"/>
          <w:vertAlign w:val="baseline"/>
        </w:rPr>
        <w:t> </w:t>
      </w:r>
      <w:r>
        <w:rPr>
          <w:b/>
          <w:vertAlign w:val="superscript"/>
        </w:rPr>
        <w:t>43</w:t>
      </w:r>
      <w:r>
        <w:rPr>
          <w:vertAlign w:val="baseline"/>
        </w:rPr>
        <w:t>Chapter</w:t>
      </w:r>
      <w:r>
        <w:rPr>
          <w:spacing w:val="-2"/>
          <w:vertAlign w:val="baseline"/>
        </w:rPr>
        <w:t> </w:t>
      </w:r>
      <w:r>
        <w:rPr>
          <w:spacing w:val="-5"/>
          <w:vertAlign w:val="baseline"/>
        </w:rPr>
        <w:t>VI.</w:t>
      </w:r>
    </w:p>
    <w:p>
      <w:pPr>
        <w:spacing w:after="0"/>
        <w:jc w:val="both"/>
        <w:sectPr>
          <w:pgSz w:w="12240" w:h="15840"/>
          <w:pgMar w:header="0" w:footer="743" w:top="1360" w:bottom="940" w:left="1640" w:right="1300"/>
        </w:sectPr>
      </w:pPr>
    </w:p>
    <w:p>
      <w:pPr>
        <w:pStyle w:val="ListParagraph"/>
        <w:numPr>
          <w:ilvl w:val="1"/>
          <w:numId w:val="98"/>
        </w:numPr>
        <w:tabs>
          <w:tab w:pos="653" w:val="left" w:leader="none"/>
        </w:tabs>
        <w:spacing w:line="240" w:lineRule="auto" w:before="76" w:after="0"/>
        <w:ind w:left="159" w:right="496" w:firstLine="0"/>
        <w:jc w:val="both"/>
        <w:rPr>
          <w:sz w:val="24"/>
        </w:rPr>
      </w:pPr>
      <w:r>
        <w:rPr>
          <w:sz w:val="24"/>
        </w:rPr>
        <w:t>It is often argued that secondary and higher education should be given to all young persons who have completed primary and secondary education and cannot find jobs and</w:t>
      </w:r>
      <w:r>
        <w:rPr>
          <w:spacing w:val="80"/>
          <w:sz w:val="24"/>
        </w:rPr>
        <w:t> </w:t>
      </w:r>
      <w:r>
        <w:rPr>
          <w:sz w:val="24"/>
        </w:rPr>
        <w:t>it is further contended that such asylum for them is a lesser evil than leaving them on the streets. This is an escapist attitude, commonly observed in developing and labour-surplus societies, to over-educate young persons by regarding education as a substitute rather</w:t>
      </w:r>
      <w:r>
        <w:rPr>
          <w:spacing w:val="40"/>
          <w:sz w:val="24"/>
        </w:rPr>
        <w:t> </w:t>
      </w:r>
      <w:r>
        <w:rPr>
          <w:sz w:val="24"/>
        </w:rPr>
        <w:t>than as a preparation for work. In industrialized and labour deficit societies, job opportunities are so plentiful that many young persons remain in school largely because of compulsory laws. As soon as the compulsory age-limit is reached, a large proportion (varying from 30 to 75 per cent) leave school and take up employment. This helps also in improving</w:t>
      </w:r>
      <w:r>
        <w:rPr>
          <w:spacing w:val="-2"/>
          <w:sz w:val="24"/>
        </w:rPr>
        <w:t> </w:t>
      </w:r>
      <w:r>
        <w:rPr>
          <w:sz w:val="24"/>
        </w:rPr>
        <w:t>standards</w:t>
      </w:r>
      <w:r>
        <w:rPr>
          <w:spacing w:val="-2"/>
          <w:sz w:val="24"/>
        </w:rPr>
        <w:t> </w:t>
      </w:r>
      <w:r>
        <w:rPr>
          <w:sz w:val="24"/>
        </w:rPr>
        <w:t>in</w:t>
      </w:r>
      <w:r>
        <w:rPr>
          <w:spacing w:val="-2"/>
          <w:sz w:val="24"/>
        </w:rPr>
        <w:t> </w:t>
      </w:r>
      <w:r>
        <w:rPr>
          <w:sz w:val="24"/>
        </w:rPr>
        <w:t>educational</w:t>
      </w:r>
      <w:r>
        <w:rPr>
          <w:spacing w:val="-2"/>
          <w:sz w:val="24"/>
        </w:rPr>
        <w:t> </w:t>
      </w:r>
      <w:r>
        <w:rPr>
          <w:sz w:val="24"/>
        </w:rPr>
        <w:t>institutions,</w:t>
      </w:r>
      <w:r>
        <w:rPr>
          <w:spacing w:val="-3"/>
          <w:sz w:val="24"/>
        </w:rPr>
        <w:t> </w:t>
      </w:r>
      <w:r>
        <w:rPr>
          <w:sz w:val="24"/>
        </w:rPr>
        <w:t>because</w:t>
      </w:r>
      <w:r>
        <w:rPr>
          <w:spacing w:val="-2"/>
          <w:sz w:val="24"/>
        </w:rPr>
        <w:t> </w:t>
      </w:r>
      <w:r>
        <w:rPr>
          <w:sz w:val="24"/>
        </w:rPr>
        <w:t>resources</w:t>
      </w:r>
      <w:r>
        <w:rPr>
          <w:spacing w:val="-2"/>
          <w:sz w:val="24"/>
        </w:rPr>
        <w:t> </w:t>
      </w:r>
      <w:r>
        <w:rPr>
          <w:sz w:val="24"/>
        </w:rPr>
        <w:t>are</w:t>
      </w:r>
      <w:r>
        <w:rPr>
          <w:spacing w:val="-2"/>
          <w:sz w:val="24"/>
        </w:rPr>
        <w:t> </w:t>
      </w:r>
      <w:r>
        <w:rPr>
          <w:sz w:val="24"/>
        </w:rPr>
        <w:t>plentiful</w:t>
      </w:r>
      <w:r>
        <w:rPr>
          <w:spacing w:val="-2"/>
          <w:sz w:val="24"/>
        </w:rPr>
        <w:t> </w:t>
      </w:r>
      <w:r>
        <w:rPr>
          <w:sz w:val="24"/>
        </w:rPr>
        <w:t>in</w:t>
      </w:r>
      <w:r>
        <w:rPr>
          <w:spacing w:val="-2"/>
          <w:sz w:val="24"/>
        </w:rPr>
        <w:t> </w:t>
      </w:r>
      <w:r>
        <w:rPr>
          <w:sz w:val="24"/>
        </w:rPr>
        <w:t>relation to the number of places to be provided in post- compulsory education. In developing and labour-surplus economies, on the other band, employment opportunities are so poor that 'opportunity costs' of education are very low and young people join secondary schools or colleges either because there is nothing else to do, or in the pious hope that a job may be more readily available from the raised platform of a higher education. But as resources</w:t>
      </w:r>
      <w:r>
        <w:rPr>
          <w:spacing w:val="40"/>
          <w:sz w:val="24"/>
        </w:rPr>
        <w:t> </w:t>
      </w:r>
      <w:r>
        <w:rPr>
          <w:sz w:val="24"/>
        </w:rPr>
        <w:t>are limited and the number of seats to be provided is larger, standards in secondary and higher education remain poor. The result, in some cases, is a negative rather than a positive contribution to individual and social life. We trust that decisive efforts will be made to check this tendency to use education as a substitute for employment.</w:t>
      </w:r>
    </w:p>
    <w:p>
      <w:pPr>
        <w:pStyle w:val="BodyText"/>
        <w:spacing w:before="4"/>
      </w:pPr>
    </w:p>
    <w:p>
      <w:pPr>
        <w:pStyle w:val="ListParagraph"/>
        <w:numPr>
          <w:ilvl w:val="1"/>
          <w:numId w:val="98"/>
        </w:numPr>
        <w:tabs>
          <w:tab w:pos="650" w:val="left" w:leader="none"/>
        </w:tabs>
        <w:spacing w:line="240" w:lineRule="auto" w:before="1" w:after="0"/>
        <w:ind w:left="159" w:right="496" w:firstLine="0"/>
        <w:jc w:val="both"/>
        <w:rPr>
          <w:sz w:val="24"/>
        </w:rPr>
      </w:pPr>
      <w:r>
        <w:rPr>
          <w:sz w:val="24"/>
        </w:rPr>
        <w:t>Much of the opposition to a policy of selective admissions would disappear if good methods of selection were evolved. Existing methods of selection tend to be based on a rather rigid acceptance of examination marks. This approach finds popular support because of its apparent 'Justice', facility of administration, and because of a fear that any discretion given to individual institutions may lead to favouritism, nepotism, casteism or even corruption. But examination marks are an undependable measure of native talent or of potential growth. They are also socially unjust, being heavily weighted in favour of urban</w:t>
      </w:r>
      <w:r>
        <w:rPr>
          <w:spacing w:val="-2"/>
          <w:sz w:val="24"/>
        </w:rPr>
        <w:t> </w:t>
      </w:r>
      <w:r>
        <w:rPr>
          <w:sz w:val="24"/>
        </w:rPr>
        <w:t>students</w:t>
      </w:r>
      <w:r>
        <w:rPr>
          <w:spacing w:val="-2"/>
          <w:sz w:val="24"/>
        </w:rPr>
        <w:t> </w:t>
      </w:r>
      <w:r>
        <w:rPr>
          <w:sz w:val="24"/>
        </w:rPr>
        <w:t>and</w:t>
      </w:r>
      <w:r>
        <w:rPr>
          <w:spacing w:val="-2"/>
          <w:sz w:val="24"/>
        </w:rPr>
        <w:t> </w:t>
      </w:r>
      <w:r>
        <w:rPr>
          <w:sz w:val="24"/>
        </w:rPr>
        <w:t>children</w:t>
      </w:r>
      <w:r>
        <w:rPr>
          <w:spacing w:val="-2"/>
          <w:sz w:val="24"/>
        </w:rPr>
        <w:t> </w:t>
      </w:r>
      <w:r>
        <w:rPr>
          <w:sz w:val="24"/>
        </w:rPr>
        <w:t>from</w:t>
      </w:r>
      <w:r>
        <w:rPr>
          <w:spacing w:val="-4"/>
          <w:sz w:val="24"/>
        </w:rPr>
        <w:t> </w:t>
      </w:r>
      <w:r>
        <w:rPr>
          <w:sz w:val="24"/>
        </w:rPr>
        <w:t>well-to-do</w:t>
      </w:r>
      <w:r>
        <w:rPr>
          <w:spacing w:val="-3"/>
          <w:sz w:val="24"/>
        </w:rPr>
        <w:t> </w:t>
      </w:r>
      <w:r>
        <w:rPr>
          <w:sz w:val="24"/>
        </w:rPr>
        <w:t>homes</w:t>
      </w:r>
      <w:r>
        <w:rPr>
          <w:spacing w:val="-3"/>
          <w:sz w:val="24"/>
        </w:rPr>
        <w:t> </w:t>
      </w:r>
      <w:r>
        <w:rPr>
          <w:sz w:val="24"/>
        </w:rPr>
        <w:t>and</w:t>
      </w:r>
      <w:r>
        <w:rPr>
          <w:spacing w:val="-3"/>
          <w:sz w:val="24"/>
        </w:rPr>
        <w:t> </w:t>
      </w:r>
      <w:r>
        <w:rPr>
          <w:sz w:val="24"/>
        </w:rPr>
        <w:t>good</w:t>
      </w:r>
      <w:r>
        <w:rPr>
          <w:spacing w:val="-3"/>
          <w:sz w:val="24"/>
        </w:rPr>
        <w:t> </w:t>
      </w:r>
      <w:r>
        <w:rPr>
          <w:sz w:val="24"/>
        </w:rPr>
        <w:t>schools.</w:t>
      </w:r>
      <w:r>
        <w:rPr>
          <w:spacing w:val="-3"/>
          <w:sz w:val="24"/>
        </w:rPr>
        <w:t> </w:t>
      </w:r>
      <w:r>
        <w:rPr>
          <w:sz w:val="24"/>
        </w:rPr>
        <w:t>What</w:t>
      </w:r>
      <w:r>
        <w:rPr>
          <w:spacing w:val="-3"/>
          <w:sz w:val="24"/>
        </w:rPr>
        <w:t> </w:t>
      </w:r>
      <w:r>
        <w:rPr>
          <w:sz w:val="24"/>
        </w:rPr>
        <w:t>is</w:t>
      </w:r>
      <w:r>
        <w:rPr>
          <w:spacing w:val="-3"/>
          <w:sz w:val="24"/>
        </w:rPr>
        <w:t> </w:t>
      </w:r>
      <w:r>
        <w:rPr>
          <w:sz w:val="24"/>
        </w:rPr>
        <w:t>needed</w:t>
      </w:r>
      <w:r>
        <w:rPr>
          <w:spacing w:val="-3"/>
          <w:sz w:val="24"/>
        </w:rPr>
        <w:t> </w:t>
      </w:r>
      <w:r>
        <w:rPr>
          <w:sz w:val="24"/>
        </w:rPr>
        <w:t>is</w:t>
      </w:r>
      <w:r>
        <w:rPr>
          <w:spacing w:val="-3"/>
          <w:sz w:val="24"/>
        </w:rPr>
        <w:t> </w:t>
      </w:r>
      <w:r>
        <w:rPr>
          <w:sz w:val="24"/>
        </w:rPr>
        <w:t>a reliable method of selection which will take account of past performances, native talent and the principles of social justice. Educational research will have to be developed vigorously to discover such methods. Suggestions for reform of present methods </w:t>
      </w:r>
      <w:r>
        <w:rPr>
          <w:sz w:val="24"/>
        </w:rPr>
        <w:t>are discussed later.</w:t>
      </w:r>
      <w:r>
        <w:rPr>
          <w:b/>
          <w:sz w:val="24"/>
          <w:vertAlign w:val="superscript"/>
        </w:rPr>
        <w:t>44</w:t>
      </w:r>
    </w:p>
    <w:p>
      <w:pPr>
        <w:pStyle w:val="BodyText"/>
        <w:spacing w:before="3"/>
        <w:rPr>
          <w:b/>
        </w:rPr>
      </w:pPr>
    </w:p>
    <w:p>
      <w:pPr>
        <w:pStyle w:val="ListParagraph"/>
        <w:numPr>
          <w:ilvl w:val="1"/>
          <w:numId w:val="98"/>
        </w:numPr>
        <w:tabs>
          <w:tab w:pos="693" w:val="left" w:leader="none"/>
        </w:tabs>
        <w:spacing w:line="240" w:lineRule="auto" w:before="0" w:after="0"/>
        <w:ind w:left="159" w:right="493" w:firstLine="0"/>
        <w:jc w:val="both"/>
        <w:rPr>
          <w:sz w:val="24"/>
        </w:rPr>
      </w:pPr>
      <w:r>
        <w:rPr>
          <w:sz w:val="24"/>
        </w:rPr>
        <w:t>If enrolment in higher secondary and university education should be related to broadly determined national goals for trained manpower, two steps are needed. The first</w:t>
      </w:r>
      <w:r>
        <w:rPr>
          <w:spacing w:val="40"/>
          <w:sz w:val="24"/>
        </w:rPr>
        <w:t> </w:t>
      </w:r>
      <w:r>
        <w:rPr>
          <w:sz w:val="24"/>
        </w:rPr>
        <w:t>is</w:t>
      </w:r>
      <w:r>
        <w:rPr>
          <w:spacing w:val="-2"/>
          <w:sz w:val="24"/>
        </w:rPr>
        <w:t> </w:t>
      </w:r>
      <w:r>
        <w:rPr>
          <w:sz w:val="24"/>
        </w:rPr>
        <w:t>to</w:t>
      </w:r>
      <w:r>
        <w:rPr>
          <w:spacing w:val="-2"/>
          <w:sz w:val="24"/>
        </w:rPr>
        <w:t> </w:t>
      </w:r>
      <w:r>
        <w:rPr>
          <w:sz w:val="24"/>
        </w:rPr>
        <w:t>fix</w:t>
      </w:r>
      <w:r>
        <w:rPr>
          <w:spacing w:val="-2"/>
          <w:sz w:val="24"/>
        </w:rPr>
        <w:t> </w:t>
      </w:r>
      <w:r>
        <w:rPr>
          <w:sz w:val="24"/>
        </w:rPr>
        <w:t>the</w:t>
      </w:r>
      <w:r>
        <w:rPr>
          <w:spacing w:val="-2"/>
          <w:sz w:val="24"/>
        </w:rPr>
        <w:t> </w:t>
      </w:r>
      <w:r>
        <w:rPr>
          <w:sz w:val="24"/>
        </w:rPr>
        <w:t>number</w:t>
      </w:r>
      <w:r>
        <w:rPr>
          <w:spacing w:val="-2"/>
          <w:sz w:val="24"/>
        </w:rPr>
        <w:t> </w:t>
      </w:r>
      <w:r>
        <w:rPr>
          <w:sz w:val="24"/>
        </w:rPr>
        <w:t>of</w:t>
      </w:r>
      <w:r>
        <w:rPr>
          <w:spacing w:val="-2"/>
          <w:sz w:val="24"/>
        </w:rPr>
        <w:t> </w:t>
      </w:r>
      <w:r>
        <w:rPr>
          <w:sz w:val="24"/>
        </w:rPr>
        <w:t>places</w:t>
      </w:r>
      <w:r>
        <w:rPr>
          <w:spacing w:val="-2"/>
          <w:sz w:val="24"/>
        </w:rPr>
        <w:t> </w:t>
      </w:r>
      <w:r>
        <w:rPr>
          <w:sz w:val="24"/>
        </w:rPr>
        <w:t>in</w:t>
      </w:r>
      <w:r>
        <w:rPr>
          <w:spacing w:val="-2"/>
          <w:sz w:val="24"/>
        </w:rPr>
        <w:t> </w:t>
      </w:r>
      <w:r>
        <w:rPr>
          <w:sz w:val="24"/>
        </w:rPr>
        <w:t>university</w:t>
      </w:r>
      <w:r>
        <w:rPr>
          <w:spacing w:val="-2"/>
          <w:sz w:val="24"/>
        </w:rPr>
        <w:t> </w:t>
      </w:r>
      <w:r>
        <w:rPr>
          <w:sz w:val="24"/>
        </w:rPr>
        <w:t>departments</w:t>
      </w:r>
      <w:r>
        <w:rPr>
          <w:spacing w:val="-2"/>
          <w:sz w:val="24"/>
        </w:rPr>
        <w:t> </w:t>
      </w:r>
      <w:r>
        <w:rPr>
          <w:sz w:val="24"/>
        </w:rPr>
        <w:t>or</w:t>
      </w:r>
      <w:r>
        <w:rPr>
          <w:spacing w:val="-2"/>
          <w:sz w:val="24"/>
        </w:rPr>
        <w:t> </w:t>
      </w:r>
      <w:r>
        <w:rPr>
          <w:sz w:val="24"/>
        </w:rPr>
        <w:t>colleges</w:t>
      </w:r>
      <w:r>
        <w:rPr>
          <w:spacing w:val="-2"/>
          <w:sz w:val="24"/>
        </w:rPr>
        <w:t> </w:t>
      </w:r>
      <w:r>
        <w:rPr>
          <w:sz w:val="24"/>
        </w:rPr>
        <w:t>in</w:t>
      </w:r>
      <w:r>
        <w:rPr>
          <w:spacing w:val="-2"/>
          <w:sz w:val="24"/>
        </w:rPr>
        <w:t> </w:t>
      </w:r>
      <w:r>
        <w:rPr>
          <w:sz w:val="24"/>
        </w:rPr>
        <w:t>advance,</w:t>
      </w:r>
      <w:r>
        <w:rPr>
          <w:spacing w:val="-2"/>
          <w:sz w:val="24"/>
        </w:rPr>
        <w:t> </w:t>
      </w:r>
      <w:r>
        <w:rPr>
          <w:sz w:val="24"/>
        </w:rPr>
        <w:t>keeping</w:t>
      </w:r>
      <w:r>
        <w:rPr>
          <w:spacing w:val="-2"/>
          <w:sz w:val="24"/>
        </w:rPr>
        <w:t> </w:t>
      </w:r>
      <w:r>
        <w:rPr>
          <w:sz w:val="24"/>
        </w:rPr>
        <w:t>in view the manpower needs and the facilities available; and the second is to make admissions</w:t>
      </w:r>
      <w:r>
        <w:rPr>
          <w:spacing w:val="-1"/>
          <w:sz w:val="24"/>
        </w:rPr>
        <w:t> </w:t>
      </w:r>
      <w:r>
        <w:rPr>
          <w:sz w:val="24"/>
        </w:rPr>
        <w:t>to</w:t>
      </w:r>
      <w:r>
        <w:rPr>
          <w:spacing w:val="-1"/>
          <w:sz w:val="24"/>
        </w:rPr>
        <w:t> </w:t>
      </w:r>
      <w:r>
        <w:rPr>
          <w:sz w:val="24"/>
        </w:rPr>
        <w:t>these</w:t>
      </w:r>
      <w:r>
        <w:rPr>
          <w:spacing w:val="-1"/>
          <w:sz w:val="24"/>
        </w:rPr>
        <w:t> </w:t>
      </w:r>
      <w:r>
        <w:rPr>
          <w:sz w:val="24"/>
        </w:rPr>
        <w:t>places</w:t>
      </w:r>
      <w:r>
        <w:rPr>
          <w:spacing w:val="-1"/>
          <w:sz w:val="24"/>
        </w:rPr>
        <w:t> </w:t>
      </w:r>
      <w:r>
        <w:rPr>
          <w:sz w:val="24"/>
        </w:rPr>
        <w:t>on</w:t>
      </w:r>
      <w:r>
        <w:rPr>
          <w:spacing w:val="-1"/>
          <w:sz w:val="24"/>
        </w:rPr>
        <w:t> </w:t>
      </w:r>
      <w:r>
        <w:rPr>
          <w:sz w:val="24"/>
        </w:rPr>
        <w:t>a</w:t>
      </w:r>
      <w:r>
        <w:rPr>
          <w:spacing w:val="-1"/>
          <w:sz w:val="24"/>
        </w:rPr>
        <w:t> </w:t>
      </w:r>
      <w:r>
        <w:rPr>
          <w:sz w:val="24"/>
        </w:rPr>
        <w:t>selective</w:t>
      </w:r>
      <w:r>
        <w:rPr>
          <w:spacing w:val="-1"/>
          <w:sz w:val="24"/>
        </w:rPr>
        <w:t> </w:t>
      </w:r>
      <w:r>
        <w:rPr>
          <w:sz w:val="24"/>
        </w:rPr>
        <w:t>basis</w:t>
      </w:r>
      <w:r>
        <w:rPr>
          <w:spacing w:val="-1"/>
          <w:sz w:val="24"/>
        </w:rPr>
        <w:t> </w:t>
      </w:r>
      <w:r>
        <w:rPr>
          <w:sz w:val="24"/>
        </w:rPr>
        <w:t>with</w:t>
      </w:r>
      <w:r>
        <w:rPr>
          <w:spacing w:val="-1"/>
          <w:sz w:val="24"/>
        </w:rPr>
        <w:t> </w:t>
      </w:r>
      <w:r>
        <w:rPr>
          <w:sz w:val="24"/>
        </w:rPr>
        <w:t>due</w:t>
      </w:r>
      <w:r>
        <w:rPr>
          <w:spacing w:val="-1"/>
          <w:sz w:val="24"/>
        </w:rPr>
        <w:t> </w:t>
      </w:r>
      <w:r>
        <w:rPr>
          <w:sz w:val="24"/>
        </w:rPr>
        <w:t>regard</w:t>
      </w:r>
      <w:r>
        <w:rPr>
          <w:spacing w:val="-1"/>
          <w:sz w:val="24"/>
        </w:rPr>
        <w:t> </w:t>
      </w:r>
      <w:r>
        <w:rPr>
          <w:sz w:val="24"/>
        </w:rPr>
        <w:t>to</w:t>
      </w:r>
      <w:r>
        <w:rPr>
          <w:spacing w:val="-1"/>
          <w:sz w:val="24"/>
        </w:rPr>
        <w:t> </w:t>
      </w:r>
      <w:r>
        <w:rPr>
          <w:sz w:val="24"/>
        </w:rPr>
        <w:t>the</w:t>
      </w:r>
      <w:r>
        <w:rPr>
          <w:spacing w:val="-2"/>
          <w:sz w:val="24"/>
        </w:rPr>
        <w:t> </w:t>
      </w:r>
      <w:r>
        <w:rPr>
          <w:sz w:val="24"/>
        </w:rPr>
        <w:t>natural</w:t>
      </w:r>
      <w:r>
        <w:rPr>
          <w:spacing w:val="-1"/>
          <w:sz w:val="24"/>
        </w:rPr>
        <w:t> </w:t>
      </w:r>
      <w:r>
        <w:rPr>
          <w:sz w:val="24"/>
        </w:rPr>
        <w:t>talents</w:t>
      </w:r>
      <w:r>
        <w:rPr>
          <w:spacing w:val="-1"/>
          <w:sz w:val="24"/>
        </w:rPr>
        <w:t> </w:t>
      </w:r>
      <w:r>
        <w:rPr>
          <w:sz w:val="24"/>
        </w:rPr>
        <w:t>of</w:t>
      </w:r>
      <w:r>
        <w:rPr>
          <w:spacing w:val="-3"/>
          <w:sz w:val="24"/>
        </w:rPr>
        <w:t> </w:t>
      </w:r>
      <w:r>
        <w:rPr>
          <w:sz w:val="24"/>
        </w:rPr>
        <w:t>the students,</w:t>
      </w:r>
      <w:r>
        <w:rPr>
          <w:spacing w:val="-1"/>
          <w:sz w:val="24"/>
        </w:rPr>
        <w:t> </w:t>
      </w:r>
      <w:r>
        <w:rPr>
          <w:sz w:val="24"/>
        </w:rPr>
        <w:t>their</w:t>
      </w:r>
      <w:r>
        <w:rPr>
          <w:spacing w:val="-1"/>
          <w:sz w:val="24"/>
        </w:rPr>
        <w:t> </w:t>
      </w:r>
      <w:r>
        <w:rPr>
          <w:sz w:val="24"/>
        </w:rPr>
        <w:t>achievements</w:t>
      </w:r>
      <w:r>
        <w:rPr>
          <w:spacing w:val="-1"/>
          <w:sz w:val="24"/>
        </w:rPr>
        <w:t> </w:t>
      </w:r>
      <w:r>
        <w:rPr>
          <w:sz w:val="24"/>
        </w:rPr>
        <w:t>at</w:t>
      </w:r>
      <w:r>
        <w:rPr>
          <w:spacing w:val="-1"/>
          <w:sz w:val="24"/>
        </w:rPr>
        <w:t> </w:t>
      </w:r>
      <w:r>
        <w:rPr>
          <w:sz w:val="24"/>
        </w:rPr>
        <w:t>earlier</w:t>
      </w:r>
      <w:r>
        <w:rPr>
          <w:spacing w:val="-1"/>
          <w:sz w:val="24"/>
        </w:rPr>
        <w:t> </w:t>
      </w:r>
      <w:r>
        <w:rPr>
          <w:sz w:val="24"/>
        </w:rPr>
        <w:t>stages,</w:t>
      </w:r>
      <w:r>
        <w:rPr>
          <w:spacing w:val="-1"/>
          <w:sz w:val="24"/>
        </w:rPr>
        <w:t> </w:t>
      </w:r>
      <w:r>
        <w:rPr>
          <w:sz w:val="24"/>
        </w:rPr>
        <w:t>and</w:t>
      </w:r>
      <w:r>
        <w:rPr>
          <w:spacing w:val="-2"/>
          <w:sz w:val="24"/>
        </w:rPr>
        <w:t> </w:t>
      </w:r>
      <w:r>
        <w:rPr>
          <w:sz w:val="24"/>
        </w:rPr>
        <w:t>the</w:t>
      </w:r>
      <w:r>
        <w:rPr>
          <w:spacing w:val="-1"/>
          <w:sz w:val="24"/>
        </w:rPr>
        <w:t> </w:t>
      </w:r>
      <w:r>
        <w:rPr>
          <w:sz w:val="24"/>
        </w:rPr>
        <w:t>principles</w:t>
      </w:r>
      <w:r>
        <w:rPr>
          <w:spacing w:val="-1"/>
          <w:sz w:val="24"/>
        </w:rPr>
        <w:t> </w:t>
      </w:r>
      <w:r>
        <w:rPr>
          <w:sz w:val="24"/>
        </w:rPr>
        <w:t>of</w:t>
      </w:r>
      <w:r>
        <w:rPr>
          <w:spacing w:val="-1"/>
          <w:sz w:val="24"/>
        </w:rPr>
        <w:t> </w:t>
      </w:r>
      <w:r>
        <w:rPr>
          <w:sz w:val="24"/>
        </w:rPr>
        <w:t>social</w:t>
      </w:r>
      <w:r>
        <w:rPr>
          <w:spacing w:val="-1"/>
          <w:sz w:val="24"/>
        </w:rPr>
        <w:t> </w:t>
      </w:r>
      <w:r>
        <w:rPr>
          <w:sz w:val="24"/>
        </w:rPr>
        <w:t>justice.</w:t>
      </w:r>
      <w:r>
        <w:rPr>
          <w:spacing w:val="-1"/>
          <w:sz w:val="24"/>
        </w:rPr>
        <w:t> </w:t>
      </w:r>
      <w:r>
        <w:rPr>
          <w:sz w:val="24"/>
        </w:rPr>
        <w:t>A</w:t>
      </w:r>
      <w:r>
        <w:rPr>
          <w:spacing w:val="-1"/>
          <w:sz w:val="24"/>
        </w:rPr>
        <w:t> </w:t>
      </w:r>
      <w:r>
        <w:rPr>
          <w:sz w:val="24"/>
        </w:rPr>
        <w:t>policy of selective admissions is already being implemented, to a large extent, in courses in science, technology, medicine and agriculture and even in a fair number of institutions of general education which are anxious to maintain standards. The techniques of selection now in force will have to</w:t>
      </w:r>
      <w:r>
        <w:rPr>
          <w:spacing w:val="-1"/>
          <w:sz w:val="24"/>
        </w:rPr>
        <w:t> </w:t>
      </w:r>
      <w:r>
        <w:rPr>
          <w:sz w:val="24"/>
        </w:rPr>
        <w:t>be improved on the lines indicated above. Moreover, it has now</w:t>
      </w:r>
    </w:p>
    <w:p>
      <w:pPr>
        <w:pStyle w:val="BodyText"/>
        <w:spacing w:before="5"/>
      </w:pPr>
    </w:p>
    <w:p>
      <w:pPr>
        <w:pStyle w:val="BodyText"/>
        <w:ind w:left="160"/>
      </w:pPr>
      <w:r>
        <w:rPr>
          <w:b/>
          <w:vertAlign w:val="superscript"/>
        </w:rPr>
        <w:t>44</w:t>
      </w:r>
      <w:r>
        <w:rPr>
          <w:vertAlign w:val="baseline"/>
        </w:rPr>
        <w:t>Chapter</w:t>
      </w:r>
      <w:r>
        <w:rPr>
          <w:spacing w:val="-3"/>
          <w:vertAlign w:val="baseline"/>
        </w:rPr>
        <w:t> </w:t>
      </w:r>
      <w:r>
        <w:rPr>
          <w:spacing w:val="-4"/>
          <w:vertAlign w:val="baseline"/>
        </w:rPr>
        <w:t>XII.</w:t>
      </w:r>
    </w:p>
    <w:p>
      <w:pPr>
        <w:spacing w:after="0"/>
        <w:sectPr>
          <w:pgSz w:w="12240" w:h="15840"/>
          <w:pgMar w:header="0" w:footer="743" w:top="1360" w:bottom="940" w:left="1640" w:right="1300"/>
        </w:sectPr>
      </w:pPr>
    </w:p>
    <w:p>
      <w:pPr>
        <w:pStyle w:val="BodyText"/>
        <w:spacing w:before="76"/>
        <w:ind w:left="160" w:right="498"/>
        <w:jc w:val="both"/>
      </w:pPr>
      <w:r>
        <w:rPr/>
        <w:t>become urgent to ensure that the principle of selective admissions becomes the national policy for all courses and institutions of higher education, including courses in</w:t>
      </w:r>
      <w:r>
        <w:rPr>
          <w:spacing w:val="40"/>
        </w:rPr>
        <w:t> </w:t>
      </w:r>
      <w:r>
        <w:rPr/>
        <w:t>humanities and commerce and in the affiliated colleges.</w:t>
      </w:r>
    </w:p>
    <w:p>
      <w:pPr>
        <w:pStyle w:val="BodyText"/>
        <w:spacing w:before="4"/>
      </w:pPr>
    </w:p>
    <w:p>
      <w:pPr>
        <w:pStyle w:val="ListParagraph"/>
        <w:numPr>
          <w:ilvl w:val="1"/>
          <w:numId w:val="98"/>
        </w:numPr>
        <w:tabs>
          <w:tab w:pos="640" w:val="left" w:leader="none"/>
        </w:tabs>
        <w:spacing w:line="240" w:lineRule="auto" w:before="0" w:after="0"/>
        <w:ind w:left="159" w:right="493" w:firstLine="0"/>
        <w:jc w:val="both"/>
        <w:rPr>
          <w:b/>
          <w:sz w:val="24"/>
        </w:rPr>
      </w:pPr>
      <w:r>
        <w:rPr>
          <w:b/>
          <w:sz w:val="24"/>
        </w:rPr>
        <w:t>Development</w:t>
      </w:r>
      <w:r>
        <w:rPr>
          <w:b/>
          <w:spacing w:val="-3"/>
          <w:sz w:val="24"/>
        </w:rPr>
        <w:t> </w:t>
      </w:r>
      <w:r>
        <w:rPr>
          <w:b/>
          <w:sz w:val="24"/>
        </w:rPr>
        <w:t>of</w:t>
      </w:r>
      <w:r>
        <w:rPr>
          <w:b/>
          <w:spacing w:val="-3"/>
          <w:sz w:val="24"/>
        </w:rPr>
        <w:t> </w:t>
      </w:r>
      <w:r>
        <w:rPr>
          <w:b/>
          <w:sz w:val="24"/>
        </w:rPr>
        <w:t>Vocational</w:t>
      </w:r>
      <w:r>
        <w:rPr>
          <w:b/>
          <w:spacing w:val="-3"/>
          <w:sz w:val="24"/>
        </w:rPr>
        <w:t> </w:t>
      </w:r>
      <w:r>
        <w:rPr>
          <w:b/>
          <w:sz w:val="24"/>
        </w:rPr>
        <w:t>Education.</w:t>
      </w:r>
      <w:r>
        <w:rPr>
          <w:b/>
          <w:spacing w:val="-6"/>
          <w:sz w:val="24"/>
        </w:rPr>
        <w:t> </w:t>
      </w:r>
      <w:r>
        <w:rPr>
          <w:sz w:val="24"/>
        </w:rPr>
        <w:t>Estimates</w:t>
      </w:r>
      <w:r>
        <w:rPr>
          <w:spacing w:val="-3"/>
          <w:sz w:val="24"/>
        </w:rPr>
        <w:t> </w:t>
      </w:r>
      <w:r>
        <w:rPr>
          <w:sz w:val="24"/>
        </w:rPr>
        <w:t>of</w:t>
      </w:r>
      <w:r>
        <w:rPr>
          <w:spacing w:val="-3"/>
          <w:sz w:val="24"/>
        </w:rPr>
        <w:t> </w:t>
      </w:r>
      <w:r>
        <w:rPr>
          <w:sz w:val="24"/>
        </w:rPr>
        <w:t>manpower</w:t>
      </w:r>
      <w:r>
        <w:rPr>
          <w:spacing w:val="-3"/>
          <w:sz w:val="24"/>
        </w:rPr>
        <w:t> </w:t>
      </w:r>
      <w:r>
        <w:rPr>
          <w:sz w:val="24"/>
        </w:rPr>
        <w:t>needs</w:t>
      </w:r>
      <w:r>
        <w:rPr>
          <w:spacing w:val="-3"/>
          <w:sz w:val="24"/>
        </w:rPr>
        <w:t> </w:t>
      </w:r>
      <w:r>
        <w:rPr>
          <w:sz w:val="24"/>
        </w:rPr>
        <w:t>also</w:t>
      </w:r>
      <w:r>
        <w:rPr>
          <w:spacing w:val="-3"/>
          <w:sz w:val="24"/>
        </w:rPr>
        <w:t> </w:t>
      </w:r>
      <w:r>
        <w:rPr>
          <w:sz w:val="24"/>
        </w:rPr>
        <w:t>serve</w:t>
      </w:r>
      <w:r>
        <w:rPr>
          <w:spacing w:val="-3"/>
          <w:sz w:val="24"/>
        </w:rPr>
        <w:t> </w:t>
      </w:r>
      <w:r>
        <w:rPr>
          <w:sz w:val="24"/>
        </w:rPr>
        <w:t>as a guide for the expansion of vocational education. We shall discuss specific vocational training, in engineering and agriculture, elsewhere.</w:t>
      </w:r>
      <w:r>
        <w:rPr>
          <w:b/>
          <w:sz w:val="24"/>
          <w:vertAlign w:val="superscript"/>
        </w:rPr>
        <w:t>45</w:t>
      </w:r>
      <w:r>
        <w:rPr>
          <w:b/>
          <w:spacing w:val="40"/>
          <w:sz w:val="24"/>
          <w:vertAlign w:val="baseline"/>
        </w:rPr>
        <w:t> </w:t>
      </w:r>
      <w:r>
        <w:rPr>
          <w:sz w:val="24"/>
          <w:vertAlign w:val="baseline"/>
        </w:rPr>
        <w:t>For the present we are concerned with the overall balance between general and vocational education at the secondary and higher levels.</w:t>
      </w:r>
    </w:p>
    <w:p>
      <w:pPr>
        <w:pStyle w:val="BodyText"/>
        <w:spacing w:before="5"/>
      </w:pPr>
    </w:p>
    <w:p>
      <w:pPr>
        <w:pStyle w:val="ListParagraph"/>
        <w:numPr>
          <w:ilvl w:val="1"/>
          <w:numId w:val="98"/>
        </w:numPr>
        <w:tabs>
          <w:tab w:pos="685" w:val="left" w:leader="none"/>
        </w:tabs>
        <w:spacing w:line="240" w:lineRule="auto" w:before="0" w:after="0"/>
        <w:ind w:left="160" w:right="495" w:firstLine="0"/>
        <w:jc w:val="both"/>
        <w:rPr>
          <w:sz w:val="24"/>
        </w:rPr>
      </w:pPr>
      <w:r>
        <w:rPr>
          <w:sz w:val="24"/>
        </w:rPr>
        <w:t>At the lower secondary level, leading to matriculation, we must realize that the manpower data available give little guidance on the extent of vocationalization. Manpower needs are expressed in terms of matriculates only or in terms of pupils successfully completing courses of general education. Pupils in schools for technical or industrial education, arts and crafts training, or for music, dancing and other fine arts are not represented in the manpower data. How far these courses should expand and what new courses of a vocational or practical nature should be started are questions which can be answered only after further study. Our proposals on this subject will be discussed in the chapter on School Education.</w:t>
      </w:r>
      <w:r>
        <w:rPr>
          <w:b/>
          <w:sz w:val="24"/>
          <w:vertAlign w:val="superscript"/>
        </w:rPr>
        <w:t>46</w:t>
      </w:r>
    </w:p>
    <w:p>
      <w:pPr>
        <w:pStyle w:val="BodyText"/>
        <w:spacing w:before="4"/>
        <w:rPr>
          <w:b/>
        </w:rPr>
      </w:pPr>
    </w:p>
    <w:p>
      <w:pPr>
        <w:pStyle w:val="ListParagraph"/>
        <w:numPr>
          <w:ilvl w:val="1"/>
          <w:numId w:val="98"/>
        </w:numPr>
        <w:tabs>
          <w:tab w:pos="644" w:val="left" w:leader="none"/>
        </w:tabs>
        <w:spacing w:line="240" w:lineRule="auto" w:before="0" w:after="0"/>
        <w:ind w:left="160" w:right="496" w:firstLine="0"/>
        <w:jc w:val="both"/>
        <w:rPr>
          <w:sz w:val="24"/>
        </w:rPr>
      </w:pPr>
      <w:r>
        <w:rPr>
          <w:sz w:val="24"/>
        </w:rPr>
        <w:t>At the higher secondary level, leading to intermediate or its equivalent, considerable guidance</w:t>
      </w:r>
      <w:r>
        <w:rPr>
          <w:spacing w:val="-1"/>
          <w:sz w:val="24"/>
        </w:rPr>
        <w:t> </w:t>
      </w:r>
      <w:r>
        <w:rPr>
          <w:sz w:val="24"/>
        </w:rPr>
        <w:t>is</w:t>
      </w:r>
      <w:r>
        <w:rPr>
          <w:spacing w:val="-1"/>
          <w:sz w:val="24"/>
        </w:rPr>
        <w:t> </w:t>
      </w:r>
      <w:r>
        <w:rPr>
          <w:sz w:val="24"/>
        </w:rPr>
        <w:t>given</w:t>
      </w:r>
      <w:r>
        <w:rPr>
          <w:spacing w:val="-1"/>
          <w:sz w:val="24"/>
        </w:rPr>
        <w:t> </w:t>
      </w:r>
      <w:r>
        <w:rPr>
          <w:sz w:val="24"/>
        </w:rPr>
        <w:t>by</w:t>
      </w:r>
      <w:r>
        <w:rPr>
          <w:spacing w:val="-1"/>
          <w:sz w:val="24"/>
        </w:rPr>
        <w:t> </w:t>
      </w:r>
      <w:r>
        <w:rPr>
          <w:sz w:val="24"/>
        </w:rPr>
        <w:t>the</w:t>
      </w:r>
      <w:r>
        <w:rPr>
          <w:spacing w:val="-1"/>
          <w:sz w:val="24"/>
        </w:rPr>
        <w:t> </w:t>
      </w:r>
      <w:r>
        <w:rPr>
          <w:sz w:val="24"/>
        </w:rPr>
        <w:t>manpower</w:t>
      </w:r>
      <w:r>
        <w:rPr>
          <w:spacing w:val="-1"/>
          <w:sz w:val="24"/>
        </w:rPr>
        <w:t> </w:t>
      </w:r>
      <w:r>
        <w:rPr>
          <w:sz w:val="24"/>
        </w:rPr>
        <w:t>forecasts.</w:t>
      </w:r>
      <w:r>
        <w:rPr>
          <w:spacing w:val="-2"/>
          <w:sz w:val="24"/>
        </w:rPr>
        <w:t> </w:t>
      </w:r>
      <w:r>
        <w:rPr>
          <w:sz w:val="24"/>
        </w:rPr>
        <w:t>These</w:t>
      </w:r>
      <w:r>
        <w:rPr>
          <w:spacing w:val="-1"/>
          <w:sz w:val="24"/>
        </w:rPr>
        <w:t> </w:t>
      </w:r>
      <w:r>
        <w:rPr>
          <w:sz w:val="24"/>
        </w:rPr>
        <w:t>suggest</w:t>
      </w:r>
      <w:r>
        <w:rPr>
          <w:spacing w:val="-1"/>
          <w:sz w:val="24"/>
        </w:rPr>
        <w:t> </w:t>
      </w:r>
      <w:r>
        <w:rPr>
          <w:sz w:val="24"/>
        </w:rPr>
        <w:t>that</w:t>
      </w:r>
      <w:r>
        <w:rPr>
          <w:spacing w:val="-1"/>
          <w:sz w:val="24"/>
        </w:rPr>
        <w:t> </w:t>
      </w:r>
      <w:r>
        <w:rPr>
          <w:sz w:val="24"/>
        </w:rPr>
        <w:t>by</w:t>
      </w:r>
      <w:r>
        <w:rPr>
          <w:spacing w:val="-1"/>
          <w:sz w:val="24"/>
        </w:rPr>
        <w:t> </w:t>
      </w:r>
      <w:r>
        <w:rPr>
          <w:sz w:val="24"/>
        </w:rPr>
        <w:t>1985-86</w:t>
      </w:r>
      <w:r>
        <w:rPr>
          <w:spacing w:val="-1"/>
          <w:sz w:val="24"/>
        </w:rPr>
        <w:t> </w:t>
      </w:r>
      <w:r>
        <w:rPr>
          <w:sz w:val="24"/>
        </w:rPr>
        <w:t>there</w:t>
      </w:r>
      <w:r>
        <w:rPr>
          <w:spacing w:val="-1"/>
          <w:sz w:val="24"/>
        </w:rPr>
        <w:t> </w:t>
      </w:r>
      <w:r>
        <w:rPr>
          <w:sz w:val="24"/>
        </w:rPr>
        <w:t>should be 2,413,000 enrolments in vocational schools and perhaps 600,000 in vocational</w:t>
      </w:r>
      <w:r>
        <w:rPr>
          <w:spacing w:val="40"/>
          <w:sz w:val="24"/>
        </w:rPr>
        <w:t> </w:t>
      </w:r>
      <w:r>
        <w:rPr>
          <w:sz w:val="24"/>
        </w:rPr>
        <w:t>colleges out of total enrolments of 6,873,000. This is equivalent to 43 per cent of the</w:t>
      </w:r>
      <w:r>
        <w:rPr>
          <w:spacing w:val="40"/>
          <w:sz w:val="24"/>
        </w:rPr>
        <w:t> </w:t>
      </w:r>
      <w:r>
        <w:rPr>
          <w:sz w:val="24"/>
        </w:rPr>
        <w:t>total. Our proposals on this subject are discussed elsewhere.</w:t>
      </w:r>
      <w:r>
        <w:rPr>
          <w:b/>
          <w:sz w:val="24"/>
          <w:vertAlign w:val="superscript"/>
        </w:rPr>
        <w:t>47</w:t>
      </w:r>
      <w:r>
        <w:rPr>
          <w:b/>
          <w:sz w:val="24"/>
          <w:vertAlign w:val="baseline"/>
        </w:rPr>
        <w:t> </w:t>
      </w:r>
      <w:r>
        <w:rPr>
          <w:sz w:val="24"/>
          <w:vertAlign w:val="baseline"/>
        </w:rPr>
        <w:t>We are of the view that vocational education at this level has to be emphasized. We have, therefore, assumed that enrolments in vocational courses at this level would be about 50 per cent of the total.</w:t>
      </w:r>
    </w:p>
    <w:p>
      <w:pPr>
        <w:pStyle w:val="BodyText"/>
        <w:spacing w:before="4"/>
      </w:pPr>
    </w:p>
    <w:p>
      <w:pPr>
        <w:pStyle w:val="ListParagraph"/>
        <w:numPr>
          <w:ilvl w:val="1"/>
          <w:numId w:val="98"/>
        </w:numPr>
        <w:tabs>
          <w:tab w:pos="704" w:val="left" w:leader="none"/>
        </w:tabs>
        <w:spacing w:line="240" w:lineRule="auto" w:before="0" w:after="0"/>
        <w:ind w:left="160" w:right="494" w:firstLine="0"/>
        <w:jc w:val="both"/>
        <w:rPr>
          <w:sz w:val="24"/>
        </w:rPr>
      </w:pPr>
      <w:r>
        <w:rPr>
          <w:sz w:val="24"/>
        </w:rPr>
        <w:t>At the undergraduate level, forecasts of the need for specialists suggest some 833,000</w:t>
      </w:r>
      <w:r>
        <w:rPr>
          <w:spacing w:val="-2"/>
          <w:sz w:val="24"/>
        </w:rPr>
        <w:t> </w:t>
      </w:r>
      <w:r>
        <w:rPr>
          <w:sz w:val="24"/>
        </w:rPr>
        <w:t>enrolments</w:t>
      </w:r>
      <w:r>
        <w:rPr>
          <w:spacing w:val="-2"/>
          <w:sz w:val="24"/>
        </w:rPr>
        <w:t> </w:t>
      </w:r>
      <w:r>
        <w:rPr>
          <w:sz w:val="24"/>
        </w:rPr>
        <w:t>in</w:t>
      </w:r>
      <w:r>
        <w:rPr>
          <w:spacing w:val="-2"/>
          <w:sz w:val="24"/>
        </w:rPr>
        <w:t> </w:t>
      </w:r>
      <w:r>
        <w:rPr>
          <w:sz w:val="24"/>
        </w:rPr>
        <w:t>1985-86,</w:t>
      </w:r>
      <w:r>
        <w:rPr>
          <w:spacing w:val="-2"/>
          <w:sz w:val="24"/>
        </w:rPr>
        <w:t> </w:t>
      </w:r>
      <w:r>
        <w:rPr>
          <w:sz w:val="24"/>
        </w:rPr>
        <w:t>in</w:t>
      </w:r>
      <w:r>
        <w:rPr>
          <w:spacing w:val="-2"/>
          <w:sz w:val="24"/>
        </w:rPr>
        <w:t> </w:t>
      </w:r>
      <w:r>
        <w:rPr>
          <w:sz w:val="24"/>
        </w:rPr>
        <w:t>engineering,</w:t>
      </w:r>
      <w:r>
        <w:rPr>
          <w:spacing w:val="-2"/>
          <w:sz w:val="24"/>
        </w:rPr>
        <w:t> </w:t>
      </w:r>
      <w:r>
        <w:rPr>
          <w:sz w:val="24"/>
        </w:rPr>
        <w:t>agriculture</w:t>
      </w:r>
      <w:r>
        <w:rPr>
          <w:spacing w:val="-2"/>
          <w:sz w:val="24"/>
        </w:rPr>
        <w:t> </w:t>
      </w:r>
      <w:r>
        <w:rPr>
          <w:sz w:val="24"/>
        </w:rPr>
        <w:t>and</w:t>
      </w:r>
      <w:r>
        <w:rPr>
          <w:spacing w:val="-2"/>
          <w:sz w:val="24"/>
        </w:rPr>
        <w:t> </w:t>
      </w:r>
      <w:r>
        <w:rPr>
          <w:sz w:val="24"/>
        </w:rPr>
        <w:t>medicine.</w:t>
      </w:r>
      <w:r>
        <w:rPr>
          <w:spacing w:val="-2"/>
          <w:sz w:val="24"/>
        </w:rPr>
        <w:t> </w:t>
      </w:r>
      <w:r>
        <w:rPr>
          <w:sz w:val="24"/>
        </w:rPr>
        <w:t>To</w:t>
      </w:r>
      <w:r>
        <w:rPr>
          <w:spacing w:val="-2"/>
          <w:sz w:val="24"/>
        </w:rPr>
        <w:t> </w:t>
      </w:r>
      <w:r>
        <w:rPr>
          <w:sz w:val="24"/>
        </w:rPr>
        <w:t>this</w:t>
      </w:r>
      <w:r>
        <w:rPr>
          <w:spacing w:val="-2"/>
          <w:sz w:val="24"/>
        </w:rPr>
        <w:t> </w:t>
      </w:r>
      <w:r>
        <w:rPr>
          <w:sz w:val="24"/>
        </w:rPr>
        <w:t>must</w:t>
      </w:r>
      <w:r>
        <w:rPr>
          <w:spacing w:val="-2"/>
          <w:sz w:val="24"/>
        </w:rPr>
        <w:t> </w:t>
      </w:r>
      <w:r>
        <w:rPr>
          <w:sz w:val="24"/>
        </w:rPr>
        <w:t>be added</w:t>
      </w:r>
      <w:r>
        <w:rPr>
          <w:spacing w:val="-2"/>
          <w:sz w:val="24"/>
        </w:rPr>
        <w:t> </w:t>
      </w:r>
      <w:r>
        <w:rPr>
          <w:sz w:val="24"/>
        </w:rPr>
        <w:t>the</w:t>
      </w:r>
      <w:r>
        <w:rPr>
          <w:spacing w:val="-2"/>
          <w:sz w:val="24"/>
        </w:rPr>
        <w:t> </w:t>
      </w:r>
      <w:r>
        <w:rPr>
          <w:sz w:val="24"/>
        </w:rPr>
        <w:t>enrolments</w:t>
      </w:r>
      <w:r>
        <w:rPr>
          <w:spacing w:val="-2"/>
          <w:sz w:val="24"/>
        </w:rPr>
        <w:t> </w:t>
      </w:r>
      <w:r>
        <w:rPr>
          <w:sz w:val="24"/>
        </w:rPr>
        <w:t>in</w:t>
      </w:r>
      <w:r>
        <w:rPr>
          <w:spacing w:val="-2"/>
          <w:sz w:val="24"/>
        </w:rPr>
        <w:t> </w:t>
      </w:r>
      <w:r>
        <w:rPr>
          <w:sz w:val="24"/>
        </w:rPr>
        <w:t>degree</w:t>
      </w:r>
      <w:r>
        <w:rPr>
          <w:spacing w:val="-5"/>
          <w:sz w:val="24"/>
        </w:rPr>
        <w:t> </w:t>
      </w:r>
      <w:r>
        <w:rPr>
          <w:sz w:val="24"/>
        </w:rPr>
        <w:t>courses</w:t>
      </w:r>
      <w:r>
        <w:rPr>
          <w:spacing w:val="-2"/>
          <w:sz w:val="24"/>
        </w:rPr>
        <w:t> </w:t>
      </w:r>
      <w:r>
        <w:rPr>
          <w:sz w:val="24"/>
        </w:rPr>
        <w:t>in</w:t>
      </w:r>
      <w:r>
        <w:rPr>
          <w:spacing w:val="-2"/>
          <w:sz w:val="24"/>
        </w:rPr>
        <w:t> </w:t>
      </w:r>
      <w:r>
        <w:rPr>
          <w:sz w:val="24"/>
        </w:rPr>
        <w:t>teaching</w:t>
      </w:r>
      <w:r>
        <w:rPr>
          <w:spacing w:val="-2"/>
          <w:sz w:val="24"/>
        </w:rPr>
        <w:t> </w:t>
      </w:r>
      <w:r>
        <w:rPr>
          <w:sz w:val="24"/>
        </w:rPr>
        <w:t>and</w:t>
      </w:r>
      <w:r>
        <w:rPr>
          <w:spacing w:val="-2"/>
          <w:sz w:val="24"/>
        </w:rPr>
        <w:t> </w:t>
      </w:r>
      <w:r>
        <w:rPr>
          <w:sz w:val="24"/>
        </w:rPr>
        <w:t>law.</w:t>
      </w:r>
      <w:r>
        <w:rPr>
          <w:spacing w:val="-6"/>
          <w:sz w:val="24"/>
        </w:rPr>
        <w:t> </w:t>
      </w:r>
      <w:r>
        <w:rPr>
          <w:sz w:val="24"/>
        </w:rPr>
        <w:t>Our</w:t>
      </w:r>
      <w:r>
        <w:rPr>
          <w:spacing w:val="-2"/>
          <w:sz w:val="24"/>
        </w:rPr>
        <w:t> </w:t>
      </w:r>
      <w:r>
        <w:rPr>
          <w:sz w:val="24"/>
        </w:rPr>
        <w:t>proposals</w:t>
      </w:r>
      <w:r>
        <w:rPr>
          <w:spacing w:val="-2"/>
          <w:sz w:val="24"/>
        </w:rPr>
        <w:t> </w:t>
      </w:r>
      <w:r>
        <w:rPr>
          <w:sz w:val="24"/>
        </w:rPr>
        <w:t>on</w:t>
      </w:r>
      <w:r>
        <w:rPr>
          <w:spacing w:val="-2"/>
          <w:sz w:val="24"/>
        </w:rPr>
        <w:t> </w:t>
      </w:r>
      <w:r>
        <w:rPr>
          <w:sz w:val="24"/>
        </w:rPr>
        <w:t>this</w:t>
      </w:r>
      <w:r>
        <w:rPr>
          <w:spacing w:val="-2"/>
          <w:sz w:val="24"/>
        </w:rPr>
        <w:t> </w:t>
      </w:r>
      <w:r>
        <w:rPr>
          <w:sz w:val="24"/>
        </w:rPr>
        <w:t>subject are discussed elsewhere. </w:t>
      </w:r>
      <w:r>
        <w:rPr>
          <w:b/>
          <w:sz w:val="24"/>
          <w:vertAlign w:val="superscript"/>
        </w:rPr>
        <w:t>48</w:t>
      </w:r>
    </w:p>
    <w:p>
      <w:pPr>
        <w:pStyle w:val="BodyText"/>
        <w:spacing w:before="3"/>
        <w:rPr>
          <w:b/>
        </w:rPr>
      </w:pPr>
    </w:p>
    <w:p>
      <w:pPr>
        <w:pStyle w:val="ListParagraph"/>
        <w:numPr>
          <w:ilvl w:val="1"/>
          <w:numId w:val="98"/>
        </w:numPr>
        <w:tabs>
          <w:tab w:pos="718" w:val="left" w:leader="none"/>
        </w:tabs>
        <w:spacing w:line="240" w:lineRule="auto" w:before="0" w:after="0"/>
        <w:ind w:left="159" w:right="496" w:firstLine="0"/>
        <w:jc w:val="both"/>
        <w:rPr>
          <w:sz w:val="24"/>
        </w:rPr>
      </w:pPr>
      <w:r>
        <w:rPr>
          <w:sz w:val="24"/>
        </w:rPr>
        <w:t>As stated earlier, the total enrolments needed as well as the percentages of enrolments in different sectors which are derived from manpower data are not highly precise. The central principle on which they have been calculated, i.e., the Tinbergen formula, is itself open to question on several counts. The calculations are further complicated by the difficulties inherent in the available statistical data. But all things considered, we believe that they do offer a broad guide to the order of magnitude</w:t>
      </w:r>
      <w:r>
        <w:rPr>
          <w:spacing w:val="40"/>
          <w:sz w:val="24"/>
        </w:rPr>
        <w:t> </w:t>
      </w:r>
      <w:r>
        <w:rPr>
          <w:sz w:val="24"/>
        </w:rPr>
        <w:t>involved and for the formulation of a national enrolment policy. But, as stated earlier, these will have to be continuously revised in the light of the experience gained, improved techniques discovered and availability of more refined data.</w:t>
      </w:r>
    </w:p>
    <w:p>
      <w:pPr>
        <w:pStyle w:val="BodyText"/>
        <w:spacing w:before="5"/>
      </w:pPr>
    </w:p>
    <w:p>
      <w:pPr>
        <w:pStyle w:val="BodyText"/>
        <w:ind w:left="160"/>
        <w:jc w:val="both"/>
      </w:pPr>
      <w:r>
        <w:rPr>
          <w:b/>
          <w:vertAlign w:val="superscript"/>
        </w:rPr>
        <w:t>45</w:t>
      </w:r>
      <w:r>
        <w:rPr>
          <w:vertAlign w:val="baseline"/>
        </w:rPr>
        <w:t>Chapters</w:t>
      </w:r>
      <w:r>
        <w:rPr>
          <w:spacing w:val="-6"/>
          <w:vertAlign w:val="baseline"/>
        </w:rPr>
        <w:t> </w:t>
      </w:r>
      <w:r>
        <w:rPr>
          <w:vertAlign w:val="baseline"/>
        </w:rPr>
        <w:t>XIV</w:t>
      </w:r>
      <w:r>
        <w:rPr>
          <w:spacing w:val="-5"/>
          <w:vertAlign w:val="baseline"/>
        </w:rPr>
        <w:t> </w:t>
      </w:r>
      <w:r>
        <w:rPr>
          <w:vertAlign w:val="baseline"/>
        </w:rPr>
        <w:t>and</w:t>
      </w:r>
      <w:r>
        <w:rPr>
          <w:spacing w:val="-5"/>
          <w:vertAlign w:val="baseline"/>
        </w:rPr>
        <w:t> XV.</w:t>
      </w:r>
    </w:p>
    <w:p>
      <w:pPr>
        <w:pStyle w:val="BodyText"/>
        <w:spacing w:before="5"/>
      </w:pPr>
    </w:p>
    <w:p>
      <w:pPr>
        <w:pStyle w:val="BodyText"/>
        <w:ind w:left="160"/>
        <w:jc w:val="both"/>
      </w:pPr>
      <w:r>
        <w:rPr>
          <w:b/>
          <w:vertAlign w:val="superscript"/>
        </w:rPr>
        <w:t>46</w:t>
      </w:r>
      <w:r>
        <w:rPr>
          <w:b/>
          <w:spacing w:val="-20"/>
          <w:vertAlign w:val="baseline"/>
        </w:rPr>
        <w:t> </w:t>
      </w:r>
      <w:r>
        <w:rPr>
          <w:b/>
          <w:vertAlign w:val="superscript"/>
        </w:rPr>
        <w:t>&amp;</w:t>
      </w:r>
      <w:r>
        <w:rPr>
          <w:b/>
          <w:spacing w:val="-20"/>
          <w:vertAlign w:val="baseline"/>
        </w:rPr>
        <w:t> </w:t>
      </w:r>
      <w:r>
        <w:rPr>
          <w:b/>
          <w:vertAlign w:val="superscript"/>
        </w:rPr>
        <w:t>47</w:t>
      </w:r>
      <w:r>
        <w:rPr>
          <w:vertAlign w:val="baseline"/>
        </w:rPr>
        <w:t>Chapter</w:t>
      </w:r>
      <w:r>
        <w:rPr>
          <w:spacing w:val="-7"/>
          <w:vertAlign w:val="baseline"/>
        </w:rPr>
        <w:t> </w:t>
      </w:r>
      <w:r>
        <w:rPr>
          <w:vertAlign w:val="baseline"/>
        </w:rPr>
        <w:t>VII.</w:t>
      </w:r>
      <w:r>
        <w:rPr>
          <w:spacing w:val="-4"/>
          <w:vertAlign w:val="baseline"/>
        </w:rPr>
        <w:t> </w:t>
      </w:r>
      <w:r>
        <w:rPr>
          <w:b/>
          <w:vertAlign w:val="superscript"/>
        </w:rPr>
        <w:t>48</w:t>
      </w:r>
      <w:r>
        <w:rPr>
          <w:vertAlign w:val="baseline"/>
        </w:rPr>
        <w:t>Chapters</w:t>
      </w:r>
      <w:r>
        <w:rPr>
          <w:spacing w:val="-3"/>
          <w:vertAlign w:val="baseline"/>
        </w:rPr>
        <w:t> </w:t>
      </w:r>
      <w:r>
        <w:rPr>
          <w:vertAlign w:val="baseline"/>
        </w:rPr>
        <w:t>XII,</w:t>
      </w:r>
      <w:r>
        <w:rPr>
          <w:spacing w:val="-3"/>
          <w:vertAlign w:val="baseline"/>
        </w:rPr>
        <w:t> </w:t>
      </w:r>
      <w:r>
        <w:rPr>
          <w:vertAlign w:val="baseline"/>
        </w:rPr>
        <w:t>XIV</w:t>
      </w:r>
      <w:r>
        <w:rPr>
          <w:spacing w:val="-3"/>
          <w:vertAlign w:val="baseline"/>
        </w:rPr>
        <w:t> </w:t>
      </w:r>
      <w:r>
        <w:rPr>
          <w:vertAlign w:val="baseline"/>
        </w:rPr>
        <w:t>and</w:t>
      </w:r>
      <w:r>
        <w:rPr>
          <w:spacing w:val="-3"/>
          <w:vertAlign w:val="baseline"/>
        </w:rPr>
        <w:t> </w:t>
      </w:r>
      <w:r>
        <w:rPr>
          <w:spacing w:val="-5"/>
          <w:vertAlign w:val="baseline"/>
        </w:rPr>
        <w:t>XV.</w:t>
      </w:r>
    </w:p>
    <w:p>
      <w:pPr>
        <w:spacing w:after="0"/>
        <w:jc w:val="both"/>
        <w:sectPr>
          <w:pgSz w:w="12240" w:h="15840"/>
          <w:pgMar w:header="0" w:footer="743" w:top="1360" w:bottom="940" w:left="1640" w:right="1300"/>
        </w:sectPr>
      </w:pPr>
    </w:p>
    <w:p>
      <w:pPr>
        <w:pStyle w:val="ListParagraph"/>
        <w:numPr>
          <w:ilvl w:val="1"/>
          <w:numId w:val="98"/>
        </w:numPr>
        <w:tabs>
          <w:tab w:pos="658" w:val="left" w:leader="none"/>
        </w:tabs>
        <w:spacing w:line="240" w:lineRule="auto" w:before="76" w:after="0"/>
        <w:ind w:left="160" w:right="495" w:firstLine="0"/>
        <w:jc w:val="both"/>
        <w:rPr>
          <w:sz w:val="24"/>
        </w:rPr>
      </w:pPr>
      <w:r>
        <w:rPr>
          <w:sz w:val="24"/>
        </w:rPr>
        <w:t>Three other points deserve notice. The first refers to financial feasibility. Forecasts of manpower needs on these lines give only a broad quantitative indication of the needed workers according to broad levels of educational attainment. But the education and training of the number of workers indicated at given levels of efficiency may require expenditure of an order which the economy will not be able to afford. It is, therefore, necessary</w:t>
      </w:r>
      <w:r>
        <w:rPr>
          <w:spacing w:val="-3"/>
          <w:sz w:val="24"/>
        </w:rPr>
        <w:t> </w:t>
      </w:r>
      <w:r>
        <w:rPr>
          <w:sz w:val="24"/>
        </w:rPr>
        <w:t>to</w:t>
      </w:r>
      <w:r>
        <w:rPr>
          <w:spacing w:val="-3"/>
          <w:sz w:val="24"/>
        </w:rPr>
        <w:t> </w:t>
      </w:r>
      <w:r>
        <w:rPr>
          <w:sz w:val="24"/>
        </w:rPr>
        <w:t>examine</w:t>
      </w:r>
      <w:r>
        <w:rPr>
          <w:spacing w:val="-3"/>
          <w:sz w:val="24"/>
        </w:rPr>
        <w:t> </w:t>
      </w:r>
      <w:r>
        <w:rPr>
          <w:sz w:val="24"/>
        </w:rPr>
        <w:t>the</w:t>
      </w:r>
      <w:r>
        <w:rPr>
          <w:spacing w:val="-3"/>
          <w:sz w:val="24"/>
        </w:rPr>
        <w:t> </w:t>
      </w:r>
      <w:r>
        <w:rPr>
          <w:sz w:val="24"/>
        </w:rPr>
        <w:t>financial</w:t>
      </w:r>
      <w:r>
        <w:rPr>
          <w:spacing w:val="-3"/>
          <w:sz w:val="24"/>
        </w:rPr>
        <w:t> </w:t>
      </w:r>
      <w:r>
        <w:rPr>
          <w:sz w:val="24"/>
        </w:rPr>
        <w:t>implications</w:t>
      </w:r>
      <w:r>
        <w:rPr>
          <w:spacing w:val="-3"/>
          <w:sz w:val="24"/>
        </w:rPr>
        <w:t> </w:t>
      </w:r>
      <w:r>
        <w:rPr>
          <w:sz w:val="24"/>
        </w:rPr>
        <w:t>of</w:t>
      </w:r>
      <w:r>
        <w:rPr>
          <w:spacing w:val="-5"/>
          <w:sz w:val="24"/>
        </w:rPr>
        <w:t> </w:t>
      </w:r>
      <w:r>
        <w:rPr>
          <w:sz w:val="24"/>
        </w:rPr>
        <w:t>the</w:t>
      </w:r>
      <w:r>
        <w:rPr>
          <w:spacing w:val="-3"/>
          <w:sz w:val="24"/>
        </w:rPr>
        <w:t> </w:t>
      </w:r>
      <w:r>
        <w:rPr>
          <w:sz w:val="24"/>
        </w:rPr>
        <w:t>manpower</w:t>
      </w:r>
      <w:r>
        <w:rPr>
          <w:spacing w:val="-3"/>
          <w:sz w:val="24"/>
        </w:rPr>
        <w:t> </w:t>
      </w:r>
      <w:r>
        <w:rPr>
          <w:sz w:val="24"/>
        </w:rPr>
        <w:t>needs</w:t>
      </w:r>
      <w:r>
        <w:rPr>
          <w:spacing w:val="-3"/>
          <w:sz w:val="24"/>
        </w:rPr>
        <w:t> </w:t>
      </w:r>
      <w:r>
        <w:rPr>
          <w:sz w:val="24"/>
        </w:rPr>
        <w:t>continuously.</w:t>
      </w:r>
      <w:r>
        <w:rPr>
          <w:spacing w:val="-3"/>
          <w:sz w:val="24"/>
        </w:rPr>
        <w:t> </w:t>
      </w:r>
      <w:r>
        <w:rPr>
          <w:sz w:val="24"/>
        </w:rPr>
        <w:t>The maintenance of proper standards should always be ensured. But where the total cost of</w:t>
      </w:r>
      <w:r>
        <w:rPr>
          <w:spacing w:val="40"/>
          <w:sz w:val="24"/>
        </w:rPr>
        <w:t> </w:t>
      </w:r>
      <w:r>
        <w:rPr>
          <w:sz w:val="24"/>
        </w:rPr>
        <w:t>the proposals goes beyond the finances available, priorities will have to be determined and enforced.</w:t>
      </w:r>
    </w:p>
    <w:p>
      <w:pPr>
        <w:pStyle w:val="BodyText"/>
        <w:spacing w:before="4"/>
      </w:pPr>
    </w:p>
    <w:p>
      <w:pPr>
        <w:pStyle w:val="ListParagraph"/>
        <w:numPr>
          <w:ilvl w:val="1"/>
          <w:numId w:val="98"/>
        </w:numPr>
        <w:tabs>
          <w:tab w:pos="659" w:val="left" w:leader="none"/>
        </w:tabs>
        <w:spacing w:line="240" w:lineRule="auto" w:before="0" w:after="0"/>
        <w:ind w:left="159" w:right="495" w:firstLine="0"/>
        <w:jc w:val="both"/>
        <w:rPr>
          <w:sz w:val="24"/>
        </w:rPr>
      </w:pPr>
      <w:r>
        <w:rPr>
          <w:sz w:val="24"/>
        </w:rPr>
        <w:t>The second is the availability of real resources to train the manpower needed. In a poor</w:t>
      </w:r>
      <w:r>
        <w:rPr>
          <w:spacing w:val="-2"/>
          <w:sz w:val="24"/>
        </w:rPr>
        <w:t> </w:t>
      </w:r>
      <w:r>
        <w:rPr>
          <w:sz w:val="24"/>
        </w:rPr>
        <w:t>country,</w:t>
      </w:r>
      <w:r>
        <w:rPr>
          <w:spacing w:val="-2"/>
          <w:sz w:val="24"/>
        </w:rPr>
        <w:t> </w:t>
      </w:r>
      <w:r>
        <w:rPr>
          <w:sz w:val="24"/>
        </w:rPr>
        <w:t>money</w:t>
      </w:r>
      <w:r>
        <w:rPr>
          <w:spacing w:val="-2"/>
          <w:sz w:val="24"/>
        </w:rPr>
        <w:t> </w:t>
      </w:r>
      <w:r>
        <w:rPr>
          <w:sz w:val="24"/>
        </w:rPr>
        <w:t>is</w:t>
      </w:r>
      <w:r>
        <w:rPr>
          <w:spacing w:val="-2"/>
          <w:sz w:val="24"/>
        </w:rPr>
        <w:t> </w:t>
      </w:r>
      <w:r>
        <w:rPr>
          <w:sz w:val="24"/>
        </w:rPr>
        <w:t>difficult</w:t>
      </w:r>
      <w:r>
        <w:rPr>
          <w:spacing w:val="-2"/>
          <w:sz w:val="24"/>
        </w:rPr>
        <w:t> </w:t>
      </w:r>
      <w:r>
        <w:rPr>
          <w:sz w:val="24"/>
        </w:rPr>
        <w:t>to</w:t>
      </w:r>
      <w:r>
        <w:rPr>
          <w:spacing w:val="-2"/>
          <w:sz w:val="24"/>
        </w:rPr>
        <w:t> </w:t>
      </w:r>
      <w:r>
        <w:rPr>
          <w:sz w:val="24"/>
        </w:rPr>
        <w:t>be</w:t>
      </w:r>
      <w:r>
        <w:rPr>
          <w:spacing w:val="-2"/>
          <w:sz w:val="24"/>
        </w:rPr>
        <w:t> </w:t>
      </w:r>
      <w:r>
        <w:rPr>
          <w:sz w:val="24"/>
        </w:rPr>
        <w:t>raised,</w:t>
      </w:r>
      <w:r>
        <w:rPr>
          <w:spacing w:val="-3"/>
          <w:sz w:val="24"/>
        </w:rPr>
        <w:t> </w:t>
      </w:r>
      <w:r>
        <w:rPr>
          <w:sz w:val="24"/>
        </w:rPr>
        <w:t>no</w:t>
      </w:r>
      <w:r>
        <w:rPr>
          <w:spacing w:val="-3"/>
          <w:sz w:val="24"/>
        </w:rPr>
        <w:t> </w:t>
      </w:r>
      <w:r>
        <w:rPr>
          <w:sz w:val="24"/>
        </w:rPr>
        <w:t>doubt.</w:t>
      </w:r>
      <w:r>
        <w:rPr>
          <w:spacing w:val="-3"/>
          <w:sz w:val="24"/>
        </w:rPr>
        <w:t> </w:t>
      </w:r>
      <w:r>
        <w:rPr>
          <w:sz w:val="24"/>
        </w:rPr>
        <w:t>But</w:t>
      </w:r>
      <w:r>
        <w:rPr>
          <w:spacing w:val="-3"/>
          <w:sz w:val="24"/>
        </w:rPr>
        <w:t> </w:t>
      </w:r>
      <w:r>
        <w:rPr>
          <w:sz w:val="24"/>
        </w:rPr>
        <w:t>it</w:t>
      </w:r>
      <w:r>
        <w:rPr>
          <w:spacing w:val="-3"/>
          <w:sz w:val="24"/>
        </w:rPr>
        <w:t> </w:t>
      </w:r>
      <w:r>
        <w:rPr>
          <w:sz w:val="24"/>
        </w:rPr>
        <w:t>is</w:t>
      </w:r>
      <w:r>
        <w:rPr>
          <w:spacing w:val="-3"/>
          <w:sz w:val="24"/>
        </w:rPr>
        <w:t> </w:t>
      </w:r>
      <w:r>
        <w:rPr>
          <w:sz w:val="24"/>
        </w:rPr>
        <w:t>easier</w:t>
      </w:r>
      <w:r>
        <w:rPr>
          <w:spacing w:val="-3"/>
          <w:sz w:val="24"/>
        </w:rPr>
        <w:t> </w:t>
      </w:r>
      <w:r>
        <w:rPr>
          <w:sz w:val="24"/>
        </w:rPr>
        <w:t>to</w:t>
      </w:r>
      <w:r>
        <w:rPr>
          <w:spacing w:val="-3"/>
          <w:sz w:val="24"/>
        </w:rPr>
        <w:t> </w:t>
      </w:r>
      <w:r>
        <w:rPr>
          <w:sz w:val="24"/>
        </w:rPr>
        <w:t>raise</w:t>
      </w:r>
      <w:r>
        <w:rPr>
          <w:spacing w:val="-3"/>
          <w:sz w:val="24"/>
        </w:rPr>
        <w:t> </w:t>
      </w:r>
      <w:r>
        <w:rPr>
          <w:sz w:val="24"/>
        </w:rPr>
        <w:t>money</w:t>
      </w:r>
      <w:r>
        <w:rPr>
          <w:spacing w:val="-3"/>
          <w:sz w:val="24"/>
        </w:rPr>
        <w:t> </w:t>
      </w:r>
      <w:r>
        <w:rPr>
          <w:sz w:val="24"/>
        </w:rPr>
        <w:t>than to find the necessary real resources, i.e., teachers, equipment and buildings. It is much easier to create a post than to find a suitable person to hold it. In spite of funds being available, for instance, the shortage of staff in engineering institutions is of the order of</w:t>
      </w:r>
      <w:r>
        <w:rPr>
          <w:spacing w:val="40"/>
          <w:sz w:val="24"/>
        </w:rPr>
        <w:t> </w:t>
      </w:r>
      <w:r>
        <w:rPr>
          <w:sz w:val="24"/>
        </w:rPr>
        <w:t>30 per cent or more. Equipment, particularly of foreign manufacture, is in short supply; and grants for buildings remain often unutilized because steel and cement are not available. It is therefore necessary to examine the forecasts of manpower needs continuously and plan for only that level of expansion which would be feasible in terms</w:t>
      </w:r>
      <w:r>
        <w:rPr>
          <w:spacing w:val="40"/>
          <w:sz w:val="24"/>
        </w:rPr>
        <w:t> </w:t>
      </w:r>
      <w:r>
        <w:rPr>
          <w:sz w:val="24"/>
        </w:rPr>
        <w:t>of real resources available. While every effort should be made to increase the allocation</w:t>
      </w:r>
      <w:r>
        <w:rPr>
          <w:spacing w:val="40"/>
          <w:sz w:val="24"/>
        </w:rPr>
        <w:t> </w:t>
      </w:r>
      <w:r>
        <w:rPr>
          <w:sz w:val="24"/>
        </w:rPr>
        <w:t>of real resources to education, it will be dangerous to expand facilities, in the absence of real resources, by diluting standards. In a situation of this type, hard choices about priorities will have to be made.</w:t>
      </w:r>
    </w:p>
    <w:p>
      <w:pPr>
        <w:pStyle w:val="BodyText"/>
        <w:spacing w:before="4"/>
      </w:pPr>
    </w:p>
    <w:p>
      <w:pPr>
        <w:pStyle w:val="ListParagraph"/>
        <w:numPr>
          <w:ilvl w:val="1"/>
          <w:numId w:val="98"/>
        </w:numPr>
        <w:tabs>
          <w:tab w:pos="655" w:val="left" w:leader="none"/>
        </w:tabs>
        <w:spacing w:line="240" w:lineRule="auto" w:before="0" w:after="0"/>
        <w:ind w:left="160" w:right="496" w:firstLine="0"/>
        <w:jc w:val="both"/>
        <w:rPr>
          <w:sz w:val="24"/>
        </w:rPr>
      </w:pPr>
      <w:r>
        <w:rPr>
          <w:sz w:val="24"/>
        </w:rPr>
        <w:t>The third issue relates to utilization and the problem is similar to that of utilization</w:t>
      </w:r>
      <w:r>
        <w:rPr>
          <w:spacing w:val="40"/>
          <w:sz w:val="24"/>
        </w:rPr>
        <w:t> </w:t>
      </w:r>
      <w:r>
        <w:rPr>
          <w:sz w:val="24"/>
        </w:rPr>
        <w:t>of facilities which we discussed in Chapter II. When we think of increasing trained manpower, we should also think of the manner in which the existing trained manpower is being</w:t>
      </w:r>
      <w:r>
        <w:rPr>
          <w:spacing w:val="-2"/>
          <w:sz w:val="24"/>
        </w:rPr>
        <w:t> </w:t>
      </w:r>
      <w:r>
        <w:rPr>
          <w:sz w:val="24"/>
        </w:rPr>
        <w:t>utilized.</w:t>
      </w:r>
      <w:r>
        <w:rPr>
          <w:spacing w:val="-2"/>
          <w:sz w:val="24"/>
        </w:rPr>
        <w:t> </w:t>
      </w:r>
      <w:r>
        <w:rPr>
          <w:sz w:val="24"/>
        </w:rPr>
        <w:t>There</w:t>
      </w:r>
      <w:r>
        <w:rPr>
          <w:spacing w:val="-2"/>
          <w:sz w:val="24"/>
        </w:rPr>
        <w:t> </w:t>
      </w:r>
      <w:r>
        <w:rPr>
          <w:sz w:val="24"/>
        </w:rPr>
        <w:t>is</w:t>
      </w:r>
      <w:r>
        <w:rPr>
          <w:spacing w:val="-2"/>
          <w:sz w:val="24"/>
        </w:rPr>
        <w:t> </w:t>
      </w:r>
      <w:r>
        <w:rPr>
          <w:sz w:val="24"/>
        </w:rPr>
        <w:t>reason</w:t>
      </w:r>
      <w:r>
        <w:rPr>
          <w:spacing w:val="-2"/>
          <w:sz w:val="24"/>
        </w:rPr>
        <w:t> </w:t>
      </w:r>
      <w:r>
        <w:rPr>
          <w:sz w:val="24"/>
        </w:rPr>
        <w:t>to</w:t>
      </w:r>
      <w:r>
        <w:rPr>
          <w:spacing w:val="-1"/>
          <w:sz w:val="24"/>
        </w:rPr>
        <w:t> </w:t>
      </w:r>
      <w:r>
        <w:rPr>
          <w:sz w:val="24"/>
        </w:rPr>
        <w:t>believe</w:t>
      </w:r>
      <w:r>
        <w:rPr>
          <w:spacing w:val="-1"/>
          <w:sz w:val="24"/>
        </w:rPr>
        <w:t> </w:t>
      </w:r>
      <w:r>
        <w:rPr>
          <w:sz w:val="24"/>
        </w:rPr>
        <w:t>that</w:t>
      </w:r>
      <w:r>
        <w:rPr>
          <w:spacing w:val="-1"/>
          <w:sz w:val="24"/>
        </w:rPr>
        <w:t> </w:t>
      </w:r>
      <w:r>
        <w:rPr>
          <w:sz w:val="24"/>
        </w:rPr>
        <w:t>a</w:t>
      </w:r>
      <w:r>
        <w:rPr>
          <w:spacing w:val="-1"/>
          <w:sz w:val="24"/>
        </w:rPr>
        <w:t> </w:t>
      </w:r>
      <w:r>
        <w:rPr>
          <w:sz w:val="24"/>
        </w:rPr>
        <w:t>fair</w:t>
      </w:r>
      <w:r>
        <w:rPr>
          <w:spacing w:val="-1"/>
          <w:sz w:val="24"/>
        </w:rPr>
        <w:t> </w:t>
      </w:r>
      <w:r>
        <w:rPr>
          <w:sz w:val="24"/>
        </w:rPr>
        <w:t>proportion</w:t>
      </w:r>
      <w:r>
        <w:rPr>
          <w:spacing w:val="-1"/>
          <w:sz w:val="24"/>
        </w:rPr>
        <w:t> </w:t>
      </w:r>
      <w:r>
        <w:rPr>
          <w:sz w:val="24"/>
        </w:rPr>
        <w:t>of</w:t>
      </w:r>
      <w:r>
        <w:rPr>
          <w:spacing w:val="-1"/>
          <w:sz w:val="24"/>
        </w:rPr>
        <w:t> </w:t>
      </w:r>
      <w:r>
        <w:rPr>
          <w:sz w:val="24"/>
        </w:rPr>
        <w:t>our</w:t>
      </w:r>
      <w:r>
        <w:rPr>
          <w:spacing w:val="-1"/>
          <w:sz w:val="24"/>
        </w:rPr>
        <w:t> </w:t>
      </w:r>
      <w:r>
        <w:rPr>
          <w:sz w:val="24"/>
        </w:rPr>
        <w:t>trained</w:t>
      </w:r>
      <w:r>
        <w:rPr>
          <w:spacing w:val="-1"/>
          <w:sz w:val="24"/>
        </w:rPr>
        <w:t> </w:t>
      </w:r>
      <w:r>
        <w:rPr>
          <w:sz w:val="24"/>
        </w:rPr>
        <w:t>manpower</w:t>
      </w:r>
      <w:r>
        <w:rPr>
          <w:spacing w:val="-1"/>
          <w:sz w:val="24"/>
        </w:rPr>
        <w:t> </w:t>
      </w:r>
      <w:r>
        <w:rPr>
          <w:sz w:val="24"/>
        </w:rPr>
        <w:t>is being under-utilized; and in some cases, it even remains unutilized. A continuous effort</w:t>
      </w:r>
      <w:r>
        <w:rPr>
          <w:spacing w:val="40"/>
          <w:sz w:val="24"/>
        </w:rPr>
        <w:t> </w:t>
      </w:r>
      <w:r>
        <w:rPr>
          <w:sz w:val="24"/>
        </w:rPr>
        <w:t>to study the problem is needed. To the extent we increase the utilization of existing trained manpower, there will be an immediate gain without further investment. It will</w:t>
      </w:r>
      <w:r>
        <w:rPr>
          <w:spacing w:val="40"/>
          <w:sz w:val="24"/>
        </w:rPr>
        <w:t> </w:t>
      </w:r>
      <w:r>
        <w:rPr>
          <w:sz w:val="24"/>
        </w:rPr>
        <w:t>also alter the forecasts for the future, either by reducing the numbers needed or by increasing the level of achievements.</w:t>
      </w:r>
    </w:p>
    <w:p>
      <w:pPr>
        <w:pStyle w:val="BodyText"/>
        <w:spacing w:before="4"/>
      </w:pPr>
    </w:p>
    <w:p>
      <w:pPr>
        <w:pStyle w:val="ListParagraph"/>
        <w:numPr>
          <w:ilvl w:val="1"/>
          <w:numId w:val="98"/>
        </w:numPr>
        <w:tabs>
          <w:tab w:pos="718" w:val="left" w:leader="none"/>
        </w:tabs>
        <w:spacing w:line="240" w:lineRule="auto" w:before="0" w:after="0"/>
        <w:ind w:left="160" w:right="497" w:firstLine="0"/>
        <w:jc w:val="both"/>
        <w:rPr>
          <w:b/>
          <w:sz w:val="24"/>
        </w:rPr>
      </w:pPr>
      <w:r>
        <w:rPr>
          <w:b/>
          <w:sz w:val="24"/>
        </w:rPr>
        <w:t>Enrolments and Manpower. </w:t>
      </w:r>
      <w:r>
        <w:rPr>
          <w:sz w:val="24"/>
        </w:rPr>
        <w:t>Table 5.5 shows the enrolment and manpower positions in 1961 and 1986. It will be seen that the total enrolments in education will be about quadrupled between 1960-61 and 1985-86 and increase from 46 million to 170 million. The enrolment of boys will increase to about three times from 32 million to 94 million and that of girls to about five and a half times-from 14 million to 76 million.</w:t>
      </w:r>
    </w:p>
    <w:p>
      <w:pPr>
        <w:spacing w:after="0" w:line="240" w:lineRule="auto"/>
        <w:jc w:val="both"/>
        <w:rPr>
          <w:sz w:val="24"/>
        </w:rPr>
        <w:sectPr>
          <w:pgSz w:w="12240" w:h="15840"/>
          <w:pgMar w:header="0" w:footer="743" w:top="1360" w:bottom="940" w:left="1640" w:right="1300"/>
        </w:sectPr>
      </w:pPr>
    </w:p>
    <w:p>
      <w:pPr>
        <w:pStyle w:val="BodyText"/>
        <w:ind w:left="160"/>
        <w:rPr>
          <w:sz w:val="20"/>
        </w:rPr>
      </w:pPr>
      <w:r>
        <w:rPr>
          <w:sz w:val="20"/>
        </w:rPr>
        <w:drawing>
          <wp:inline distT="0" distB="0" distL="0" distR="0">
            <wp:extent cx="4983876" cy="7728966"/>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5" cstate="print"/>
                    <a:stretch>
                      <a:fillRect/>
                    </a:stretch>
                  </pic:blipFill>
                  <pic:spPr>
                    <a:xfrm>
                      <a:off x="0" y="0"/>
                      <a:ext cx="4983876" cy="7728966"/>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218359" cy="7392924"/>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6" cstate="print"/>
                    <a:stretch>
                      <a:fillRect/>
                    </a:stretch>
                  </pic:blipFill>
                  <pic:spPr>
                    <a:xfrm>
                      <a:off x="0" y="0"/>
                      <a:ext cx="5218359" cy="7392924"/>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ListParagraph"/>
        <w:numPr>
          <w:ilvl w:val="1"/>
          <w:numId w:val="98"/>
        </w:numPr>
        <w:tabs>
          <w:tab w:pos="653" w:val="left" w:leader="none"/>
        </w:tabs>
        <w:spacing w:line="240" w:lineRule="auto" w:before="76" w:after="0"/>
        <w:ind w:left="160" w:right="496" w:firstLine="0"/>
        <w:jc w:val="both"/>
        <w:rPr>
          <w:b/>
          <w:sz w:val="24"/>
        </w:rPr>
      </w:pPr>
      <w:r>
        <w:rPr>
          <w:b/>
          <w:sz w:val="24"/>
        </w:rPr>
        <w:t>Educational Levels of the Working Force (1961-1986). </w:t>
      </w:r>
      <w:r>
        <w:rPr>
          <w:sz w:val="24"/>
        </w:rPr>
        <w:t>The educational levels of the total working force during the same period (t961-1986) are given in Tables 5.6 A and </w:t>
      </w:r>
      <w:r>
        <w:rPr>
          <w:spacing w:val="-6"/>
          <w:sz w:val="24"/>
        </w:rPr>
        <w:t>B.</w:t>
      </w:r>
    </w:p>
    <w:p>
      <w:pPr>
        <w:pStyle w:val="BodyText"/>
      </w:pPr>
    </w:p>
    <w:p>
      <w:pPr>
        <w:pStyle w:val="BodyText"/>
        <w:spacing w:before="4"/>
      </w:pPr>
    </w:p>
    <w:p>
      <w:pPr>
        <w:pStyle w:val="BodyText"/>
        <w:ind w:left="4199" w:right="506" w:hanging="3912"/>
      </w:pPr>
      <w:r>
        <w:rPr/>
        <w:t>TABLE</w:t>
      </w:r>
      <w:r>
        <w:rPr>
          <w:spacing w:val="-4"/>
        </w:rPr>
        <w:t> </w:t>
      </w:r>
      <w:r>
        <w:rPr/>
        <w:t>5.6</w:t>
      </w:r>
      <w:r>
        <w:rPr>
          <w:spacing w:val="-4"/>
        </w:rPr>
        <w:t> </w:t>
      </w:r>
      <w:r>
        <w:rPr/>
        <w:t>(A).</w:t>
      </w:r>
      <w:r>
        <w:rPr>
          <w:spacing w:val="40"/>
        </w:rPr>
        <w:t> </w:t>
      </w:r>
      <w:r>
        <w:rPr/>
        <w:t>ESTIMATED</w:t>
      </w:r>
      <w:r>
        <w:rPr>
          <w:spacing w:val="-4"/>
        </w:rPr>
        <w:t> </w:t>
      </w:r>
      <w:r>
        <w:rPr/>
        <w:t>TOTAL</w:t>
      </w:r>
      <w:r>
        <w:rPr>
          <w:spacing w:val="-5"/>
        </w:rPr>
        <w:t> </w:t>
      </w:r>
      <w:r>
        <w:rPr/>
        <w:t>FUTURE</w:t>
      </w:r>
      <w:r>
        <w:rPr>
          <w:spacing w:val="-5"/>
        </w:rPr>
        <w:t> </w:t>
      </w:r>
      <w:r>
        <w:rPr/>
        <w:t>EMPLOYMENT</w:t>
      </w:r>
      <w:r>
        <w:rPr>
          <w:spacing w:val="-5"/>
        </w:rPr>
        <w:t> </w:t>
      </w:r>
      <w:r>
        <w:rPr/>
        <w:t>IN</w:t>
      </w:r>
      <w:r>
        <w:rPr>
          <w:spacing w:val="-5"/>
        </w:rPr>
        <w:t> </w:t>
      </w:r>
      <w:r>
        <w:rPr/>
        <w:t>INDIA</w:t>
      </w:r>
      <w:r>
        <w:rPr>
          <w:spacing w:val="-5"/>
        </w:rPr>
        <w:t> </w:t>
      </w:r>
      <w:r>
        <w:rPr/>
        <w:t>(1961- </w:t>
      </w:r>
      <w:r>
        <w:rPr>
          <w:spacing w:val="-2"/>
        </w:rPr>
        <w:t>1986)</w:t>
      </w:r>
    </w:p>
    <w:p>
      <w:pPr>
        <w:pStyle w:val="BodyText"/>
        <w:ind w:right="609"/>
        <w:jc w:val="right"/>
      </w:pPr>
      <w:r>
        <w:rPr>
          <w:spacing w:val="-2"/>
        </w:rPr>
        <w:t>(Thousands)</w:t>
      </w:r>
    </w:p>
    <w:p>
      <w:pPr>
        <w:pStyle w:val="BodyText"/>
        <w:spacing w:before="1"/>
        <w:rPr>
          <w:sz w:val="15"/>
        </w:rPr>
      </w:pPr>
      <w:r>
        <w:rPr/>
        <mc:AlternateContent>
          <mc:Choice Requires="wps">
            <w:drawing>
              <wp:anchor distT="0" distB="0" distL="0" distR="0" allowOverlap="1" layoutInCell="1" locked="0" behindDoc="1" simplePos="0" relativeHeight="487616000">
                <wp:simplePos x="0" y="0"/>
                <wp:positionH relativeFrom="page">
                  <wp:posOffset>1143000</wp:posOffset>
                </wp:positionH>
                <wp:positionV relativeFrom="paragraph">
                  <wp:posOffset>125849</wp:posOffset>
                </wp:positionV>
                <wp:extent cx="5486400" cy="19050"/>
                <wp:effectExtent l="0" t="0" r="0" b="0"/>
                <wp:wrapTopAndBottom/>
                <wp:docPr id="302" name="Group 302"/>
                <wp:cNvGraphicFramePr>
                  <a:graphicFrameLocks/>
                </wp:cNvGraphicFramePr>
                <a:graphic>
                  <a:graphicData uri="http://schemas.microsoft.com/office/word/2010/wordprocessingGroup">
                    <wpg:wgp>
                      <wpg:cNvPr id="302" name="Group 302"/>
                      <wpg:cNvGrpSpPr/>
                      <wpg:grpSpPr>
                        <a:xfrm>
                          <a:off x="0" y="0"/>
                          <a:ext cx="5486400" cy="19050"/>
                          <a:chExt cx="5486400" cy="19050"/>
                        </a:xfrm>
                      </wpg:grpSpPr>
                      <wps:wsp>
                        <wps:cNvPr id="303" name="Graphic 30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04" name="Graphic 304"/>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05" name="Graphic 305"/>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06" name="Graphic 306"/>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07" name="Graphic 307"/>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08" name="Graphic 308"/>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09" name="Graphic 309"/>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9375pt;width:432pt;height:1.5pt;mso-position-horizontal-relative:page;mso-position-vertical-relative:paragraph;z-index:-15700480;mso-wrap-distance-left:0;mso-wrap-distance-right:0" id="docshapegroup292" coordorigin="1800,198" coordsize="8640,30">
                <v:rect style="position:absolute;left:1800;top:198;width:8640;height:30" id="docshape293" filled="true" fillcolor="#808080" stroked="false">
                  <v:fill type="solid"/>
                </v:rect>
                <v:shape style="position:absolute;left:1800;top:198;width:8636;height:5" id="docshape294" coordorigin="1800,198" coordsize="8636,5" path="m10435,198l1805,198,1800,198,1800,203,1805,203,10435,203,10435,198xe" filled="true" fillcolor="#aca89a" stroked="false">
                  <v:path arrowok="t"/>
                  <v:fill type="solid"/>
                </v:shape>
                <v:rect style="position:absolute;left:10435;top:198;width:5;height:5" id="docshape295" filled="true" fillcolor="#f1efe2" stroked="false">
                  <v:fill type="solid"/>
                </v:rect>
                <v:shape style="position:absolute;left:1800;top:198;width:8640;height:26" id="docshape296" coordorigin="1800,198" coordsize="8640,26" path="m1805,203l1800,203,1800,223,1805,223,1805,203xm10440,198l10435,198,10435,203,10440,203,10440,198xe" filled="true" fillcolor="#aca89a" stroked="false">
                  <v:path arrowok="t"/>
                  <v:fill type="solid"/>
                </v:shape>
                <v:rect style="position:absolute;left:10435;top:202;width:5;height:21" id="docshape297" filled="true" fillcolor="#f1efe2" stroked="false">
                  <v:fill type="solid"/>
                </v:rect>
                <v:rect style="position:absolute;left:1800;top:223;width:5;height:5" id="docshape298" filled="true" fillcolor="#aca89a" stroked="false">
                  <v:fill type="solid"/>
                </v:rect>
                <v:shape style="position:absolute;left:1800;top:223;width:8640;height:5" id="docshape299"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3822" w:val="left" w:leader="none"/>
          <w:tab w:pos="5654" w:val="left" w:leader="none"/>
        </w:tabs>
        <w:spacing w:before="48"/>
        <w:ind w:left="3819" w:right="824" w:hanging="3660"/>
      </w:pPr>
      <w:r>
        <w:rPr>
          <w:spacing w:val="-2"/>
        </w:rPr>
        <w:t>Industry</w:t>
      </w:r>
      <w:r>
        <w:rPr/>
        <w:tab/>
        <w:tab/>
      </w:r>
      <w:r>
        <w:rPr>
          <w:spacing w:val="-4"/>
        </w:rPr>
        <w:t>All</w:t>
      </w:r>
      <w:r>
        <w:rPr/>
        <w:tab/>
        <w:t>Workers</w:t>
      </w:r>
      <w:r>
        <w:rPr>
          <w:spacing w:val="-8"/>
        </w:rPr>
        <w:t> </w:t>
      </w:r>
      <w:r>
        <w:rPr/>
        <w:t>of</w:t>
      </w:r>
      <w:r>
        <w:rPr>
          <w:spacing w:val="-8"/>
        </w:rPr>
        <w:t> </w:t>
      </w:r>
      <w:r>
        <w:rPr/>
        <w:t>age</w:t>
      </w:r>
      <w:r>
        <w:rPr>
          <w:spacing w:val="-8"/>
        </w:rPr>
        <w:t> </w:t>
      </w:r>
      <w:r>
        <w:rPr/>
        <w:t>15</w:t>
      </w:r>
      <w:r>
        <w:rPr>
          <w:spacing w:val="-8"/>
        </w:rPr>
        <w:t> </w:t>
      </w:r>
      <w:r>
        <w:rPr/>
        <w:t>and</w:t>
      </w:r>
      <w:r>
        <w:rPr>
          <w:spacing w:val="-8"/>
        </w:rPr>
        <w:t> </w:t>
      </w:r>
      <w:r>
        <w:rPr/>
        <w:t>above </w:t>
      </w:r>
      <w:r>
        <w:rPr>
          <w:spacing w:val="-2"/>
        </w:rPr>
        <w:t>workers</w:t>
      </w:r>
    </w:p>
    <w:p>
      <w:pPr>
        <w:pStyle w:val="BodyText"/>
        <w:tabs>
          <w:tab w:pos="5655" w:val="left" w:leader="none"/>
          <w:tab w:pos="6695" w:val="left" w:leader="none"/>
          <w:tab w:pos="7735" w:val="left" w:leader="none"/>
        </w:tabs>
        <w:ind w:left="3819"/>
      </w:pPr>
      <w:r>
        <w:rPr/>
        <w:t>1960-</w:t>
      </w:r>
      <w:r>
        <w:rPr>
          <w:spacing w:val="-5"/>
        </w:rPr>
        <w:t>61</w:t>
      </w:r>
      <w:r>
        <w:rPr/>
        <w:tab/>
        <w:t>1960-</w:t>
      </w:r>
      <w:r>
        <w:rPr>
          <w:spacing w:val="-5"/>
        </w:rPr>
        <w:t>61</w:t>
      </w:r>
      <w:r>
        <w:rPr/>
        <w:tab/>
        <w:t>1975-</w:t>
      </w:r>
      <w:r>
        <w:rPr>
          <w:spacing w:val="-5"/>
        </w:rPr>
        <w:t>76</w:t>
      </w:r>
      <w:r>
        <w:rPr/>
        <w:tab/>
        <w:t>1985-</w:t>
      </w:r>
      <w:r>
        <w:rPr>
          <w:spacing w:val="-5"/>
        </w:rPr>
        <w:t>86</w:t>
      </w:r>
    </w:p>
    <w:p>
      <w:pPr>
        <w:pStyle w:val="BodyText"/>
        <w:spacing w:before="6"/>
        <w:rPr>
          <w:sz w:val="18"/>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4"/>
        <w:gridCol w:w="1390"/>
        <w:gridCol w:w="1448"/>
        <w:gridCol w:w="998"/>
        <w:gridCol w:w="1299"/>
      </w:tblGrid>
      <w:tr>
        <w:trPr>
          <w:trHeight w:val="522" w:hRule="atLeast"/>
        </w:trPr>
        <w:tc>
          <w:tcPr>
            <w:tcW w:w="3504" w:type="dxa"/>
            <w:tcBorders>
              <w:top w:val="single" w:sz="12" w:space="0" w:color="808080"/>
            </w:tcBorders>
          </w:tcPr>
          <w:p>
            <w:pPr>
              <w:pStyle w:val="TableParagraph"/>
              <w:spacing w:before="48"/>
              <w:ind w:left="59"/>
              <w:rPr>
                <w:sz w:val="24"/>
              </w:rPr>
            </w:pPr>
            <w:r>
              <w:rPr>
                <w:spacing w:val="-5"/>
                <w:sz w:val="24"/>
              </w:rPr>
              <w:t>(1)</w:t>
            </w:r>
          </w:p>
        </w:tc>
        <w:tc>
          <w:tcPr>
            <w:tcW w:w="1390" w:type="dxa"/>
            <w:tcBorders>
              <w:top w:val="single" w:sz="12" w:space="0" w:color="808080"/>
            </w:tcBorders>
          </w:tcPr>
          <w:p>
            <w:pPr>
              <w:pStyle w:val="TableParagraph"/>
              <w:spacing w:before="48"/>
              <w:ind w:left="157"/>
              <w:rPr>
                <w:sz w:val="24"/>
              </w:rPr>
            </w:pPr>
            <w:r>
              <w:rPr>
                <w:spacing w:val="-5"/>
                <w:sz w:val="24"/>
              </w:rPr>
              <w:t>(2)</w:t>
            </w:r>
          </w:p>
        </w:tc>
        <w:tc>
          <w:tcPr>
            <w:tcW w:w="1448" w:type="dxa"/>
            <w:tcBorders>
              <w:top w:val="single" w:sz="12" w:space="0" w:color="808080"/>
            </w:tcBorders>
          </w:tcPr>
          <w:p>
            <w:pPr>
              <w:pStyle w:val="TableParagraph"/>
              <w:spacing w:before="48"/>
              <w:ind w:left="31"/>
              <w:jc w:val="center"/>
              <w:rPr>
                <w:sz w:val="24"/>
              </w:rPr>
            </w:pPr>
            <w:r>
              <w:rPr>
                <w:spacing w:val="-5"/>
                <w:sz w:val="24"/>
              </w:rPr>
              <w:t>(3)</w:t>
            </w:r>
          </w:p>
        </w:tc>
        <w:tc>
          <w:tcPr>
            <w:tcW w:w="998" w:type="dxa"/>
            <w:tcBorders>
              <w:top w:val="single" w:sz="12" w:space="0" w:color="808080"/>
            </w:tcBorders>
          </w:tcPr>
          <w:p>
            <w:pPr>
              <w:pStyle w:val="TableParagraph"/>
              <w:spacing w:before="48"/>
              <w:ind w:left="67"/>
              <w:rPr>
                <w:sz w:val="24"/>
              </w:rPr>
            </w:pPr>
            <w:r>
              <w:rPr>
                <w:spacing w:val="-5"/>
                <w:sz w:val="24"/>
              </w:rPr>
              <w:t>(4)</w:t>
            </w:r>
          </w:p>
        </w:tc>
        <w:tc>
          <w:tcPr>
            <w:tcW w:w="1299" w:type="dxa"/>
            <w:tcBorders>
              <w:top w:val="single" w:sz="12" w:space="0" w:color="808080"/>
            </w:tcBorders>
          </w:tcPr>
          <w:p>
            <w:pPr>
              <w:pStyle w:val="TableParagraph"/>
              <w:spacing w:before="48"/>
              <w:ind w:left="-15"/>
              <w:rPr>
                <w:sz w:val="24"/>
              </w:rPr>
            </w:pPr>
            <w:r>
              <w:rPr>
                <w:spacing w:val="-5"/>
                <w:sz w:val="24"/>
              </w:rPr>
              <w:t>(5)</w:t>
            </w:r>
          </w:p>
        </w:tc>
      </w:tr>
      <w:tr>
        <w:trPr>
          <w:trHeight w:val="329" w:hRule="atLeast"/>
        </w:trPr>
        <w:tc>
          <w:tcPr>
            <w:tcW w:w="3504" w:type="dxa"/>
            <w:tcBorders>
              <w:top w:val="single" w:sz="12" w:space="0" w:color="808080"/>
            </w:tcBorders>
          </w:tcPr>
          <w:p>
            <w:pPr>
              <w:pStyle w:val="TableParagraph"/>
              <w:spacing w:line="261" w:lineRule="exact" w:before="48"/>
              <w:ind w:left="-1"/>
              <w:rPr>
                <w:sz w:val="24"/>
              </w:rPr>
            </w:pPr>
            <w:r>
              <w:rPr>
                <w:sz w:val="24"/>
              </w:rPr>
              <w:t>1.</w:t>
            </w:r>
            <w:r>
              <w:rPr>
                <w:spacing w:val="29"/>
                <w:sz w:val="24"/>
              </w:rPr>
              <w:t>  </w:t>
            </w:r>
            <w:r>
              <w:rPr>
                <w:spacing w:val="-2"/>
                <w:sz w:val="24"/>
              </w:rPr>
              <w:t>Agriculture</w:t>
            </w:r>
          </w:p>
        </w:tc>
        <w:tc>
          <w:tcPr>
            <w:tcW w:w="1390" w:type="dxa"/>
            <w:tcBorders>
              <w:top w:val="single" w:sz="12" w:space="0" w:color="808080"/>
            </w:tcBorders>
          </w:tcPr>
          <w:p>
            <w:pPr>
              <w:pStyle w:val="TableParagraph"/>
              <w:spacing w:line="261" w:lineRule="exact" w:before="48"/>
              <w:ind w:left="160"/>
              <w:rPr>
                <w:sz w:val="24"/>
              </w:rPr>
            </w:pPr>
            <w:r>
              <w:rPr>
                <w:spacing w:val="-2"/>
                <w:sz w:val="24"/>
              </w:rPr>
              <w:t>135,444</w:t>
            </w:r>
          </w:p>
        </w:tc>
        <w:tc>
          <w:tcPr>
            <w:tcW w:w="1448" w:type="dxa"/>
            <w:tcBorders>
              <w:top w:val="single" w:sz="12" w:space="0" w:color="808080"/>
            </w:tcBorders>
          </w:tcPr>
          <w:p>
            <w:pPr>
              <w:pStyle w:val="TableParagraph"/>
              <w:spacing w:line="261" w:lineRule="exact" w:before="48"/>
              <w:ind w:left="602"/>
              <w:rPr>
                <w:sz w:val="24"/>
              </w:rPr>
            </w:pPr>
            <w:r>
              <w:rPr>
                <w:spacing w:val="-2"/>
                <w:sz w:val="24"/>
              </w:rPr>
              <w:t>123,817</w:t>
            </w:r>
          </w:p>
        </w:tc>
        <w:tc>
          <w:tcPr>
            <w:tcW w:w="998" w:type="dxa"/>
            <w:tcBorders>
              <w:top w:val="single" w:sz="12" w:space="0" w:color="808080"/>
            </w:tcBorders>
          </w:tcPr>
          <w:p>
            <w:pPr>
              <w:pStyle w:val="TableParagraph"/>
              <w:spacing w:line="261" w:lineRule="exact" w:before="48"/>
              <w:ind w:right="-29"/>
              <w:jc w:val="right"/>
              <w:rPr>
                <w:sz w:val="24"/>
              </w:rPr>
            </w:pPr>
            <w:r>
              <w:rPr>
                <w:spacing w:val="-2"/>
                <w:sz w:val="24"/>
              </w:rPr>
              <w:t>144,462</w:t>
            </w:r>
          </w:p>
        </w:tc>
        <w:tc>
          <w:tcPr>
            <w:tcW w:w="1299" w:type="dxa"/>
            <w:tcBorders>
              <w:top w:val="single" w:sz="12" w:space="0" w:color="808080"/>
            </w:tcBorders>
          </w:tcPr>
          <w:p>
            <w:pPr>
              <w:pStyle w:val="TableParagraph"/>
              <w:spacing w:line="261" w:lineRule="exact" w:before="48"/>
              <w:ind w:left="196"/>
              <w:rPr>
                <w:sz w:val="24"/>
              </w:rPr>
            </w:pPr>
            <w:r>
              <w:rPr>
                <w:sz w:val="24"/>
              </w:rPr>
              <w:t>144,</w:t>
            </w:r>
            <w:r>
              <w:rPr>
                <w:spacing w:val="-1"/>
                <w:sz w:val="24"/>
              </w:rPr>
              <w:t> </w:t>
            </w:r>
            <w:r>
              <w:rPr>
                <w:spacing w:val="-5"/>
                <w:sz w:val="24"/>
              </w:rPr>
              <w:t>462</w:t>
            </w:r>
          </w:p>
        </w:tc>
      </w:tr>
      <w:tr>
        <w:trPr>
          <w:trHeight w:val="276" w:hRule="atLeast"/>
        </w:trPr>
        <w:tc>
          <w:tcPr>
            <w:tcW w:w="3504" w:type="dxa"/>
          </w:tcPr>
          <w:p>
            <w:pPr>
              <w:pStyle w:val="TableParagraph"/>
              <w:spacing w:line="256" w:lineRule="exact"/>
              <w:ind w:left="-1"/>
              <w:rPr>
                <w:sz w:val="24"/>
              </w:rPr>
            </w:pPr>
            <w:r>
              <w:rPr>
                <w:sz w:val="24"/>
              </w:rPr>
              <w:t>2.</w:t>
            </w:r>
            <w:r>
              <w:rPr>
                <w:spacing w:val="29"/>
                <w:sz w:val="24"/>
              </w:rPr>
              <w:t>  </w:t>
            </w:r>
            <w:r>
              <w:rPr>
                <w:sz w:val="24"/>
              </w:rPr>
              <w:t>Mining and</w:t>
            </w:r>
            <w:r>
              <w:rPr>
                <w:spacing w:val="-1"/>
                <w:sz w:val="24"/>
              </w:rPr>
              <w:t> </w:t>
            </w:r>
            <w:r>
              <w:rPr>
                <w:spacing w:val="-2"/>
                <w:sz w:val="24"/>
              </w:rPr>
              <w:t>manufacturing</w:t>
            </w:r>
          </w:p>
        </w:tc>
        <w:tc>
          <w:tcPr>
            <w:tcW w:w="1390" w:type="dxa"/>
          </w:tcPr>
          <w:p>
            <w:pPr>
              <w:pStyle w:val="TableParagraph"/>
              <w:spacing w:line="256" w:lineRule="exact"/>
              <w:ind w:left="160"/>
              <w:rPr>
                <w:sz w:val="24"/>
              </w:rPr>
            </w:pPr>
            <w:r>
              <w:rPr>
                <w:spacing w:val="-2"/>
                <w:sz w:val="24"/>
              </w:rPr>
              <w:t>20,927</w:t>
            </w:r>
          </w:p>
        </w:tc>
        <w:tc>
          <w:tcPr>
            <w:tcW w:w="1448" w:type="dxa"/>
          </w:tcPr>
          <w:p>
            <w:pPr>
              <w:pStyle w:val="TableParagraph"/>
              <w:spacing w:line="256" w:lineRule="exact"/>
              <w:ind w:left="602"/>
              <w:rPr>
                <w:sz w:val="24"/>
              </w:rPr>
            </w:pPr>
            <w:r>
              <w:rPr>
                <w:spacing w:val="-2"/>
                <w:sz w:val="24"/>
              </w:rPr>
              <w:t>19,202</w:t>
            </w:r>
          </w:p>
        </w:tc>
        <w:tc>
          <w:tcPr>
            <w:tcW w:w="998" w:type="dxa"/>
          </w:tcPr>
          <w:p>
            <w:pPr>
              <w:pStyle w:val="TableParagraph"/>
              <w:spacing w:line="256" w:lineRule="exact"/>
              <w:ind w:left="234"/>
              <w:rPr>
                <w:sz w:val="24"/>
              </w:rPr>
            </w:pPr>
            <w:r>
              <w:rPr>
                <w:spacing w:val="-2"/>
                <w:sz w:val="24"/>
              </w:rPr>
              <w:t>40,696</w:t>
            </w:r>
          </w:p>
        </w:tc>
        <w:tc>
          <w:tcPr>
            <w:tcW w:w="1299" w:type="dxa"/>
          </w:tcPr>
          <w:p>
            <w:pPr>
              <w:pStyle w:val="TableParagraph"/>
              <w:spacing w:line="256" w:lineRule="exact"/>
              <w:ind w:left="316"/>
              <w:rPr>
                <w:sz w:val="24"/>
              </w:rPr>
            </w:pPr>
            <w:r>
              <w:rPr>
                <w:sz w:val="24"/>
              </w:rPr>
              <w:t>63,</w:t>
            </w:r>
            <w:r>
              <w:rPr>
                <w:spacing w:val="-3"/>
                <w:sz w:val="24"/>
              </w:rPr>
              <w:t> </w:t>
            </w:r>
            <w:r>
              <w:rPr>
                <w:spacing w:val="-5"/>
                <w:sz w:val="24"/>
              </w:rPr>
              <w:t>861</w:t>
            </w:r>
          </w:p>
        </w:tc>
      </w:tr>
      <w:tr>
        <w:trPr>
          <w:trHeight w:val="275" w:hRule="atLeast"/>
        </w:trPr>
        <w:tc>
          <w:tcPr>
            <w:tcW w:w="3504" w:type="dxa"/>
          </w:tcPr>
          <w:p>
            <w:pPr>
              <w:pStyle w:val="TableParagraph"/>
              <w:spacing w:line="256" w:lineRule="exact"/>
              <w:ind w:left="-1"/>
              <w:rPr>
                <w:sz w:val="24"/>
              </w:rPr>
            </w:pPr>
            <w:r>
              <w:rPr>
                <w:sz w:val="24"/>
              </w:rPr>
              <w:t>3.</w:t>
            </w:r>
            <w:r>
              <w:rPr>
                <w:spacing w:val="30"/>
                <w:sz w:val="24"/>
              </w:rPr>
              <w:t>  </w:t>
            </w:r>
            <w:r>
              <w:rPr>
                <w:spacing w:val="-2"/>
                <w:sz w:val="24"/>
              </w:rPr>
              <w:t>Construction</w:t>
            </w:r>
          </w:p>
        </w:tc>
        <w:tc>
          <w:tcPr>
            <w:tcW w:w="1390" w:type="dxa"/>
          </w:tcPr>
          <w:p>
            <w:pPr>
              <w:pStyle w:val="TableParagraph"/>
              <w:spacing w:line="256" w:lineRule="exact"/>
              <w:ind w:left="159"/>
              <w:rPr>
                <w:sz w:val="24"/>
              </w:rPr>
            </w:pPr>
            <w:r>
              <w:rPr>
                <w:spacing w:val="-2"/>
                <w:sz w:val="24"/>
              </w:rPr>
              <w:t>2,059</w:t>
            </w:r>
          </w:p>
        </w:tc>
        <w:tc>
          <w:tcPr>
            <w:tcW w:w="1448" w:type="dxa"/>
          </w:tcPr>
          <w:p>
            <w:pPr>
              <w:pStyle w:val="TableParagraph"/>
              <w:spacing w:line="256" w:lineRule="exact"/>
              <w:ind w:left="602"/>
              <w:rPr>
                <w:sz w:val="24"/>
              </w:rPr>
            </w:pPr>
            <w:r>
              <w:rPr>
                <w:spacing w:val="-2"/>
                <w:sz w:val="24"/>
              </w:rPr>
              <w:t>1,992</w:t>
            </w:r>
          </w:p>
        </w:tc>
        <w:tc>
          <w:tcPr>
            <w:tcW w:w="998" w:type="dxa"/>
          </w:tcPr>
          <w:p>
            <w:pPr>
              <w:pStyle w:val="TableParagraph"/>
              <w:spacing w:line="256" w:lineRule="exact"/>
              <w:ind w:left="234"/>
              <w:rPr>
                <w:sz w:val="24"/>
              </w:rPr>
            </w:pPr>
            <w:r>
              <w:rPr>
                <w:spacing w:val="-2"/>
                <w:sz w:val="24"/>
              </w:rPr>
              <w:t>6,653</w:t>
            </w:r>
          </w:p>
        </w:tc>
        <w:tc>
          <w:tcPr>
            <w:tcW w:w="1299" w:type="dxa"/>
          </w:tcPr>
          <w:p>
            <w:pPr>
              <w:pStyle w:val="TableParagraph"/>
              <w:spacing w:line="256" w:lineRule="exact"/>
              <w:ind w:left="496"/>
              <w:rPr>
                <w:sz w:val="24"/>
              </w:rPr>
            </w:pPr>
            <w:r>
              <w:rPr>
                <w:spacing w:val="-2"/>
                <w:sz w:val="24"/>
              </w:rPr>
              <w:t>9,273</w:t>
            </w:r>
          </w:p>
        </w:tc>
      </w:tr>
      <w:tr>
        <w:trPr>
          <w:trHeight w:val="276" w:hRule="atLeast"/>
        </w:trPr>
        <w:tc>
          <w:tcPr>
            <w:tcW w:w="3504" w:type="dxa"/>
          </w:tcPr>
          <w:p>
            <w:pPr>
              <w:pStyle w:val="TableParagraph"/>
              <w:spacing w:line="256" w:lineRule="exact"/>
              <w:ind w:left="-1"/>
              <w:rPr>
                <w:sz w:val="24"/>
              </w:rPr>
            </w:pPr>
            <w:r>
              <w:rPr>
                <w:sz w:val="24"/>
              </w:rPr>
              <w:t>4.</w:t>
            </w:r>
            <w:r>
              <w:rPr>
                <w:spacing w:val="30"/>
                <w:sz w:val="24"/>
              </w:rPr>
              <w:t>  </w:t>
            </w:r>
            <w:r>
              <w:rPr>
                <w:sz w:val="24"/>
              </w:rPr>
              <w:t>Trade and </w:t>
            </w:r>
            <w:r>
              <w:rPr>
                <w:spacing w:val="-2"/>
                <w:sz w:val="24"/>
              </w:rPr>
              <w:t>commerce</w:t>
            </w:r>
          </w:p>
        </w:tc>
        <w:tc>
          <w:tcPr>
            <w:tcW w:w="1390" w:type="dxa"/>
          </w:tcPr>
          <w:p>
            <w:pPr>
              <w:pStyle w:val="TableParagraph"/>
              <w:spacing w:line="256" w:lineRule="exact"/>
              <w:ind w:left="159"/>
              <w:rPr>
                <w:sz w:val="24"/>
              </w:rPr>
            </w:pPr>
            <w:r>
              <w:rPr>
                <w:spacing w:val="-2"/>
                <w:sz w:val="24"/>
              </w:rPr>
              <w:t>7,654</w:t>
            </w:r>
          </w:p>
        </w:tc>
        <w:tc>
          <w:tcPr>
            <w:tcW w:w="1448" w:type="dxa"/>
          </w:tcPr>
          <w:p>
            <w:pPr>
              <w:pStyle w:val="TableParagraph"/>
              <w:spacing w:line="256" w:lineRule="exact"/>
              <w:ind w:left="601"/>
              <w:rPr>
                <w:sz w:val="24"/>
              </w:rPr>
            </w:pPr>
            <w:r>
              <w:rPr>
                <w:spacing w:val="-2"/>
                <w:sz w:val="24"/>
              </w:rPr>
              <w:t>7,500</w:t>
            </w:r>
          </w:p>
        </w:tc>
        <w:tc>
          <w:tcPr>
            <w:tcW w:w="998" w:type="dxa"/>
          </w:tcPr>
          <w:p>
            <w:pPr>
              <w:pStyle w:val="TableParagraph"/>
              <w:spacing w:line="256" w:lineRule="exact"/>
              <w:ind w:left="233"/>
              <w:rPr>
                <w:sz w:val="24"/>
              </w:rPr>
            </w:pPr>
            <w:r>
              <w:rPr>
                <w:spacing w:val="-2"/>
                <w:sz w:val="24"/>
              </w:rPr>
              <w:t>12,135</w:t>
            </w:r>
          </w:p>
        </w:tc>
        <w:tc>
          <w:tcPr>
            <w:tcW w:w="1299" w:type="dxa"/>
          </w:tcPr>
          <w:p>
            <w:pPr>
              <w:pStyle w:val="TableParagraph"/>
              <w:spacing w:line="256" w:lineRule="exact"/>
              <w:ind w:left="375"/>
              <w:rPr>
                <w:sz w:val="24"/>
              </w:rPr>
            </w:pPr>
            <w:r>
              <w:rPr>
                <w:spacing w:val="-2"/>
                <w:sz w:val="24"/>
              </w:rPr>
              <w:t>18,764</w:t>
            </w:r>
          </w:p>
        </w:tc>
      </w:tr>
      <w:tr>
        <w:trPr>
          <w:trHeight w:val="270" w:hRule="atLeast"/>
        </w:trPr>
        <w:tc>
          <w:tcPr>
            <w:tcW w:w="3504" w:type="dxa"/>
          </w:tcPr>
          <w:p>
            <w:pPr>
              <w:pStyle w:val="TableParagraph"/>
              <w:spacing w:line="251" w:lineRule="exact"/>
              <w:ind w:left="-1"/>
              <w:rPr>
                <w:sz w:val="24"/>
              </w:rPr>
            </w:pPr>
            <w:r>
              <w:rPr>
                <w:sz w:val="24"/>
              </w:rPr>
              <w:t>5.</w:t>
            </w:r>
            <w:r>
              <w:rPr>
                <w:spacing w:val="29"/>
                <w:sz w:val="24"/>
              </w:rPr>
              <w:t>  </w:t>
            </w:r>
            <w:r>
              <w:rPr>
                <w:sz w:val="24"/>
              </w:rPr>
              <w:t>Transport and</w:t>
            </w:r>
            <w:r>
              <w:rPr>
                <w:spacing w:val="-1"/>
                <w:sz w:val="24"/>
              </w:rPr>
              <w:t> </w:t>
            </w:r>
            <w:r>
              <w:rPr>
                <w:spacing w:val="-2"/>
                <w:sz w:val="24"/>
              </w:rPr>
              <w:t>communications</w:t>
            </w:r>
          </w:p>
        </w:tc>
        <w:tc>
          <w:tcPr>
            <w:tcW w:w="1390" w:type="dxa"/>
          </w:tcPr>
          <w:p>
            <w:pPr>
              <w:pStyle w:val="TableParagraph"/>
              <w:spacing w:line="251" w:lineRule="exact"/>
              <w:ind w:left="201"/>
              <w:rPr>
                <w:sz w:val="24"/>
              </w:rPr>
            </w:pPr>
            <w:r>
              <w:rPr>
                <w:spacing w:val="-2"/>
                <w:sz w:val="24"/>
              </w:rPr>
              <w:t>3,019</w:t>
            </w:r>
          </w:p>
        </w:tc>
        <w:tc>
          <w:tcPr>
            <w:tcW w:w="1448" w:type="dxa"/>
          </w:tcPr>
          <w:p>
            <w:pPr>
              <w:pStyle w:val="TableParagraph"/>
              <w:spacing w:line="251" w:lineRule="exact"/>
              <w:ind w:left="601"/>
              <w:rPr>
                <w:sz w:val="24"/>
              </w:rPr>
            </w:pPr>
            <w:r>
              <w:rPr>
                <w:spacing w:val="-2"/>
                <w:sz w:val="24"/>
              </w:rPr>
              <w:t>2,995</w:t>
            </w:r>
          </w:p>
        </w:tc>
        <w:tc>
          <w:tcPr>
            <w:tcW w:w="998" w:type="dxa"/>
          </w:tcPr>
          <w:p>
            <w:pPr>
              <w:pStyle w:val="TableParagraph"/>
              <w:spacing w:line="251" w:lineRule="exact"/>
              <w:ind w:left="353"/>
              <w:rPr>
                <w:sz w:val="24"/>
              </w:rPr>
            </w:pPr>
            <w:r>
              <w:rPr>
                <w:spacing w:val="-2"/>
                <w:sz w:val="24"/>
              </w:rPr>
              <w:t>6,882</w:t>
            </w:r>
          </w:p>
        </w:tc>
        <w:tc>
          <w:tcPr>
            <w:tcW w:w="1299" w:type="dxa"/>
          </w:tcPr>
          <w:p>
            <w:pPr>
              <w:pStyle w:val="TableParagraph"/>
              <w:spacing w:line="251" w:lineRule="exact"/>
              <w:ind w:left="435"/>
              <w:rPr>
                <w:sz w:val="24"/>
              </w:rPr>
            </w:pPr>
            <w:r>
              <w:rPr>
                <w:spacing w:val="-2"/>
                <w:sz w:val="24"/>
              </w:rPr>
              <w:t>11,525</w:t>
            </w:r>
          </w:p>
        </w:tc>
      </w:tr>
      <w:tr>
        <w:trPr>
          <w:trHeight w:val="281" w:hRule="atLeast"/>
        </w:trPr>
        <w:tc>
          <w:tcPr>
            <w:tcW w:w="4894" w:type="dxa"/>
            <w:gridSpan w:val="2"/>
          </w:tcPr>
          <w:p>
            <w:pPr>
              <w:pStyle w:val="TableParagraph"/>
              <w:tabs>
                <w:tab w:pos="3662" w:val="left" w:leader="none"/>
              </w:tabs>
              <w:spacing w:line="251" w:lineRule="exact"/>
              <w:ind w:left="-1"/>
              <w:rPr>
                <w:sz w:val="24"/>
              </w:rPr>
            </w:pPr>
            <w:r>
              <w:rPr>
                <w:sz w:val="24"/>
              </w:rPr>
              <w:t>6.</w:t>
            </w:r>
            <w:r>
              <w:rPr>
                <w:spacing w:val="29"/>
                <w:sz w:val="24"/>
              </w:rPr>
              <w:t>  </w:t>
            </w:r>
            <w:r>
              <w:rPr>
                <w:sz w:val="24"/>
              </w:rPr>
              <w:t>Services</w:t>
            </w:r>
            <w:r>
              <w:rPr>
                <w:spacing w:val="1"/>
                <w:sz w:val="24"/>
              </w:rPr>
              <w:t> </w:t>
            </w:r>
            <w:r>
              <w:rPr>
                <w:spacing w:val="-2"/>
                <w:sz w:val="24"/>
              </w:rPr>
              <w:t>(Other)</w:t>
            </w:r>
            <w:r>
              <w:rPr>
                <w:sz w:val="24"/>
              </w:rPr>
              <w:tab/>
            </w:r>
            <w:r>
              <w:rPr>
                <w:spacing w:val="-2"/>
                <w:sz w:val="24"/>
              </w:rPr>
              <w:t>19,572</w:t>
            </w:r>
          </w:p>
        </w:tc>
        <w:tc>
          <w:tcPr>
            <w:tcW w:w="1448" w:type="dxa"/>
          </w:tcPr>
          <w:p>
            <w:pPr>
              <w:pStyle w:val="TableParagraph"/>
              <w:spacing w:line="251" w:lineRule="exact"/>
              <w:ind w:left="600"/>
              <w:rPr>
                <w:sz w:val="24"/>
              </w:rPr>
            </w:pPr>
            <w:r>
              <w:rPr>
                <w:spacing w:val="-2"/>
                <w:sz w:val="24"/>
              </w:rPr>
              <w:t>18,697</w:t>
            </w:r>
          </w:p>
        </w:tc>
        <w:tc>
          <w:tcPr>
            <w:tcW w:w="998" w:type="dxa"/>
          </w:tcPr>
          <w:p>
            <w:pPr>
              <w:pStyle w:val="TableParagraph"/>
              <w:spacing w:line="251" w:lineRule="exact"/>
              <w:ind w:right="43"/>
              <w:jc w:val="right"/>
              <w:rPr>
                <w:sz w:val="24"/>
              </w:rPr>
            </w:pPr>
            <w:r>
              <w:rPr>
                <w:spacing w:val="-2"/>
                <w:sz w:val="24"/>
              </w:rPr>
              <w:t>32,906</w:t>
            </w:r>
          </w:p>
        </w:tc>
        <w:tc>
          <w:tcPr>
            <w:tcW w:w="1299" w:type="dxa"/>
          </w:tcPr>
          <w:p>
            <w:pPr>
              <w:pStyle w:val="TableParagraph"/>
              <w:spacing w:line="251" w:lineRule="exact"/>
              <w:ind w:left="434"/>
              <w:rPr>
                <w:sz w:val="24"/>
              </w:rPr>
            </w:pPr>
            <w:r>
              <w:rPr>
                <w:spacing w:val="-2"/>
                <w:sz w:val="24"/>
              </w:rPr>
              <w:t>45,210</w:t>
            </w:r>
          </w:p>
        </w:tc>
      </w:tr>
      <w:tr>
        <w:trPr>
          <w:trHeight w:val="270" w:hRule="atLeast"/>
        </w:trPr>
        <w:tc>
          <w:tcPr>
            <w:tcW w:w="4894" w:type="dxa"/>
            <w:gridSpan w:val="2"/>
          </w:tcPr>
          <w:p>
            <w:pPr>
              <w:pStyle w:val="TableParagraph"/>
              <w:tabs>
                <w:tab w:pos="3663" w:val="left" w:leader="none"/>
              </w:tabs>
              <w:spacing w:line="251" w:lineRule="exact"/>
              <w:ind w:left="-1"/>
              <w:rPr>
                <w:sz w:val="24"/>
              </w:rPr>
            </w:pPr>
            <w:r>
              <w:rPr>
                <w:spacing w:val="-2"/>
                <w:sz w:val="24"/>
              </w:rPr>
              <w:t>TOTAL</w:t>
            </w:r>
            <w:r>
              <w:rPr>
                <w:sz w:val="24"/>
              </w:rPr>
              <w:tab/>
            </w:r>
            <w:r>
              <w:rPr>
                <w:spacing w:val="-2"/>
                <w:sz w:val="24"/>
              </w:rPr>
              <w:t>188,675</w:t>
            </w:r>
          </w:p>
        </w:tc>
        <w:tc>
          <w:tcPr>
            <w:tcW w:w="1448" w:type="dxa"/>
          </w:tcPr>
          <w:p>
            <w:pPr>
              <w:pStyle w:val="TableParagraph"/>
              <w:spacing w:line="251" w:lineRule="exact"/>
              <w:ind w:left="450"/>
              <w:rPr>
                <w:sz w:val="24"/>
              </w:rPr>
            </w:pPr>
            <w:r>
              <w:rPr>
                <w:spacing w:val="-2"/>
                <w:sz w:val="24"/>
              </w:rPr>
              <w:t>174,203</w:t>
            </w:r>
          </w:p>
        </w:tc>
        <w:tc>
          <w:tcPr>
            <w:tcW w:w="998" w:type="dxa"/>
          </w:tcPr>
          <w:p>
            <w:pPr>
              <w:pStyle w:val="TableParagraph"/>
              <w:spacing w:line="251" w:lineRule="exact"/>
              <w:ind w:right="13"/>
              <w:jc w:val="right"/>
              <w:rPr>
                <w:sz w:val="24"/>
              </w:rPr>
            </w:pPr>
            <w:r>
              <w:rPr>
                <w:spacing w:val="-2"/>
                <w:sz w:val="24"/>
              </w:rPr>
              <w:t>243,734</w:t>
            </w:r>
          </w:p>
        </w:tc>
        <w:tc>
          <w:tcPr>
            <w:tcW w:w="1299" w:type="dxa"/>
          </w:tcPr>
          <w:p>
            <w:pPr>
              <w:pStyle w:val="TableParagraph"/>
              <w:spacing w:line="251" w:lineRule="exact"/>
              <w:ind w:left="344"/>
              <w:rPr>
                <w:sz w:val="24"/>
              </w:rPr>
            </w:pPr>
            <w:r>
              <w:rPr>
                <w:spacing w:val="-2"/>
                <w:sz w:val="24"/>
              </w:rPr>
              <w:t>293,095</w:t>
            </w:r>
          </w:p>
        </w:tc>
      </w:tr>
    </w:tbl>
    <w:p>
      <w:pPr>
        <w:pStyle w:val="BodyText"/>
        <w:spacing w:before="1"/>
        <w:rPr>
          <w:sz w:val="14"/>
        </w:rPr>
      </w:pPr>
      <w:r>
        <w:rPr/>
        <mc:AlternateContent>
          <mc:Choice Requires="wps">
            <w:drawing>
              <wp:anchor distT="0" distB="0" distL="0" distR="0" allowOverlap="1" layoutInCell="1" locked="0" behindDoc="1" simplePos="0" relativeHeight="487616512">
                <wp:simplePos x="0" y="0"/>
                <wp:positionH relativeFrom="page">
                  <wp:posOffset>1143000</wp:posOffset>
                </wp:positionH>
                <wp:positionV relativeFrom="paragraph">
                  <wp:posOffset>118110</wp:posOffset>
                </wp:positionV>
                <wp:extent cx="5486400" cy="19050"/>
                <wp:effectExtent l="0" t="0" r="0" b="0"/>
                <wp:wrapTopAndBottom/>
                <wp:docPr id="310" name="Group 310"/>
                <wp:cNvGraphicFramePr>
                  <a:graphicFrameLocks/>
                </wp:cNvGraphicFramePr>
                <a:graphic>
                  <a:graphicData uri="http://schemas.microsoft.com/office/word/2010/wordprocessingGroup">
                    <wpg:wgp>
                      <wpg:cNvPr id="310" name="Group 310"/>
                      <wpg:cNvGrpSpPr/>
                      <wpg:grpSpPr>
                        <a:xfrm>
                          <a:off x="0" y="0"/>
                          <a:ext cx="5486400" cy="19050"/>
                          <a:chExt cx="5486400" cy="19050"/>
                        </a:xfrm>
                      </wpg:grpSpPr>
                      <wps:wsp>
                        <wps:cNvPr id="311" name="Graphic 311"/>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12" name="Graphic 312"/>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13" name="Graphic 313"/>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14" name="Graphic 314"/>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15" name="Graphic 315"/>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16" name="Graphic 316"/>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17" name="Graphic 317"/>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3pt;width:432pt;height:1.5pt;mso-position-horizontal-relative:page;mso-position-vertical-relative:paragraph;z-index:-15699968;mso-wrap-distance-left:0;mso-wrap-distance-right:0" id="docshapegroup300" coordorigin="1800,186" coordsize="8640,30">
                <v:rect style="position:absolute;left:1800;top:186;width:8640;height:30" id="docshape301" filled="true" fillcolor="#808080" stroked="false">
                  <v:fill type="solid"/>
                </v:rect>
                <v:shape style="position:absolute;left:1800;top:186;width:8636;height:5" id="docshape302" coordorigin="1800,186" coordsize="8636,5" path="m10435,186l1805,186,1800,186,1800,191,1805,191,10435,191,10435,186xe" filled="true" fillcolor="#aca89a" stroked="false">
                  <v:path arrowok="t"/>
                  <v:fill type="solid"/>
                </v:shape>
                <v:rect style="position:absolute;left:10435;top:186;width:5;height:5" id="docshape303" filled="true" fillcolor="#f1efe2" stroked="false">
                  <v:fill type="solid"/>
                </v:rect>
                <v:shape style="position:absolute;left:1800;top:186;width:8640;height:26" id="docshape304" coordorigin="1800,186" coordsize="8640,26" path="m1805,191l1800,191,1800,211,1805,211,1805,191xm10440,186l10435,186,10435,191,10440,191,10440,186xe" filled="true" fillcolor="#aca89a" stroked="false">
                  <v:path arrowok="t"/>
                  <v:fill type="solid"/>
                </v:shape>
                <v:rect style="position:absolute;left:10435;top:190;width:5;height:21" id="docshape305" filled="true" fillcolor="#f1efe2" stroked="false">
                  <v:fill type="solid"/>
                </v:rect>
                <v:rect style="position:absolute;left:1800;top:211;width:5;height:5" id="docshape306" filled="true" fillcolor="#aca89a" stroked="false">
                  <v:fill type="solid"/>
                </v:rect>
                <v:shape style="position:absolute;left:1800;top:211;width:8640;height:5" id="docshape307" coordorigin="1800,211" coordsize="8640,5" path="m10440,211l10435,211,1800,211,1800,216,10435,216,10440,216,10440,211xe" filled="true" fillcolor="#f1efe2" stroked="false">
                  <v:path arrowok="t"/>
                  <v:fill type="solid"/>
                </v:shape>
                <w10:wrap type="topAndBottom"/>
              </v:group>
            </w:pict>
          </mc:Fallback>
        </mc:AlternateContent>
      </w:r>
    </w:p>
    <w:p>
      <w:pPr>
        <w:pStyle w:val="BodyText"/>
        <w:spacing w:before="48"/>
        <w:ind w:left="159"/>
        <w:jc w:val="both"/>
      </w:pPr>
      <w:r>
        <w:rPr/>
        <w:t>Source.</w:t>
      </w:r>
      <w:r>
        <w:rPr>
          <w:spacing w:val="60"/>
        </w:rPr>
        <w:t> </w:t>
      </w:r>
      <w:r>
        <w:rPr/>
        <w:t>ISI/LSE Paper, Table No. </w:t>
      </w:r>
      <w:r>
        <w:rPr>
          <w:spacing w:val="-5"/>
        </w:rPr>
        <w:t>13.</w:t>
      </w:r>
    </w:p>
    <w:p>
      <w:pPr>
        <w:pStyle w:val="BodyText"/>
      </w:pPr>
    </w:p>
    <w:p>
      <w:pPr>
        <w:pStyle w:val="BodyText"/>
      </w:pPr>
    </w:p>
    <w:p>
      <w:pPr>
        <w:pStyle w:val="BodyText"/>
        <w:spacing w:before="5"/>
      </w:pPr>
    </w:p>
    <w:p>
      <w:pPr>
        <w:pStyle w:val="BodyText"/>
        <w:ind w:left="159" w:right="495"/>
        <w:jc w:val="both"/>
      </w:pPr>
      <w:r>
        <w:rPr/>
        <w:t>It</w:t>
      </w:r>
      <w:r>
        <w:rPr>
          <w:spacing w:val="-2"/>
        </w:rPr>
        <w:t> </w:t>
      </w:r>
      <w:r>
        <w:rPr/>
        <w:t>will</w:t>
      </w:r>
      <w:r>
        <w:rPr>
          <w:spacing w:val="-2"/>
        </w:rPr>
        <w:t> </w:t>
      </w:r>
      <w:r>
        <w:rPr/>
        <w:t>be</w:t>
      </w:r>
      <w:r>
        <w:rPr>
          <w:spacing w:val="-2"/>
        </w:rPr>
        <w:t> </w:t>
      </w:r>
      <w:r>
        <w:rPr/>
        <w:t>seen</w:t>
      </w:r>
      <w:r>
        <w:rPr>
          <w:spacing w:val="-2"/>
        </w:rPr>
        <w:t> </w:t>
      </w:r>
      <w:r>
        <w:rPr/>
        <w:t>from</w:t>
      </w:r>
      <w:r>
        <w:rPr>
          <w:spacing w:val="-4"/>
        </w:rPr>
        <w:t> </w:t>
      </w:r>
      <w:r>
        <w:rPr/>
        <w:t>Tables</w:t>
      </w:r>
      <w:r>
        <w:rPr>
          <w:spacing w:val="-2"/>
        </w:rPr>
        <w:t> </w:t>
      </w:r>
      <w:r>
        <w:rPr/>
        <w:t>5.6</w:t>
      </w:r>
      <w:r>
        <w:rPr>
          <w:spacing w:val="-2"/>
        </w:rPr>
        <w:t> </w:t>
      </w:r>
      <w:r>
        <w:rPr/>
        <w:t>A</w:t>
      </w:r>
      <w:r>
        <w:rPr>
          <w:spacing w:val="-2"/>
        </w:rPr>
        <w:t> </w:t>
      </w:r>
      <w:r>
        <w:rPr/>
        <w:t>and</w:t>
      </w:r>
      <w:r>
        <w:rPr>
          <w:spacing w:val="-2"/>
        </w:rPr>
        <w:t> </w:t>
      </w:r>
      <w:r>
        <w:rPr/>
        <w:t>B,</w:t>
      </w:r>
      <w:r>
        <w:rPr>
          <w:spacing w:val="-2"/>
        </w:rPr>
        <w:t> </w:t>
      </w:r>
      <w:r>
        <w:rPr/>
        <w:t>that,</w:t>
      </w:r>
      <w:r>
        <w:rPr>
          <w:spacing w:val="-2"/>
        </w:rPr>
        <w:t> </w:t>
      </w:r>
      <w:r>
        <w:rPr/>
        <w:t>in</w:t>
      </w:r>
      <w:r>
        <w:rPr>
          <w:spacing w:val="-3"/>
        </w:rPr>
        <w:t> </w:t>
      </w:r>
      <w:r>
        <w:rPr/>
        <w:t>spite</w:t>
      </w:r>
      <w:r>
        <w:rPr>
          <w:spacing w:val="-3"/>
        </w:rPr>
        <w:t> </w:t>
      </w:r>
      <w:r>
        <w:rPr/>
        <w:t>of</w:t>
      </w:r>
      <w:r>
        <w:rPr>
          <w:spacing w:val="-3"/>
        </w:rPr>
        <w:t> </w:t>
      </w:r>
      <w:r>
        <w:rPr/>
        <w:t>all</w:t>
      </w:r>
      <w:r>
        <w:rPr>
          <w:spacing w:val="-3"/>
        </w:rPr>
        <w:t> </w:t>
      </w:r>
      <w:r>
        <w:rPr/>
        <w:t>the</w:t>
      </w:r>
      <w:r>
        <w:rPr>
          <w:spacing w:val="-3"/>
        </w:rPr>
        <w:t> </w:t>
      </w:r>
      <w:r>
        <w:rPr/>
        <w:t>expansion</w:t>
      </w:r>
      <w:r>
        <w:rPr>
          <w:spacing w:val="-3"/>
        </w:rPr>
        <w:t> </w:t>
      </w:r>
      <w:r>
        <w:rPr/>
        <w:t>of</w:t>
      </w:r>
      <w:r>
        <w:rPr>
          <w:spacing w:val="-3"/>
        </w:rPr>
        <w:t> </w:t>
      </w:r>
      <w:r>
        <w:rPr/>
        <w:t>education</w:t>
      </w:r>
      <w:r>
        <w:rPr>
          <w:spacing w:val="-3"/>
        </w:rPr>
        <w:t> </w:t>
      </w:r>
      <w:r>
        <w:rPr/>
        <w:t>we visualize, the proportion of educated and trained manpower would still be small even in 1986. We hope that illiteracy would be liquidated by then; or at any rate, there would be no non-literate workers. The proportion of matriculates in the total working force will increase from 1.7 per cent in 1960-61 to 4.5 per cent in 1975-76 and still further to 7.3</w:t>
      </w:r>
      <w:r>
        <w:rPr>
          <w:spacing w:val="40"/>
        </w:rPr>
        <w:t> </w:t>
      </w:r>
      <w:r>
        <w:rPr/>
        <w:t>per cent by 1985-86. During the same period, the proportion of intermediates in the working force will rise from 0.4 per cent to 1.6 per cent and that of graduates from 0.6</w:t>
      </w:r>
      <w:r>
        <w:rPr>
          <w:spacing w:val="40"/>
        </w:rPr>
        <w:t> </w:t>
      </w:r>
      <w:r>
        <w:rPr/>
        <w:t>per cent to 2.2 per cent. The total of all educated workers (matriculates and above) will rise from 2.7 per cent in 1960-61 to just over 11 per cent by 1985-86. This has also been graphically represented in the chart on page 187.</w:t>
      </w:r>
    </w:p>
    <w:p>
      <w:pPr>
        <w:pStyle w:val="BodyText"/>
        <w:spacing w:before="2"/>
      </w:pPr>
    </w:p>
    <w:p>
      <w:pPr>
        <w:pStyle w:val="ListParagraph"/>
        <w:numPr>
          <w:ilvl w:val="1"/>
          <w:numId w:val="98"/>
        </w:numPr>
        <w:tabs>
          <w:tab w:pos="652" w:val="left" w:leader="none"/>
        </w:tabs>
        <w:spacing w:line="240" w:lineRule="auto" w:before="1" w:after="0"/>
        <w:ind w:left="159" w:right="497" w:firstLine="0"/>
        <w:jc w:val="both"/>
        <w:rPr>
          <w:sz w:val="24"/>
        </w:rPr>
      </w:pPr>
      <w:r>
        <w:rPr>
          <w:sz w:val="24"/>
        </w:rPr>
        <w:t>It may be pointed out that even this projected achievement is much below the level already reached in industrialized countries. For instance, the educational level of the populations of the USA and Japan is as shown in Table 5.7.</w:t>
      </w:r>
    </w:p>
    <w:p>
      <w:pPr>
        <w:spacing w:after="0" w:line="240" w:lineRule="auto"/>
        <w:jc w:val="both"/>
        <w:rPr>
          <w:sz w:val="24"/>
        </w:rPr>
        <w:sectPr>
          <w:pgSz w:w="12240" w:h="15840"/>
          <w:pgMar w:header="0" w:footer="743" w:top="1360" w:bottom="940" w:left="1640" w:right="1300"/>
        </w:sectPr>
      </w:pPr>
    </w:p>
    <w:p>
      <w:pPr>
        <w:pStyle w:val="BodyText"/>
        <w:ind w:left="160"/>
        <w:rPr>
          <w:sz w:val="20"/>
        </w:rPr>
      </w:pPr>
      <w:r>
        <w:rPr>
          <w:sz w:val="20"/>
        </w:rPr>
        <w:drawing>
          <wp:inline distT="0" distB="0" distL="0" distR="0">
            <wp:extent cx="5441427" cy="7616952"/>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17" cstate="print"/>
                    <a:stretch>
                      <a:fillRect/>
                    </a:stretch>
                  </pic:blipFill>
                  <pic:spPr>
                    <a:xfrm>
                      <a:off x="0" y="0"/>
                      <a:ext cx="5441427" cy="761695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290" w:right="629"/>
        <w:jc w:val="center"/>
      </w:pPr>
      <w:r>
        <w:rPr/>
        <w:t>TABLE</w:t>
      </w:r>
      <w:r>
        <w:rPr>
          <w:spacing w:val="-5"/>
        </w:rPr>
        <w:t> </w:t>
      </w:r>
      <w:r>
        <w:rPr/>
        <w:t>5.7.</w:t>
      </w:r>
      <w:r>
        <w:rPr>
          <w:spacing w:val="-5"/>
        </w:rPr>
        <w:t> </w:t>
      </w:r>
      <w:r>
        <w:rPr/>
        <w:t>EDUCATIONAL</w:t>
      </w:r>
      <w:r>
        <w:rPr>
          <w:spacing w:val="-5"/>
        </w:rPr>
        <w:t> </w:t>
      </w:r>
      <w:r>
        <w:rPr/>
        <w:t>LEVEL</w:t>
      </w:r>
      <w:r>
        <w:rPr>
          <w:spacing w:val="-5"/>
        </w:rPr>
        <w:t> </w:t>
      </w:r>
      <w:r>
        <w:rPr/>
        <w:t>OF</w:t>
      </w:r>
      <w:r>
        <w:rPr>
          <w:spacing w:val="-5"/>
        </w:rPr>
        <w:t> </w:t>
      </w:r>
      <w:r>
        <w:rPr/>
        <w:t>WORKING</w:t>
      </w:r>
      <w:r>
        <w:rPr>
          <w:spacing w:val="-5"/>
        </w:rPr>
        <w:t> </w:t>
      </w:r>
      <w:r>
        <w:rPr/>
        <w:t>POPULATION</w:t>
      </w:r>
      <w:r>
        <w:rPr>
          <w:spacing w:val="-5"/>
        </w:rPr>
        <w:t> IN</w:t>
      </w:r>
    </w:p>
    <w:p>
      <w:pPr>
        <w:pStyle w:val="BodyText"/>
        <w:ind w:right="629"/>
        <w:jc w:val="center"/>
      </w:pPr>
      <w:r>
        <w:rPr/>
        <w:t>JAPAN</w:t>
      </w:r>
      <w:r>
        <w:rPr>
          <w:spacing w:val="-4"/>
        </w:rPr>
        <w:t> </w:t>
      </w:r>
      <w:r>
        <w:rPr/>
        <w:t>AND</w:t>
      </w:r>
      <w:r>
        <w:rPr>
          <w:spacing w:val="-4"/>
        </w:rPr>
        <w:t> </w:t>
      </w:r>
      <w:r>
        <w:rPr>
          <w:spacing w:val="-5"/>
        </w:rPr>
        <w:t>USA</w:t>
      </w:r>
    </w:p>
    <w:p>
      <w:pPr>
        <w:pStyle w:val="BodyText"/>
        <w:spacing w:before="1"/>
        <w:rPr>
          <w:sz w:val="15"/>
        </w:rPr>
      </w:pPr>
      <w:r>
        <w:rPr/>
        <mc:AlternateContent>
          <mc:Choice Requires="wps">
            <w:drawing>
              <wp:anchor distT="0" distB="0" distL="0" distR="0" allowOverlap="1" layoutInCell="1" locked="0" behindDoc="1" simplePos="0" relativeHeight="487617024">
                <wp:simplePos x="0" y="0"/>
                <wp:positionH relativeFrom="page">
                  <wp:posOffset>1143000</wp:posOffset>
                </wp:positionH>
                <wp:positionV relativeFrom="paragraph">
                  <wp:posOffset>126013</wp:posOffset>
                </wp:positionV>
                <wp:extent cx="5486400" cy="19050"/>
                <wp:effectExtent l="0" t="0" r="0" b="0"/>
                <wp:wrapTopAndBottom/>
                <wp:docPr id="319" name="Group 319"/>
                <wp:cNvGraphicFramePr>
                  <a:graphicFrameLocks/>
                </wp:cNvGraphicFramePr>
                <a:graphic>
                  <a:graphicData uri="http://schemas.microsoft.com/office/word/2010/wordprocessingGroup">
                    <wpg:wgp>
                      <wpg:cNvPr id="319" name="Group 319"/>
                      <wpg:cNvGrpSpPr/>
                      <wpg:grpSpPr>
                        <a:xfrm>
                          <a:off x="0" y="0"/>
                          <a:ext cx="5486400" cy="19050"/>
                          <a:chExt cx="5486400" cy="19050"/>
                        </a:xfrm>
                      </wpg:grpSpPr>
                      <wps:wsp>
                        <wps:cNvPr id="320" name="Graphic 32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21" name="Graphic 32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322" name="Graphic 32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323" name="Graphic 323"/>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324" name="Graphic 32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25" name="Graphic 32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26" name="Graphic 32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2294pt;width:432pt;height:1.5pt;mso-position-horizontal-relative:page;mso-position-vertical-relative:paragraph;z-index:-15699456;mso-wrap-distance-left:0;mso-wrap-distance-right:0" id="docshapegroup308" coordorigin="1800,198" coordsize="8640,30">
                <v:rect style="position:absolute;left:1800;top:198;width:8640;height:30" id="docshape309" filled="true" fillcolor="#808080" stroked="false">
                  <v:fill type="solid"/>
                </v:rect>
                <v:shape style="position:absolute;left:1800;top:198;width:8636;height:5" id="docshape310" coordorigin="1800,198" coordsize="8636,5" path="m10435,198l1805,198,1800,198,1800,203,1805,203,10435,203,10435,198xe" filled="true" fillcolor="#aca89a" stroked="false">
                  <v:path arrowok="t"/>
                  <v:fill type="solid"/>
                </v:shape>
                <v:rect style="position:absolute;left:10435;top:198;width:5;height:5" id="docshape311" filled="true" fillcolor="#f1efe2" stroked="false">
                  <v:fill type="solid"/>
                </v:rect>
                <v:shape style="position:absolute;left:1800;top:198;width:8640;height:26" id="docshape312" coordorigin="1800,198" coordsize="8640,26" path="m1805,203l1800,203,1800,224,1805,224,1805,203xm10440,198l10435,198,10435,203,10440,203,10440,198xe" filled="true" fillcolor="#aca89a" stroked="false">
                  <v:path arrowok="t"/>
                  <v:fill type="solid"/>
                </v:shape>
                <v:rect style="position:absolute;left:10435;top:203;width:5;height:21" id="docshape313" filled="true" fillcolor="#f1efe2" stroked="false">
                  <v:fill type="solid"/>
                </v:rect>
                <v:rect style="position:absolute;left:1800;top:223;width:5;height:5" id="docshape314" filled="true" fillcolor="#aca89a" stroked="false">
                  <v:fill type="solid"/>
                </v:rect>
                <v:shape style="position:absolute;left:1800;top:223;width:8640;height:5" id="docshape315"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tabs>
          <w:tab w:pos="6571" w:val="left" w:leader="none"/>
        </w:tabs>
        <w:spacing w:before="48"/>
        <w:ind w:left="159"/>
      </w:pPr>
      <w:r>
        <w:rPr>
          <w:spacing w:val="-2"/>
        </w:rPr>
        <w:t>Japan</w:t>
      </w:r>
      <w:r>
        <w:rPr/>
        <w:tab/>
      </w:r>
      <w:r>
        <w:rPr>
          <w:spacing w:val="-5"/>
        </w:rPr>
        <w:t>USA</w:t>
      </w:r>
    </w:p>
    <w:p>
      <w:pPr>
        <w:pStyle w:val="BodyText"/>
        <w:tabs>
          <w:tab w:pos="5655" w:val="left" w:leader="none"/>
        </w:tabs>
        <w:ind w:left="159"/>
      </w:pPr>
      <w:r>
        <w:rPr/>
        <w:t>Composition</w:t>
      </w:r>
      <w:r>
        <w:rPr>
          <w:spacing w:val="-1"/>
        </w:rPr>
        <w:t> </w:t>
      </w:r>
      <w:r>
        <w:rPr/>
        <w:t>of</w:t>
      </w:r>
      <w:r>
        <w:rPr>
          <w:spacing w:val="-1"/>
        </w:rPr>
        <w:t> </w:t>
      </w:r>
      <w:r>
        <w:rPr/>
        <w:t>Population (age</w:t>
      </w:r>
      <w:r>
        <w:rPr>
          <w:spacing w:val="-1"/>
        </w:rPr>
        <w:t> </w:t>
      </w:r>
      <w:r>
        <w:rPr/>
        <w:t>15</w:t>
      </w:r>
      <w:r>
        <w:rPr>
          <w:spacing w:val="-1"/>
        </w:rPr>
        <w:t> </w:t>
      </w:r>
      <w:r>
        <w:rPr/>
        <w:t>and </w:t>
      </w:r>
      <w:r>
        <w:rPr>
          <w:spacing w:val="-2"/>
        </w:rPr>
        <w:t>over)</w:t>
      </w:r>
      <w:r>
        <w:rPr/>
        <w:tab/>
        <w:t>Composition</w:t>
      </w:r>
      <w:r>
        <w:rPr>
          <w:spacing w:val="-5"/>
        </w:rPr>
        <w:t> </w:t>
      </w:r>
      <w:r>
        <w:rPr/>
        <w:t>of</w:t>
      </w:r>
      <w:r>
        <w:rPr>
          <w:spacing w:val="-2"/>
        </w:rPr>
        <w:t> </w:t>
      </w:r>
      <w:r>
        <w:rPr/>
        <w:t>civilian</w:t>
      </w:r>
      <w:r>
        <w:rPr>
          <w:spacing w:val="-2"/>
        </w:rPr>
        <w:t> labour</w:t>
      </w:r>
    </w:p>
    <w:p>
      <w:pPr>
        <w:pStyle w:val="BodyText"/>
        <w:ind w:left="5655" w:right="510"/>
      </w:pPr>
      <w:r>
        <w:rPr/>
        <w:t>Force(age</w:t>
      </w:r>
      <w:r>
        <w:rPr>
          <w:spacing w:val="-9"/>
        </w:rPr>
        <w:t> </w:t>
      </w:r>
      <w:r>
        <w:rPr/>
        <w:t>18-64)</w:t>
      </w:r>
      <w:r>
        <w:rPr>
          <w:spacing w:val="-9"/>
        </w:rPr>
        <w:t> </w:t>
      </w:r>
      <w:r>
        <w:rPr/>
        <w:t>as</w:t>
      </w:r>
      <w:r>
        <w:rPr>
          <w:spacing w:val="-9"/>
        </w:rPr>
        <w:t> </w:t>
      </w:r>
      <w:r>
        <w:rPr/>
        <w:t>on</w:t>
      </w:r>
      <w:r>
        <w:rPr>
          <w:spacing w:val="-11"/>
        </w:rPr>
        <w:t> </w:t>
      </w:r>
      <w:r>
        <w:rPr/>
        <w:t>March </w:t>
      </w:r>
      <w:r>
        <w:rPr>
          <w:spacing w:val="-4"/>
        </w:rPr>
        <w:t>1959</w:t>
      </w:r>
    </w:p>
    <w:p>
      <w:pPr>
        <w:pStyle w:val="BodyText"/>
        <w:spacing w:before="1"/>
        <w:rPr>
          <w:sz w:val="15"/>
        </w:rPr>
      </w:pPr>
      <w:r>
        <w:rPr/>
        <mc:AlternateContent>
          <mc:Choice Requires="wps">
            <w:drawing>
              <wp:anchor distT="0" distB="0" distL="0" distR="0" allowOverlap="1" layoutInCell="1" locked="0" behindDoc="1" simplePos="0" relativeHeight="487617536">
                <wp:simplePos x="0" y="0"/>
                <wp:positionH relativeFrom="page">
                  <wp:posOffset>1143000</wp:posOffset>
                </wp:positionH>
                <wp:positionV relativeFrom="paragraph">
                  <wp:posOffset>125788</wp:posOffset>
                </wp:positionV>
                <wp:extent cx="5486400" cy="19050"/>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5486400" cy="19050"/>
                          <a:chExt cx="5486400" cy="19050"/>
                        </a:xfrm>
                      </wpg:grpSpPr>
                      <wps:wsp>
                        <wps:cNvPr id="328" name="Graphic 32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29" name="Graphic 329"/>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330" name="Graphic 330"/>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331" name="Graphic 331"/>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332" name="Graphic 332"/>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33" name="Graphic 333"/>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34" name="Graphic 334"/>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4637pt;width:432pt;height:1.5pt;mso-position-horizontal-relative:page;mso-position-vertical-relative:paragraph;z-index:-15698944;mso-wrap-distance-left:0;mso-wrap-distance-right:0" id="docshapegroup316" coordorigin="1800,198" coordsize="8640,30">
                <v:rect style="position:absolute;left:1800;top:198;width:8640;height:30" id="docshape317" filled="true" fillcolor="#808080" stroked="false">
                  <v:fill type="solid"/>
                </v:rect>
                <v:shape style="position:absolute;left:1800;top:198;width:8636;height:5" id="docshape318" coordorigin="1800,198" coordsize="8636,5" path="m10435,198l1805,198,1800,198,1800,203,1805,203,10435,203,10435,198xe" filled="true" fillcolor="#aca89a" stroked="false">
                  <v:path arrowok="t"/>
                  <v:fill type="solid"/>
                </v:shape>
                <v:rect style="position:absolute;left:10435;top:198;width:5;height:5" id="docshape319" filled="true" fillcolor="#f1efe2" stroked="false">
                  <v:fill type="solid"/>
                </v:rect>
                <v:shape style="position:absolute;left:1800;top:198;width:8640;height:26" id="docshape320" coordorigin="1800,198" coordsize="8640,26" path="m1805,203l1800,203,1800,223,1805,223,1805,203xm10440,198l10435,198,10435,203,10440,203,10440,198xe" filled="true" fillcolor="#aca89a" stroked="false">
                  <v:path arrowok="t"/>
                  <v:fill type="solid"/>
                </v:shape>
                <v:rect style="position:absolute;left:10435;top:202;width:5;height:21" id="docshape321" filled="true" fillcolor="#f1efe2" stroked="false">
                  <v:fill type="solid"/>
                </v:rect>
                <v:rect style="position:absolute;left:1800;top:223;width:5;height:5" id="docshape322" filled="true" fillcolor="#aca89a" stroked="false">
                  <v:fill type="solid"/>
                </v:rect>
                <v:shape style="position:absolute;left:1800;top:223;width:8640;height:5" id="docshape323"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2592" w:val="left" w:leader="none"/>
          <w:tab w:pos="5656" w:val="left" w:leader="none"/>
          <w:tab w:pos="7427" w:val="left" w:leader="none"/>
        </w:tabs>
        <w:spacing w:before="48"/>
        <w:ind w:left="159"/>
      </w:pPr>
      <w:r>
        <w:rPr>
          <w:spacing w:val="-2"/>
        </w:rPr>
        <w:t>Completed</w:t>
      </w:r>
      <w:r>
        <w:rPr/>
        <w:tab/>
      </w:r>
      <w:r>
        <w:rPr>
          <w:spacing w:val="-2"/>
        </w:rPr>
        <w:t>Percent</w:t>
      </w:r>
      <w:r>
        <w:rPr/>
        <w:tab/>
      </w:r>
      <w:r>
        <w:rPr>
          <w:spacing w:val="-2"/>
        </w:rPr>
        <w:t>Completed</w:t>
      </w:r>
      <w:r>
        <w:rPr/>
        <w:tab/>
        <w:t>Per</w:t>
      </w:r>
      <w:r>
        <w:rPr>
          <w:spacing w:val="-2"/>
        </w:rPr>
        <w:t> </w:t>
      </w:r>
      <w:r>
        <w:rPr>
          <w:spacing w:val="-4"/>
        </w:rPr>
        <w:t>cent</w:t>
      </w:r>
    </w:p>
    <w:p>
      <w:pPr>
        <w:pStyle w:val="BodyText"/>
      </w:pPr>
    </w:p>
    <w:p>
      <w:pPr>
        <w:pStyle w:val="BodyText"/>
        <w:tabs>
          <w:tab w:pos="5654" w:val="left" w:leader="none"/>
        </w:tabs>
        <w:ind w:left="159"/>
      </w:pPr>
      <w:r>
        <w:rPr/>
        <w:t>Elementary</w:t>
      </w:r>
      <w:r>
        <w:rPr>
          <w:spacing w:val="-2"/>
        </w:rPr>
        <w:t> school</w:t>
      </w:r>
      <w:r>
        <w:rPr/>
        <w:tab/>
      </w:r>
      <w:r>
        <w:rPr>
          <w:spacing w:val="-2"/>
        </w:rPr>
        <w:t>Elementary</w:t>
      </w:r>
    </w:p>
    <w:p>
      <w:pPr>
        <w:pStyle w:val="BodyText"/>
        <w:tabs>
          <w:tab w:pos="2512" w:val="left" w:leader="none"/>
          <w:tab w:pos="5654" w:val="left" w:leader="none"/>
          <w:tab w:pos="7794" w:val="left" w:leader="none"/>
        </w:tabs>
        <w:ind w:left="159"/>
      </w:pPr>
      <w:r>
        <w:rPr/>
        <w:t>(Class I-</w:t>
      </w:r>
      <w:r>
        <w:rPr>
          <w:spacing w:val="-5"/>
        </w:rPr>
        <w:t>VI)</w:t>
      </w:r>
      <w:r>
        <w:rPr/>
        <w:tab/>
      </w:r>
      <w:r>
        <w:rPr>
          <w:spacing w:val="-4"/>
        </w:rPr>
        <w:t>15.9</w:t>
      </w:r>
      <w:r>
        <w:rPr/>
        <w:tab/>
        <w:t>Less than 5 </w:t>
      </w:r>
      <w:r>
        <w:rPr>
          <w:spacing w:val="-2"/>
        </w:rPr>
        <w:t>years</w:t>
      </w:r>
      <w:r>
        <w:rPr/>
        <w:tab/>
      </w:r>
      <w:r>
        <w:rPr>
          <w:spacing w:val="-5"/>
        </w:rPr>
        <w:t>4.7</w:t>
      </w:r>
    </w:p>
    <w:p>
      <w:pPr>
        <w:pStyle w:val="BodyText"/>
      </w:pPr>
    </w:p>
    <w:p>
      <w:pPr>
        <w:pStyle w:val="BodyText"/>
        <w:ind w:left="159"/>
      </w:pPr>
      <w:r>
        <w:rPr/>
        <w:t>Junior</w:t>
      </w:r>
      <w:r>
        <w:rPr>
          <w:spacing w:val="-1"/>
        </w:rPr>
        <w:t> </w:t>
      </w:r>
      <w:r>
        <w:rPr/>
        <w:t>high</w:t>
      </w:r>
      <w:r>
        <w:rPr>
          <w:spacing w:val="-1"/>
        </w:rPr>
        <w:t> </w:t>
      </w:r>
      <w:r>
        <w:rPr>
          <w:spacing w:val="-2"/>
        </w:rPr>
        <w:t>school</w:t>
      </w:r>
    </w:p>
    <w:p>
      <w:pPr>
        <w:pStyle w:val="BodyText"/>
        <w:tabs>
          <w:tab w:pos="2485" w:val="left" w:leader="none"/>
          <w:tab w:pos="5655" w:val="left" w:leader="none"/>
          <w:tab w:pos="8088" w:val="right" w:leader="none"/>
        </w:tabs>
        <w:ind w:left="159"/>
      </w:pPr>
      <w:r>
        <w:rPr/>
        <w:t>(Classes</w:t>
      </w:r>
      <w:r>
        <w:rPr>
          <w:spacing w:val="-1"/>
        </w:rPr>
        <w:t> </w:t>
      </w:r>
      <w:r>
        <w:rPr/>
        <w:t>VII-</w:t>
      </w:r>
      <w:r>
        <w:rPr>
          <w:spacing w:val="-5"/>
        </w:rPr>
        <w:t>IX)</w:t>
      </w:r>
      <w:r>
        <w:rPr/>
        <w:tab/>
      </w:r>
      <w:r>
        <w:rPr>
          <w:spacing w:val="-4"/>
        </w:rPr>
        <w:t>44.8</w:t>
      </w:r>
      <w:r>
        <w:rPr/>
        <w:tab/>
        <w:t>5</w:t>
      </w:r>
      <w:r>
        <w:rPr>
          <w:spacing w:val="-3"/>
        </w:rPr>
        <w:t> </w:t>
      </w:r>
      <w:r>
        <w:rPr/>
        <w:t>to</w:t>
      </w:r>
      <w:r>
        <w:rPr>
          <w:spacing w:val="-1"/>
        </w:rPr>
        <w:t> </w:t>
      </w:r>
      <w:r>
        <w:rPr/>
        <w:t>8</w:t>
      </w:r>
      <w:r>
        <w:rPr>
          <w:spacing w:val="-1"/>
        </w:rPr>
        <w:t> </w:t>
      </w:r>
      <w:r>
        <w:rPr>
          <w:spacing w:val="-2"/>
        </w:rPr>
        <w:t>years</w:t>
      </w:r>
      <w:r>
        <w:rPr/>
        <w:tab/>
      </w:r>
      <w:r>
        <w:rPr>
          <w:spacing w:val="-4"/>
        </w:rPr>
        <w:t>24.2</w:t>
      </w:r>
    </w:p>
    <w:p>
      <w:pPr>
        <w:pStyle w:val="BodyText"/>
        <w:tabs>
          <w:tab w:pos="5655" w:val="left" w:leader="none"/>
        </w:tabs>
        <w:spacing w:before="276"/>
        <w:ind w:left="159"/>
      </w:pPr>
      <w:r>
        <w:rPr/>
        <w:t>Senior</w:t>
      </w:r>
      <w:r>
        <w:rPr>
          <w:spacing w:val="-1"/>
        </w:rPr>
        <w:t> </w:t>
      </w:r>
      <w:r>
        <w:rPr/>
        <w:t>high</w:t>
      </w:r>
      <w:r>
        <w:rPr>
          <w:spacing w:val="-1"/>
        </w:rPr>
        <w:t> </w:t>
      </w:r>
      <w:r>
        <w:rPr>
          <w:spacing w:val="-2"/>
        </w:rPr>
        <w:t>school</w:t>
      </w:r>
      <w:r>
        <w:rPr/>
        <w:tab/>
        <w:t>High</w:t>
      </w:r>
      <w:r>
        <w:rPr>
          <w:spacing w:val="-2"/>
        </w:rPr>
        <w:t> School</w:t>
      </w:r>
    </w:p>
    <w:p>
      <w:pPr>
        <w:pStyle w:val="BodyText"/>
        <w:tabs>
          <w:tab w:pos="2466" w:val="left" w:leader="none"/>
          <w:tab w:pos="5655" w:val="left" w:leader="none"/>
          <w:tab w:pos="8088" w:val="right" w:leader="none"/>
        </w:tabs>
        <w:ind w:left="219"/>
      </w:pPr>
      <w:r>
        <w:rPr/>
        <w:t>(Classes X-</w:t>
      </w:r>
      <w:r>
        <w:rPr>
          <w:spacing w:val="-4"/>
        </w:rPr>
        <w:t>XII)</w:t>
      </w:r>
      <w:r>
        <w:rPr/>
        <w:tab/>
      </w:r>
      <w:r>
        <w:rPr>
          <w:spacing w:val="-4"/>
        </w:rPr>
        <w:t>24.7</w:t>
      </w:r>
      <w:r>
        <w:rPr/>
        <w:tab/>
        <w:t>1 to 3 </w:t>
      </w:r>
      <w:r>
        <w:rPr>
          <w:spacing w:val="-2"/>
        </w:rPr>
        <w:t>years</w:t>
      </w:r>
      <w:r>
        <w:rPr/>
        <w:tab/>
      </w:r>
      <w:r>
        <w:rPr>
          <w:spacing w:val="-4"/>
        </w:rPr>
        <w:t>20.3</w:t>
      </w:r>
    </w:p>
    <w:p>
      <w:pPr>
        <w:pStyle w:val="BodyText"/>
        <w:ind w:left="5655"/>
      </w:pPr>
      <w:r>
        <w:rPr/>
        <w:t>4 </w:t>
      </w:r>
      <w:r>
        <w:rPr>
          <w:spacing w:val="-2"/>
        </w:rPr>
        <w:t>years31.7</w:t>
      </w:r>
    </w:p>
    <w:p>
      <w:pPr>
        <w:pStyle w:val="BodyText"/>
        <w:spacing w:before="276"/>
        <w:ind w:left="159"/>
      </w:pPr>
      <w:r>
        <w:rPr/>
        <w:t>University or </w:t>
      </w:r>
      <w:r>
        <w:rPr>
          <w:spacing w:val="-2"/>
        </w:rPr>
        <w:t>junior</w:t>
      </w:r>
    </w:p>
    <w:p>
      <w:pPr>
        <w:pStyle w:val="BodyText"/>
        <w:tabs>
          <w:tab w:pos="2412" w:val="left" w:leader="none"/>
          <w:tab w:pos="5656" w:val="left" w:leader="none"/>
        </w:tabs>
        <w:ind w:left="159"/>
      </w:pPr>
      <w:r>
        <w:rPr>
          <w:spacing w:val="-2"/>
        </w:rPr>
        <w:t>college</w:t>
      </w:r>
      <w:r>
        <w:rPr/>
        <w:tab/>
      </w:r>
      <w:r>
        <w:rPr>
          <w:spacing w:val="-5"/>
        </w:rPr>
        <w:t>5.2</w:t>
      </w:r>
      <w:r>
        <w:rPr/>
        <w:tab/>
      </w:r>
      <w:r>
        <w:rPr>
          <w:spacing w:val="-2"/>
        </w:rPr>
        <w:t>College</w:t>
      </w:r>
    </w:p>
    <w:p>
      <w:pPr>
        <w:pStyle w:val="BodyText"/>
        <w:ind w:left="5655"/>
      </w:pPr>
      <w:r>
        <w:rPr/>
        <w:t>1 to 3 </w:t>
      </w:r>
      <w:r>
        <w:rPr>
          <w:spacing w:val="-2"/>
        </w:rPr>
        <w:t>years9.4</w:t>
      </w:r>
    </w:p>
    <w:p>
      <w:pPr>
        <w:pStyle w:val="BodyText"/>
        <w:tabs>
          <w:tab w:pos="7994" w:val="right" w:leader="none"/>
        </w:tabs>
        <w:ind w:left="5655"/>
      </w:pPr>
      <w:r>
        <w:rPr/>
        <w:t>4</w:t>
      </w:r>
      <w:r>
        <w:rPr>
          <w:spacing w:val="-2"/>
        </w:rPr>
        <w:t> </w:t>
      </w:r>
      <w:r>
        <w:rPr/>
        <w:t>years or </w:t>
      </w:r>
      <w:r>
        <w:rPr>
          <w:spacing w:val="-4"/>
        </w:rPr>
        <w:t>more</w:t>
      </w:r>
      <w:r>
        <w:rPr/>
        <w:tab/>
      </w:r>
      <w:r>
        <w:rPr>
          <w:spacing w:val="-5"/>
        </w:rPr>
        <w:t>9.7</w:t>
      </w:r>
    </w:p>
    <w:p>
      <w:pPr>
        <w:pStyle w:val="BodyText"/>
        <w:tabs>
          <w:tab w:pos="2659" w:val="right" w:leader="none"/>
        </w:tabs>
        <w:spacing w:before="276"/>
        <w:ind w:left="159"/>
      </w:pPr>
      <w:r>
        <w:rPr/>
        <w:t>Attending </w:t>
      </w:r>
      <w:r>
        <w:rPr>
          <w:spacing w:val="-2"/>
        </w:rPr>
        <w:t>Schools</w:t>
      </w:r>
      <w:r>
        <w:rPr/>
        <w:tab/>
      </w:r>
      <w:r>
        <w:rPr>
          <w:spacing w:val="-5"/>
        </w:rPr>
        <w:t>7.3</w:t>
      </w:r>
    </w:p>
    <w:p>
      <w:pPr>
        <w:pStyle w:val="BodyText"/>
        <w:spacing w:before="275"/>
        <w:ind w:left="159"/>
      </w:pPr>
      <w:r>
        <w:rPr/>
        <w:t>Never </w:t>
      </w:r>
      <w:r>
        <w:rPr>
          <w:spacing w:val="-2"/>
        </w:rPr>
        <w:t>Attended</w:t>
      </w:r>
    </w:p>
    <w:p>
      <w:pPr>
        <w:pStyle w:val="BodyText"/>
        <w:tabs>
          <w:tab w:pos="2598" w:val="right" w:leader="none"/>
        </w:tabs>
        <w:ind w:left="159"/>
      </w:pPr>
      <w:r>
        <w:rPr>
          <w:spacing w:val="-2"/>
        </w:rPr>
        <w:t>Schools</w:t>
      </w:r>
      <w:r>
        <w:rPr/>
        <w:tab/>
      </w:r>
      <w:r>
        <w:rPr>
          <w:spacing w:val="-5"/>
        </w:rPr>
        <w:t>2.2</w:t>
      </w:r>
    </w:p>
    <w:p>
      <w:pPr>
        <w:pStyle w:val="BodyText"/>
        <w:spacing w:before="1"/>
        <w:rPr>
          <w:sz w:val="15"/>
        </w:rPr>
      </w:pPr>
      <w:r>
        <w:rPr/>
        <mc:AlternateContent>
          <mc:Choice Requires="wps">
            <w:drawing>
              <wp:anchor distT="0" distB="0" distL="0" distR="0" allowOverlap="1" layoutInCell="1" locked="0" behindDoc="1" simplePos="0" relativeHeight="487618048">
                <wp:simplePos x="0" y="0"/>
                <wp:positionH relativeFrom="page">
                  <wp:posOffset>1143000</wp:posOffset>
                </wp:positionH>
                <wp:positionV relativeFrom="paragraph">
                  <wp:posOffset>125856</wp:posOffset>
                </wp:positionV>
                <wp:extent cx="5486400" cy="19050"/>
                <wp:effectExtent l="0" t="0" r="0" b="0"/>
                <wp:wrapTopAndBottom/>
                <wp:docPr id="335" name="Group 335"/>
                <wp:cNvGraphicFramePr>
                  <a:graphicFrameLocks/>
                </wp:cNvGraphicFramePr>
                <a:graphic>
                  <a:graphicData uri="http://schemas.microsoft.com/office/word/2010/wordprocessingGroup">
                    <wpg:wgp>
                      <wpg:cNvPr id="335" name="Group 335"/>
                      <wpg:cNvGrpSpPr/>
                      <wpg:grpSpPr>
                        <a:xfrm>
                          <a:off x="0" y="0"/>
                          <a:ext cx="5486400" cy="19050"/>
                          <a:chExt cx="5486400" cy="19050"/>
                        </a:xfrm>
                      </wpg:grpSpPr>
                      <wps:wsp>
                        <wps:cNvPr id="336" name="Graphic 33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37" name="Graphic 337"/>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38" name="Graphic 338"/>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39" name="Graphic 339"/>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40" name="Graphic 340"/>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41" name="Graphic 341"/>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342" name="Graphic 342"/>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9922pt;width:432pt;height:1.5pt;mso-position-horizontal-relative:page;mso-position-vertical-relative:paragraph;z-index:-15698432;mso-wrap-distance-left:0;mso-wrap-distance-right:0" id="docshapegroup324" coordorigin="1800,198" coordsize="8640,30">
                <v:rect style="position:absolute;left:1800;top:198;width:8640;height:30" id="docshape325" filled="true" fillcolor="#808080" stroked="false">
                  <v:fill type="solid"/>
                </v:rect>
                <v:shape style="position:absolute;left:1800;top:198;width:8636;height:5" id="docshape326" coordorigin="1800,198" coordsize="8636,5" path="m10435,198l1805,198,1800,198,1800,203,1805,203,10435,203,10435,198xe" filled="true" fillcolor="#aca89a" stroked="false">
                  <v:path arrowok="t"/>
                  <v:fill type="solid"/>
                </v:shape>
                <v:rect style="position:absolute;left:10435;top:198;width:5;height:5" id="docshape327" filled="true" fillcolor="#f1efe2" stroked="false">
                  <v:fill type="solid"/>
                </v:rect>
                <v:shape style="position:absolute;left:1800;top:198;width:8640;height:26" id="docshape328" coordorigin="1800,198" coordsize="8640,26" path="m1805,203l1800,203,1800,223,1805,223,1805,203xm10440,198l10435,198,10435,203,10440,203,10440,198xe" filled="true" fillcolor="#aca89a" stroked="false">
                  <v:path arrowok="t"/>
                  <v:fill type="solid"/>
                </v:shape>
                <v:rect style="position:absolute;left:10435;top:203;width:5;height:21" id="docshape329" filled="true" fillcolor="#f1efe2" stroked="false">
                  <v:fill type="solid"/>
                </v:rect>
                <v:rect style="position:absolute;left:1800;top:223;width:5;height:5" id="docshape330" filled="true" fillcolor="#aca89a" stroked="false">
                  <v:fill type="solid"/>
                </v:rect>
                <v:shape style="position:absolute;left:1800;top:223;width:8640;height:5" id="docshape331"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4740" w:val="left" w:leader="none"/>
        </w:tabs>
        <w:spacing w:before="48"/>
        <w:ind w:left="159"/>
      </w:pPr>
      <w:r>
        <w:rPr/>
        <w:t>Source. Population Census</w:t>
      </w:r>
      <w:r>
        <w:rPr>
          <w:spacing w:val="60"/>
        </w:rPr>
        <w:t> </w:t>
      </w:r>
      <w:r>
        <w:rPr>
          <w:spacing w:val="-2"/>
        </w:rPr>
        <w:t>1960.</w:t>
      </w:r>
      <w:r>
        <w:rPr/>
        <w:tab/>
        <w:t>Source.</w:t>
      </w:r>
      <w:r>
        <w:rPr>
          <w:spacing w:val="57"/>
        </w:rPr>
        <w:t> </w:t>
      </w:r>
      <w:r>
        <w:rPr/>
        <w:t>Special</w:t>
      </w:r>
      <w:r>
        <w:rPr>
          <w:spacing w:val="-1"/>
        </w:rPr>
        <w:t> </w:t>
      </w:r>
      <w:r>
        <w:rPr/>
        <w:t>Labour</w:t>
      </w:r>
      <w:r>
        <w:rPr>
          <w:spacing w:val="-1"/>
        </w:rPr>
        <w:t> </w:t>
      </w:r>
      <w:r>
        <w:rPr/>
        <w:t>Force</w:t>
      </w:r>
      <w:r>
        <w:rPr>
          <w:spacing w:val="-1"/>
        </w:rPr>
        <w:t> </w:t>
      </w:r>
      <w:r>
        <w:rPr>
          <w:spacing w:val="-2"/>
        </w:rPr>
        <w:t>Report,</w:t>
      </w:r>
    </w:p>
    <w:p>
      <w:pPr>
        <w:pStyle w:val="BodyText"/>
        <w:ind w:left="4740" w:right="510"/>
      </w:pPr>
      <w:r>
        <w:rPr/>
        <w:t>No.</w:t>
      </w:r>
      <w:r>
        <w:rPr>
          <w:spacing w:val="-6"/>
        </w:rPr>
        <w:t> </w:t>
      </w:r>
      <w:r>
        <w:rPr/>
        <w:t>53,</w:t>
      </w:r>
      <w:r>
        <w:rPr>
          <w:spacing w:val="-6"/>
        </w:rPr>
        <w:t> </w:t>
      </w:r>
      <w:r>
        <w:rPr/>
        <w:t>Bureau</w:t>
      </w:r>
      <w:r>
        <w:rPr>
          <w:spacing w:val="-6"/>
        </w:rPr>
        <w:t> </w:t>
      </w:r>
      <w:r>
        <w:rPr/>
        <w:t>of</w:t>
      </w:r>
      <w:r>
        <w:rPr>
          <w:spacing w:val="-6"/>
        </w:rPr>
        <w:t> </w:t>
      </w:r>
      <w:r>
        <w:rPr/>
        <w:t>Labour</w:t>
      </w:r>
      <w:r>
        <w:rPr>
          <w:spacing w:val="-6"/>
        </w:rPr>
        <w:t> </w:t>
      </w:r>
      <w:r>
        <w:rPr/>
        <w:t>Statistics,</w:t>
      </w:r>
      <w:r>
        <w:rPr>
          <w:spacing w:val="-6"/>
        </w:rPr>
        <w:t> </w:t>
      </w:r>
      <w:r>
        <w:rPr/>
        <w:t>P.</w:t>
      </w:r>
      <w:r>
        <w:rPr>
          <w:spacing w:val="-6"/>
        </w:rPr>
        <w:t> </w:t>
      </w:r>
      <w:r>
        <w:rPr/>
        <w:t>A- </w:t>
      </w:r>
      <w:r>
        <w:rPr>
          <w:spacing w:val="-6"/>
        </w:rPr>
        <w:t>6.</w:t>
      </w:r>
    </w:p>
    <w:p>
      <w:pPr>
        <w:pStyle w:val="BodyText"/>
        <w:spacing w:before="2"/>
      </w:pPr>
    </w:p>
    <w:p>
      <w:pPr>
        <w:pStyle w:val="Heading1"/>
        <w:spacing w:before="1"/>
        <w:ind w:left="291"/>
      </w:pPr>
      <w:r>
        <w:rPr/>
        <w:t>RELATING</w:t>
      </w:r>
      <w:r>
        <w:rPr>
          <w:spacing w:val="-5"/>
        </w:rPr>
        <w:t> </w:t>
      </w:r>
      <w:r>
        <w:rPr/>
        <w:t>MANPOWER</w:t>
      </w:r>
      <w:r>
        <w:rPr>
          <w:spacing w:val="-5"/>
        </w:rPr>
        <w:t> </w:t>
      </w:r>
      <w:r>
        <w:rPr/>
        <w:t>ESTIMATES</w:t>
      </w:r>
      <w:r>
        <w:rPr>
          <w:spacing w:val="-5"/>
        </w:rPr>
        <w:t> </w:t>
      </w:r>
      <w:r>
        <w:rPr/>
        <w:t>TO</w:t>
      </w:r>
      <w:r>
        <w:rPr>
          <w:spacing w:val="-5"/>
        </w:rPr>
        <w:t> </w:t>
      </w:r>
      <w:r>
        <w:rPr>
          <w:spacing w:val="-2"/>
        </w:rPr>
        <w:t>ENROLMENTS</w:t>
      </w:r>
    </w:p>
    <w:p>
      <w:pPr>
        <w:pStyle w:val="BodyText"/>
        <w:spacing w:before="2"/>
        <w:rPr>
          <w:b/>
        </w:rPr>
      </w:pPr>
    </w:p>
    <w:p>
      <w:pPr>
        <w:pStyle w:val="ListParagraph"/>
        <w:numPr>
          <w:ilvl w:val="1"/>
          <w:numId w:val="98"/>
        </w:numPr>
        <w:tabs>
          <w:tab w:pos="652" w:val="left" w:leader="none"/>
        </w:tabs>
        <w:spacing w:line="240" w:lineRule="auto" w:before="0" w:after="0"/>
        <w:ind w:left="159" w:right="498" w:firstLine="0"/>
        <w:jc w:val="both"/>
        <w:rPr>
          <w:sz w:val="24"/>
        </w:rPr>
      </w:pPr>
      <w:r>
        <w:rPr>
          <w:sz w:val="24"/>
        </w:rPr>
        <w:t>This brings us to our last point, namely, the creation of a machinery which will </w:t>
      </w:r>
      <w:r>
        <w:rPr>
          <w:sz w:val="24"/>
        </w:rPr>
        <w:t>not only prepare estimates of manpower needs but also relate them effectively to the output</w:t>
      </w:r>
      <w:r>
        <w:rPr>
          <w:spacing w:val="40"/>
          <w:sz w:val="24"/>
        </w:rPr>
        <w:t> </w:t>
      </w:r>
      <w:r>
        <w:rPr>
          <w:sz w:val="24"/>
        </w:rPr>
        <w:t>of the educational system.</w:t>
      </w:r>
    </w:p>
    <w:p>
      <w:pPr>
        <w:pStyle w:val="BodyText"/>
        <w:spacing w:before="3"/>
      </w:pPr>
    </w:p>
    <w:p>
      <w:pPr>
        <w:pStyle w:val="ListParagraph"/>
        <w:numPr>
          <w:ilvl w:val="1"/>
          <w:numId w:val="98"/>
        </w:numPr>
        <w:tabs>
          <w:tab w:pos="641" w:val="left" w:leader="none"/>
        </w:tabs>
        <w:spacing w:line="240" w:lineRule="auto" w:before="1" w:after="0"/>
        <w:ind w:left="159" w:right="496" w:firstLine="0"/>
        <w:jc w:val="both"/>
        <w:rPr>
          <w:b/>
          <w:sz w:val="24"/>
        </w:rPr>
      </w:pPr>
      <w:r>
        <w:rPr>
          <w:b/>
          <w:sz w:val="24"/>
        </w:rPr>
        <w:t>Proposals of Shri R. A. Gopalaswami.</w:t>
      </w:r>
      <w:r>
        <w:rPr>
          <w:b/>
          <w:spacing w:val="-1"/>
          <w:sz w:val="24"/>
        </w:rPr>
        <w:t> </w:t>
      </w:r>
      <w:r>
        <w:rPr>
          <w:sz w:val="24"/>
        </w:rPr>
        <w:t>We are grateful to our colleague, Shri R. A. Gopalaswami, for preparing for our use, a number of detailed studies relating, to educational outputs, manpower needs and employment opportunities and for suggestions regarding the manner in which the estimates of manpower needs could be translated in terms of enrolment policies. We have carefully examined his proposals as well as other material</w:t>
      </w:r>
      <w:r>
        <w:rPr>
          <w:spacing w:val="11"/>
          <w:sz w:val="24"/>
        </w:rPr>
        <w:t> </w:t>
      </w:r>
      <w:r>
        <w:rPr>
          <w:sz w:val="24"/>
        </w:rPr>
        <w:t>placed</w:t>
      </w:r>
      <w:r>
        <w:rPr>
          <w:spacing w:val="13"/>
          <w:sz w:val="24"/>
        </w:rPr>
        <w:t> </w:t>
      </w:r>
      <w:r>
        <w:rPr>
          <w:sz w:val="24"/>
        </w:rPr>
        <w:t>before</w:t>
      </w:r>
      <w:r>
        <w:rPr>
          <w:spacing w:val="14"/>
          <w:sz w:val="24"/>
        </w:rPr>
        <w:t> </w:t>
      </w:r>
      <w:r>
        <w:rPr>
          <w:sz w:val="24"/>
        </w:rPr>
        <w:t>us.</w:t>
      </w:r>
      <w:r>
        <w:rPr>
          <w:spacing w:val="13"/>
          <w:sz w:val="24"/>
        </w:rPr>
        <w:t> </w:t>
      </w:r>
      <w:r>
        <w:rPr>
          <w:sz w:val="24"/>
        </w:rPr>
        <w:t>We</w:t>
      </w:r>
      <w:r>
        <w:rPr>
          <w:spacing w:val="13"/>
          <w:sz w:val="24"/>
        </w:rPr>
        <w:t> </w:t>
      </w:r>
      <w:r>
        <w:rPr>
          <w:sz w:val="24"/>
        </w:rPr>
        <w:t>are</w:t>
      </w:r>
      <w:r>
        <w:rPr>
          <w:spacing w:val="14"/>
          <w:sz w:val="24"/>
        </w:rPr>
        <w:t> </w:t>
      </w:r>
      <w:r>
        <w:rPr>
          <w:sz w:val="24"/>
        </w:rPr>
        <w:t>in</w:t>
      </w:r>
      <w:r>
        <w:rPr>
          <w:spacing w:val="13"/>
          <w:sz w:val="24"/>
        </w:rPr>
        <w:t> </w:t>
      </w:r>
      <w:r>
        <w:rPr>
          <w:sz w:val="24"/>
        </w:rPr>
        <w:t>full</w:t>
      </w:r>
      <w:r>
        <w:rPr>
          <w:spacing w:val="13"/>
          <w:sz w:val="24"/>
        </w:rPr>
        <w:t> </w:t>
      </w:r>
      <w:r>
        <w:rPr>
          <w:sz w:val="24"/>
        </w:rPr>
        <w:t>agreement</w:t>
      </w:r>
      <w:r>
        <w:rPr>
          <w:spacing w:val="14"/>
          <w:sz w:val="24"/>
        </w:rPr>
        <w:t> </w:t>
      </w:r>
      <w:r>
        <w:rPr>
          <w:sz w:val="24"/>
        </w:rPr>
        <w:t>with</w:t>
      </w:r>
      <w:r>
        <w:rPr>
          <w:spacing w:val="13"/>
          <w:sz w:val="24"/>
        </w:rPr>
        <w:t> </w:t>
      </w:r>
      <w:r>
        <w:rPr>
          <w:sz w:val="24"/>
        </w:rPr>
        <w:t>Shri</w:t>
      </w:r>
      <w:r>
        <w:rPr>
          <w:spacing w:val="13"/>
          <w:sz w:val="24"/>
        </w:rPr>
        <w:t> </w:t>
      </w:r>
      <w:r>
        <w:rPr>
          <w:sz w:val="24"/>
        </w:rPr>
        <w:t>Gopalaswami</w:t>
      </w:r>
      <w:r>
        <w:rPr>
          <w:spacing w:val="16"/>
          <w:sz w:val="24"/>
        </w:rPr>
        <w:t> </w:t>
      </w:r>
      <w:r>
        <w:rPr>
          <w:sz w:val="24"/>
        </w:rPr>
        <w:t>that</w:t>
      </w:r>
      <w:r>
        <w:rPr>
          <w:spacing w:val="13"/>
          <w:sz w:val="24"/>
        </w:rPr>
        <w:t> </w:t>
      </w:r>
      <w:r>
        <w:rPr>
          <w:sz w:val="24"/>
        </w:rPr>
        <w:t>there</w:t>
      </w:r>
      <w:r>
        <w:rPr>
          <w:spacing w:val="14"/>
          <w:sz w:val="24"/>
        </w:rPr>
        <w:t> </w:t>
      </w:r>
      <w:r>
        <w:rPr>
          <w:spacing w:val="-5"/>
          <w:sz w:val="24"/>
        </w:rPr>
        <w:t>is</w:t>
      </w:r>
    </w:p>
    <w:p>
      <w:pPr>
        <w:spacing w:after="0" w:line="240" w:lineRule="auto"/>
        <w:jc w:val="both"/>
        <w:rPr>
          <w:sz w:val="24"/>
        </w:rPr>
        <w:sectPr>
          <w:pgSz w:w="12240" w:h="15840"/>
          <w:pgMar w:header="0" w:footer="743" w:top="1360" w:bottom="940" w:left="1640" w:right="1300"/>
        </w:sectPr>
      </w:pPr>
    </w:p>
    <w:p>
      <w:pPr>
        <w:pStyle w:val="BodyText"/>
        <w:spacing w:before="76"/>
        <w:ind w:left="159" w:right="497"/>
        <w:jc w:val="both"/>
      </w:pPr>
      <w:r>
        <w:rPr/>
        <w:t>need to correlate the development of higher education broadly with manpower needs and we also agree with him in the statement of the following four objectives and implications of this policy.</w:t>
      </w:r>
    </w:p>
    <w:p>
      <w:pPr>
        <w:pStyle w:val="BodyText"/>
        <w:spacing w:before="4"/>
      </w:pPr>
    </w:p>
    <w:p>
      <w:pPr>
        <w:pStyle w:val="BodyText"/>
        <w:ind w:left="160" w:right="496"/>
        <w:jc w:val="both"/>
      </w:pPr>
      <w:r>
        <w:rPr>
          <w:b/>
        </w:rPr>
        <w:t>First, </w:t>
      </w:r>
      <w:r>
        <w:rPr/>
        <w:t>the annual requirements of the country in respect of additions to the national stock of higher educated manpower should be assessed in advance with as much precision and firmness as may be found to be practicable. Arrangements should be made to secure that the assessed requirements are adequately met by the annual supply of higher educated manpower cohorts made available by all the higher educational institutions in the</w:t>
      </w:r>
      <w:r>
        <w:rPr>
          <w:spacing w:val="80"/>
        </w:rPr>
        <w:t> </w:t>
      </w:r>
      <w:r>
        <w:rPr>
          <w:spacing w:val="-2"/>
        </w:rPr>
        <w:t>country.</w:t>
      </w:r>
    </w:p>
    <w:p>
      <w:pPr>
        <w:pStyle w:val="BodyText"/>
        <w:spacing w:before="4"/>
      </w:pPr>
    </w:p>
    <w:p>
      <w:pPr>
        <w:pStyle w:val="BodyText"/>
        <w:ind w:left="159" w:right="497"/>
        <w:jc w:val="both"/>
      </w:pPr>
      <w:r>
        <w:rPr>
          <w:b/>
        </w:rPr>
        <w:t>Secondly, </w:t>
      </w:r>
      <w:r>
        <w:rPr/>
        <w:t>arrangements should be made to ensure that higher educated manpower</w:t>
      </w:r>
      <w:r>
        <w:rPr>
          <w:spacing w:val="40"/>
        </w:rPr>
        <w:t> </w:t>
      </w:r>
      <w:r>
        <w:rPr/>
        <w:t>cohorts will not remain unemployed or wastefully underemployed. Employment should be made available as nearly as may be possible in those capacities in which they are able to make the best use of the educational preparation given to them.</w:t>
      </w:r>
    </w:p>
    <w:p>
      <w:pPr>
        <w:pStyle w:val="BodyText"/>
        <w:spacing w:before="5"/>
      </w:pPr>
    </w:p>
    <w:p>
      <w:pPr>
        <w:pStyle w:val="BodyText"/>
        <w:ind w:left="160" w:right="496"/>
        <w:jc w:val="both"/>
      </w:pPr>
      <w:r>
        <w:rPr>
          <w:b/>
        </w:rPr>
        <w:t>Thirdly, </w:t>
      </w:r>
      <w:r>
        <w:rPr/>
        <w:t>the courses of studies which are at present provided in higher educational institutions should be reviewed in the light of the changes which are occurring in the pattern of employment of higher educated manpower cohorts. The structure and content of these courses of studies, as well as admission requirements, should be reviewed and</w:t>
      </w:r>
      <w:r>
        <w:rPr>
          <w:spacing w:val="40"/>
        </w:rPr>
        <w:t> </w:t>
      </w:r>
      <w:r>
        <w:rPr/>
        <w:t>the entire system reformed so as to provide the best possible educational preparation for the different occupational groups of higher educated manpower.</w:t>
      </w:r>
    </w:p>
    <w:p>
      <w:pPr>
        <w:pStyle w:val="BodyText"/>
        <w:spacing w:before="3"/>
      </w:pPr>
    </w:p>
    <w:p>
      <w:pPr>
        <w:pStyle w:val="BodyText"/>
        <w:spacing w:before="1"/>
        <w:ind w:left="160" w:right="497"/>
        <w:jc w:val="both"/>
      </w:pPr>
      <w:r>
        <w:rPr>
          <w:b/>
        </w:rPr>
        <w:t>Fourthly, </w:t>
      </w:r>
      <w:r>
        <w:rPr/>
        <w:t>there is need for developing a new type of 'promotional extension courses of studies for secondary educated persons who are already in employment and are found suitable for promotion, so as to raise their educational level to parity with that of higher educated manpower. Special arrangements necessary for this purpose should be devised and developed.</w:t>
      </w:r>
    </w:p>
    <w:p>
      <w:pPr>
        <w:pStyle w:val="BodyText"/>
        <w:spacing w:before="3"/>
      </w:pPr>
    </w:p>
    <w:p>
      <w:pPr>
        <w:pStyle w:val="ListParagraph"/>
        <w:numPr>
          <w:ilvl w:val="1"/>
          <w:numId w:val="98"/>
        </w:numPr>
        <w:tabs>
          <w:tab w:pos="645" w:val="left" w:leader="none"/>
        </w:tabs>
        <w:spacing w:line="240" w:lineRule="auto" w:before="0" w:after="0"/>
        <w:ind w:left="160" w:right="497" w:firstLine="0"/>
        <w:jc w:val="both"/>
        <w:rPr>
          <w:sz w:val="24"/>
        </w:rPr>
      </w:pPr>
      <w:r>
        <w:rPr>
          <w:sz w:val="24"/>
        </w:rPr>
        <w:t>Shri Gopalaswami placed before us a detailed note outlining his proposals regarding the manner in which higher education should be reformed with a view to achieving these objectives. Our proposals for relating the output of universities and other institutions of higher education with manpower needs have been described in the sections that follow.</w:t>
      </w:r>
    </w:p>
    <w:p>
      <w:pPr>
        <w:pStyle w:val="BodyText"/>
        <w:spacing w:before="4"/>
      </w:pPr>
    </w:p>
    <w:p>
      <w:pPr>
        <w:pStyle w:val="ListParagraph"/>
        <w:numPr>
          <w:ilvl w:val="1"/>
          <w:numId w:val="98"/>
        </w:numPr>
        <w:tabs>
          <w:tab w:pos="654" w:val="left" w:leader="none"/>
        </w:tabs>
        <w:spacing w:line="240" w:lineRule="auto" w:before="0" w:after="0"/>
        <w:ind w:left="160" w:right="495" w:firstLine="0"/>
        <w:jc w:val="both"/>
        <w:rPr>
          <w:sz w:val="24"/>
        </w:rPr>
      </w:pPr>
      <w:r>
        <w:rPr>
          <w:sz w:val="24"/>
        </w:rPr>
        <w:t>One specific proposal needs mention in this context. Some of our colleagues are of the view that pressure on higher education can be considerably reduced if</w:t>
      </w:r>
      <w:r>
        <w:rPr>
          <w:spacing w:val="-1"/>
          <w:sz w:val="24"/>
        </w:rPr>
        <w:t> </w:t>
      </w:r>
      <w:r>
        <w:rPr>
          <w:sz w:val="24"/>
        </w:rPr>
        <w:t>the Central and State Governments were to recruit the personnel for all their services, not at the end of</w:t>
      </w:r>
      <w:r>
        <w:rPr>
          <w:spacing w:val="80"/>
          <w:sz w:val="24"/>
        </w:rPr>
        <w:t> </w:t>
      </w:r>
      <w:r>
        <w:rPr>
          <w:sz w:val="24"/>
        </w:rPr>
        <w:t>the first degree as is done at present, but at the end of the higher secondary stage. They also opine that this would increase the efficiency of the services themselves. As the idea has been elaborated in Shri Gopalaswami's Note, we do not think it necessary to state the case in its support or its organizational details at greater length. On a careful</w:t>
      </w:r>
      <w:r>
        <w:rPr>
          <w:spacing w:val="40"/>
          <w:sz w:val="24"/>
        </w:rPr>
        <w:t> </w:t>
      </w:r>
      <w:r>
        <w:rPr>
          <w:sz w:val="24"/>
        </w:rPr>
        <w:t>consideration of the proposal, however, we feel that it involves major questions of policy which</w:t>
      </w:r>
      <w:r>
        <w:rPr>
          <w:spacing w:val="-1"/>
          <w:sz w:val="24"/>
        </w:rPr>
        <w:t> </w:t>
      </w:r>
      <w:r>
        <w:rPr>
          <w:sz w:val="24"/>
        </w:rPr>
        <w:t>go</w:t>
      </w:r>
      <w:r>
        <w:rPr>
          <w:spacing w:val="-1"/>
          <w:sz w:val="24"/>
        </w:rPr>
        <w:t> </w:t>
      </w:r>
      <w:r>
        <w:rPr>
          <w:sz w:val="24"/>
        </w:rPr>
        <w:t>beyond</w:t>
      </w:r>
      <w:r>
        <w:rPr>
          <w:spacing w:val="-1"/>
          <w:sz w:val="24"/>
        </w:rPr>
        <w:t> </w:t>
      </w:r>
      <w:r>
        <w:rPr>
          <w:sz w:val="24"/>
        </w:rPr>
        <w:t>our</w:t>
      </w:r>
      <w:r>
        <w:rPr>
          <w:spacing w:val="-1"/>
          <w:sz w:val="24"/>
        </w:rPr>
        <w:t> </w:t>
      </w:r>
      <w:r>
        <w:rPr>
          <w:sz w:val="24"/>
        </w:rPr>
        <w:t>scope.</w:t>
      </w:r>
      <w:r>
        <w:rPr>
          <w:spacing w:val="-1"/>
          <w:sz w:val="24"/>
        </w:rPr>
        <w:t> </w:t>
      </w:r>
      <w:r>
        <w:rPr>
          <w:sz w:val="24"/>
        </w:rPr>
        <w:t>We</w:t>
      </w:r>
      <w:r>
        <w:rPr>
          <w:spacing w:val="-1"/>
          <w:sz w:val="24"/>
        </w:rPr>
        <w:t> </w:t>
      </w:r>
      <w:r>
        <w:rPr>
          <w:sz w:val="24"/>
        </w:rPr>
        <w:t>shall,</w:t>
      </w:r>
      <w:r>
        <w:rPr>
          <w:spacing w:val="-1"/>
          <w:sz w:val="24"/>
        </w:rPr>
        <w:t> </w:t>
      </w:r>
      <w:r>
        <w:rPr>
          <w:sz w:val="24"/>
        </w:rPr>
        <w:t>therefore,</w:t>
      </w:r>
      <w:r>
        <w:rPr>
          <w:spacing w:val="-2"/>
          <w:sz w:val="24"/>
        </w:rPr>
        <w:t> </w:t>
      </w:r>
      <w:r>
        <w:rPr>
          <w:sz w:val="24"/>
        </w:rPr>
        <w:t>merely</w:t>
      </w:r>
      <w:r>
        <w:rPr>
          <w:spacing w:val="-1"/>
          <w:sz w:val="24"/>
        </w:rPr>
        <w:t> </w:t>
      </w:r>
      <w:r>
        <w:rPr>
          <w:sz w:val="24"/>
        </w:rPr>
        <w:t>content</w:t>
      </w:r>
      <w:r>
        <w:rPr>
          <w:spacing w:val="-1"/>
          <w:sz w:val="24"/>
        </w:rPr>
        <w:t> </w:t>
      </w:r>
      <w:r>
        <w:rPr>
          <w:sz w:val="24"/>
        </w:rPr>
        <w:t>ourselves</w:t>
      </w:r>
      <w:r>
        <w:rPr>
          <w:spacing w:val="-1"/>
          <w:sz w:val="24"/>
        </w:rPr>
        <w:t> </w:t>
      </w:r>
      <w:r>
        <w:rPr>
          <w:sz w:val="24"/>
        </w:rPr>
        <w:t>by</w:t>
      </w:r>
      <w:r>
        <w:rPr>
          <w:spacing w:val="-1"/>
          <w:sz w:val="24"/>
        </w:rPr>
        <w:t> </w:t>
      </w:r>
      <w:r>
        <w:rPr>
          <w:sz w:val="24"/>
        </w:rPr>
        <w:t>drawing</w:t>
      </w:r>
      <w:r>
        <w:rPr>
          <w:spacing w:val="-1"/>
          <w:sz w:val="24"/>
        </w:rPr>
        <w:t> </w:t>
      </w:r>
      <w:r>
        <w:rPr>
          <w:sz w:val="24"/>
        </w:rPr>
        <w:t>the attention of the authorities concerned to these proposals.</w:t>
      </w:r>
    </w:p>
    <w:p>
      <w:pPr>
        <w:spacing w:after="0" w:line="240" w:lineRule="auto"/>
        <w:jc w:val="both"/>
        <w:rPr>
          <w:sz w:val="24"/>
        </w:rPr>
        <w:sectPr>
          <w:pgSz w:w="12240" w:h="15840"/>
          <w:pgMar w:header="0" w:footer="743" w:top="1360" w:bottom="940" w:left="1640" w:right="1300"/>
        </w:sectPr>
      </w:pPr>
    </w:p>
    <w:p>
      <w:pPr>
        <w:pStyle w:val="BodyText"/>
        <w:ind w:left="984"/>
        <w:rPr>
          <w:sz w:val="20"/>
        </w:rPr>
      </w:pPr>
      <w:r>
        <w:rPr>
          <w:sz w:val="20"/>
        </w:rPr>
        <w:drawing>
          <wp:inline distT="0" distB="0" distL="0" distR="0">
            <wp:extent cx="4589583" cy="7467600"/>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18" cstate="print"/>
                    <a:stretch>
                      <a:fillRect/>
                    </a:stretch>
                  </pic:blipFill>
                  <pic:spPr>
                    <a:xfrm>
                      <a:off x="0" y="0"/>
                      <a:ext cx="4589583" cy="746760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ListParagraph"/>
        <w:numPr>
          <w:ilvl w:val="1"/>
          <w:numId w:val="98"/>
        </w:numPr>
        <w:tabs>
          <w:tab w:pos="666" w:val="left" w:leader="none"/>
        </w:tabs>
        <w:spacing w:line="240" w:lineRule="auto" w:before="76" w:after="0"/>
        <w:ind w:left="160" w:right="494" w:firstLine="0"/>
        <w:jc w:val="both"/>
        <w:rPr>
          <w:b/>
          <w:sz w:val="24"/>
        </w:rPr>
      </w:pPr>
      <w:r>
        <w:rPr>
          <w:b/>
          <w:sz w:val="24"/>
        </w:rPr>
        <w:t>Machinery for Manpower Planning. </w:t>
      </w:r>
      <w:r>
        <w:rPr>
          <w:sz w:val="24"/>
        </w:rPr>
        <w:t>We shall now briefly outline our proposals regarding</w:t>
      </w:r>
      <w:r>
        <w:rPr>
          <w:spacing w:val="-2"/>
          <w:sz w:val="24"/>
        </w:rPr>
        <w:t> </w:t>
      </w:r>
      <w:r>
        <w:rPr>
          <w:sz w:val="24"/>
        </w:rPr>
        <w:t>the</w:t>
      </w:r>
      <w:r>
        <w:rPr>
          <w:spacing w:val="-2"/>
          <w:sz w:val="24"/>
        </w:rPr>
        <w:t> </w:t>
      </w:r>
      <w:r>
        <w:rPr>
          <w:sz w:val="24"/>
        </w:rPr>
        <w:t>manner</w:t>
      </w:r>
      <w:r>
        <w:rPr>
          <w:spacing w:val="-2"/>
          <w:sz w:val="24"/>
        </w:rPr>
        <w:t> </w:t>
      </w:r>
      <w:r>
        <w:rPr>
          <w:sz w:val="24"/>
        </w:rPr>
        <w:t>in</w:t>
      </w:r>
      <w:r>
        <w:rPr>
          <w:spacing w:val="-2"/>
          <w:sz w:val="24"/>
        </w:rPr>
        <w:t> </w:t>
      </w:r>
      <w:r>
        <w:rPr>
          <w:sz w:val="24"/>
        </w:rPr>
        <w:t>which</w:t>
      </w:r>
      <w:r>
        <w:rPr>
          <w:spacing w:val="-2"/>
          <w:sz w:val="24"/>
        </w:rPr>
        <w:t> </w:t>
      </w:r>
      <w:r>
        <w:rPr>
          <w:sz w:val="24"/>
        </w:rPr>
        <w:t>manpower</w:t>
      </w:r>
      <w:r>
        <w:rPr>
          <w:spacing w:val="-2"/>
          <w:sz w:val="24"/>
        </w:rPr>
        <w:t> </w:t>
      </w:r>
      <w:r>
        <w:rPr>
          <w:sz w:val="24"/>
        </w:rPr>
        <w:t>estimates</w:t>
      </w:r>
      <w:r>
        <w:rPr>
          <w:spacing w:val="-2"/>
          <w:sz w:val="24"/>
        </w:rPr>
        <w:t> </w:t>
      </w:r>
      <w:r>
        <w:rPr>
          <w:sz w:val="24"/>
        </w:rPr>
        <w:t>can</w:t>
      </w:r>
      <w:r>
        <w:rPr>
          <w:spacing w:val="-2"/>
          <w:sz w:val="24"/>
        </w:rPr>
        <w:t> </w:t>
      </w:r>
      <w:r>
        <w:rPr>
          <w:sz w:val="24"/>
        </w:rPr>
        <w:t>be</w:t>
      </w:r>
      <w:r>
        <w:rPr>
          <w:spacing w:val="-2"/>
          <w:sz w:val="24"/>
        </w:rPr>
        <w:t> </w:t>
      </w:r>
      <w:r>
        <w:rPr>
          <w:sz w:val="24"/>
        </w:rPr>
        <w:t>prepared,</w:t>
      </w:r>
      <w:r>
        <w:rPr>
          <w:spacing w:val="-2"/>
          <w:sz w:val="24"/>
        </w:rPr>
        <w:t> </w:t>
      </w:r>
      <w:r>
        <w:rPr>
          <w:sz w:val="24"/>
        </w:rPr>
        <w:t>revised</w:t>
      </w:r>
      <w:r>
        <w:rPr>
          <w:spacing w:val="-2"/>
          <w:sz w:val="24"/>
        </w:rPr>
        <w:t> </w:t>
      </w:r>
      <w:r>
        <w:rPr>
          <w:sz w:val="24"/>
        </w:rPr>
        <w:t>from</w:t>
      </w:r>
      <w:r>
        <w:rPr>
          <w:spacing w:val="-4"/>
          <w:sz w:val="24"/>
        </w:rPr>
        <w:t> </w:t>
      </w:r>
      <w:r>
        <w:rPr>
          <w:sz w:val="24"/>
        </w:rPr>
        <w:t>time</w:t>
      </w:r>
      <w:r>
        <w:rPr>
          <w:spacing w:val="-2"/>
          <w:sz w:val="24"/>
        </w:rPr>
        <w:t> </w:t>
      </w:r>
      <w:r>
        <w:rPr>
          <w:sz w:val="24"/>
        </w:rPr>
        <w:t>to time, and related to the enrolments in educational institutions. For this purpose, it will be necessary to devise suitable machinery at both the national and State levels.</w:t>
      </w:r>
    </w:p>
    <w:p>
      <w:pPr>
        <w:pStyle w:val="BodyText"/>
        <w:spacing w:before="4"/>
      </w:pPr>
    </w:p>
    <w:p>
      <w:pPr>
        <w:pStyle w:val="ListParagraph"/>
        <w:numPr>
          <w:ilvl w:val="0"/>
          <w:numId w:val="100"/>
        </w:numPr>
        <w:tabs>
          <w:tab w:pos="528" w:val="left" w:leader="none"/>
        </w:tabs>
        <w:spacing w:line="240" w:lineRule="auto" w:before="0" w:after="0"/>
        <w:ind w:left="159" w:right="496" w:firstLine="0"/>
        <w:jc w:val="both"/>
        <w:rPr>
          <w:sz w:val="24"/>
        </w:rPr>
      </w:pPr>
      <w:r>
        <w:rPr>
          <w:sz w:val="24"/>
        </w:rPr>
        <w:t>At the national level the Planning Commission has the responsibility for preparing estimates of manpower requirements in all sectors of national development and for revising them continuously. It may also consider the desirability of setting up, for this purpose, a Standing Committee for Manpower consisting of the representatives of the Ministries of Defence, Education, Food &amp; Agriculture, Health, Home, Labour &amp; Employment, Railways, and others concerned with the training of large and easily identifiable categories of manpower. The UGC on behalf of the universities-the largest producers</w:t>
      </w:r>
      <w:r>
        <w:rPr>
          <w:spacing w:val="-2"/>
          <w:sz w:val="24"/>
        </w:rPr>
        <w:t> </w:t>
      </w:r>
      <w:r>
        <w:rPr>
          <w:sz w:val="24"/>
        </w:rPr>
        <w:t>of</w:t>
      </w:r>
      <w:r>
        <w:rPr>
          <w:spacing w:val="-4"/>
          <w:sz w:val="24"/>
        </w:rPr>
        <w:t> </w:t>
      </w:r>
      <w:r>
        <w:rPr>
          <w:sz w:val="24"/>
        </w:rPr>
        <w:t>highly</w:t>
      </w:r>
      <w:r>
        <w:rPr>
          <w:spacing w:val="-2"/>
          <w:sz w:val="24"/>
        </w:rPr>
        <w:t> </w:t>
      </w:r>
      <w:r>
        <w:rPr>
          <w:sz w:val="24"/>
        </w:rPr>
        <w:t>educated</w:t>
      </w:r>
      <w:r>
        <w:rPr>
          <w:spacing w:val="-2"/>
          <w:sz w:val="24"/>
        </w:rPr>
        <w:t> </w:t>
      </w:r>
      <w:r>
        <w:rPr>
          <w:sz w:val="24"/>
        </w:rPr>
        <w:t>manpower-and</w:t>
      </w:r>
      <w:r>
        <w:rPr>
          <w:spacing w:val="-2"/>
          <w:sz w:val="24"/>
        </w:rPr>
        <w:t> </w:t>
      </w:r>
      <w:r>
        <w:rPr>
          <w:sz w:val="24"/>
        </w:rPr>
        <w:t>the</w:t>
      </w:r>
      <w:r>
        <w:rPr>
          <w:spacing w:val="-5"/>
          <w:sz w:val="24"/>
        </w:rPr>
        <w:t> </w:t>
      </w:r>
      <w:r>
        <w:rPr>
          <w:sz w:val="24"/>
        </w:rPr>
        <w:t>Institute</w:t>
      </w:r>
      <w:r>
        <w:rPr>
          <w:spacing w:val="-2"/>
          <w:sz w:val="24"/>
        </w:rPr>
        <w:t> </w:t>
      </w:r>
      <w:r>
        <w:rPr>
          <w:sz w:val="24"/>
        </w:rPr>
        <w:t>of</w:t>
      </w:r>
      <w:r>
        <w:rPr>
          <w:spacing w:val="-2"/>
          <w:sz w:val="24"/>
        </w:rPr>
        <w:t> </w:t>
      </w:r>
      <w:r>
        <w:rPr>
          <w:sz w:val="24"/>
        </w:rPr>
        <w:t>Applied</w:t>
      </w:r>
      <w:r>
        <w:rPr>
          <w:spacing w:val="-2"/>
          <w:sz w:val="24"/>
        </w:rPr>
        <w:t> </w:t>
      </w:r>
      <w:r>
        <w:rPr>
          <w:sz w:val="24"/>
        </w:rPr>
        <w:t>Manpower</w:t>
      </w:r>
      <w:r>
        <w:rPr>
          <w:spacing w:val="-2"/>
          <w:sz w:val="24"/>
        </w:rPr>
        <w:t> </w:t>
      </w:r>
      <w:r>
        <w:rPr>
          <w:sz w:val="24"/>
        </w:rPr>
        <w:t>Research should also be represented. This Committee should work in close collaboration with authorities for manpower planning at the State level. Its main responsibility should be to prepare and revise, from time to time, manpower forecasts for the overall output of the educational system as well as for different categories of specialists. These should be published for general information and for the guidance of those called upon to make decisions regarding the provision of educational facilities. The Committee should also advise Ministries of the Government of India and the State Governments on manpower problems and their implications for educational planning.</w:t>
      </w:r>
    </w:p>
    <w:p>
      <w:pPr>
        <w:pStyle w:val="BodyText"/>
        <w:spacing w:before="4"/>
      </w:pPr>
    </w:p>
    <w:p>
      <w:pPr>
        <w:pStyle w:val="ListParagraph"/>
        <w:numPr>
          <w:ilvl w:val="0"/>
          <w:numId w:val="100"/>
        </w:numPr>
        <w:tabs>
          <w:tab w:pos="518" w:val="left" w:leader="none"/>
        </w:tabs>
        <w:spacing w:line="240" w:lineRule="auto" w:before="0" w:after="0"/>
        <w:ind w:left="159" w:right="497" w:firstLine="0"/>
        <w:jc w:val="both"/>
        <w:rPr>
          <w:sz w:val="24"/>
        </w:rPr>
      </w:pPr>
      <w:r>
        <w:rPr>
          <w:sz w:val="24"/>
        </w:rPr>
        <w:t>At the State level, it may be desirable to set up State Committees for Manpower on</w:t>
      </w:r>
      <w:r>
        <w:rPr>
          <w:spacing w:val="40"/>
          <w:sz w:val="24"/>
        </w:rPr>
        <w:t> </w:t>
      </w:r>
      <w:r>
        <w:rPr>
          <w:sz w:val="24"/>
        </w:rPr>
        <w:t>the</w:t>
      </w:r>
      <w:r>
        <w:rPr>
          <w:spacing w:val="-3"/>
          <w:sz w:val="24"/>
        </w:rPr>
        <w:t> </w:t>
      </w:r>
      <w:r>
        <w:rPr>
          <w:sz w:val="24"/>
        </w:rPr>
        <w:t>broad</w:t>
      </w:r>
      <w:r>
        <w:rPr>
          <w:spacing w:val="-3"/>
          <w:sz w:val="24"/>
        </w:rPr>
        <w:t> </w:t>
      </w:r>
      <w:r>
        <w:rPr>
          <w:sz w:val="24"/>
        </w:rPr>
        <w:t>lines</w:t>
      </w:r>
      <w:r>
        <w:rPr>
          <w:spacing w:val="-3"/>
          <w:sz w:val="24"/>
        </w:rPr>
        <w:t> </w:t>
      </w:r>
      <w:r>
        <w:rPr>
          <w:sz w:val="24"/>
        </w:rPr>
        <w:t>of</w:t>
      </w:r>
      <w:r>
        <w:rPr>
          <w:spacing w:val="-3"/>
          <w:sz w:val="24"/>
        </w:rPr>
        <w:t> </w:t>
      </w:r>
      <w:r>
        <w:rPr>
          <w:sz w:val="24"/>
        </w:rPr>
        <w:t>the</w:t>
      </w:r>
      <w:r>
        <w:rPr>
          <w:spacing w:val="-3"/>
          <w:sz w:val="24"/>
        </w:rPr>
        <w:t> </w:t>
      </w:r>
      <w:r>
        <w:rPr>
          <w:sz w:val="24"/>
        </w:rPr>
        <w:t>Standing</w:t>
      </w:r>
      <w:r>
        <w:rPr>
          <w:spacing w:val="-3"/>
          <w:sz w:val="24"/>
        </w:rPr>
        <w:t> </w:t>
      </w:r>
      <w:r>
        <w:rPr>
          <w:sz w:val="24"/>
        </w:rPr>
        <w:t>Committee</w:t>
      </w:r>
      <w:r>
        <w:rPr>
          <w:spacing w:val="-3"/>
          <w:sz w:val="24"/>
        </w:rPr>
        <w:t> </w:t>
      </w:r>
      <w:r>
        <w:rPr>
          <w:sz w:val="24"/>
        </w:rPr>
        <w:t>for</w:t>
      </w:r>
      <w:r>
        <w:rPr>
          <w:spacing w:val="-2"/>
          <w:sz w:val="24"/>
        </w:rPr>
        <w:t> </w:t>
      </w:r>
      <w:r>
        <w:rPr>
          <w:sz w:val="24"/>
        </w:rPr>
        <w:t>Manpower</w:t>
      </w:r>
      <w:r>
        <w:rPr>
          <w:spacing w:val="-2"/>
          <w:sz w:val="24"/>
        </w:rPr>
        <w:t> </w:t>
      </w:r>
      <w:r>
        <w:rPr>
          <w:sz w:val="24"/>
        </w:rPr>
        <w:t>at</w:t>
      </w:r>
      <w:r>
        <w:rPr>
          <w:spacing w:val="-2"/>
          <w:sz w:val="24"/>
        </w:rPr>
        <w:t> </w:t>
      </w:r>
      <w:r>
        <w:rPr>
          <w:sz w:val="24"/>
        </w:rPr>
        <w:t>the</w:t>
      </w:r>
      <w:r>
        <w:rPr>
          <w:spacing w:val="-2"/>
          <w:sz w:val="24"/>
        </w:rPr>
        <w:t> </w:t>
      </w:r>
      <w:r>
        <w:rPr>
          <w:sz w:val="24"/>
        </w:rPr>
        <w:t>Centre</w:t>
      </w:r>
      <w:r>
        <w:rPr>
          <w:spacing w:val="-2"/>
          <w:sz w:val="24"/>
        </w:rPr>
        <w:t> </w:t>
      </w:r>
      <w:r>
        <w:rPr>
          <w:sz w:val="24"/>
        </w:rPr>
        <w:t>and</w:t>
      </w:r>
      <w:r>
        <w:rPr>
          <w:spacing w:val="-2"/>
          <w:sz w:val="24"/>
        </w:rPr>
        <w:t> </w:t>
      </w:r>
      <w:r>
        <w:rPr>
          <w:sz w:val="24"/>
        </w:rPr>
        <w:t>having</w:t>
      </w:r>
      <w:r>
        <w:rPr>
          <w:spacing w:val="-2"/>
          <w:sz w:val="24"/>
        </w:rPr>
        <w:t> </w:t>
      </w:r>
      <w:r>
        <w:rPr>
          <w:sz w:val="24"/>
        </w:rPr>
        <w:t>similar functions and responsibilities. It would be a duty of the State Committees to prepare State-level plans for manpower development. Similar plans at the district level should also be prepared as soon as practicable. The universities in the State should be closely associated with this Committee. When this machinery is in place, the best possible esti- mates of the requirements of manpower will be available at the nation- al and State</w:t>
      </w:r>
      <w:r>
        <w:rPr>
          <w:spacing w:val="40"/>
          <w:sz w:val="24"/>
        </w:rPr>
        <w:t> </w:t>
      </w:r>
      <w:r>
        <w:rPr>
          <w:sz w:val="24"/>
        </w:rPr>
        <w:t>levels, and, where necessary and possible (e.g., in respect of primary teachers), even at</w:t>
      </w:r>
      <w:r>
        <w:rPr>
          <w:spacing w:val="40"/>
          <w:sz w:val="24"/>
        </w:rPr>
        <w:t> </w:t>
      </w:r>
      <w:r>
        <w:rPr>
          <w:sz w:val="24"/>
        </w:rPr>
        <w:t>the district level.</w:t>
      </w:r>
    </w:p>
    <w:p>
      <w:pPr>
        <w:pStyle w:val="BodyText"/>
        <w:spacing w:before="4"/>
      </w:pPr>
    </w:p>
    <w:p>
      <w:pPr>
        <w:pStyle w:val="ListParagraph"/>
        <w:numPr>
          <w:ilvl w:val="1"/>
          <w:numId w:val="98"/>
        </w:numPr>
        <w:tabs>
          <w:tab w:pos="661" w:val="left" w:leader="none"/>
        </w:tabs>
        <w:spacing w:line="240" w:lineRule="auto" w:before="0" w:after="0"/>
        <w:ind w:left="159" w:right="495" w:firstLine="0"/>
        <w:jc w:val="both"/>
        <w:rPr>
          <w:b/>
          <w:sz w:val="24"/>
        </w:rPr>
      </w:pPr>
      <w:r>
        <w:rPr>
          <w:b/>
          <w:sz w:val="24"/>
        </w:rPr>
        <w:t>Relating Manpower Estimates to Output of Educational Institutions. </w:t>
      </w:r>
      <w:r>
        <w:rPr>
          <w:sz w:val="24"/>
        </w:rPr>
        <w:t>The next problem is to relate these estimates to the intake and output of the educational system or, to 'plan' the facilities to be provided in educational institutions in accordance with manpower requirements. This will have to be done both at the national and at the State </w:t>
      </w:r>
      <w:r>
        <w:rPr>
          <w:spacing w:val="-2"/>
          <w:sz w:val="24"/>
        </w:rPr>
        <w:t>levels.</w:t>
      </w:r>
    </w:p>
    <w:p>
      <w:pPr>
        <w:pStyle w:val="BodyText"/>
        <w:spacing w:before="5"/>
      </w:pPr>
    </w:p>
    <w:p>
      <w:pPr>
        <w:pStyle w:val="ListParagraph"/>
        <w:numPr>
          <w:ilvl w:val="0"/>
          <w:numId w:val="101"/>
        </w:numPr>
        <w:tabs>
          <w:tab w:pos="555" w:val="left" w:leader="none"/>
        </w:tabs>
        <w:spacing w:line="240" w:lineRule="auto" w:before="0" w:after="0"/>
        <w:ind w:left="159" w:right="497" w:firstLine="0"/>
        <w:jc w:val="both"/>
        <w:rPr>
          <w:sz w:val="24"/>
        </w:rPr>
      </w:pPr>
      <w:r>
        <w:rPr>
          <w:sz w:val="24"/>
        </w:rPr>
        <w:t>National Level. Planning at the national level should be done by the Centre in consultation</w:t>
      </w:r>
      <w:r>
        <w:rPr>
          <w:spacing w:val="-1"/>
          <w:sz w:val="24"/>
        </w:rPr>
        <w:t> </w:t>
      </w:r>
      <w:r>
        <w:rPr>
          <w:sz w:val="24"/>
        </w:rPr>
        <w:t>with</w:t>
      </w:r>
      <w:r>
        <w:rPr>
          <w:spacing w:val="-1"/>
          <w:sz w:val="24"/>
        </w:rPr>
        <w:t> </w:t>
      </w:r>
      <w:r>
        <w:rPr>
          <w:sz w:val="24"/>
        </w:rPr>
        <w:t>the</w:t>
      </w:r>
      <w:r>
        <w:rPr>
          <w:spacing w:val="-1"/>
          <w:sz w:val="24"/>
        </w:rPr>
        <w:t> </w:t>
      </w:r>
      <w:r>
        <w:rPr>
          <w:sz w:val="24"/>
        </w:rPr>
        <w:t>States</w:t>
      </w:r>
      <w:r>
        <w:rPr>
          <w:spacing w:val="-1"/>
          <w:sz w:val="24"/>
        </w:rPr>
        <w:t> </w:t>
      </w:r>
      <w:r>
        <w:rPr>
          <w:sz w:val="24"/>
        </w:rPr>
        <w:t>and</w:t>
      </w:r>
      <w:r>
        <w:rPr>
          <w:spacing w:val="-1"/>
          <w:sz w:val="24"/>
        </w:rPr>
        <w:t> </w:t>
      </w:r>
      <w:r>
        <w:rPr>
          <w:sz w:val="24"/>
        </w:rPr>
        <w:t>should</w:t>
      </w:r>
      <w:r>
        <w:rPr>
          <w:spacing w:val="-1"/>
          <w:sz w:val="24"/>
        </w:rPr>
        <w:t> </w:t>
      </w:r>
      <w:r>
        <w:rPr>
          <w:sz w:val="24"/>
        </w:rPr>
        <w:t>cover</w:t>
      </w:r>
      <w:r>
        <w:rPr>
          <w:spacing w:val="-2"/>
          <w:sz w:val="24"/>
        </w:rPr>
        <w:t> </w:t>
      </w:r>
      <w:r>
        <w:rPr>
          <w:sz w:val="24"/>
        </w:rPr>
        <w:t>all</w:t>
      </w:r>
      <w:r>
        <w:rPr>
          <w:spacing w:val="-2"/>
          <w:sz w:val="24"/>
        </w:rPr>
        <w:t> </w:t>
      </w:r>
      <w:r>
        <w:rPr>
          <w:sz w:val="24"/>
        </w:rPr>
        <w:t>sectors</w:t>
      </w:r>
      <w:r>
        <w:rPr>
          <w:spacing w:val="-2"/>
          <w:sz w:val="24"/>
        </w:rPr>
        <w:t> </w:t>
      </w:r>
      <w:r>
        <w:rPr>
          <w:sz w:val="24"/>
        </w:rPr>
        <w:t>crucial</w:t>
      </w:r>
      <w:r>
        <w:rPr>
          <w:spacing w:val="-1"/>
          <w:sz w:val="24"/>
        </w:rPr>
        <w:t> </w:t>
      </w:r>
      <w:r>
        <w:rPr>
          <w:sz w:val="24"/>
        </w:rPr>
        <w:t>for</w:t>
      </w:r>
      <w:r>
        <w:rPr>
          <w:spacing w:val="-1"/>
          <w:sz w:val="24"/>
        </w:rPr>
        <w:t> </w:t>
      </w:r>
      <w:r>
        <w:rPr>
          <w:sz w:val="24"/>
        </w:rPr>
        <w:t>national</w:t>
      </w:r>
      <w:r>
        <w:rPr>
          <w:spacing w:val="-1"/>
          <w:sz w:val="24"/>
        </w:rPr>
        <w:t> </w:t>
      </w:r>
      <w:r>
        <w:rPr>
          <w:sz w:val="24"/>
        </w:rPr>
        <w:t>development, where the mobility of trained personnel is or should be high, where it is very costly to set up institutions for training personnel or where the very high level staff required for such institutions is in short supply. These should include engineering, agricultural and medical education, and the preparation of teachers for higher education.</w:t>
      </w:r>
    </w:p>
    <w:p>
      <w:pPr>
        <w:spacing w:after="0" w:line="240" w:lineRule="auto"/>
        <w:jc w:val="both"/>
        <w:rPr>
          <w:sz w:val="24"/>
        </w:rPr>
        <w:sectPr>
          <w:pgSz w:w="12240" w:h="15840"/>
          <w:pgMar w:header="0" w:footer="743" w:top="1360" w:bottom="940" w:left="1640" w:right="1300"/>
        </w:sectPr>
      </w:pPr>
    </w:p>
    <w:p>
      <w:pPr>
        <w:pStyle w:val="ListParagraph"/>
        <w:numPr>
          <w:ilvl w:val="0"/>
          <w:numId w:val="101"/>
        </w:numPr>
        <w:tabs>
          <w:tab w:pos="516" w:val="left" w:leader="none"/>
        </w:tabs>
        <w:spacing w:line="240" w:lineRule="auto" w:before="76" w:after="0"/>
        <w:ind w:left="160" w:right="497" w:firstLine="0"/>
        <w:jc w:val="both"/>
        <w:rPr>
          <w:sz w:val="24"/>
        </w:rPr>
      </w:pPr>
      <w:r>
        <w:rPr>
          <w:sz w:val="24"/>
        </w:rPr>
        <w:t>State Level. The planning of the remaining sectors should be done at the State level</w:t>
      </w:r>
      <w:r>
        <w:rPr>
          <w:spacing w:val="40"/>
          <w:sz w:val="24"/>
        </w:rPr>
        <w:t> </w:t>
      </w:r>
      <w:r>
        <w:rPr>
          <w:sz w:val="24"/>
        </w:rPr>
        <w:t>by State Governments. The universities, which train all the higher level manpower and the district educational authorities who will be in charge of all education below the university level, should be closely associated with a programme to be developed on the following lines:</w:t>
      </w:r>
    </w:p>
    <w:p>
      <w:pPr>
        <w:pStyle w:val="BodyText"/>
        <w:spacing w:before="4"/>
      </w:pPr>
    </w:p>
    <w:p>
      <w:pPr>
        <w:pStyle w:val="ListParagraph"/>
        <w:numPr>
          <w:ilvl w:val="1"/>
          <w:numId w:val="101"/>
        </w:numPr>
        <w:tabs>
          <w:tab w:pos="509" w:val="left" w:leader="none"/>
        </w:tabs>
        <w:spacing w:line="240" w:lineRule="auto" w:before="0" w:after="0"/>
        <w:ind w:left="160" w:right="497" w:firstLine="0"/>
        <w:jc w:val="both"/>
        <w:rPr>
          <w:sz w:val="24"/>
        </w:rPr>
      </w:pPr>
      <w:r>
        <w:rPr>
          <w:sz w:val="24"/>
        </w:rPr>
        <w:t>The planning facilities in secondary and higher education (excluding the sectors for which planning would be done at the Central level) should be done at the State level.</w:t>
      </w:r>
    </w:p>
    <w:p>
      <w:pPr>
        <w:pStyle w:val="BodyText"/>
        <w:spacing w:before="5"/>
      </w:pPr>
    </w:p>
    <w:p>
      <w:pPr>
        <w:pStyle w:val="ListParagraph"/>
        <w:numPr>
          <w:ilvl w:val="1"/>
          <w:numId w:val="101"/>
        </w:numPr>
        <w:tabs>
          <w:tab w:pos="517" w:val="left" w:leader="none"/>
        </w:tabs>
        <w:spacing w:line="240" w:lineRule="auto" w:before="0" w:after="0"/>
        <w:ind w:left="160" w:right="497" w:firstLine="0"/>
        <w:jc w:val="both"/>
        <w:rPr>
          <w:sz w:val="24"/>
        </w:rPr>
      </w:pPr>
      <w:r>
        <w:rPr>
          <w:sz w:val="24"/>
        </w:rPr>
        <w:t>The provision of vocational education-both of school and college standard-will </w:t>
      </w:r>
      <w:r>
        <w:rPr>
          <w:sz w:val="24"/>
        </w:rPr>
        <w:t>have to be expanded in all areas on a priority basis in keeping with the man- power needs. The same is also applicable to many areas of science education. (c) For enrolments in general education, however, which is underdeveloped in some areas and over-developed in</w:t>
      </w:r>
      <w:r>
        <w:rPr>
          <w:spacing w:val="40"/>
          <w:sz w:val="24"/>
        </w:rPr>
        <w:t> </w:t>
      </w:r>
      <w:r>
        <w:rPr>
          <w:sz w:val="24"/>
        </w:rPr>
        <w:t>others, a policy of equalization will have to be adopted. Decisions will have to be made by each State in view of its conditions; but as a general basis, the following may be </w:t>
      </w:r>
      <w:r>
        <w:rPr>
          <w:spacing w:val="-2"/>
          <w:sz w:val="24"/>
        </w:rPr>
        <w:t>suggested:</w:t>
      </w:r>
    </w:p>
    <w:p>
      <w:pPr>
        <w:pStyle w:val="BodyText"/>
        <w:spacing w:before="4"/>
      </w:pPr>
    </w:p>
    <w:p>
      <w:pPr>
        <w:pStyle w:val="ListParagraph"/>
        <w:numPr>
          <w:ilvl w:val="2"/>
          <w:numId w:val="101"/>
        </w:numPr>
        <w:tabs>
          <w:tab w:pos="484" w:val="left" w:leader="none"/>
        </w:tabs>
        <w:spacing w:line="240" w:lineRule="auto" w:before="0" w:after="0"/>
        <w:ind w:left="160" w:right="497" w:firstLine="0"/>
        <w:jc w:val="both"/>
        <w:rPr>
          <w:sz w:val="24"/>
        </w:rPr>
      </w:pPr>
      <w:r>
        <w:rPr>
          <w:sz w:val="24"/>
        </w:rPr>
        <w:t>In all areas where the level of expansion reached is below the national average </w:t>
      </w:r>
      <w:r>
        <w:rPr>
          <w:sz w:val="24"/>
        </w:rPr>
        <w:t>in 1966, steps should be taken to promote expansion.</w:t>
      </w:r>
    </w:p>
    <w:p>
      <w:pPr>
        <w:pStyle w:val="BodyText"/>
        <w:spacing w:before="3"/>
      </w:pPr>
    </w:p>
    <w:p>
      <w:pPr>
        <w:pStyle w:val="ListParagraph"/>
        <w:numPr>
          <w:ilvl w:val="2"/>
          <w:numId w:val="101"/>
        </w:numPr>
        <w:tabs>
          <w:tab w:pos="565" w:val="left" w:leader="none"/>
        </w:tabs>
        <w:spacing w:line="240" w:lineRule="auto" w:before="1" w:after="0"/>
        <w:ind w:left="160" w:right="498" w:firstLine="0"/>
        <w:jc w:val="both"/>
        <w:rPr>
          <w:sz w:val="24"/>
        </w:rPr>
      </w:pPr>
      <w:r>
        <w:rPr>
          <w:sz w:val="24"/>
        </w:rPr>
        <w:t>In all areas where the level of expansion reached is about equal to the national average expected in 1986, a restrictive policy should be adopted unless there are special reasons to the contrary.</w:t>
      </w:r>
    </w:p>
    <w:p>
      <w:pPr>
        <w:pStyle w:val="BodyText"/>
        <w:spacing w:before="3"/>
      </w:pPr>
    </w:p>
    <w:p>
      <w:pPr>
        <w:pStyle w:val="ListParagraph"/>
        <w:numPr>
          <w:ilvl w:val="2"/>
          <w:numId w:val="101"/>
        </w:numPr>
        <w:tabs>
          <w:tab w:pos="584" w:val="left" w:leader="none"/>
        </w:tabs>
        <w:spacing w:line="240" w:lineRule="auto" w:before="0" w:after="0"/>
        <w:ind w:left="160" w:right="497" w:firstLine="0"/>
        <w:jc w:val="both"/>
        <w:rPr>
          <w:sz w:val="24"/>
        </w:rPr>
      </w:pPr>
      <w:r>
        <w:rPr>
          <w:sz w:val="24"/>
        </w:rPr>
        <w:t>It will be for the Government of India to suggest the targets to be reached, from time to time, at the State level. State Governments may, in their turn, indicate suitable targets at the district levels.</w:t>
      </w:r>
    </w:p>
    <w:p>
      <w:pPr>
        <w:pStyle w:val="BodyText"/>
        <w:spacing w:before="5"/>
      </w:pPr>
    </w:p>
    <w:p>
      <w:pPr>
        <w:pStyle w:val="ListParagraph"/>
        <w:numPr>
          <w:ilvl w:val="2"/>
          <w:numId w:val="101"/>
        </w:numPr>
        <w:tabs>
          <w:tab w:pos="571" w:val="left" w:leader="none"/>
        </w:tabs>
        <w:spacing w:line="240" w:lineRule="auto" w:before="0" w:after="0"/>
        <w:ind w:left="160" w:right="496" w:firstLine="0"/>
        <w:jc w:val="both"/>
        <w:rPr>
          <w:sz w:val="24"/>
        </w:rPr>
      </w:pPr>
      <w:r>
        <w:rPr>
          <w:sz w:val="24"/>
        </w:rPr>
        <w:t>The planning of higher education should be done on a State-basis. All universities in the State should be involved in this. Each university should be required to prepare a five year plan of the facilities to be provided in all its teaching departments and affiliated colleges and the output therefrom, and these should be approved after bringing them into accord with manpower needs. In granting affiliations or expanding their departments, the universities should be required to follow these plans.</w:t>
      </w:r>
    </w:p>
    <w:p>
      <w:pPr>
        <w:pStyle w:val="BodyText"/>
        <w:spacing w:before="4"/>
      </w:pPr>
    </w:p>
    <w:p>
      <w:pPr>
        <w:pStyle w:val="ListParagraph"/>
        <w:numPr>
          <w:ilvl w:val="2"/>
          <w:numId w:val="101"/>
        </w:numPr>
        <w:tabs>
          <w:tab w:pos="515" w:val="left" w:leader="none"/>
        </w:tabs>
        <w:spacing w:line="240" w:lineRule="auto" w:before="0" w:after="0"/>
        <w:ind w:left="160" w:right="497" w:firstLine="0"/>
        <w:jc w:val="both"/>
        <w:rPr>
          <w:sz w:val="24"/>
        </w:rPr>
      </w:pPr>
      <w:r>
        <w:rPr>
          <w:sz w:val="24"/>
        </w:rPr>
        <w:t>It is also essential to have an authority at the district level which can plan all school education. This authority will have to plan in the light of general directives given from</w:t>
      </w:r>
      <w:r>
        <w:rPr>
          <w:spacing w:val="40"/>
          <w:sz w:val="24"/>
        </w:rPr>
        <w:t> </w:t>
      </w:r>
      <w:r>
        <w:rPr>
          <w:sz w:val="24"/>
        </w:rPr>
        <w:t>the Centre and the States. In order to assist it in its work, local studies of manpower needs, etc., will have to be carried out.</w:t>
      </w:r>
    </w:p>
    <w:p>
      <w:pPr>
        <w:spacing w:after="0" w:line="240" w:lineRule="auto"/>
        <w:jc w:val="both"/>
        <w:rPr>
          <w:sz w:val="24"/>
        </w:rPr>
        <w:sectPr>
          <w:pgSz w:w="12240" w:h="15840"/>
          <w:pgMar w:header="0" w:footer="743" w:top="1360" w:bottom="940" w:left="1640" w:right="1300"/>
        </w:sectPr>
      </w:pPr>
    </w:p>
    <w:p>
      <w:pPr>
        <w:pStyle w:val="Heading1"/>
        <w:spacing w:before="79"/>
        <w:ind w:left="3522" w:right="3860"/>
      </w:pPr>
      <w:bookmarkStart w:name="_TOC_250002" w:id="27"/>
      <w:bookmarkEnd w:id="27"/>
      <w:r>
        <w:rPr>
          <w:spacing w:val="-2"/>
        </w:rPr>
        <w:t>GENERAL</w:t>
      </w:r>
    </w:p>
    <w:p>
      <w:pPr>
        <w:pStyle w:val="BodyText"/>
        <w:spacing w:before="2"/>
        <w:rPr>
          <w:b/>
        </w:rPr>
      </w:pPr>
    </w:p>
    <w:p>
      <w:pPr>
        <w:pStyle w:val="ListParagraph"/>
        <w:numPr>
          <w:ilvl w:val="1"/>
          <w:numId w:val="98"/>
        </w:numPr>
        <w:tabs>
          <w:tab w:pos="664" w:val="left" w:leader="none"/>
        </w:tabs>
        <w:spacing w:line="240" w:lineRule="auto" w:before="0" w:after="0"/>
        <w:ind w:left="160" w:right="496" w:firstLine="0"/>
        <w:jc w:val="both"/>
        <w:rPr>
          <w:b/>
          <w:sz w:val="24"/>
        </w:rPr>
      </w:pPr>
      <w:r>
        <w:rPr>
          <w:b/>
          <w:sz w:val="24"/>
        </w:rPr>
        <w:t>Education and Employment. </w:t>
      </w:r>
      <w:r>
        <w:rPr>
          <w:sz w:val="24"/>
        </w:rPr>
        <w:t>In the present educational system there is no direct link between education and employment and no attempt is made even to establish an indirect link, by relating the output of the educational system closely with manpower needs or job opportunities. The recommendations made above will establish this link indirectly. But we might consider whether it would be possible to establish a direct link between education and employment. Under a good arrangement, every graduate should</w:t>
      </w:r>
      <w:r>
        <w:rPr>
          <w:spacing w:val="40"/>
          <w:sz w:val="24"/>
        </w:rPr>
        <w:t> </w:t>
      </w:r>
      <w:r>
        <w:rPr>
          <w:sz w:val="24"/>
        </w:rPr>
        <w:t>be given, along with his degree or diploma, an offer of appointment as well. This offer need not be binding and it may be left open to the Student, with the approval of the Government, to accept another offer. Moreover, the period of the offer may also be made brief-one to three years-so as to avoid any undue hardship. But a compulsion on the State to make such an offer would be the surest guarantee that the output of the educational system is closely linked-with employment opportunities or manpower needs. It will also improve the motivation of the students, give a purpose to their education, and make them feel that the country needs them and is waiting for them. In our opinion, this change</w:t>
      </w:r>
      <w:r>
        <w:rPr>
          <w:spacing w:val="40"/>
          <w:sz w:val="24"/>
        </w:rPr>
        <w:t> </w:t>
      </w:r>
      <w:r>
        <w:rPr>
          <w:sz w:val="24"/>
        </w:rPr>
        <w:t>could be an important factor in raising standards in higher education and in reducing the problems of discipline to the minimum. We realize, however, that it may not be possible to do so in the present situation, when the output in some sectors far exceeds the possibilities</w:t>
      </w:r>
      <w:r>
        <w:rPr>
          <w:spacing w:val="-3"/>
          <w:sz w:val="24"/>
        </w:rPr>
        <w:t> </w:t>
      </w:r>
      <w:r>
        <w:rPr>
          <w:sz w:val="24"/>
        </w:rPr>
        <w:t>of</w:t>
      </w:r>
      <w:r>
        <w:rPr>
          <w:spacing w:val="-3"/>
          <w:sz w:val="24"/>
        </w:rPr>
        <w:t> </w:t>
      </w:r>
      <w:r>
        <w:rPr>
          <w:sz w:val="24"/>
        </w:rPr>
        <w:t>employment.</w:t>
      </w:r>
      <w:r>
        <w:rPr>
          <w:spacing w:val="-3"/>
          <w:sz w:val="24"/>
        </w:rPr>
        <w:t> </w:t>
      </w:r>
      <w:r>
        <w:rPr>
          <w:sz w:val="24"/>
        </w:rPr>
        <w:t>But</w:t>
      </w:r>
      <w:r>
        <w:rPr>
          <w:spacing w:val="-2"/>
          <w:sz w:val="24"/>
        </w:rPr>
        <w:t> </w:t>
      </w:r>
      <w:r>
        <w:rPr>
          <w:sz w:val="24"/>
        </w:rPr>
        <w:t>we</w:t>
      </w:r>
      <w:r>
        <w:rPr>
          <w:spacing w:val="-2"/>
          <w:sz w:val="24"/>
        </w:rPr>
        <w:t> </w:t>
      </w:r>
      <w:r>
        <w:rPr>
          <w:sz w:val="24"/>
        </w:rPr>
        <w:t>should</w:t>
      </w:r>
      <w:r>
        <w:rPr>
          <w:spacing w:val="-2"/>
          <w:sz w:val="24"/>
        </w:rPr>
        <w:t> </w:t>
      </w:r>
      <w:r>
        <w:rPr>
          <w:sz w:val="24"/>
        </w:rPr>
        <w:t>strive</w:t>
      </w:r>
      <w:r>
        <w:rPr>
          <w:spacing w:val="-2"/>
          <w:sz w:val="24"/>
        </w:rPr>
        <w:t> </w:t>
      </w:r>
      <w:r>
        <w:rPr>
          <w:sz w:val="24"/>
        </w:rPr>
        <w:t>to</w:t>
      </w:r>
      <w:r>
        <w:rPr>
          <w:spacing w:val="-2"/>
          <w:sz w:val="24"/>
        </w:rPr>
        <w:t> </w:t>
      </w:r>
      <w:r>
        <w:rPr>
          <w:sz w:val="24"/>
        </w:rPr>
        <w:t>move</w:t>
      </w:r>
      <w:r>
        <w:rPr>
          <w:spacing w:val="-2"/>
          <w:sz w:val="24"/>
        </w:rPr>
        <w:t> </w:t>
      </w:r>
      <w:r>
        <w:rPr>
          <w:sz w:val="24"/>
        </w:rPr>
        <w:t>towards</w:t>
      </w:r>
      <w:r>
        <w:rPr>
          <w:spacing w:val="-2"/>
          <w:sz w:val="24"/>
        </w:rPr>
        <w:t> </w:t>
      </w:r>
      <w:r>
        <w:rPr>
          <w:sz w:val="24"/>
        </w:rPr>
        <w:t>this</w:t>
      </w:r>
      <w:r>
        <w:rPr>
          <w:spacing w:val="-2"/>
          <w:sz w:val="24"/>
        </w:rPr>
        <w:t> </w:t>
      </w:r>
      <w:r>
        <w:rPr>
          <w:sz w:val="24"/>
        </w:rPr>
        <w:t>goal</w:t>
      </w:r>
      <w:r>
        <w:rPr>
          <w:spacing w:val="-2"/>
          <w:sz w:val="24"/>
        </w:rPr>
        <w:t> </w:t>
      </w:r>
      <w:r>
        <w:rPr>
          <w:sz w:val="24"/>
        </w:rPr>
        <w:t>over</w:t>
      </w:r>
      <w:r>
        <w:rPr>
          <w:spacing w:val="-2"/>
          <w:sz w:val="24"/>
        </w:rPr>
        <w:t> </w:t>
      </w:r>
      <w:r>
        <w:rPr>
          <w:sz w:val="24"/>
        </w:rPr>
        <w:t>a</w:t>
      </w:r>
      <w:r>
        <w:rPr>
          <w:spacing w:val="-2"/>
          <w:sz w:val="24"/>
        </w:rPr>
        <w:t> </w:t>
      </w:r>
      <w:r>
        <w:rPr>
          <w:sz w:val="24"/>
        </w:rPr>
        <w:t>period of years; and we should make at least a beginning in a few selected sectors where numbers are manageable. The system</w:t>
      </w:r>
      <w:r>
        <w:rPr>
          <w:spacing w:val="-1"/>
          <w:sz w:val="24"/>
        </w:rPr>
        <w:t> </w:t>
      </w:r>
      <w:r>
        <w:rPr>
          <w:sz w:val="24"/>
        </w:rPr>
        <w:t>of one-year internship, which is now prescribed for medical graduates, is a good beginning in this direction, though there is a certain resentment against it at present on the ground that the medical profession is singled out for this compulsion. If the system were to become more widespread and made applicable to one category of graduates after another till all categories were covered, this resentment would disappear and the efficiency of the system would also improve.</w:t>
      </w:r>
    </w:p>
    <w:p>
      <w:pPr>
        <w:pStyle w:val="BodyText"/>
        <w:spacing w:before="3"/>
      </w:pPr>
    </w:p>
    <w:p>
      <w:pPr>
        <w:pStyle w:val="ListParagraph"/>
        <w:numPr>
          <w:ilvl w:val="1"/>
          <w:numId w:val="98"/>
        </w:numPr>
        <w:tabs>
          <w:tab w:pos="640" w:val="left" w:leader="none"/>
        </w:tabs>
        <w:spacing w:line="240" w:lineRule="auto" w:before="0" w:after="0"/>
        <w:ind w:left="160" w:right="488" w:firstLine="0"/>
        <w:jc w:val="both"/>
        <w:rPr>
          <w:b/>
          <w:sz w:val="24"/>
        </w:rPr>
      </w:pPr>
      <w:r>
        <w:rPr>
          <w:b/>
          <w:sz w:val="24"/>
        </w:rPr>
        <w:t>The</w:t>
      </w:r>
      <w:r>
        <w:rPr>
          <w:b/>
          <w:spacing w:val="-2"/>
          <w:sz w:val="24"/>
        </w:rPr>
        <w:t> </w:t>
      </w:r>
      <w:r>
        <w:rPr>
          <w:b/>
          <w:sz w:val="24"/>
        </w:rPr>
        <w:t>Need</w:t>
      </w:r>
      <w:r>
        <w:rPr>
          <w:b/>
          <w:spacing w:val="-2"/>
          <w:sz w:val="24"/>
        </w:rPr>
        <w:t> </w:t>
      </w:r>
      <w:r>
        <w:rPr>
          <w:b/>
          <w:sz w:val="24"/>
        </w:rPr>
        <w:t>(or</w:t>
      </w:r>
      <w:r>
        <w:rPr>
          <w:b/>
          <w:spacing w:val="-2"/>
          <w:sz w:val="24"/>
        </w:rPr>
        <w:t> </w:t>
      </w:r>
      <w:r>
        <w:rPr>
          <w:b/>
          <w:sz w:val="24"/>
        </w:rPr>
        <w:t>a</w:t>
      </w:r>
      <w:r>
        <w:rPr>
          <w:b/>
          <w:spacing w:val="-2"/>
          <w:sz w:val="24"/>
        </w:rPr>
        <w:t> </w:t>
      </w:r>
      <w:r>
        <w:rPr>
          <w:b/>
          <w:sz w:val="24"/>
        </w:rPr>
        <w:t>Wider</w:t>
      </w:r>
      <w:r>
        <w:rPr>
          <w:b/>
          <w:spacing w:val="-2"/>
          <w:sz w:val="24"/>
        </w:rPr>
        <w:t> </w:t>
      </w:r>
      <w:r>
        <w:rPr>
          <w:b/>
          <w:sz w:val="24"/>
        </w:rPr>
        <w:t>Perspective.</w:t>
      </w:r>
      <w:r>
        <w:rPr>
          <w:b/>
          <w:spacing w:val="-3"/>
          <w:sz w:val="24"/>
        </w:rPr>
        <w:t> </w:t>
      </w:r>
      <w:r>
        <w:rPr>
          <w:sz w:val="24"/>
        </w:rPr>
        <w:t>Significant</w:t>
      </w:r>
      <w:r>
        <w:rPr>
          <w:spacing w:val="-3"/>
          <w:sz w:val="24"/>
        </w:rPr>
        <w:t> </w:t>
      </w:r>
      <w:r>
        <w:rPr>
          <w:sz w:val="24"/>
        </w:rPr>
        <w:t>problems</w:t>
      </w:r>
      <w:r>
        <w:rPr>
          <w:spacing w:val="-1"/>
          <w:sz w:val="24"/>
        </w:rPr>
        <w:t> </w:t>
      </w:r>
      <w:r>
        <w:rPr>
          <w:sz w:val="24"/>
        </w:rPr>
        <w:t>of</w:t>
      </w:r>
      <w:r>
        <w:rPr>
          <w:spacing w:val="-3"/>
          <w:sz w:val="24"/>
        </w:rPr>
        <w:t> </w:t>
      </w:r>
      <w:r>
        <w:rPr>
          <w:sz w:val="24"/>
        </w:rPr>
        <w:t>life</w:t>
      </w:r>
      <w:r>
        <w:rPr>
          <w:spacing w:val="-2"/>
          <w:sz w:val="24"/>
        </w:rPr>
        <w:t> </w:t>
      </w:r>
      <w:r>
        <w:rPr>
          <w:sz w:val="24"/>
        </w:rPr>
        <w:t>cannot</w:t>
      </w:r>
      <w:r>
        <w:rPr>
          <w:spacing w:val="-2"/>
          <w:sz w:val="24"/>
        </w:rPr>
        <w:t> </w:t>
      </w:r>
      <w:r>
        <w:rPr>
          <w:sz w:val="24"/>
        </w:rPr>
        <w:t>be</w:t>
      </w:r>
      <w:r>
        <w:rPr>
          <w:spacing w:val="-2"/>
          <w:sz w:val="24"/>
        </w:rPr>
        <w:t> </w:t>
      </w:r>
      <w:r>
        <w:rPr>
          <w:sz w:val="24"/>
        </w:rPr>
        <w:t>solved</w:t>
      </w:r>
      <w:r>
        <w:rPr>
          <w:spacing w:val="-2"/>
          <w:sz w:val="24"/>
        </w:rPr>
        <w:t> </w:t>
      </w:r>
      <w:r>
        <w:rPr>
          <w:sz w:val="24"/>
        </w:rPr>
        <w:t>in isolation. The planning of education is no exception to this general rule and, in our opinion, it may not be possible to find a satisfactory solution to it unless wider issues are solved. For instance if manpower planning is to be successful in the sense that there would be a trained man available for every job to be done and that an appropriate job would</w:t>
      </w:r>
      <w:r>
        <w:rPr>
          <w:spacing w:val="-1"/>
          <w:sz w:val="24"/>
        </w:rPr>
        <w:t> </w:t>
      </w:r>
      <w:r>
        <w:rPr>
          <w:sz w:val="24"/>
        </w:rPr>
        <w:t>be</w:t>
      </w:r>
      <w:r>
        <w:rPr>
          <w:spacing w:val="-1"/>
          <w:sz w:val="24"/>
        </w:rPr>
        <w:t> </w:t>
      </w:r>
      <w:r>
        <w:rPr>
          <w:sz w:val="24"/>
        </w:rPr>
        <w:t>available</w:t>
      </w:r>
      <w:r>
        <w:rPr>
          <w:spacing w:val="-1"/>
          <w:sz w:val="24"/>
        </w:rPr>
        <w:t> </w:t>
      </w:r>
      <w:r>
        <w:rPr>
          <w:sz w:val="24"/>
        </w:rPr>
        <w:t>for</w:t>
      </w:r>
      <w:r>
        <w:rPr>
          <w:spacing w:val="-1"/>
          <w:sz w:val="24"/>
        </w:rPr>
        <w:t> </w:t>
      </w:r>
      <w:r>
        <w:rPr>
          <w:sz w:val="24"/>
        </w:rPr>
        <w:t>every</w:t>
      </w:r>
      <w:r>
        <w:rPr>
          <w:spacing w:val="-1"/>
          <w:sz w:val="24"/>
        </w:rPr>
        <w:t> </w:t>
      </w:r>
      <w:r>
        <w:rPr>
          <w:sz w:val="24"/>
        </w:rPr>
        <w:t>educated</w:t>
      </w:r>
      <w:r>
        <w:rPr>
          <w:spacing w:val="-1"/>
          <w:sz w:val="24"/>
        </w:rPr>
        <w:t> </w:t>
      </w:r>
      <w:r>
        <w:rPr>
          <w:sz w:val="24"/>
        </w:rPr>
        <w:t>person,</w:t>
      </w:r>
      <w:r>
        <w:rPr>
          <w:spacing w:val="-3"/>
          <w:sz w:val="24"/>
        </w:rPr>
        <w:t> </w:t>
      </w:r>
      <w:r>
        <w:rPr>
          <w:sz w:val="24"/>
        </w:rPr>
        <w:t>it</w:t>
      </w:r>
      <w:r>
        <w:rPr>
          <w:spacing w:val="-1"/>
          <w:sz w:val="24"/>
        </w:rPr>
        <w:t> </w:t>
      </w:r>
      <w:r>
        <w:rPr>
          <w:sz w:val="24"/>
        </w:rPr>
        <w:t>is</w:t>
      </w:r>
      <w:r>
        <w:rPr>
          <w:spacing w:val="-1"/>
          <w:sz w:val="24"/>
        </w:rPr>
        <w:t> </w:t>
      </w:r>
      <w:r>
        <w:rPr>
          <w:sz w:val="24"/>
        </w:rPr>
        <w:t>necessary</w:t>
      </w:r>
      <w:r>
        <w:rPr>
          <w:spacing w:val="-3"/>
          <w:sz w:val="24"/>
        </w:rPr>
        <w:t> </w:t>
      </w:r>
      <w:r>
        <w:rPr>
          <w:sz w:val="24"/>
        </w:rPr>
        <w:t>to</w:t>
      </w:r>
      <w:r>
        <w:rPr>
          <w:spacing w:val="-1"/>
          <w:sz w:val="24"/>
        </w:rPr>
        <w:t> </w:t>
      </w:r>
      <w:r>
        <w:rPr>
          <w:sz w:val="24"/>
        </w:rPr>
        <w:t>prepare</w:t>
      </w:r>
      <w:r>
        <w:rPr>
          <w:spacing w:val="-1"/>
          <w:sz w:val="24"/>
        </w:rPr>
        <w:t> </w:t>
      </w:r>
      <w:r>
        <w:rPr>
          <w:sz w:val="24"/>
        </w:rPr>
        <w:t>an</w:t>
      </w:r>
      <w:r>
        <w:rPr>
          <w:spacing w:val="-3"/>
          <w:sz w:val="24"/>
        </w:rPr>
        <w:t> </w:t>
      </w:r>
      <w:r>
        <w:rPr>
          <w:sz w:val="24"/>
        </w:rPr>
        <w:t>integrated</w:t>
      </w:r>
      <w:r>
        <w:rPr>
          <w:spacing w:val="-1"/>
          <w:sz w:val="24"/>
        </w:rPr>
        <w:t> </w:t>
      </w:r>
      <w:r>
        <w:rPr>
          <w:sz w:val="24"/>
        </w:rPr>
        <w:t>plan of development-a plan which will consist of three parts: family planning, economic development and educational reconstruction. At present, the labour force cohort (i.e. the boys and girls who attain the age of 16 or over and enter the labour force in a given year) suffers from several serious defects or difficulties such as the following:</w:t>
      </w:r>
    </w:p>
    <w:p>
      <w:pPr>
        <w:pStyle w:val="BodyText"/>
        <w:spacing w:before="5"/>
      </w:pPr>
    </w:p>
    <w:p>
      <w:pPr>
        <w:pStyle w:val="ListParagraph"/>
        <w:numPr>
          <w:ilvl w:val="2"/>
          <w:numId w:val="98"/>
        </w:numPr>
        <w:tabs>
          <w:tab w:pos="298" w:val="left" w:leader="none"/>
        </w:tabs>
        <w:spacing w:line="240" w:lineRule="auto" w:before="0" w:after="0"/>
        <w:ind w:left="298" w:right="0" w:hanging="138"/>
        <w:jc w:val="both"/>
        <w:rPr>
          <w:sz w:val="24"/>
        </w:rPr>
      </w:pPr>
      <w:r>
        <w:rPr>
          <w:sz w:val="24"/>
        </w:rPr>
        <w:t>Its</w:t>
      </w:r>
      <w:r>
        <w:rPr>
          <w:spacing w:val="-2"/>
          <w:sz w:val="24"/>
        </w:rPr>
        <w:t> </w:t>
      </w:r>
      <w:r>
        <w:rPr>
          <w:sz w:val="24"/>
        </w:rPr>
        <w:t>size</w:t>
      </w:r>
      <w:r>
        <w:rPr>
          <w:spacing w:val="-1"/>
          <w:sz w:val="24"/>
        </w:rPr>
        <w:t> </w:t>
      </w:r>
      <w:r>
        <w:rPr>
          <w:sz w:val="24"/>
        </w:rPr>
        <w:t>is</w:t>
      </w:r>
      <w:r>
        <w:rPr>
          <w:spacing w:val="-1"/>
          <w:sz w:val="24"/>
        </w:rPr>
        <w:t> </w:t>
      </w:r>
      <w:r>
        <w:rPr>
          <w:sz w:val="24"/>
        </w:rPr>
        <w:t>too</w:t>
      </w:r>
      <w:r>
        <w:rPr>
          <w:spacing w:val="-1"/>
          <w:sz w:val="24"/>
        </w:rPr>
        <w:t> </w:t>
      </w:r>
      <w:r>
        <w:rPr>
          <w:sz w:val="24"/>
        </w:rPr>
        <w:t>large-about</w:t>
      </w:r>
      <w:r>
        <w:rPr>
          <w:spacing w:val="-1"/>
          <w:sz w:val="24"/>
        </w:rPr>
        <w:t> </w:t>
      </w:r>
      <w:r>
        <w:rPr>
          <w:sz w:val="24"/>
        </w:rPr>
        <w:t>2</w:t>
      </w:r>
      <w:r>
        <w:rPr>
          <w:spacing w:val="-1"/>
          <w:sz w:val="24"/>
        </w:rPr>
        <w:t> </w:t>
      </w:r>
      <w:r>
        <w:rPr>
          <w:sz w:val="24"/>
        </w:rPr>
        <w:t>per</w:t>
      </w:r>
      <w:r>
        <w:rPr>
          <w:spacing w:val="-1"/>
          <w:sz w:val="24"/>
        </w:rPr>
        <w:t> </w:t>
      </w:r>
      <w:r>
        <w:rPr>
          <w:sz w:val="24"/>
        </w:rPr>
        <w:t>cent</w:t>
      </w:r>
      <w:r>
        <w:rPr>
          <w:spacing w:val="-1"/>
          <w:sz w:val="24"/>
        </w:rPr>
        <w:t> </w:t>
      </w:r>
      <w:r>
        <w:rPr>
          <w:sz w:val="24"/>
        </w:rPr>
        <w:t>of</w:t>
      </w:r>
      <w:r>
        <w:rPr>
          <w:spacing w:val="-1"/>
          <w:sz w:val="24"/>
        </w:rPr>
        <w:t> </w:t>
      </w:r>
      <w:r>
        <w:rPr>
          <w:sz w:val="24"/>
        </w:rPr>
        <w:t>the</w:t>
      </w:r>
      <w:r>
        <w:rPr>
          <w:spacing w:val="-1"/>
          <w:sz w:val="24"/>
        </w:rPr>
        <w:t> </w:t>
      </w:r>
      <w:r>
        <w:rPr>
          <w:sz w:val="24"/>
        </w:rPr>
        <w:t>total</w:t>
      </w:r>
      <w:r>
        <w:rPr>
          <w:spacing w:val="-1"/>
          <w:sz w:val="24"/>
        </w:rPr>
        <w:t> </w:t>
      </w:r>
      <w:r>
        <w:rPr>
          <w:sz w:val="24"/>
        </w:rPr>
        <w:t>population-owing</w:t>
      </w:r>
      <w:r>
        <w:rPr>
          <w:spacing w:val="-1"/>
          <w:sz w:val="24"/>
        </w:rPr>
        <w:t> </w:t>
      </w:r>
      <w:r>
        <w:rPr>
          <w:sz w:val="24"/>
        </w:rPr>
        <w:t>to</w:t>
      </w:r>
      <w:r>
        <w:rPr>
          <w:spacing w:val="-1"/>
          <w:sz w:val="24"/>
        </w:rPr>
        <w:t> </w:t>
      </w:r>
      <w:r>
        <w:rPr>
          <w:sz w:val="24"/>
        </w:rPr>
        <w:t>the</w:t>
      </w:r>
      <w:r>
        <w:rPr>
          <w:spacing w:val="-1"/>
          <w:sz w:val="24"/>
        </w:rPr>
        <w:t> </w:t>
      </w:r>
      <w:r>
        <w:rPr>
          <w:sz w:val="24"/>
        </w:rPr>
        <w:t>large</w:t>
      </w:r>
      <w:r>
        <w:rPr>
          <w:spacing w:val="-1"/>
          <w:sz w:val="24"/>
        </w:rPr>
        <w:t> </w:t>
      </w:r>
      <w:r>
        <w:rPr>
          <w:sz w:val="24"/>
        </w:rPr>
        <w:t>birth-</w:t>
      </w:r>
      <w:r>
        <w:rPr>
          <w:spacing w:val="-2"/>
          <w:sz w:val="24"/>
        </w:rPr>
        <w:t>rate.</w:t>
      </w:r>
    </w:p>
    <w:p>
      <w:pPr>
        <w:pStyle w:val="BodyText"/>
        <w:spacing w:before="4"/>
      </w:pPr>
    </w:p>
    <w:p>
      <w:pPr>
        <w:pStyle w:val="ListParagraph"/>
        <w:numPr>
          <w:ilvl w:val="2"/>
          <w:numId w:val="98"/>
        </w:numPr>
        <w:tabs>
          <w:tab w:pos="303" w:val="left" w:leader="none"/>
        </w:tabs>
        <w:spacing w:line="240" w:lineRule="auto" w:before="0" w:after="0"/>
        <w:ind w:left="160" w:right="495" w:firstLine="0"/>
        <w:jc w:val="both"/>
        <w:rPr>
          <w:sz w:val="24"/>
        </w:rPr>
      </w:pPr>
      <w:r>
        <w:rPr>
          <w:sz w:val="24"/>
        </w:rPr>
        <w:t>Its educational attainments are also very meagre- about 60 per cent of the cohort is non- literate and about 40 per cent would have completed primary schooling and </w:t>
      </w:r>
      <w:r>
        <w:rPr>
          <w:sz w:val="24"/>
        </w:rPr>
        <w:t>attained permanent literacy. Of the latter 40 per cent,</w:t>
      </w:r>
      <w:r>
        <w:rPr>
          <w:spacing w:val="-1"/>
          <w:sz w:val="24"/>
        </w:rPr>
        <w:t> </w:t>
      </w:r>
      <w:r>
        <w:rPr>
          <w:sz w:val="24"/>
        </w:rPr>
        <w:t>about 25 per cent would have received more than five years of schooling and probably completed the primary school course; about 8 per</w:t>
      </w:r>
      <w:r>
        <w:rPr>
          <w:spacing w:val="35"/>
          <w:sz w:val="24"/>
        </w:rPr>
        <w:t> </w:t>
      </w:r>
      <w:r>
        <w:rPr>
          <w:sz w:val="24"/>
        </w:rPr>
        <w:t>cent</w:t>
      </w:r>
      <w:r>
        <w:rPr>
          <w:spacing w:val="35"/>
          <w:sz w:val="24"/>
        </w:rPr>
        <w:t> </w:t>
      </w:r>
      <w:r>
        <w:rPr>
          <w:sz w:val="24"/>
        </w:rPr>
        <w:t>would</w:t>
      </w:r>
      <w:r>
        <w:rPr>
          <w:spacing w:val="35"/>
          <w:sz w:val="24"/>
        </w:rPr>
        <w:t> </w:t>
      </w:r>
      <w:r>
        <w:rPr>
          <w:sz w:val="24"/>
        </w:rPr>
        <w:t>have</w:t>
      </w:r>
      <w:r>
        <w:rPr>
          <w:spacing w:val="35"/>
          <w:sz w:val="24"/>
        </w:rPr>
        <w:t> </w:t>
      </w:r>
      <w:r>
        <w:rPr>
          <w:sz w:val="24"/>
        </w:rPr>
        <w:t>completed</w:t>
      </w:r>
      <w:r>
        <w:rPr>
          <w:spacing w:val="34"/>
          <w:sz w:val="24"/>
        </w:rPr>
        <w:t> </w:t>
      </w:r>
      <w:r>
        <w:rPr>
          <w:sz w:val="24"/>
        </w:rPr>
        <w:t>the</w:t>
      </w:r>
      <w:r>
        <w:rPr>
          <w:spacing w:val="34"/>
          <w:sz w:val="24"/>
        </w:rPr>
        <w:t> </w:t>
      </w:r>
      <w:r>
        <w:rPr>
          <w:sz w:val="24"/>
        </w:rPr>
        <w:t>secondary</w:t>
      </w:r>
      <w:r>
        <w:rPr>
          <w:spacing w:val="34"/>
          <w:sz w:val="24"/>
        </w:rPr>
        <w:t> </w:t>
      </w:r>
      <w:r>
        <w:rPr>
          <w:sz w:val="24"/>
        </w:rPr>
        <w:t>school;</w:t>
      </w:r>
      <w:r>
        <w:rPr>
          <w:spacing w:val="34"/>
          <w:sz w:val="24"/>
        </w:rPr>
        <w:t> </w:t>
      </w:r>
      <w:r>
        <w:rPr>
          <w:sz w:val="24"/>
        </w:rPr>
        <w:t>and</w:t>
      </w:r>
      <w:r>
        <w:rPr>
          <w:spacing w:val="37"/>
          <w:sz w:val="24"/>
        </w:rPr>
        <w:t> </w:t>
      </w:r>
      <w:r>
        <w:rPr>
          <w:sz w:val="24"/>
        </w:rPr>
        <w:t>only</w:t>
      </w:r>
      <w:r>
        <w:rPr>
          <w:spacing w:val="35"/>
          <w:sz w:val="24"/>
        </w:rPr>
        <w:t> </w:t>
      </w:r>
      <w:r>
        <w:rPr>
          <w:sz w:val="24"/>
        </w:rPr>
        <w:t>about</w:t>
      </w:r>
      <w:r>
        <w:rPr>
          <w:spacing w:val="35"/>
          <w:sz w:val="24"/>
        </w:rPr>
        <w:t> </w:t>
      </w:r>
      <w:r>
        <w:rPr>
          <w:sz w:val="24"/>
        </w:rPr>
        <w:t>1</w:t>
      </w:r>
      <w:r>
        <w:rPr>
          <w:spacing w:val="35"/>
          <w:sz w:val="24"/>
        </w:rPr>
        <w:t> </w:t>
      </w:r>
      <w:r>
        <w:rPr>
          <w:sz w:val="24"/>
        </w:rPr>
        <w:t>or</w:t>
      </w:r>
      <w:r>
        <w:rPr>
          <w:spacing w:val="35"/>
          <w:sz w:val="24"/>
        </w:rPr>
        <w:t> </w:t>
      </w:r>
      <w:r>
        <w:rPr>
          <w:sz w:val="24"/>
        </w:rPr>
        <w:t>2</w:t>
      </w:r>
      <w:r>
        <w:rPr>
          <w:spacing w:val="35"/>
          <w:sz w:val="24"/>
        </w:rPr>
        <w:t> </w:t>
      </w:r>
      <w:r>
        <w:rPr>
          <w:sz w:val="24"/>
        </w:rPr>
        <w:t>per</w:t>
      </w:r>
      <w:r>
        <w:rPr>
          <w:spacing w:val="35"/>
          <w:sz w:val="24"/>
        </w:rPr>
        <w:t> </w:t>
      </w:r>
      <w:r>
        <w:rPr>
          <w:sz w:val="24"/>
        </w:rPr>
        <w:t>cent</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pPr>
      <w:r>
        <w:rPr/>
        <w:t>might be graduates. The proportion of the educated persons in these cohorts is far too inadequate for the creation of a modern social order. What is worse, the little education that</w:t>
      </w:r>
      <w:r>
        <w:rPr>
          <w:spacing w:val="-1"/>
        </w:rPr>
        <w:t> </w:t>
      </w:r>
      <w:r>
        <w:rPr/>
        <w:t>has</w:t>
      </w:r>
      <w:r>
        <w:rPr>
          <w:spacing w:val="-1"/>
        </w:rPr>
        <w:t> </w:t>
      </w:r>
      <w:r>
        <w:rPr/>
        <w:t>been</w:t>
      </w:r>
      <w:r>
        <w:rPr>
          <w:spacing w:val="-1"/>
        </w:rPr>
        <w:t> </w:t>
      </w:r>
      <w:r>
        <w:rPr/>
        <w:t>given</w:t>
      </w:r>
      <w:r>
        <w:rPr>
          <w:spacing w:val="-1"/>
        </w:rPr>
        <w:t> </w:t>
      </w:r>
      <w:r>
        <w:rPr/>
        <w:t>is</w:t>
      </w:r>
      <w:r>
        <w:rPr>
          <w:spacing w:val="-1"/>
        </w:rPr>
        <w:t> </w:t>
      </w:r>
      <w:r>
        <w:rPr/>
        <w:t>so</w:t>
      </w:r>
      <w:r>
        <w:rPr>
          <w:spacing w:val="-2"/>
        </w:rPr>
        <w:t> </w:t>
      </w:r>
      <w:r>
        <w:rPr/>
        <w:t>predominantly</w:t>
      </w:r>
      <w:r>
        <w:rPr>
          <w:spacing w:val="-1"/>
        </w:rPr>
        <w:t> </w:t>
      </w:r>
      <w:r>
        <w:rPr/>
        <w:t>academic</w:t>
      </w:r>
      <w:r>
        <w:rPr>
          <w:spacing w:val="-1"/>
        </w:rPr>
        <w:t> </w:t>
      </w:r>
      <w:r>
        <w:rPr/>
        <w:t>that</w:t>
      </w:r>
      <w:r>
        <w:rPr>
          <w:spacing w:val="-1"/>
        </w:rPr>
        <w:t> </w:t>
      </w:r>
      <w:r>
        <w:rPr/>
        <w:t>there</w:t>
      </w:r>
      <w:r>
        <w:rPr>
          <w:spacing w:val="-1"/>
        </w:rPr>
        <w:t> </w:t>
      </w:r>
      <w:r>
        <w:rPr/>
        <w:t>are</w:t>
      </w:r>
      <w:r>
        <w:rPr>
          <w:spacing w:val="-1"/>
        </w:rPr>
        <w:t> </w:t>
      </w:r>
      <w:r>
        <w:rPr/>
        <w:t>no</w:t>
      </w:r>
      <w:r>
        <w:rPr>
          <w:spacing w:val="-1"/>
        </w:rPr>
        <w:t> </w:t>
      </w:r>
      <w:r>
        <w:rPr/>
        <w:t>trained</w:t>
      </w:r>
      <w:r>
        <w:rPr>
          <w:spacing w:val="-1"/>
        </w:rPr>
        <w:t> </w:t>
      </w:r>
      <w:r>
        <w:rPr/>
        <w:t>persons</w:t>
      </w:r>
      <w:r>
        <w:rPr>
          <w:spacing w:val="-1"/>
        </w:rPr>
        <w:t> </w:t>
      </w:r>
      <w:r>
        <w:rPr/>
        <w:t>to</w:t>
      </w:r>
      <w:r>
        <w:rPr>
          <w:spacing w:val="-1"/>
        </w:rPr>
        <w:t> </w:t>
      </w:r>
      <w:r>
        <w:rPr/>
        <w:t>man the key posts in certain sectors of industrialization now being developed.</w:t>
      </w:r>
    </w:p>
    <w:p>
      <w:pPr>
        <w:pStyle w:val="BodyText"/>
        <w:spacing w:before="4"/>
      </w:pPr>
    </w:p>
    <w:p>
      <w:pPr>
        <w:pStyle w:val="ListParagraph"/>
        <w:numPr>
          <w:ilvl w:val="2"/>
          <w:numId w:val="98"/>
        </w:numPr>
        <w:tabs>
          <w:tab w:pos="300" w:val="left" w:leader="none"/>
        </w:tabs>
        <w:spacing w:line="240" w:lineRule="auto" w:before="0" w:after="0"/>
        <w:ind w:left="160" w:right="493" w:firstLine="0"/>
        <w:jc w:val="both"/>
        <w:rPr>
          <w:sz w:val="24"/>
        </w:rPr>
      </w:pPr>
      <w:r>
        <w:rPr>
          <w:sz w:val="24"/>
        </w:rPr>
        <w:t>The</w:t>
      </w:r>
      <w:r>
        <w:rPr>
          <w:spacing w:val="-1"/>
          <w:sz w:val="24"/>
        </w:rPr>
        <w:t> </w:t>
      </w:r>
      <w:r>
        <w:rPr>
          <w:sz w:val="24"/>
        </w:rPr>
        <w:t>rate</w:t>
      </w:r>
      <w:r>
        <w:rPr>
          <w:spacing w:val="-1"/>
          <w:sz w:val="24"/>
        </w:rPr>
        <w:t> </w:t>
      </w:r>
      <w:r>
        <w:rPr>
          <w:sz w:val="24"/>
        </w:rPr>
        <w:t>of</w:t>
      </w:r>
      <w:r>
        <w:rPr>
          <w:spacing w:val="-3"/>
          <w:sz w:val="24"/>
        </w:rPr>
        <w:t> </w:t>
      </w:r>
      <w:r>
        <w:rPr>
          <w:sz w:val="24"/>
        </w:rPr>
        <w:t>economic</w:t>
      </w:r>
      <w:r>
        <w:rPr>
          <w:spacing w:val="-1"/>
          <w:sz w:val="24"/>
        </w:rPr>
        <w:t> </w:t>
      </w:r>
      <w:r>
        <w:rPr>
          <w:sz w:val="24"/>
        </w:rPr>
        <w:t>development,</w:t>
      </w:r>
      <w:r>
        <w:rPr>
          <w:spacing w:val="-1"/>
          <w:sz w:val="24"/>
        </w:rPr>
        <w:t> </w:t>
      </w:r>
      <w:r>
        <w:rPr>
          <w:sz w:val="24"/>
        </w:rPr>
        <w:t>especially</w:t>
      </w:r>
      <w:r>
        <w:rPr>
          <w:spacing w:val="-5"/>
          <w:sz w:val="24"/>
        </w:rPr>
        <w:t> </w:t>
      </w:r>
      <w:r>
        <w:rPr>
          <w:sz w:val="24"/>
        </w:rPr>
        <w:t>in</w:t>
      </w:r>
      <w:r>
        <w:rPr>
          <w:spacing w:val="-1"/>
          <w:sz w:val="24"/>
        </w:rPr>
        <w:t> </w:t>
      </w:r>
      <w:r>
        <w:rPr>
          <w:sz w:val="24"/>
        </w:rPr>
        <w:t>rural</w:t>
      </w:r>
      <w:r>
        <w:rPr>
          <w:spacing w:val="-1"/>
          <w:sz w:val="24"/>
        </w:rPr>
        <w:t> </w:t>
      </w:r>
      <w:r>
        <w:rPr>
          <w:sz w:val="24"/>
        </w:rPr>
        <w:t>areas,</w:t>
      </w:r>
      <w:r>
        <w:rPr>
          <w:spacing w:val="-1"/>
          <w:sz w:val="24"/>
        </w:rPr>
        <w:t> </w:t>
      </w:r>
      <w:r>
        <w:rPr>
          <w:sz w:val="24"/>
        </w:rPr>
        <w:t>is</w:t>
      </w:r>
      <w:r>
        <w:rPr>
          <w:spacing w:val="-1"/>
          <w:sz w:val="24"/>
        </w:rPr>
        <w:t> </w:t>
      </w:r>
      <w:r>
        <w:rPr>
          <w:sz w:val="24"/>
        </w:rPr>
        <w:t>so</w:t>
      </w:r>
      <w:r>
        <w:rPr>
          <w:spacing w:val="-1"/>
          <w:sz w:val="24"/>
        </w:rPr>
        <w:t> </w:t>
      </w:r>
      <w:r>
        <w:rPr>
          <w:sz w:val="24"/>
        </w:rPr>
        <w:t>slow</w:t>
      </w:r>
      <w:r>
        <w:rPr>
          <w:spacing w:val="-1"/>
          <w:sz w:val="24"/>
        </w:rPr>
        <w:t> </w:t>
      </w:r>
      <w:r>
        <w:rPr>
          <w:sz w:val="24"/>
        </w:rPr>
        <w:t>that</w:t>
      </w:r>
      <w:r>
        <w:rPr>
          <w:spacing w:val="-1"/>
          <w:sz w:val="24"/>
        </w:rPr>
        <w:t> </w:t>
      </w:r>
      <w:r>
        <w:rPr>
          <w:sz w:val="24"/>
        </w:rPr>
        <w:t>there</w:t>
      </w:r>
      <w:r>
        <w:rPr>
          <w:spacing w:val="-1"/>
          <w:sz w:val="24"/>
        </w:rPr>
        <w:t> </w:t>
      </w:r>
      <w:r>
        <w:rPr>
          <w:sz w:val="24"/>
        </w:rPr>
        <w:t>are</w:t>
      </w:r>
      <w:r>
        <w:rPr>
          <w:spacing w:val="-1"/>
          <w:sz w:val="24"/>
        </w:rPr>
        <w:t> </w:t>
      </w:r>
      <w:r>
        <w:rPr>
          <w:sz w:val="24"/>
        </w:rPr>
        <w:t>not enough jobs for even half of this cohort.</w:t>
      </w:r>
    </w:p>
    <w:p>
      <w:pPr>
        <w:pStyle w:val="BodyText"/>
        <w:spacing w:before="5"/>
      </w:pPr>
    </w:p>
    <w:p>
      <w:pPr>
        <w:pStyle w:val="ListParagraph"/>
        <w:numPr>
          <w:ilvl w:val="1"/>
          <w:numId w:val="98"/>
        </w:numPr>
        <w:tabs>
          <w:tab w:pos="667" w:val="left" w:leader="none"/>
        </w:tabs>
        <w:spacing w:line="240" w:lineRule="auto" w:before="0" w:after="0"/>
        <w:ind w:left="160" w:right="497" w:firstLine="0"/>
        <w:jc w:val="left"/>
        <w:rPr>
          <w:sz w:val="24"/>
        </w:rPr>
      </w:pPr>
      <w:r>
        <w:rPr>
          <w:sz w:val="24"/>
        </w:rPr>
        <w:t>If</w:t>
      </w:r>
      <w:r>
        <w:rPr>
          <w:spacing w:val="25"/>
          <w:sz w:val="24"/>
        </w:rPr>
        <w:t> </w:t>
      </w:r>
      <w:r>
        <w:rPr>
          <w:sz w:val="24"/>
        </w:rPr>
        <w:t>this</w:t>
      </w:r>
      <w:r>
        <w:rPr>
          <w:spacing w:val="25"/>
          <w:sz w:val="24"/>
        </w:rPr>
        <w:t> </w:t>
      </w:r>
      <w:r>
        <w:rPr>
          <w:sz w:val="24"/>
        </w:rPr>
        <w:t>situation</w:t>
      </w:r>
      <w:r>
        <w:rPr>
          <w:spacing w:val="25"/>
          <w:sz w:val="24"/>
        </w:rPr>
        <w:t> </w:t>
      </w:r>
      <w:r>
        <w:rPr>
          <w:sz w:val="24"/>
        </w:rPr>
        <w:t>is</w:t>
      </w:r>
      <w:r>
        <w:rPr>
          <w:spacing w:val="25"/>
          <w:sz w:val="24"/>
        </w:rPr>
        <w:t> </w:t>
      </w:r>
      <w:r>
        <w:rPr>
          <w:sz w:val="24"/>
        </w:rPr>
        <w:t>to</w:t>
      </w:r>
      <w:r>
        <w:rPr>
          <w:spacing w:val="25"/>
          <w:sz w:val="24"/>
        </w:rPr>
        <w:t> </w:t>
      </w:r>
      <w:r>
        <w:rPr>
          <w:sz w:val="24"/>
        </w:rPr>
        <w:t>be</w:t>
      </w:r>
      <w:r>
        <w:rPr>
          <w:spacing w:val="25"/>
          <w:sz w:val="24"/>
        </w:rPr>
        <w:t> </w:t>
      </w:r>
      <w:r>
        <w:rPr>
          <w:sz w:val="24"/>
        </w:rPr>
        <w:t>improved,</w:t>
      </w:r>
      <w:r>
        <w:rPr>
          <w:spacing w:val="25"/>
          <w:sz w:val="24"/>
        </w:rPr>
        <w:t> </w:t>
      </w:r>
      <w:r>
        <w:rPr>
          <w:sz w:val="24"/>
        </w:rPr>
        <w:t>it</w:t>
      </w:r>
      <w:r>
        <w:rPr>
          <w:spacing w:val="25"/>
          <w:sz w:val="24"/>
        </w:rPr>
        <w:t> </w:t>
      </w:r>
      <w:r>
        <w:rPr>
          <w:sz w:val="24"/>
        </w:rPr>
        <w:t>is</w:t>
      </w:r>
      <w:r>
        <w:rPr>
          <w:spacing w:val="25"/>
          <w:sz w:val="24"/>
        </w:rPr>
        <w:t> </w:t>
      </w:r>
      <w:r>
        <w:rPr>
          <w:sz w:val="24"/>
        </w:rPr>
        <w:t>necessary</w:t>
      </w:r>
      <w:r>
        <w:rPr>
          <w:spacing w:val="25"/>
          <w:sz w:val="24"/>
        </w:rPr>
        <w:t> </w:t>
      </w:r>
      <w:r>
        <w:rPr>
          <w:sz w:val="24"/>
        </w:rPr>
        <w:t>to</w:t>
      </w:r>
      <w:r>
        <w:rPr>
          <w:spacing w:val="25"/>
          <w:sz w:val="24"/>
        </w:rPr>
        <w:t> </w:t>
      </w:r>
      <w:r>
        <w:rPr>
          <w:sz w:val="24"/>
        </w:rPr>
        <w:t>prepare</w:t>
      </w:r>
      <w:r>
        <w:rPr>
          <w:spacing w:val="25"/>
          <w:sz w:val="24"/>
        </w:rPr>
        <w:t> </w:t>
      </w:r>
      <w:r>
        <w:rPr>
          <w:sz w:val="24"/>
        </w:rPr>
        <w:t>an</w:t>
      </w:r>
      <w:r>
        <w:rPr>
          <w:spacing w:val="25"/>
          <w:sz w:val="24"/>
        </w:rPr>
        <w:t> </w:t>
      </w:r>
      <w:r>
        <w:rPr>
          <w:sz w:val="24"/>
        </w:rPr>
        <w:t>integrated</w:t>
      </w:r>
      <w:r>
        <w:rPr>
          <w:spacing w:val="25"/>
          <w:sz w:val="24"/>
        </w:rPr>
        <w:t> </w:t>
      </w:r>
      <w:r>
        <w:rPr>
          <w:sz w:val="24"/>
        </w:rPr>
        <w:t>plan</w:t>
      </w:r>
      <w:r>
        <w:rPr>
          <w:spacing w:val="25"/>
          <w:sz w:val="24"/>
        </w:rPr>
        <w:t> </w:t>
      </w:r>
      <w:r>
        <w:rPr>
          <w:sz w:val="24"/>
        </w:rPr>
        <w:t>of development with these objects:</w:t>
      </w:r>
    </w:p>
    <w:p>
      <w:pPr>
        <w:pStyle w:val="BodyText"/>
        <w:spacing w:before="5"/>
      </w:pPr>
    </w:p>
    <w:p>
      <w:pPr>
        <w:pStyle w:val="ListParagraph"/>
        <w:numPr>
          <w:ilvl w:val="2"/>
          <w:numId w:val="98"/>
        </w:numPr>
        <w:tabs>
          <w:tab w:pos="299" w:val="left" w:leader="none"/>
        </w:tabs>
        <w:spacing w:line="240" w:lineRule="auto" w:before="0" w:after="0"/>
        <w:ind w:left="299" w:right="0" w:hanging="139"/>
        <w:jc w:val="both"/>
        <w:rPr>
          <w:sz w:val="24"/>
        </w:rPr>
      </w:pPr>
      <w:r>
        <w:rPr>
          <w:sz w:val="24"/>
        </w:rPr>
        <w:t>to reduce the birth-rate to about half</w:t>
      </w:r>
      <w:r>
        <w:rPr>
          <w:spacing w:val="-2"/>
          <w:sz w:val="24"/>
        </w:rPr>
        <w:t> </w:t>
      </w:r>
      <w:r>
        <w:rPr>
          <w:sz w:val="24"/>
        </w:rPr>
        <w:t>in a planned programme of 10-15 </w:t>
      </w:r>
      <w:r>
        <w:rPr>
          <w:spacing w:val="-2"/>
          <w:sz w:val="24"/>
        </w:rPr>
        <w:t>years;</w:t>
      </w:r>
    </w:p>
    <w:p>
      <w:pPr>
        <w:pStyle w:val="BodyText"/>
        <w:spacing w:before="2"/>
      </w:pPr>
    </w:p>
    <w:p>
      <w:pPr>
        <w:pStyle w:val="ListParagraph"/>
        <w:numPr>
          <w:ilvl w:val="2"/>
          <w:numId w:val="98"/>
        </w:numPr>
        <w:tabs>
          <w:tab w:pos="302" w:val="left" w:leader="none"/>
        </w:tabs>
        <w:spacing w:line="240" w:lineRule="auto" w:before="0" w:after="0"/>
        <w:ind w:left="160" w:right="498" w:firstLine="0"/>
        <w:jc w:val="both"/>
        <w:rPr>
          <w:sz w:val="24"/>
        </w:rPr>
      </w:pPr>
      <w:r>
        <w:rPr>
          <w:sz w:val="24"/>
        </w:rPr>
        <w:t>to bring about a very rapid economic development in such a manpower that there would be a job for every young man or woman who enters the labour force; and</w:t>
      </w:r>
    </w:p>
    <w:p>
      <w:pPr>
        <w:pStyle w:val="BodyText"/>
        <w:spacing w:before="4"/>
      </w:pPr>
    </w:p>
    <w:p>
      <w:pPr>
        <w:pStyle w:val="ListParagraph"/>
        <w:numPr>
          <w:ilvl w:val="2"/>
          <w:numId w:val="98"/>
        </w:numPr>
        <w:tabs>
          <w:tab w:pos="311" w:val="left" w:leader="none"/>
        </w:tabs>
        <w:spacing w:line="240" w:lineRule="auto" w:before="0" w:after="0"/>
        <w:ind w:left="160" w:right="497" w:firstLine="0"/>
        <w:jc w:val="both"/>
        <w:rPr>
          <w:sz w:val="24"/>
        </w:rPr>
      </w:pPr>
      <w:r>
        <w:rPr>
          <w:sz w:val="24"/>
        </w:rPr>
        <w:t>to provide such education to the young boys and girls as will qualify them by having </w:t>
      </w:r>
      <w:r>
        <w:rPr>
          <w:sz w:val="24"/>
        </w:rPr>
        <w:t>a specific job to do, to participate effectively in the national development programme.</w:t>
      </w:r>
    </w:p>
    <w:p>
      <w:pPr>
        <w:pStyle w:val="BodyText"/>
        <w:spacing w:before="5"/>
      </w:pPr>
    </w:p>
    <w:p>
      <w:pPr>
        <w:pStyle w:val="BodyText"/>
        <w:ind w:left="160" w:right="496"/>
        <w:jc w:val="both"/>
      </w:pPr>
      <w:r>
        <w:rPr/>
        <w:t>Such</w:t>
      </w:r>
      <w:r>
        <w:rPr>
          <w:spacing w:val="-1"/>
        </w:rPr>
        <w:t> </w:t>
      </w:r>
      <w:r>
        <w:rPr/>
        <w:t>plans</w:t>
      </w:r>
      <w:r>
        <w:rPr>
          <w:spacing w:val="-1"/>
        </w:rPr>
        <w:t> </w:t>
      </w:r>
      <w:r>
        <w:rPr/>
        <w:t>are</w:t>
      </w:r>
      <w:r>
        <w:rPr>
          <w:spacing w:val="-1"/>
        </w:rPr>
        <w:t> </w:t>
      </w:r>
      <w:r>
        <w:rPr/>
        <w:t>needed</w:t>
      </w:r>
      <w:r>
        <w:rPr>
          <w:spacing w:val="-1"/>
        </w:rPr>
        <w:t> </w:t>
      </w:r>
      <w:r>
        <w:rPr/>
        <w:t>at</w:t>
      </w:r>
      <w:r>
        <w:rPr>
          <w:spacing w:val="-1"/>
        </w:rPr>
        <w:t> </w:t>
      </w:r>
      <w:r>
        <w:rPr/>
        <w:t>the</w:t>
      </w:r>
      <w:r>
        <w:rPr>
          <w:spacing w:val="-1"/>
        </w:rPr>
        <w:t> </w:t>
      </w:r>
      <w:r>
        <w:rPr/>
        <w:t>national,</w:t>
      </w:r>
      <w:r>
        <w:rPr>
          <w:spacing w:val="-3"/>
        </w:rPr>
        <w:t> </w:t>
      </w:r>
      <w:r>
        <w:rPr/>
        <w:t>State</w:t>
      </w:r>
      <w:r>
        <w:rPr>
          <w:spacing w:val="-1"/>
        </w:rPr>
        <w:t> </w:t>
      </w:r>
      <w:r>
        <w:rPr/>
        <w:t>and</w:t>
      </w:r>
      <w:r>
        <w:rPr>
          <w:spacing w:val="-2"/>
        </w:rPr>
        <w:t> </w:t>
      </w:r>
      <w:r>
        <w:rPr/>
        <w:t>even</w:t>
      </w:r>
      <w:r>
        <w:rPr>
          <w:spacing w:val="-2"/>
        </w:rPr>
        <w:t> </w:t>
      </w:r>
      <w:r>
        <w:rPr/>
        <w:t>district</w:t>
      </w:r>
      <w:r>
        <w:rPr>
          <w:spacing w:val="-2"/>
        </w:rPr>
        <w:t> </w:t>
      </w:r>
      <w:r>
        <w:rPr/>
        <w:t>levels.</w:t>
      </w:r>
      <w:r>
        <w:rPr>
          <w:spacing w:val="-2"/>
        </w:rPr>
        <w:t> </w:t>
      </w:r>
      <w:r>
        <w:rPr/>
        <w:t>Their</w:t>
      </w:r>
      <w:r>
        <w:rPr>
          <w:spacing w:val="-2"/>
        </w:rPr>
        <w:t> </w:t>
      </w:r>
      <w:r>
        <w:rPr/>
        <w:t>preparation</w:t>
      </w:r>
      <w:r>
        <w:rPr>
          <w:spacing w:val="-2"/>
        </w:rPr>
        <w:t> </w:t>
      </w:r>
      <w:r>
        <w:rPr/>
        <w:t>and implementation is the responsibility of the Government-Central, State and Local. It is only in the wider perspective of such plans that the problem of educational planning can be successfully solved.</w:t>
      </w:r>
    </w:p>
    <w:p>
      <w:pPr>
        <w:spacing w:after="0"/>
        <w:jc w:val="both"/>
        <w:sectPr>
          <w:pgSz w:w="12240" w:h="15840"/>
          <w:pgMar w:header="0" w:footer="743" w:top="1360" w:bottom="940" w:left="1640" w:right="1300"/>
        </w:sectPr>
      </w:pPr>
    </w:p>
    <w:p>
      <w:pPr>
        <w:pStyle w:val="Heading1"/>
        <w:spacing w:before="60"/>
        <w:ind w:left="3522" w:right="3860"/>
      </w:pPr>
      <w:bookmarkStart w:name="_TOC_250001" w:id="28"/>
      <w:bookmarkEnd w:id="28"/>
      <w:r>
        <w:rPr>
          <w:spacing w:val="-2"/>
        </w:rPr>
        <w:t>SUMMARY</w:t>
      </w:r>
    </w:p>
    <w:p>
      <w:pPr>
        <w:pStyle w:val="BodyText"/>
        <w:rPr>
          <w:b/>
        </w:rPr>
      </w:pPr>
    </w:p>
    <w:p>
      <w:pPr>
        <w:pStyle w:val="ListParagraph"/>
        <w:numPr>
          <w:ilvl w:val="0"/>
          <w:numId w:val="102"/>
        </w:numPr>
        <w:tabs>
          <w:tab w:pos="364" w:val="left" w:leader="none"/>
        </w:tabs>
        <w:spacing w:line="240" w:lineRule="auto" w:before="0" w:after="0"/>
        <w:ind w:left="159" w:right="496" w:firstLine="0"/>
        <w:jc w:val="both"/>
        <w:rPr>
          <w:sz w:val="24"/>
        </w:rPr>
      </w:pPr>
      <w:r>
        <w:rPr>
          <w:b/>
          <w:sz w:val="24"/>
        </w:rPr>
        <w:t>A National Enrolment Policy. </w:t>
      </w:r>
      <w:r>
        <w:rPr>
          <w:sz w:val="24"/>
        </w:rPr>
        <w:t>During the next twenty years, the national enrolment policy should have the following broad objectives:</w:t>
      </w:r>
    </w:p>
    <w:p>
      <w:pPr>
        <w:pStyle w:val="BodyText"/>
        <w:spacing w:before="5"/>
      </w:pPr>
    </w:p>
    <w:p>
      <w:pPr>
        <w:pStyle w:val="ListParagraph"/>
        <w:numPr>
          <w:ilvl w:val="2"/>
          <w:numId w:val="98"/>
        </w:numPr>
        <w:tabs>
          <w:tab w:pos="328" w:val="left" w:leader="none"/>
        </w:tabs>
        <w:spacing w:line="240" w:lineRule="auto" w:before="0" w:after="0"/>
        <w:ind w:left="159" w:right="497" w:firstLine="0"/>
        <w:jc w:val="both"/>
        <w:rPr>
          <w:sz w:val="24"/>
        </w:rPr>
      </w:pPr>
      <w:r>
        <w:rPr>
          <w:sz w:val="24"/>
        </w:rPr>
        <w:t>to provide effective general education of not less than seven years' duration to every child, on a free and compulsory basis; and to expand lower secondary education on as large a scale as possible;</w:t>
      </w:r>
    </w:p>
    <w:p>
      <w:pPr>
        <w:pStyle w:val="BodyText"/>
        <w:spacing w:before="3"/>
      </w:pPr>
    </w:p>
    <w:p>
      <w:pPr>
        <w:pStyle w:val="ListParagraph"/>
        <w:numPr>
          <w:ilvl w:val="2"/>
          <w:numId w:val="98"/>
        </w:numPr>
        <w:tabs>
          <w:tab w:pos="345" w:val="left" w:leader="none"/>
        </w:tabs>
        <w:spacing w:line="240" w:lineRule="auto" w:before="1" w:after="0"/>
        <w:ind w:left="160" w:right="497" w:firstLine="0"/>
        <w:jc w:val="both"/>
        <w:rPr>
          <w:sz w:val="24"/>
        </w:rPr>
      </w:pPr>
      <w:r>
        <w:rPr>
          <w:sz w:val="24"/>
        </w:rPr>
        <w:t>to provide higher secondary and university education to those who are willing and qualified to receive such education, consistent with the demands for trained manpower and the need to maintain essential standards; and to provide adequate financial assistance to those who are economically handicapped;</w:t>
      </w:r>
    </w:p>
    <w:p>
      <w:pPr>
        <w:pStyle w:val="BodyText"/>
        <w:spacing w:before="3"/>
      </w:pPr>
    </w:p>
    <w:p>
      <w:pPr>
        <w:pStyle w:val="ListParagraph"/>
        <w:numPr>
          <w:ilvl w:val="2"/>
          <w:numId w:val="98"/>
        </w:numPr>
        <w:tabs>
          <w:tab w:pos="320" w:val="left" w:leader="none"/>
        </w:tabs>
        <w:spacing w:line="240" w:lineRule="auto" w:before="0" w:after="0"/>
        <w:ind w:left="160" w:right="497" w:firstLine="0"/>
        <w:jc w:val="both"/>
        <w:rPr>
          <w:sz w:val="24"/>
        </w:rPr>
      </w:pPr>
      <w:r>
        <w:rPr>
          <w:sz w:val="24"/>
        </w:rPr>
        <w:t>to emphasize the development of professional, technical and vocational education and</w:t>
      </w:r>
      <w:r>
        <w:rPr>
          <w:spacing w:val="40"/>
          <w:sz w:val="24"/>
        </w:rPr>
        <w:t> </w:t>
      </w:r>
      <w:r>
        <w:rPr>
          <w:sz w:val="24"/>
        </w:rPr>
        <w:t>to prepare skilled personnel needed for the development of agriculture and industry;</w:t>
      </w:r>
    </w:p>
    <w:p>
      <w:pPr>
        <w:pStyle w:val="BodyText"/>
        <w:spacing w:before="5"/>
      </w:pPr>
    </w:p>
    <w:p>
      <w:pPr>
        <w:pStyle w:val="ListParagraph"/>
        <w:numPr>
          <w:ilvl w:val="2"/>
          <w:numId w:val="98"/>
        </w:numPr>
        <w:tabs>
          <w:tab w:pos="299" w:val="left" w:leader="none"/>
        </w:tabs>
        <w:spacing w:line="240" w:lineRule="auto" w:before="0" w:after="0"/>
        <w:ind w:left="299" w:right="0" w:hanging="139"/>
        <w:jc w:val="both"/>
        <w:rPr>
          <w:sz w:val="24"/>
        </w:rPr>
      </w:pPr>
      <w:r>
        <w:rPr>
          <w:sz w:val="24"/>
        </w:rPr>
        <w:t>to</w:t>
      </w:r>
      <w:r>
        <w:rPr>
          <w:spacing w:val="-1"/>
          <w:sz w:val="24"/>
        </w:rPr>
        <w:t> </w:t>
      </w:r>
      <w:r>
        <w:rPr>
          <w:sz w:val="24"/>
        </w:rPr>
        <w:t>identify talent</w:t>
      </w:r>
      <w:r>
        <w:rPr>
          <w:spacing w:val="-1"/>
          <w:sz w:val="24"/>
        </w:rPr>
        <w:t> </w:t>
      </w:r>
      <w:r>
        <w:rPr>
          <w:sz w:val="24"/>
        </w:rPr>
        <w:t>and to</w:t>
      </w:r>
      <w:r>
        <w:rPr>
          <w:spacing w:val="-3"/>
          <w:sz w:val="24"/>
        </w:rPr>
        <w:t> </w:t>
      </w:r>
      <w:r>
        <w:rPr>
          <w:sz w:val="24"/>
        </w:rPr>
        <w:t>help it grow</w:t>
      </w:r>
      <w:r>
        <w:rPr>
          <w:spacing w:val="-2"/>
          <w:sz w:val="24"/>
        </w:rPr>
        <w:t> </w:t>
      </w:r>
      <w:r>
        <w:rPr>
          <w:sz w:val="24"/>
        </w:rPr>
        <w:t>to</w:t>
      </w:r>
      <w:r>
        <w:rPr>
          <w:spacing w:val="-1"/>
          <w:sz w:val="24"/>
        </w:rPr>
        <w:t> </w:t>
      </w:r>
      <w:r>
        <w:rPr>
          <w:sz w:val="24"/>
        </w:rPr>
        <w:t>its full </w:t>
      </w:r>
      <w:r>
        <w:rPr>
          <w:spacing w:val="-2"/>
          <w:sz w:val="24"/>
        </w:rPr>
        <w:t>potential;</w:t>
      </w:r>
    </w:p>
    <w:p>
      <w:pPr>
        <w:pStyle w:val="BodyText"/>
        <w:spacing w:before="4"/>
      </w:pPr>
    </w:p>
    <w:p>
      <w:pPr>
        <w:pStyle w:val="ListParagraph"/>
        <w:numPr>
          <w:ilvl w:val="2"/>
          <w:numId w:val="98"/>
        </w:numPr>
        <w:tabs>
          <w:tab w:pos="371" w:val="left" w:leader="none"/>
        </w:tabs>
        <w:spacing w:line="240" w:lineRule="auto" w:before="0" w:after="0"/>
        <w:ind w:left="160" w:right="496" w:firstLine="0"/>
        <w:jc w:val="both"/>
        <w:rPr>
          <w:sz w:val="24"/>
        </w:rPr>
      </w:pPr>
      <w:r>
        <w:rPr>
          <w:sz w:val="24"/>
        </w:rPr>
        <w:t>to liquidate mass illiteracy and to provide an adequate programme of adult and continuing education; and</w:t>
      </w:r>
    </w:p>
    <w:p>
      <w:pPr>
        <w:pStyle w:val="BodyText"/>
        <w:spacing w:before="3"/>
      </w:pPr>
    </w:p>
    <w:p>
      <w:pPr>
        <w:pStyle w:val="ListParagraph"/>
        <w:numPr>
          <w:ilvl w:val="2"/>
          <w:numId w:val="98"/>
        </w:numPr>
        <w:tabs>
          <w:tab w:pos="389" w:val="left" w:leader="none"/>
        </w:tabs>
        <w:spacing w:line="240" w:lineRule="auto" w:before="1" w:after="0"/>
        <w:ind w:left="160" w:right="498" w:firstLine="0"/>
        <w:jc w:val="both"/>
        <w:rPr>
          <w:sz w:val="24"/>
        </w:rPr>
      </w:pPr>
      <w:r>
        <w:rPr>
          <w:sz w:val="24"/>
        </w:rPr>
        <w:t>to strive continuously to equalize educational opportunities, beginning with the elimination of at least some of the more glaring inequalities. 5.02</w:t>
      </w:r>
    </w:p>
    <w:p>
      <w:pPr>
        <w:pStyle w:val="BodyText"/>
        <w:spacing w:before="3"/>
      </w:pPr>
    </w:p>
    <w:p>
      <w:pPr>
        <w:pStyle w:val="ListParagraph"/>
        <w:numPr>
          <w:ilvl w:val="0"/>
          <w:numId w:val="102"/>
        </w:numPr>
        <w:tabs>
          <w:tab w:pos="346" w:val="left" w:leader="none"/>
        </w:tabs>
        <w:spacing w:line="240" w:lineRule="auto" w:before="0" w:after="0"/>
        <w:ind w:left="160" w:right="498" w:firstLine="0"/>
        <w:jc w:val="both"/>
        <w:rPr>
          <w:sz w:val="24"/>
        </w:rPr>
      </w:pPr>
      <w:r>
        <w:rPr>
          <w:b/>
          <w:sz w:val="24"/>
        </w:rPr>
        <w:t>Raising the Educational Level of the Average Citizen. </w:t>
      </w:r>
      <w:r>
        <w:rPr>
          <w:sz w:val="24"/>
        </w:rPr>
        <w:t>High priority should be given to programmes of raising the educational level of the average citizen-</w:t>
      </w:r>
    </w:p>
    <w:p>
      <w:pPr>
        <w:pStyle w:val="BodyText"/>
        <w:spacing w:before="5"/>
      </w:pPr>
    </w:p>
    <w:p>
      <w:pPr>
        <w:pStyle w:val="ListParagraph"/>
        <w:numPr>
          <w:ilvl w:val="0"/>
          <w:numId w:val="103"/>
        </w:numPr>
        <w:tabs>
          <w:tab w:pos="508" w:val="left" w:leader="none"/>
        </w:tabs>
        <w:spacing w:line="240" w:lineRule="auto" w:before="0" w:after="0"/>
        <w:ind w:left="160" w:right="497" w:firstLine="0"/>
        <w:jc w:val="both"/>
        <w:rPr>
          <w:sz w:val="24"/>
        </w:rPr>
      </w:pPr>
      <w:r>
        <w:rPr>
          <w:sz w:val="24"/>
        </w:rPr>
        <w:t>by providing five years of effective primary education to all children by 1975-76 and seven years of such education by 1985-86;</w:t>
      </w:r>
    </w:p>
    <w:p>
      <w:pPr>
        <w:pStyle w:val="BodyText"/>
        <w:spacing w:before="4"/>
      </w:pPr>
    </w:p>
    <w:p>
      <w:pPr>
        <w:pStyle w:val="ListParagraph"/>
        <w:numPr>
          <w:ilvl w:val="0"/>
          <w:numId w:val="103"/>
        </w:numPr>
        <w:tabs>
          <w:tab w:pos="525" w:val="left" w:leader="none"/>
        </w:tabs>
        <w:spacing w:line="240" w:lineRule="auto" w:before="0" w:after="0"/>
        <w:ind w:left="160" w:right="496" w:firstLine="0"/>
        <w:jc w:val="both"/>
        <w:rPr>
          <w:sz w:val="24"/>
        </w:rPr>
      </w:pPr>
      <w:r>
        <w:rPr>
          <w:sz w:val="24"/>
        </w:rPr>
        <w:t>by making part-time education for one year compulsory for all children in the age- group 11-14 who have not completed the lower primary stage and are not at- tending schools. The aim will be to make these children functionally literate and stop all further additions to the ranks of adult non-literates; and</w:t>
      </w:r>
    </w:p>
    <w:p>
      <w:pPr>
        <w:pStyle w:val="BodyText"/>
        <w:spacing w:before="4"/>
      </w:pPr>
    </w:p>
    <w:p>
      <w:pPr>
        <w:pStyle w:val="ListParagraph"/>
        <w:numPr>
          <w:ilvl w:val="0"/>
          <w:numId w:val="103"/>
        </w:numPr>
        <w:tabs>
          <w:tab w:pos="499" w:val="left" w:leader="none"/>
        </w:tabs>
        <w:spacing w:line="240" w:lineRule="auto" w:before="1" w:after="0"/>
        <w:ind w:left="499" w:right="0" w:hanging="339"/>
        <w:jc w:val="both"/>
        <w:rPr>
          <w:sz w:val="24"/>
        </w:rPr>
      </w:pPr>
      <w:r>
        <w:rPr>
          <w:sz w:val="24"/>
        </w:rPr>
        <w:t>by</w:t>
      </w:r>
      <w:r>
        <w:rPr>
          <w:spacing w:val="-2"/>
          <w:sz w:val="24"/>
        </w:rPr>
        <w:t> </w:t>
      </w:r>
      <w:r>
        <w:rPr>
          <w:sz w:val="24"/>
        </w:rPr>
        <w:t>developing</w:t>
      </w:r>
      <w:r>
        <w:rPr>
          <w:spacing w:val="-2"/>
          <w:sz w:val="24"/>
        </w:rPr>
        <w:t> </w:t>
      </w:r>
      <w:r>
        <w:rPr>
          <w:sz w:val="24"/>
        </w:rPr>
        <w:t>programmes</w:t>
      </w:r>
      <w:r>
        <w:rPr>
          <w:spacing w:val="-1"/>
          <w:sz w:val="24"/>
        </w:rPr>
        <w:t> </w:t>
      </w:r>
      <w:r>
        <w:rPr>
          <w:sz w:val="24"/>
        </w:rPr>
        <w:t>to</w:t>
      </w:r>
      <w:r>
        <w:rPr>
          <w:spacing w:val="-2"/>
          <w:sz w:val="24"/>
        </w:rPr>
        <w:t> </w:t>
      </w:r>
      <w:r>
        <w:rPr>
          <w:sz w:val="24"/>
        </w:rPr>
        <w:t>liquidate</w:t>
      </w:r>
      <w:r>
        <w:rPr>
          <w:spacing w:val="-2"/>
          <w:sz w:val="24"/>
        </w:rPr>
        <w:t> </w:t>
      </w:r>
      <w:r>
        <w:rPr>
          <w:sz w:val="24"/>
        </w:rPr>
        <w:t>adult</w:t>
      </w:r>
      <w:r>
        <w:rPr>
          <w:spacing w:val="-3"/>
          <w:sz w:val="24"/>
        </w:rPr>
        <w:t> </w:t>
      </w:r>
      <w:r>
        <w:rPr>
          <w:sz w:val="24"/>
        </w:rPr>
        <w:t>illiteracy.</w:t>
      </w:r>
      <w:r>
        <w:rPr>
          <w:spacing w:val="-2"/>
          <w:sz w:val="24"/>
        </w:rPr>
        <w:t> </w:t>
      </w:r>
      <w:r>
        <w:rPr>
          <w:spacing w:val="-4"/>
          <w:sz w:val="24"/>
        </w:rPr>
        <w:t>5.03</w:t>
      </w:r>
    </w:p>
    <w:p>
      <w:pPr>
        <w:pStyle w:val="BodyText"/>
        <w:spacing w:before="2"/>
      </w:pPr>
    </w:p>
    <w:p>
      <w:pPr>
        <w:pStyle w:val="ListParagraph"/>
        <w:numPr>
          <w:ilvl w:val="0"/>
          <w:numId w:val="102"/>
        </w:numPr>
        <w:tabs>
          <w:tab w:pos="349" w:val="left" w:leader="none"/>
        </w:tabs>
        <w:spacing w:line="240" w:lineRule="auto" w:before="0" w:after="0"/>
        <w:ind w:left="160" w:right="496" w:firstLine="0"/>
        <w:jc w:val="both"/>
        <w:rPr>
          <w:sz w:val="24"/>
        </w:rPr>
      </w:pPr>
      <w:r>
        <w:rPr>
          <w:b/>
          <w:sz w:val="24"/>
        </w:rPr>
        <w:t>Enrolment Policies in Secondary and Higher Education. </w:t>
      </w:r>
      <w:r>
        <w:rPr>
          <w:sz w:val="24"/>
        </w:rPr>
        <w:t>(1) The enrolment policies in post-primary education should be based on a combination of four criteria: public demand for secondary and higher education; full-development of the pool of natural ability; capacity of society to provide educational facilities at required levels of quality; and manpower requirements.</w:t>
      </w:r>
    </w:p>
    <w:p>
      <w:pPr>
        <w:pStyle w:val="BodyText"/>
        <w:spacing w:before="5"/>
      </w:pPr>
    </w:p>
    <w:p>
      <w:pPr>
        <w:pStyle w:val="ListParagraph"/>
        <w:numPr>
          <w:ilvl w:val="0"/>
          <w:numId w:val="104"/>
        </w:numPr>
        <w:tabs>
          <w:tab w:pos="511" w:val="left" w:leader="none"/>
        </w:tabs>
        <w:spacing w:line="240" w:lineRule="auto" w:before="0" w:after="0"/>
        <w:ind w:left="160" w:right="496" w:firstLine="0"/>
        <w:jc w:val="both"/>
        <w:rPr>
          <w:sz w:val="24"/>
        </w:rPr>
      </w:pPr>
      <w:r>
        <w:rPr>
          <w:sz w:val="24"/>
        </w:rPr>
        <w:t>The public demand for secondary and higher education has in- creased immensely </w:t>
      </w:r>
      <w:r>
        <w:rPr>
          <w:sz w:val="24"/>
        </w:rPr>
        <w:t>in the first three Plans and will continue to in- crease in future. It sets up a high target which</w:t>
      </w:r>
    </w:p>
    <w:p>
      <w:pPr>
        <w:spacing w:after="0" w:line="240" w:lineRule="auto"/>
        <w:jc w:val="both"/>
        <w:rPr>
          <w:sz w:val="24"/>
        </w:rPr>
        <w:sectPr>
          <w:pgSz w:w="12240" w:h="15840"/>
          <w:pgMar w:header="0" w:footer="743" w:top="1380" w:bottom="940" w:left="1640" w:right="1300"/>
        </w:sectPr>
      </w:pPr>
    </w:p>
    <w:p>
      <w:pPr>
        <w:pStyle w:val="BodyText"/>
        <w:spacing w:before="76"/>
        <w:ind w:left="160" w:right="497"/>
        <w:jc w:val="both"/>
      </w:pPr>
      <w:r>
        <w:rPr/>
        <w:t>is beyond the re- sources of the country in terms of men, money or materials. It is therefore necessary to adopt a policy of selective admissions to higher secondary and university education in order to bridge the gap between the public demand and </w:t>
      </w:r>
      <w:r>
        <w:rPr/>
        <w:t>available </w:t>
      </w:r>
      <w:r>
        <w:rPr>
          <w:spacing w:val="-2"/>
        </w:rPr>
        <w:t>facilities.</w:t>
      </w:r>
    </w:p>
    <w:p>
      <w:pPr>
        <w:pStyle w:val="BodyText"/>
        <w:spacing w:before="4"/>
      </w:pPr>
    </w:p>
    <w:p>
      <w:pPr>
        <w:pStyle w:val="ListParagraph"/>
        <w:numPr>
          <w:ilvl w:val="0"/>
          <w:numId w:val="104"/>
        </w:numPr>
        <w:tabs>
          <w:tab w:pos="509" w:val="left" w:leader="none"/>
        </w:tabs>
        <w:spacing w:line="240" w:lineRule="auto" w:before="0" w:after="0"/>
        <w:ind w:left="160" w:right="497" w:firstLine="0"/>
        <w:jc w:val="both"/>
        <w:rPr>
          <w:sz w:val="24"/>
        </w:rPr>
      </w:pPr>
      <w:r>
        <w:rPr>
          <w:sz w:val="24"/>
        </w:rPr>
        <w:t>Providing secondary and higher education to all potentially able students also sets up</w:t>
      </w:r>
      <w:r>
        <w:rPr>
          <w:spacing w:val="40"/>
          <w:sz w:val="24"/>
        </w:rPr>
        <w:t> </w:t>
      </w:r>
      <w:r>
        <w:rPr>
          <w:sz w:val="24"/>
        </w:rPr>
        <w:t>a high target which even affluent societies find it difficult to achieve. It will be obviously beyond our reach, at least in the immediate future. While striving towards this goal, therefore, the immediate objective of the national enrolment policy should be to ensure that at least all the gifted students (5 to 15 per cent of all the students) who complete primary or secondary education are enabled to study further and that their financial handicaps are overcome through the institution of a liberal programme of scholar- ships.</w:t>
      </w:r>
    </w:p>
    <w:p>
      <w:pPr>
        <w:pStyle w:val="BodyText"/>
        <w:spacing w:before="4"/>
      </w:pPr>
    </w:p>
    <w:p>
      <w:pPr>
        <w:pStyle w:val="ListParagraph"/>
        <w:numPr>
          <w:ilvl w:val="0"/>
          <w:numId w:val="104"/>
        </w:numPr>
        <w:tabs>
          <w:tab w:pos="524" w:val="left" w:leader="none"/>
        </w:tabs>
        <w:spacing w:line="240" w:lineRule="auto" w:before="0" w:after="0"/>
        <w:ind w:left="160" w:right="496" w:firstLine="0"/>
        <w:jc w:val="both"/>
        <w:rPr>
          <w:sz w:val="24"/>
        </w:rPr>
      </w:pPr>
      <w:r>
        <w:rPr>
          <w:sz w:val="24"/>
        </w:rPr>
        <w:t>There are internal constraints in every educational system which limit expansion of facilities, especially in secondary and higher education, viz., the availability of competent teachers, physical plant and finance. These constraints have often been set aside in the past to meet the pressures of public demand and standards have been diluted. This temptation will have to be resisted in the larger interests of the country.</w:t>
      </w:r>
    </w:p>
    <w:p>
      <w:pPr>
        <w:pStyle w:val="BodyText"/>
        <w:spacing w:before="5"/>
      </w:pPr>
    </w:p>
    <w:p>
      <w:pPr>
        <w:pStyle w:val="ListParagraph"/>
        <w:numPr>
          <w:ilvl w:val="0"/>
          <w:numId w:val="104"/>
        </w:numPr>
        <w:tabs>
          <w:tab w:pos="546" w:val="left" w:leader="none"/>
        </w:tabs>
        <w:spacing w:line="240" w:lineRule="auto" w:before="0" w:after="0"/>
        <w:ind w:left="160" w:right="497" w:firstLine="0"/>
        <w:jc w:val="both"/>
        <w:rPr>
          <w:sz w:val="24"/>
        </w:rPr>
      </w:pPr>
      <w:r>
        <w:rPr>
          <w:sz w:val="24"/>
        </w:rPr>
        <w:t>Estimated requirements of manpower needs or available job opportunities form a good basis for planning the expansion of educational facilities. This broad recommendation has to be understood in the light of three reservations:</w:t>
      </w:r>
    </w:p>
    <w:p>
      <w:pPr>
        <w:pStyle w:val="BodyText"/>
        <w:spacing w:before="3"/>
      </w:pPr>
    </w:p>
    <w:p>
      <w:pPr>
        <w:pStyle w:val="ListParagraph"/>
        <w:numPr>
          <w:ilvl w:val="1"/>
          <w:numId w:val="104"/>
        </w:numPr>
        <w:tabs>
          <w:tab w:pos="511" w:val="left" w:leader="none"/>
        </w:tabs>
        <w:spacing w:line="240" w:lineRule="auto" w:before="1" w:after="0"/>
        <w:ind w:left="160" w:right="497" w:firstLine="0"/>
        <w:jc w:val="both"/>
        <w:rPr>
          <w:sz w:val="24"/>
        </w:rPr>
      </w:pPr>
      <w:r>
        <w:rPr>
          <w:sz w:val="24"/>
        </w:rPr>
        <w:t>a continuous effort should be made to improve the collection of necessary data and</w:t>
      </w:r>
      <w:r>
        <w:rPr>
          <w:spacing w:val="40"/>
          <w:sz w:val="24"/>
        </w:rPr>
        <w:t> </w:t>
      </w:r>
      <w:r>
        <w:rPr>
          <w:sz w:val="24"/>
        </w:rPr>
        <w:t>the techniques of forecasting and the estimates of manpower needs should be continuously revised and kept up-to-date;</w:t>
      </w:r>
    </w:p>
    <w:p>
      <w:pPr>
        <w:pStyle w:val="BodyText"/>
        <w:spacing w:before="4"/>
      </w:pPr>
    </w:p>
    <w:p>
      <w:pPr>
        <w:pStyle w:val="ListParagraph"/>
        <w:numPr>
          <w:ilvl w:val="1"/>
          <w:numId w:val="104"/>
        </w:numPr>
        <w:tabs>
          <w:tab w:pos="499" w:val="left" w:leader="none"/>
        </w:tabs>
        <w:spacing w:line="240" w:lineRule="auto" w:before="0" w:after="0"/>
        <w:ind w:left="499" w:right="0" w:hanging="339"/>
        <w:jc w:val="both"/>
        <w:rPr>
          <w:sz w:val="24"/>
        </w:rPr>
      </w:pPr>
      <w:r>
        <w:rPr>
          <w:sz w:val="24"/>
        </w:rPr>
        <w:t>the</w:t>
      </w:r>
      <w:r>
        <w:rPr>
          <w:spacing w:val="-3"/>
          <w:sz w:val="24"/>
        </w:rPr>
        <w:t> </w:t>
      </w:r>
      <w:r>
        <w:rPr>
          <w:sz w:val="24"/>
        </w:rPr>
        <w:t>quality of</w:t>
      </w:r>
      <w:r>
        <w:rPr>
          <w:spacing w:val="-1"/>
          <w:sz w:val="24"/>
        </w:rPr>
        <w:t> </w:t>
      </w:r>
      <w:r>
        <w:rPr>
          <w:sz w:val="24"/>
        </w:rPr>
        <w:t>manpower produced</w:t>
      </w:r>
      <w:r>
        <w:rPr>
          <w:spacing w:val="-4"/>
          <w:sz w:val="24"/>
        </w:rPr>
        <w:t> </w:t>
      </w:r>
      <w:r>
        <w:rPr>
          <w:sz w:val="24"/>
        </w:rPr>
        <w:t>should</w:t>
      </w:r>
      <w:r>
        <w:rPr>
          <w:spacing w:val="-1"/>
          <w:sz w:val="24"/>
        </w:rPr>
        <w:t> </w:t>
      </w:r>
      <w:r>
        <w:rPr>
          <w:sz w:val="24"/>
        </w:rPr>
        <w:t>be</w:t>
      </w:r>
      <w:r>
        <w:rPr>
          <w:spacing w:val="-2"/>
          <w:sz w:val="24"/>
        </w:rPr>
        <w:t> </w:t>
      </w:r>
      <w:r>
        <w:rPr>
          <w:sz w:val="24"/>
        </w:rPr>
        <w:t>equally</w:t>
      </w:r>
      <w:r>
        <w:rPr>
          <w:spacing w:val="-1"/>
          <w:sz w:val="24"/>
        </w:rPr>
        <w:t> </w:t>
      </w:r>
      <w:r>
        <w:rPr>
          <w:sz w:val="24"/>
        </w:rPr>
        <w:t>emphasized;</w:t>
      </w:r>
      <w:r>
        <w:rPr>
          <w:spacing w:val="-1"/>
          <w:sz w:val="24"/>
        </w:rPr>
        <w:t> </w:t>
      </w:r>
      <w:r>
        <w:rPr>
          <w:spacing w:val="-5"/>
          <w:sz w:val="24"/>
        </w:rPr>
        <w:t>and</w:t>
      </w:r>
    </w:p>
    <w:p>
      <w:pPr>
        <w:pStyle w:val="BodyText"/>
        <w:spacing w:before="4"/>
      </w:pPr>
    </w:p>
    <w:p>
      <w:pPr>
        <w:pStyle w:val="ListParagraph"/>
        <w:numPr>
          <w:ilvl w:val="1"/>
          <w:numId w:val="104"/>
        </w:numPr>
        <w:tabs>
          <w:tab w:pos="539" w:val="left" w:leader="none"/>
        </w:tabs>
        <w:spacing w:line="240" w:lineRule="auto" w:before="0" w:after="0"/>
        <w:ind w:left="160" w:right="498" w:firstLine="0"/>
        <w:jc w:val="both"/>
        <w:rPr>
          <w:sz w:val="24"/>
        </w:rPr>
      </w:pPr>
      <w:r>
        <w:rPr>
          <w:sz w:val="24"/>
        </w:rPr>
        <w:t>the estimates of manpower needs should not be regarded as the only criterion-it should be suitably combined with other criteria in taking final decisions about expansion of educational facilities. 5.04-12</w:t>
      </w:r>
    </w:p>
    <w:p>
      <w:pPr>
        <w:pStyle w:val="BodyText"/>
        <w:spacing w:before="4"/>
      </w:pPr>
    </w:p>
    <w:p>
      <w:pPr>
        <w:pStyle w:val="ListParagraph"/>
        <w:numPr>
          <w:ilvl w:val="0"/>
          <w:numId w:val="102"/>
        </w:numPr>
        <w:tabs>
          <w:tab w:pos="343" w:val="left" w:leader="none"/>
        </w:tabs>
        <w:spacing w:line="240" w:lineRule="auto" w:before="0" w:after="0"/>
        <w:ind w:left="160" w:right="495" w:firstLine="0"/>
        <w:jc w:val="both"/>
        <w:rPr>
          <w:sz w:val="24"/>
        </w:rPr>
      </w:pPr>
      <w:r>
        <w:rPr>
          <w:b/>
          <w:sz w:val="24"/>
        </w:rPr>
        <w:t>A Strategy of Development. </w:t>
      </w:r>
      <w:r>
        <w:rPr>
          <w:sz w:val="24"/>
        </w:rPr>
        <w:t>The capacity of society</w:t>
      </w:r>
      <w:r>
        <w:rPr>
          <w:spacing w:val="-1"/>
          <w:sz w:val="24"/>
        </w:rPr>
        <w:t> </w:t>
      </w:r>
      <w:r>
        <w:rPr>
          <w:sz w:val="24"/>
        </w:rPr>
        <w:t>to expand educational facilities in terms of real resources sets up minimum targets whereas the maximum targets are suggested by the public demand for secondary and higher education or the need to develop the available pool of native talent. The gap between these high and low targets can be bridged by considerations which emerge from the necessity to relate the output of the educational system to manpower needs and to equalize educational opportunities. These will indicate the priorities to be adopted, the different courses of study to be developed, the extent to which facilities should be provided in the different courses, and the manner in which enrolments in them could be made to include, after equality of</w:t>
      </w:r>
      <w:r>
        <w:rPr>
          <w:spacing w:val="40"/>
          <w:sz w:val="24"/>
        </w:rPr>
        <w:t> </w:t>
      </w:r>
      <w:r>
        <w:rPr>
          <w:sz w:val="24"/>
        </w:rPr>
        <w:t>access is provided for all, at least the best students in the community. 5.13</w:t>
      </w:r>
    </w:p>
    <w:p>
      <w:pPr>
        <w:pStyle w:val="BodyText"/>
        <w:spacing w:before="3"/>
      </w:pPr>
    </w:p>
    <w:p>
      <w:pPr>
        <w:pStyle w:val="ListParagraph"/>
        <w:numPr>
          <w:ilvl w:val="0"/>
          <w:numId w:val="102"/>
        </w:numPr>
        <w:tabs>
          <w:tab w:pos="349" w:val="left" w:leader="none"/>
        </w:tabs>
        <w:spacing w:line="240" w:lineRule="auto" w:before="1" w:after="0"/>
        <w:ind w:left="160" w:right="497" w:firstLine="0"/>
        <w:jc w:val="both"/>
        <w:rPr>
          <w:sz w:val="24"/>
        </w:rPr>
      </w:pPr>
      <w:r>
        <w:rPr>
          <w:b/>
          <w:sz w:val="24"/>
        </w:rPr>
        <w:t>Future Requirements of Educated Manpower : </w:t>
      </w:r>
      <w:r>
        <w:rPr>
          <w:sz w:val="24"/>
        </w:rPr>
        <w:t>The ISI-LSE Estimates. We broadly accept</w:t>
      </w:r>
      <w:r>
        <w:rPr>
          <w:spacing w:val="14"/>
          <w:sz w:val="24"/>
        </w:rPr>
        <w:t> </w:t>
      </w:r>
      <w:r>
        <w:rPr>
          <w:sz w:val="24"/>
        </w:rPr>
        <w:t>the</w:t>
      </w:r>
      <w:r>
        <w:rPr>
          <w:spacing w:val="16"/>
          <w:sz w:val="24"/>
        </w:rPr>
        <w:t> </w:t>
      </w:r>
      <w:r>
        <w:rPr>
          <w:sz w:val="24"/>
        </w:rPr>
        <w:t>estimates</w:t>
      </w:r>
      <w:r>
        <w:rPr>
          <w:spacing w:val="17"/>
          <w:sz w:val="24"/>
        </w:rPr>
        <w:t> </w:t>
      </w:r>
      <w:r>
        <w:rPr>
          <w:sz w:val="24"/>
        </w:rPr>
        <w:t>of</w:t>
      </w:r>
      <w:r>
        <w:rPr>
          <w:spacing w:val="16"/>
          <w:sz w:val="24"/>
        </w:rPr>
        <w:t> </w:t>
      </w:r>
      <w:r>
        <w:rPr>
          <w:sz w:val="24"/>
        </w:rPr>
        <w:t>future</w:t>
      </w:r>
      <w:r>
        <w:rPr>
          <w:spacing w:val="17"/>
          <w:sz w:val="24"/>
        </w:rPr>
        <w:t> </w:t>
      </w:r>
      <w:r>
        <w:rPr>
          <w:sz w:val="24"/>
        </w:rPr>
        <w:t>requirements</w:t>
      </w:r>
      <w:r>
        <w:rPr>
          <w:spacing w:val="16"/>
          <w:sz w:val="24"/>
        </w:rPr>
        <w:t> </w:t>
      </w:r>
      <w:r>
        <w:rPr>
          <w:sz w:val="24"/>
        </w:rPr>
        <w:t>of</w:t>
      </w:r>
      <w:r>
        <w:rPr>
          <w:spacing w:val="15"/>
          <w:sz w:val="24"/>
        </w:rPr>
        <w:t> </w:t>
      </w:r>
      <w:r>
        <w:rPr>
          <w:sz w:val="24"/>
        </w:rPr>
        <w:t>educated</w:t>
      </w:r>
      <w:r>
        <w:rPr>
          <w:spacing w:val="18"/>
          <w:sz w:val="24"/>
        </w:rPr>
        <w:t> </w:t>
      </w:r>
      <w:r>
        <w:rPr>
          <w:sz w:val="24"/>
        </w:rPr>
        <w:t>manpower</w:t>
      </w:r>
      <w:r>
        <w:rPr>
          <w:spacing w:val="17"/>
          <w:sz w:val="24"/>
        </w:rPr>
        <w:t> </w:t>
      </w:r>
      <w:r>
        <w:rPr>
          <w:sz w:val="24"/>
        </w:rPr>
        <w:t>given</w:t>
      </w:r>
      <w:r>
        <w:rPr>
          <w:spacing w:val="18"/>
          <w:sz w:val="24"/>
        </w:rPr>
        <w:t> </w:t>
      </w:r>
      <w:r>
        <w:rPr>
          <w:sz w:val="24"/>
        </w:rPr>
        <w:t>in</w:t>
      </w:r>
      <w:r>
        <w:rPr>
          <w:spacing w:val="17"/>
          <w:sz w:val="24"/>
        </w:rPr>
        <w:t> </w:t>
      </w:r>
      <w:r>
        <w:rPr>
          <w:sz w:val="24"/>
        </w:rPr>
        <w:t>the</w:t>
      </w:r>
      <w:r>
        <w:rPr>
          <w:spacing w:val="18"/>
          <w:sz w:val="24"/>
        </w:rPr>
        <w:t> </w:t>
      </w:r>
      <w:r>
        <w:rPr>
          <w:sz w:val="24"/>
        </w:rPr>
        <w:t>ISI-</w:t>
      </w:r>
      <w:r>
        <w:rPr>
          <w:spacing w:val="-5"/>
          <w:sz w:val="24"/>
        </w:rPr>
        <w:t>LSE</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Paper. This will, however, have to be continually revised in the light of the best data available and kept up-to-date. The table given on page 174 (Table 5.3) shows </w:t>
      </w:r>
      <w:r>
        <w:rPr/>
        <w:t>the estimates of the required workers, stock and out-turn of educated persons during the next twenty years.</w:t>
      </w:r>
    </w:p>
    <w:p>
      <w:pPr>
        <w:pStyle w:val="BodyText"/>
        <w:spacing w:before="4"/>
      </w:pPr>
    </w:p>
    <w:p>
      <w:pPr>
        <w:pStyle w:val="ListParagraph"/>
        <w:numPr>
          <w:ilvl w:val="0"/>
          <w:numId w:val="102"/>
        </w:numPr>
        <w:tabs>
          <w:tab w:pos="411" w:val="left" w:leader="none"/>
        </w:tabs>
        <w:spacing w:line="240" w:lineRule="auto" w:before="0" w:after="0"/>
        <w:ind w:left="160" w:right="496" w:firstLine="0"/>
        <w:jc w:val="both"/>
        <w:rPr>
          <w:sz w:val="24"/>
        </w:rPr>
      </w:pPr>
      <w:r>
        <w:rPr>
          <w:b/>
          <w:sz w:val="24"/>
        </w:rPr>
        <w:t>Educational Implications of the Estimates. </w:t>
      </w:r>
      <w:r>
        <w:rPr>
          <w:sz w:val="24"/>
        </w:rPr>
        <w:t>The following are the main policy implications of these estimates:</w:t>
      </w:r>
    </w:p>
    <w:p>
      <w:pPr>
        <w:pStyle w:val="BodyText"/>
        <w:spacing w:before="5"/>
      </w:pPr>
    </w:p>
    <w:p>
      <w:pPr>
        <w:pStyle w:val="ListParagraph"/>
        <w:numPr>
          <w:ilvl w:val="0"/>
          <w:numId w:val="105"/>
        </w:numPr>
        <w:tabs>
          <w:tab w:pos="325" w:val="left" w:leader="none"/>
        </w:tabs>
        <w:spacing w:line="240" w:lineRule="auto" w:before="0" w:after="0"/>
        <w:ind w:left="160" w:right="497" w:firstLine="0"/>
        <w:jc w:val="both"/>
        <w:rPr>
          <w:sz w:val="24"/>
        </w:rPr>
      </w:pPr>
      <w:r>
        <w:rPr>
          <w:sz w:val="24"/>
        </w:rPr>
        <w:t>to restrict the unplanned and uncontrolled expansion of general secondary and higher education, if massive educated unemployment is to be avoided;</w:t>
      </w:r>
    </w:p>
    <w:p>
      <w:pPr>
        <w:pStyle w:val="BodyText"/>
        <w:spacing w:before="4"/>
      </w:pPr>
    </w:p>
    <w:p>
      <w:pPr>
        <w:pStyle w:val="ListParagraph"/>
        <w:numPr>
          <w:ilvl w:val="0"/>
          <w:numId w:val="105"/>
        </w:numPr>
        <w:tabs>
          <w:tab w:pos="359" w:val="left" w:leader="none"/>
        </w:tabs>
        <w:spacing w:line="240" w:lineRule="auto" w:before="0" w:after="0"/>
        <w:ind w:left="160" w:right="497" w:firstLine="0"/>
        <w:jc w:val="both"/>
        <w:rPr>
          <w:sz w:val="24"/>
        </w:rPr>
      </w:pPr>
      <w:r>
        <w:rPr>
          <w:sz w:val="24"/>
        </w:rPr>
        <w:t>to make special and intensive efforts to vocationalize secondary education and to develop professional education at the university stage; and</w:t>
      </w:r>
    </w:p>
    <w:p>
      <w:pPr>
        <w:pStyle w:val="BodyText"/>
        <w:spacing w:before="3"/>
      </w:pPr>
    </w:p>
    <w:p>
      <w:pPr>
        <w:pStyle w:val="ListParagraph"/>
        <w:numPr>
          <w:ilvl w:val="0"/>
          <w:numId w:val="105"/>
        </w:numPr>
        <w:tabs>
          <w:tab w:pos="307" w:val="left" w:leader="none"/>
        </w:tabs>
        <w:spacing w:line="240" w:lineRule="auto" w:before="0" w:after="0"/>
        <w:ind w:left="159" w:right="497" w:firstLine="0"/>
        <w:jc w:val="both"/>
        <w:rPr>
          <w:sz w:val="24"/>
        </w:rPr>
      </w:pPr>
      <w:r>
        <w:rPr>
          <w:sz w:val="24"/>
        </w:rPr>
        <w:t>to devise suitable machinery, both at the national and State levels, which will relate the estimates of manpower needs effectively to the output of the educational system so that, by</w:t>
      </w:r>
      <w:r>
        <w:rPr>
          <w:spacing w:val="-1"/>
          <w:sz w:val="24"/>
        </w:rPr>
        <w:t> </w:t>
      </w:r>
      <w:r>
        <w:rPr>
          <w:sz w:val="24"/>
        </w:rPr>
        <w:t>and</w:t>
      </w:r>
      <w:r>
        <w:rPr>
          <w:spacing w:val="-1"/>
          <w:sz w:val="24"/>
        </w:rPr>
        <w:t> </w:t>
      </w:r>
      <w:r>
        <w:rPr>
          <w:sz w:val="24"/>
        </w:rPr>
        <w:t>large,</w:t>
      </w:r>
      <w:r>
        <w:rPr>
          <w:spacing w:val="-1"/>
          <w:sz w:val="24"/>
        </w:rPr>
        <w:t> </w:t>
      </w:r>
      <w:r>
        <w:rPr>
          <w:sz w:val="24"/>
        </w:rPr>
        <w:t>there</w:t>
      </w:r>
      <w:r>
        <w:rPr>
          <w:spacing w:val="-1"/>
          <w:sz w:val="24"/>
        </w:rPr>
        <w:t> </w:t>
      </w:r>
      <w:r>
        <w:rPr>
          <w:sz w:val="24"/>
        </w:rPr>
        <w:t>is</w:t>
      </w:r>
      <w:r>
        <w:rPr>
          <w:spacing w:val="-1"/>
          <w:sz w:val="24"/>
        </w:rPr>
        <w:t> </w:t>
      </w:r>
      <w:r>
        <w:rPr>
          <w:sz w:val="24"/>
        </w:rPr>
        <w:t>some</w:t>
      </w:r>
      <w:r>
        <w:rPr>
          <w:spacing w:val="-1"/>
          <w:sz w:val="24"/>
        </w:rPr>
        <w:t> </w:t>
      </w:r>
      <w:r>
        <w:rPr>
          <w:sz w:val="24"/>
        </w:rPr>
        <w:t>assurance</w:t>
      </w:r>
      <w:r>
        <w:rPr>
          <w:spacing w:val="-1"/>
          <w:sz w:val="24"/>
        </w:rPr>
        <w:t> </w:t>
      </w:r>
      <w:r>
        <w:rPr>
          <w:sz w:val="24"/>
        </w:rPr>
        <w:t>that</w:t>
      </w:r>
      <w:r>
        <w:rPr>
          <w:spacing w:val="-1"/>
          <w:sz w:val="24"/>
        </w:rPr>
        <w:t> </w:t>
      </w:r>
      <w:r>
        <w:rPr>
          <w:sz w:val="24"/>
        </w:rPr>
        <w:t>a</w:t>
      </w:r>
      <w:r>
        <w:rPr>
          <w:spacing w:val="-1"/>
          <w:sz w:val="24"/>
        </w:rPr>
        <w:t> </w:t>
      </w:r>
      <w:r>
        <w:rPr>
          <w:sz w:val="24"/>
        </w:rPr>
        <w:t>suitably</w:t>
      </w:r>
      <w:r>
        <w:rPr>
          <w:spacing w:val="-1"/>
          <w:sz w:val="24"/>
        </w:rPr>
        <w:t> </w:t>
      </w:r>
      <w:r>
        <w:rPr>
          <w:sz w:val="24"/>
        </w:rPr>
        <w:t>trained</w:t>
      </w:r>
      <w:r>
        <w:rPr>
          <w:spacing w:val="-1"/>
          <w:sz w:val="24"/>
        </w:rPr>
        <w:t> </w:t>
      </w:r>
      <w:r>
        <w:rPr>
          <w:sz w:val="24"/>
        </w:rPr>
        <w:t>person</w:t>
      </w:r>
      <w:r>
        <w:rPr>
          <w:spacing w:val="-1"/>
          <w:sz w:val="24"/>
        </w:rPr>
        <w:t> </w:t>
      </w:r>
      <w:r>
        <w:rPr>
          <w:sz w:val="24"/>
        </w:rPr>
        <w:t>would</w:t>
      </w:r>
      <w:r>
        <w:rPr>
          <w:spacing w:val="-1"/>
          <w:sz w:val="24"/>
        </w:rPr>
        <w:t> </w:t>
      </w:r>
      <w:r>
        <w:rPr>
          <w:sz w:val="24"/>
        </w:rPr>
        <w:t>be</w:t>
      </w:r>
      <w:r>
        <w:rPr>
          <w:spacing w:val="-1"/>
          <w:sz w:val="24"/>
        </w:rPr>
        <w:t> </w:t>
      </w:r>
      <w:r>
        <w:rPr>
          <w:sz w:val="24"/>
        </w:rPr>
        <w:t>available</w:t>
      </w:r>
      <w:r>
        <w:rPr>
          <w:spacing w:val="-1"/>
          <w:sz w:val="24"/>
        </w:rPr>
        <w:t> </w:t>
      </w:r>
      <w:r>
        <w:rPr>
          <w:sz w:val="24"/>
        </w:rPr>
        <w:t>for every job to be done and every educated person would find a job appropriate for his education and profession- al training. 5.26</w:t>
      </w:r>
    </w:p>
    <w:p>
      <w:pPr>
        <w:pStyle w:val="BodyText"/>
        <w:spacing w:before="4"/>
      </w:pPr>
    </w:p>
    <w:p>
      <w:pPr>
        <w:pStyle w:val="ListParagraph"/>
        <w:numPr>
          <w:ilvl w:val="0"/>
          <w:numId w:val="102"/>
        </w:numPr>
        <w:tabs>
          <w:tab w:pos="364" w:val="left" w:leader="none"/>
        </w:tabs>
        <w:spacing w:line="240" w:lineRule="auto" w:before="0" w:after="0"/>
        <w:ind w:left="159" w:right="496" w:firstLine="0"/>
        <w:jc w:val="both"/>
        <w:rPr>
          <w:sz w:val="24"/>
        </w:rPr>
      </w:pPr>
      <w:r>
        <w:rPr>
          <w:b/>
          <w:sz w:val="24"/>
        </w:rPr>
        <w:t>Enrolments. </w:t>
      </w:r>
      <w:r>
        <w:rPr>
          <w:sz w:val="24"/>
        </w:rPr>
        <w:t>The enrolments implied in these targets of out- turn, workers and stock have been discussed in the appropriate context in the different sections of this Report. </w:t>
      </w:r>
      <w:r>
        <w:rPr>
          <w:spacing w:val="-4"/>
          <w:sz w:val="24"/>
        </w:rPr>
        <w:t>5.40</w:t>
      </w:r>
    </w:p>
    <w:p>
      <w:pPr>
        <w:pStyle w:val="BodyText"/>
        <w:spacing w:before="5"/>
      </w:pPr>
    </w:p>
    <w:p>
      <w:pPr>
        <w:pStyle w:val="ListParagraph"/>
        <w:numPr>
          <w:ilvl w:val="0"/>
          <w:numId w:val="102"/>
        </w:numPr>
        <w:tabs>
          <w:tab w:pos="370" w:val="left" w:leader="none"/>
        </w:tabs>
        <w:spacing w:line="240" w:lineRule="auto" w:before="0" w:after="0"/>
        <w:ind w:left="160" w:right="496" w:firstLine="0"/>
        <w:jc w:val="both"/>
        <w:rPr>
          <w:sz w:val="24"/>
        </w:rPr>
      </w:pPr>
      <w:r>
        <w:rPr>
          <w:b/>
          <w:sz w:val="24"/>
        </w:rPr>
        <w:t>Machinery for Manpower Planning. </w:t>
      </w:r>
      <w:r>
        <w:rPr>
          <w:sz w:val="24"/>
        </w:rPr>
        <w:t>The first two of these have been discussed in their appropriate context in later chapters. With regard to the third, the following recommendations are made:</w:t>
      </w:r>
    </w:p>
    <w:p>
      <w:pPr>
        <w:pStyle w:val="BodyText"/>
        <w:spacing w:before="4"/>
      </w:pPr>
    </w:p>
    <w:p>
      <w:pPr>
        <w:pStyle w:val="ListParagraph"/>
        <w:numPr>
          <w:ilvl w:val="1"/>
          <w:numId w:val="102"/>
        </w:numPr>
        <w:tabs>
          <w:tab w:pos="527" w:val="left" w:leader="none"/>
        </w:tabs>
        <w:spacing w:line="240" w:lineRule="auto" w:before="0" w:after="0"/>
        <w:ind w:left="160" w:right="496" w:firstLine="0"/>
        <w:jc w:val="both"/>
        <w:rPr>
          <w:sz w:val="24"/>
        </w:rPr>
      </w:pPr>
      <w:r>
        <w:rPr>
          <w:sz w:val="24"/>
        </w:rPr>
        <w:t>At the national level, the Planning Commission, which is responsible for preparing estimates of manpower requirements in all sectors of national development should set up a Standing Committee for Manpower. Its main responsibility should be to prepare and revise, from time to time, manpower forecasts for the overall output of the educational system as well as for different categories of specialists.</w:t>
      </w:r>
    </w:p>
    <w:p>
      <w:pPr>
        <w:pStyle w:val="BodyText"/>
        <w:spacing w:before="3"/>
      </w:pPr>
    </w:p>
    <w:p>
      <w:pPr>
        <w:pStyle w:val="ListParagraph"/>
        <w:numPr>
          <w:ilvl w:val="1"/>
          <w:numId w:val="102"/>
        </w:numPr>
        <w:tabs>
          <w:tab w:pos="499" w:val="left" w:leader="none"/>
        </w:tabs>
        <w:spacing w:line="240" w:lineRule="auto" w:before="0" w:after="0"/>
        <w:ind w:left="160" w:right="496" w:firstLine="0"/>
        <w:jc w:val="both"/>
        <w:rPr>
          <w:sz w:val="24"/>
        </w:rPr>
      </w:pPr>
      <w:r>
        <w:rPr>
          <w:sz w:val="24"/>
        </w:rPr>
        <w:t>At</w:t>
      </w:r>
      <w:r>
        <w:rPr>
          <w:spacing w:val="-2"/>
          <w:sz w:val="24"/>
        </w:rPr>
        <w:t> </w:t>
      </w:r>
      <w:r>
        <w:rPr>
          <w:sz w:val="24"/>
        </w:rPr>
        <w:t>the</w:t>
      </w:r>
      <w:r>
        <w:rPr>
          <w:spacing w:val="-2"/>
          <w:sz w:val="24"/>
        </w:rPr>
        <w:t> </w:t>
      </w:r>
      <w:r>
        <w:rPr>
          <w:sz w:val="24"/>
        </w:rPr>
        <w:t>State</w:t>
      </w:r>
      <w:r>
        <w:rPr>
          <w:spacing w:val="-2"/>
          <w:sz w:val="24"/>
        </w:rPr>
        <w:t> </w:t>
      </w:r>
      <w:r>
        <w:rPr>
          <w:sz w:val="24"/>
        </w:rPr>
        <w:t>level,</w:t>
      </w:r>
      <w:r>
        <w:rPr>
          <w:spacing w:val="-2"/>
          <w:sz w:val="24"/>
        </w:rPr>
        <w:t> </w:t>
      </w:r>
      <w:r>
        <w:rPr>
          <w:sz w:val="24"/>
        </w:rPr>
        <w:t>it</w:t>
      </w:r>
      <w:r>
        <w:rPr>
          <w:spacing w:val="-2"/>
          <w:sz w:val="24"/>
        </w:rPr>
        <w:t> </w:t>
      </w:r>
      <w:r>
        <w:rPr>
          <w:sz w:val="24"/>
        </w:rPr>
        <w:t>may</w:t>
      </w:r>
      <w:r>
        <w:rPr>
          <w:spacing w:val="-1"/>
          <w:sz w:val="24"/>
        </w:rPr>
        <w:t> </w:t>
      </w:r>
      <w:r>
        <w:rPr>
          <w:sz w:val="24"/>
        </w:rPr>
        <w:t>be</w:t>
      </w:r>
      <w:r>
        <w:rPr>
          <w:spacing w:val="-1"/>
          <w:sz w:val="24"/>
        </w:rPr>
        <w:t> </w:t>
      </w:r>
      <w:r>
        <w:rPr>
          <w:sz w:val="24"/>
        </w:rPr>
        <w:t>desirable</w:t>
      </w:r>
      <w:r>
        <w:rPr>
          <w:spacing w:val="-1"/>
          <w:sz w:val="24"/>
        </w:rPr>
        <w:t> </w:t>
      </w:r>
      <w:r>
        <w:rPr>
          <w:sz w:val="24"/>
        </w:rPr>
        <w:t>to</w:t>
      </w:r>
      <w:r>
        <w:rPr>
          <w:spacing w:val="-1"/>
          <w:sz w:val="24"/>
        </w:rPr>
        <w:t> </w:t>
      </w:r>
      <w:r>
        <w:rPr>
          <w:sz w:val="24"/>
        </w:rPr>
        <w:t>set</w:t>
      </w:r>
      <w:r>
        <w:rPr>
          <w:spacing w:val="-1"/>
          <w:sz w:val="24"/>
        </w:rPr>
        <w:t> </w:t>
      </w:r>
      <w:r>
        <w:rPr>
          <w:sz w:val="24"/>
        </w:rPr>
        <w:t>up</w:t>
      </w:r>
      <w:r>
        <w:rPr>
          <w:spacing w:val="-1"/>
          <w:sz w:val="24"/>
        </w:rPr>
        <w:t> </w:t>
      </w:r>
      <w:r>
        <w:rPr>
          <w:sz w:val="24"/>
        </w:rPr>
        <w:t>State</w:t>
      </w:r>
      <w:r>
        <w:rPr>
          <w:spacing w:val="-1"/>
          <w:sz w:val="24"/>
        </w:rPr>
        <w:t> </w:t>
      </w:r>
      <w:r>
        <w:rPr>
          <w:sz w:val="24"/>
        </w:rPr>
        <w:t>Committees</w:t>
      </w:r>
      <w:r>
        <w:rPr>
          <w:spacing w:val="-1"/>
          <w:sz w:val="24"/>
        </w:rPr>
        <w:t> </w:t>
      </w:r>
      <w:r>
        <w:rPr>
          <w:sz w:val="24"/>
        </w:rPr>
        <w:t>on</w:t>
      </w:r>
      <w:r>
        <w:rPr>
          <w:spacing w:val="-1"/>
          <w:sz w:val="24"/>
        </w:rPr>
        <w:t> </w:t>
      </w:r>
      <w:r>
        <w:rPr>
          <w:sz w:val="24"/>
        </w:rPr>
        <w:t>Manpower</w:t>
      </w:r>
      <w:r>
        <w:rPr>
          <w:spacing w:val="-1"/>
          <w:sz w:val="24"/>
        </w:rPr>
        <w:t> </w:t>
      </w:r>
      <w:r>
        <w:rPr>
          <w:sz w:val="24"/>
        </w:rPr>
        <w:t>on</w:t>
      </w:r>
      <w:r>
        <w:rPr>
          <w:spacing w:val="-1"/>
          <w:sz w:val="24"/>
        </w:rPr>
        <w:t> </w:t>
      </w:r>
      <w:r>
        <w:rPr>
          <w:sz w:val="24"/>
        </w:rPr>
        <w:t>the broad fines of the Standing Committee for Manpower at the Centre and having similar functions and responsibilities.</w:t>
      </w:r>
    </w:p>
    <w:p>
      <w:pPr>
        <w:pStyle w:val="BodyText"/>
        <w:spacing w:before="4"/>
      </w:pPr>
    </w:p>
    <w:p>
      <w:pPr>
        <w:pStyle w:val="ListParagraph"/>
        <w:numPr>
          <w:ilvl w:val="0"/>
          <w:numId w:val="102"/>
        </w:numPr>
        <w:tabs>
          <w:tab w:pos="347" w:val="left" w:leader="none"/>
        </w:tabs>
        <w:spacing w:line="240" w:lineRule="auto" w:before="0" w:after="0"/>
        <w:ind w:left="160" w:right="497" w:firstLine="0"/>
        <w:jc w:val="both"/>
        <w:rPr>
          <w:sz w:val="24"/>
        </w:rPr>
      </w:pPr>
      <w:r>
        <w:rPr>
          <w:b/>
          <w:sz w:val="24"/>
        </w:rPr>
        <w:t>Relating Manpower Estimates to output of Educational Institutions. </w:t>
      </w:r>
      <w:r>
        <w:rPr>
          <w:sz w:val="24"/>
        </w:rPr>
        <w:t>The following measures will have to be taken to relate the output of the educational system to</w:t>
      </w:r>
      <w:r>
        <w:rPr>
          <w:spacing w:val="40"/>
          <w:sz w:val="24"/>
        </w:rPr>
        <w:t> </w:t>
      </w:r>
      <w:r>
        <w:rPr>
          <w:sz w:val="24"/>
        </w:rPr>
        <w:t>manpower needs:</w:t>
      </w:r>
    </w:p>
    <w:p>
      <w:pPr>
        <w:pStyle w:val="BodyText"/>
        <w:spacing w:before="5"/>
      </w:pPr>
    </w:p>
    <w:p>
      <w:pPr>
        <w:pStyle w:val="ListParagraph"/>
        <w:numPr>
          <w:ilvl w:val="1"/>
          <w:numId w:val="102"/>
        </w:numPr>
        <w:tabs>
          <w:tab w:pos="556" w:val="left" w:leader="none"/>
        </w:tabs>
        <w:spacing w:line="240" w:lineRule="auto" w:before="0" w:after="0"/>
        <w:ind w:left="160" w:right="497" w:firstLine="0"/>
        <w:jc w:val="both"/>
        <w:rPr>
          <w:sz w:val="24"/>
        </w:rPr>
      </w:pPr>
      <w:r>
        <w:rPr>
          <w:sz w:val="24"/>
        </w:rPr>
        <w:t>National Level. Planning at the national level should be done by the Centre in consultation</w:t>
      </w:r>
      <w:r>
        <w:rPr>
          <w:spacing w:val="-2"/>
          <w:sz w:val="24"/>
        </w:rPr>
        <w:t> </w:t>
      </w:r>
      <w:r>
        <w:rPr>
          <w:sz w:val="24"/>
        </w:rPr>
        <w:t>with</w:t>
      </w:r>
      <w:r>
        <w:rPr>
          <w:spacing w:val="-2"/>
          <w:sz w:val="24"/>
        </w:rPr>
        <w:t> </w:t>
      </w:r>
      <w:r>
        <w:rPr>
          <w:sz w:val="24"/>
        </w:rPr>
        <w:t>the</w:t>
      </w:r>
      <w:r>
        <w:rPr>
          <w:spacing w:val="-2"/>
          <w:sz w:val="24"/>
        </w:rPr>
        <w:t> </w:t>
      </w:r>
      <w:r>
        <w:rPr>
          <w:sz w:val="24"/>
        </w:rPr>
        <w:t>States</w:t>
      </w:r>
      <w:r>
        <w:rPr>
          <w:spacing w:val="-2"/>
          <w:sz w:val="24"/>
        </w:rPr>
        <w:t> </w:t>
      </w:r>
      <w:r>
        <w:rPr>
          <w:sz w:val="24"/>
        </w:rPr>
        <w:t>and</w:t>
      </w:r>
      <w:r>
        <w:rPr>
          <w:spacing w:val="-2"/>
          <w:sz w:val="24"/>
        </w:rPr>
        <w:t> </w:t>
      </w:r>
      <w:r>
        <w:rPr>
          <w:sz w:val="24"/>
        </w:rPr>
        <w:t>should</w:t>
      </w:r>
      <w:r>
        <w:rPr>
          <w:spacing w:val="-2"/>
          <w:sz w:val="24"/>
        </w:rPr>
        <w:t> </w:t>
      </w:r>
      <w:r>
        <w:rPr>
          <w:sz w:val="24"/>
        </w:rPr>
        <w:t>cover</w:t>
      </w:r>
      <w:r>
        <w:rPr>
          <w:spacing w:val="-3"/>
          <w:sz w:val="24"/>
        </w:rPr>
        <w:t> </w:t>
      </w:r>
      <w:r>
        <w:rPr>
          <w:sz w:val="24"/>
        </w:rPr>
        <w:t>all</w:t>
      </w:r>
      <w:r>
        <w:rPr>
          <w:spacing w:val="-3"/>
          <w:sz w:val="24"/>
        </w:rPr>
        <w:t> </w:t>
      </w:r>
      <w:r>
        <w:rPr>
          <w:sz w:val="24"/>
        </w:rPr>
        <w:t>sectors</w:t>
      </w:r>
      <w:r>
        <w:rPr>
          <w:spacing w:val="-3"/>
          <w:sz w:val="24"/>
        </w:rPr>
        <w:t> </w:t>
      </w:r>
      <w:r>
        <w:rPr>
          <w:sz w:val="24"/>
        </w:rPr>
        <w:t>crucial</w:t>
      </w:r>
      <w:r>
        <w:rPr>
          <w:spacing w:val="-2"/>
          <w:sz w:val="24"/>
        </w:rPr>
        <w:t> </w:t>
      </w:r>
      <w:r>
        <w:rPr>
          <w:sz w:val="24"/>
        </w:rPr>
        <w:t>for</w:t>
      </w:r>
      <w:r>
        <w:rPr>
          <w:spacing w:val="-1"/>
          <w:sz w:val="24"/>
        </w:rPr>
        <w:t> </w:t>
      </w:r>
      <w:r>
        <w:rPr>
          <w:sz w:val="24"/>
        </w:rPr>
        <w:t>national</w:t>
      </w:r>
      <w:r>
        <w:rPr>
          <w:spacing w:val="-2"/>
          <w:sz w:val="24"/>
        </w:rPr>
        <w:t> </w:t>
      </w:r>
      <w:r>
        <w:rPr>
          <w:sz w:val="24"/>
        </w:rPr>
        <w:t>development, where the mobility of trained personnel is or should be high, where it is very costly to set up</w:t>
      </w:r>
      <w:r>
        <w:rPr>
          <w:spacing w:val="13"/>
          <w:sz w:val="24"/>
        </w:rPr>
        <w:t> </w:t>
      </w:r>
      <w:r>
        <w:rPr>
          <w:sz w:val="24"/>
        </w:rPr>
        <w:t>institutions</w:t>
      </w:r>
      <w:r>
        <w:rPr>
          <w:spacing w:val="13"/>
          <w:sz w:val="24"/>
        </w:rPr>
        <w:t> </w:t>
      </w:r>
      <w:r>
        <w:rPr>
          <w:sz w:val="24"/>
        </w:rPr>
        <w:t>for</w:t>
      </w:r>
      <w:r>
        <w:rPr>
          <w:spacing w:val="13"/>
          <w:sz w:val="24"/>
        </w:rPr>
        <w:t> </w:t>
      </w:r>
      <w:r>
        <w:rPr>
          <w:sz w:val="24"/>
        </w:rPr>
        <w:t>training</w:t>
      </w:r>
      <w:r>
        <w:rPr>
          <w:spacing w:val="13"/>
          <w:sz w:val="24"/>
        </w:rPr>
        <w:t> </w:t>
      </w:r>
      <w:r>
        <w:rPr>
          <w:sz w:val="24"/>
        </w:rPr>
        <w:t>personnel</w:t>
      </w:r>
      <w:r>
        <w:rPr>
          <w:spacing w:val="13"/>
          <w:sz w:val="24"/>
        </w:rPr>
        <w:t> </w:t>
      </w:r>
      <w:r>
        <w:rPr>
          <w:sz w:val="24"/>
        </w:rPr>
        <w:t>or</w:t>
      </w:r>
      <w:r>
        <w:rPr>
          <w:spacing w:val="13"/>
          <w:sz w:val="24"/>
        </w:rPr>
        <w:t> </w:t>
      </w:r>
      <w:r>
        <w:rPr>
          <w:sz w:val="24"/>
        </w:rPr>
        <w:t>where</w:t>
      </w:r>
      <w:r>
        <w:rPr>
          <w:spacing w:val="12"/>
          <w:sz w:val="24"/>
        </w:rPr>
        <w:t> </w:t>
      </w:r>
      <w:r>
        <w:rPr>
          <w:sz w:val="24"/>
        </w:rPr>
        <w:t>the</w:t>
      </w:r>
      <w:r>
        <w:rPr>
          <w:spacing w:val="13"/>
          <w:sz w:val="24"/>
        </w:rPr>
        <w:t> </w:t>
      </w:r>
      <w:r>
        <w:rPr>
          <w:sz w:val="24"/>
        </w:rPr>
        <w:t>very</w:t>
      </w:r>
      <w:r>
        <w:rPr>
          <w:spacing w:val="13"/>
          <w:sz w:val="24"/>
        </w:rPr>
        <w:t> </w:t>
      </w:r>
      <w:r>
        <w:rPr>
          <w:sz w:val="24"/>
        </w:rPr>
        <w:t>high</w:t>
      </w:r>
      <w:r>
        <w:rPr>
          <w:spacing w:val="13"/>
          <w:sz w:val="24"/>
        </w:rPr>
        <w:t> </w:t>
      </w:r>
      <w:r>
        <w:rPr>
          <w:sz w:val="24"/>
        </w:rPr>
        <w:t>level</w:t>
      </w:r>
      <w:r>
        <w:rPr>
          <w:spacing w:val="13"/>
          <w:sz w:val="24"/>
        </w:rPr>
        <w:t> </w:t>
      </w:r>
      <w:r>
        <w:rPr>
          <w:sz w:val="24"/>
        </w:rPr>
        <w:t>staff</w:t>
      </w:r>
      <w:r>
        <w:rPr>
          <w:spacing w:val="13"/>
          <w:sz w:val="24"/>
        </w:rPr>
        <w:t> </w:t>
      </w:r>
      <w:r>
        <w:rPr>
          <w:sz w:val="24"/>
        </w:rPr>
        <w:t>required</w:t>
      </w:r>
      <w:r>
        <w:rPr>
          <w:spacing w:val="13"/>
          <w:sz w:val="24"/>
        </w:rPr>
        <w:t> </w:t>
      </w:r>
      <w:r>
        <w:rPr>
          <w:sz w:val="24"/>
        </w:rPr>
        <w:t>for</w:t>
      </w:r>
      <w:r>
        <w:rPr>
          <w:spacing w:val="13"/>
          <w:sz w:val="24"/>
        </w:rPr>
        <w:t> </w:t>
      </w:r>
      <w:r>
        <w:rPr>
          <w:spacing w:val="-4"/>
          <w:sz w:val="24"/>
        </w:rPr>
        <w:t>such</w:t>
      </w:r>
    </w:p>
    <w:p>
      <w:pPr>
        <w:spacing w:after="0" w:line="240" w:lineRule="auto"/>
        <w:jc w:val="both"/>
        <w:rPr>
          <w:sz w:val="24"/>
        </w:rPr>
        <w:sectPr>
          <w:pgSz w:w="12240" w:h="15840"/>
          <w:pgMar w:header="0" w:footer="743" w:top="1360" w:bottom="940" w:left="1640" w:right="1300"/>
        </w:sectPr>
      </w:pPr>
    </w:p>
    <w:p>
      <w:pPr>
        <w:pStyle w:val="BodyText"/>
        <w:spacing w:before="76"/>
        <w:ind w:left="160" w:right="499"/>
        <w:jc w:val="both"/>
      </w:pPr>
      <w:r>
        <w:rPr/>
        <w:t>institutions is in short supply. These should include engineering, agricultural and medical education, and the preparation of teachers for higher education.</w:t>
      </w:r>
    </w:p>
    <w:p>
      <w:pPr>
        <w:pStyle w:val="BodyText"/>
        <w:spacing w:before="4"/>
      </w:pPr>
    </w:p>
    <w:p>
      <w:pPr>
        <w:pStyle w:val="ListParagraph"/>
        <w:numPr>
          <w:ilvl w:val="1"/>
          <w:numId w:val="102"/>
        </w:numPr>
        <w:tabs>
          <w:tab w:pos="516" w:val="left" w:leader="none"/>
        </w:tabs>
        <w:spacing w:line="240" w:lineRule="auto" w:before="0" w:after="0"/>
        <w:ind w:left="160" w:right="498" w:firstLine="0"/>
        <w:jc w:val="both"/>
        <w:rPr>
          <w:sz w:val="24"/>
        </w:rPr>
      </w:pPr>
      <w:r>
        <w:rPr>
          <w:sz w:val="24"/>
        </w:rPr>
        <w:t>State Level. The planning of the remaining sectors should be done at the State level</w:t>
      </w:r>
      <w:r>
        <w:rPr>
          <w:spacing w:val="40"/>
          <w:sz w:val="24"/>
        </w:rPr>
        <w:t> </w:t>
      </w:r>
      <w:r>
        <w:rPr>
          <w:sz w:val="24"/>
        </w:rPr>
        <w:t>by State Governments. The planning of facilities in secondary and higher education (excluding the sectors for which planning would be done at the Central level) should be done at the State level.</w:t>
      </w:r>
    </w:p>
    <w:p>
      <w:pPr>
        <w:pStyle w:val="BodyText"/>
        <w:spacing w:before="5"/>
      </w:pPr>
    </w:p>
    <w:p>
      <w:pPr>
        <w:pStyle w:val="ListParagraph"/>
        <w:numPr>
          <w:ilvl w:val="1"/>
          <w:numId w:val="102"/>
        </w:numPr>
        <w:tabs>
          <w:tab w:pos="517" w:val="left" w:leader="none"/>
        </w:tabs>
        <w:spacing w:line="240" w:lineRule="auto" w:before="0" w:after="0"/>
        <w:ind w:left="160" w:right="497" w:firstLine="0"/>
        <w:jc w:val="both"/>
        <w:rPr>
          <w:sz w:val="24"/>
        </w:rPr>
      </w:pPr>
      <w:r>
        <w:rPr>
          <w:sz w:val="24"/>
        </w:rPr>
        <w:t>The provision of vocational education-both of school and college standard-will </w:t>
      </w:r>
      <w:r>
        <w:rPr>
          <w:sz w:val="24"/>
        </w:rPr>
        <w:t>have to be expanded in all areas on a priority basis in keeping with manpower needs.</w:t>
      </w:r>
    </w:p>
    <w:p>
      <w:pPr>
        <w:pStyle w:val="BodyText"/>
        <w:spacing w:before="4"/>
      </w:pPr>
    </w:p>
    <w:p>
      <w:pPr>
        <w:pStyle w:val="ListParagraph"/>
        <w:numPr>
          <w:ilvl w:val="1"/>
          <w:numId w:val="102"/>
        </w:numPr>
        <w:tabs>
          <w:tab w:pos="542" w:val="left" w:leader="none"/>
        </w:tabs>
        <w:spacing w:line="240" w:lineRule="auto" w:before="0" w:after="0"/>
        <w:ind w:left="160" w:right="496" w:firstLine="0"/>
        <w:jc w:val="both"/>
        <w:rPr>
          <w:sz w:val="24"/>
        </w:rPr>
      </w:pPr>
      <w:r>
        <w:rPr>
          <w:sz w:val="24"/>
        </w:rPr>
        <w:t>For enrolments in general education, however, which is under-developed in some areas and over-developed in others, a policy of equalization will have to be adopted. Decisions will have to be made by each State in view of its conditions; but as a general basis, the following may be suggested:</w:t>
      </w:r>
    </w:p>
    <w:p>
      <w:pPr>
        <w:pStyle w:val="BodyText"/>
        <w:spacing w:before="3"/>
      </w:pPr>
    </w:p>
    <w:p>
      <w:pPr>
        <w:pStyle w:val="ListParagraph"/>
        <w:numPr>
          <w:ilvl w:val="2"/>
          <w:numId w:val="102"/>
        </w:numPr>
        <w:tabs>
          <w:tab w:pos="522" w:val="left" w:leader="none"/>
        </w:tabs>
        <w:spacing w:line="240" w:lineRule="auto" w:before="0" w:after="0"/>
        <w:ind w:left="160" w:right="496" w:firstLine="0"/>
        <w:jc w:val="both"/>
        <w:rPr>
          <w:sz w:val="24"/>
        </w:rPr>
      </w:pPr>
      <w:r>
        <w:rPr>
          <w:sz w:val="24"/>
        </w:rPr>
        <w:t>in all areas where the level of expansion reached is below the national average in 1966, steps should to taken to promote expansion;</w:t>
      </w:r>
    </w:p>
    <w:p>
      <w:pPr>
        <w:pStyle w:val="BodyText"/>
        <w:spacing w:before="4"/>
      </w:pPr>
    </w:p>
    <w:p>
      <w:pPr>
        <w:pStyle w:val="ListParagraph"/>
        <w:numPr>
          <w:ilvl w:val="2"/>
          <w:numId w:val="102"/>
        </w:numPr>
        <w:tabs>
          <w:tab w:pos="499" w:val="left" w:leader="none"/>
        </w:tabs>
        <w:spacing w:line="240" w:lineRule="auto" w:before="0" w:after="0"/>
        <w:ind w:left="160" w:right="496" w:firstLine="0"/>
        <w:jc w:val="both"/>
        <w:rPr>
          <w:sz w:val="24"/>
        </w:rPr>
      </w:pPr>
      <w:r>
        <w:rPr>
          <w:sz w:val="24"/>
        </w:rPr>
        <w:t>in</w:t>
      </w:r>
      <w:r>
        <w:rPr>
          <w:spacing w:val="-2"/>
          <w:sz w:val="24"/>
        </w:rPr>
        <w:t> </w:t>
      </w:r>
      <w:r>
        <w:rPr>
          <w:sz w:val="24"/>
        </w:rPr>
        <w:t>all</w:t>
      </w:r>
      <w:r>
        <w:rPr>
          <w:spacing w:val="-2"/>
          <w:sz w:val="24"/>
        </w:rPr>
        <w:t> </w:t>
      </w:r>
      <w:r>
        <w:rPr>
          <w:sz w:val="24"/>
        </w:rPr>
        <w:t>areas</w:t>
      </w:r>
      <w:r>
        <w:rPr>
          <w:spacing w:val="-2"/>
          <w:sz w:val="24"/>
        </w:rPr>
        <w:t> </w:t>
      </w:r>
      <w:r>
        <w:rPr>
          <w:sz w:val="24"/>
        </w:rPr>
        <w:t>where</w:t>
      </w:r>
      <w:r>
        <w:rPr>
          <w:spacing w:val="-2"/>
          <w:sz w:val="24"/>
        </w:rPr>
        <w:t> </w:t>
      </w:r>
      <w:r>
        <w:rPr>
          <w:sz w:val="24"/>
        </w:rPr>
        <w:t>the</w:t>
      </w:r>
      <w:r>
        <w:rPr>
          <w:spacing w:val="-2"/>
          <w:sz w:val="24"/>
        </w:rPr>
        <w:t> </w:t>
      </w:r>
      <w:r>
        <w:rPr>
          <w:sz w:val="24"/>
        </w:rPr>
        <w:t>level</w:t>
      </w:r>
      <w:r>
        <w:rPr>
          <w:spacing w:val="-2"/>
          <w:sz w:val="24"/>
        </w:rPr>
        <w:t> </w:t>
      </w:r>
      <w:r>
        <w:rPr>
          <w:sz w:val="24"/>
        </w:rPr>
        <w:t>of</w:t>
      </w:r>
      <w:r>
        <w:rPr>
          <w:spacing w:val="-2"/>
          <w:sz w:val="24"/>
        </w:rPr>
        <w:t> </w:t>
      </w:r>
      <w:r>
        <w:rPr>
          <w:sz w:val="24"/>
        </w:rPr>
        <w:t>expansion</w:t>
      </w:r>
      <w:r>
        <w:rPr>
          <w:spacing w:val="-3"/>
          <w:sz w:val="24"/>
        </w:rPr>
        <w:t> </w:t>
      </w:r>
      <w:r>
        <w:rPr>
          <w:sz w:val="24"/>
        </w:rPr>
        <w:t>reached</w:t>
      </w:r>
      <w:r>
        <w:rPr>
          <w:spacing w:val="-2"/>
          <w:sz w:val="24"/>
        </w:rPr>
        <w:t> </w:t>
      </w:r>
      <w:r>
        <w:rPr>
          <w:sz w:val="24"/>
        </w:rPr>
        <w:t>is</w:t>
      </w:r>
      <w:r>
        <w:rPr>
          <w:spacing w:val="-2"/>
          <w:sz w:val="24"/>
        </w:rPr>
        <w:t> </w:t>
      </w:r>
      <w:r>
        <w:rPr>
          <w:sz w:val="24"/>
        </w:rPr>
        <w:t>about</w:t>
      </w:r>
      <w:r>
        <w:rPr>
          <w:spacing w:val="-2"/>
          <w:sz w:val="24"/>
        </w:rPr>
        <w:t> </w:t>
      </w:r>
      <w:r>
        <w:rPr>
          <w:sz w:val="24"/>
        </w:rPr>
        <w:t>equal</w:t>
      </w:r>
      <w:r>
        <w:rPr>
          <w:spacing w:val="-3"/>
          <w:sz w:val="24"/>
        </w:rPr>
        <w:t> </w:t>
      </w:r>
      <w:r>
        <w:rPr>
          <w:sz w:val="24"/>
        </w:rPr>
        <w:t>to</w:t>
      </w:r>
      <w:r>
        <w:rPr>
          <w:spacing w:val="-2"/>
          <w:sz w:val="24"/>
        </w:rPr>
        <w:t> </w:t>
      </w:r>
      <w:r>
        <w:rPr>
          <w:sz w:val="24"/>
        </w:rPr>
        <w:t>the</w:t>
      </w:r>
      <w:r>
        <w:rPr>
          <w:spacing w:val="-2"/>
          <w:sz w:val="24"/>
        </w:rPr>
        <w:t> </w:t>
      </w:r>
      <w:r>
        <w:rPr>
          <w:sz w:val="24"/>
        </w:rPr>
        <w:t>national</w:t>
      </w:r>
      <w:r>
        <w:rPr>
          <w:spacing w:val="-2"/>
          <w:sz w:val="24"/>
        </w:rPr>
        <w:t> </w:t>
      </w:r>
      <w:r>
        <w:rPr>
          <w:sz w:val="24"/>
        </w:rPr>
        <w:t>average expected in 1986, a restrictive policy should be adopted, unless there are special reasons to the contrary;</w:t>
      </w:r>
    </w:p>
    <w:p>
      <w:pPr>
        <w:pStyle w:val="BodyText"/>
        <w:spacing w:before="5"/>
      </w:pPr>
    </w:p>
    <w:p>
      <w:pPr>
        <w:pStyle w:val="ListParagraph"/>
        <w:numPr>
          <w:ilvl w:val="2"/>
          <w:numId w:val="102"/>
        </w:numPr>
        <w:tabs>
          <w:tab w:pos="499" w:val="left" w:leader="none"/>
        </w:tabs>
        <w:spacing w:line="240" w:lineRule="auto" w:before="0" w:after="0"/>
        <w:ind w:left="160" w:right="496" w:firstLine="0"/>
        <w:jc w:val="both"/>
        <w:rPr>
          <w:sz w:val="24"/>
        </w:rPr>
      </w:pPr>
      <w:r>
        <w:rPr>
          <w:sz w:val="24"/>
        </w:rPr>
        <w:t>it will be for the Government of India to suggest the targets to be reached from time'</w:t>
      </w:r>
      <w:r>
        <w:rPr>
          <w:spacing w:val="40"/>
          <w:sz w:val="24"/>
        </w:rPr>
        <w:t> </w:t>
      </w:r>
      <w:r>
        <w:rPr>
          <w:sz w:val="24"/>
        </w:rPr>
        <w:t>to time, at the State level. State Governments may, in their turn, indicate suitable targets</w:t>
      </w:r>
      <w:r>
        <w:rPr>
          <w:spacing w:val="40"/>
          <w:sz w:val="24"/>
        </w:rPr>
        <w:t> </w:t>
      </w:r>
      <w:r>
        <w:rPr>
          <w:sz w:val="24"/>
        </w:rPr>
        <w:t>at the district level;</w:t>
      </w:r>
    </w:p>
    <w:p>
      <w:pPr>
        <w:pStyle w:val="BodyText"/>
        <w:spacing w:before="3"/>
      </w:pPr>
    </w:p>
    <w:p>
      <w:pPr>
        <w:pStyle w:val="ListParagraph"/>
        <w:numPr>
          <w:ilvl w:val="2"/>
          <w:numId w:val="102"/>
        </w:numPr>
        <w:tabs>
          <w:tab w:pos="517" w:val="left" w:leader="none"/>
        </w:tabs>
        <w:spacing w:line="240" w:lineRule="auto" w:before="1" w:after="0"/>
        <w:ind w:left="160" w:right="496" w:firstLine="0"/>
        <w:jc w:val="both"/>
        <w:rPr>
          <w:sz w:val="24"/>
        </w:rPr>
      </w:pPr>
      <w:r>
        <w:rPr>
          <w:sz w:val="24"/>
        </w:rPr>
        <w:t>the planning of higher education should be done on a State-basis. All universities in the State should be involved in this. Each university should be required to prepare a five- year plan of the facilities to be provided in all its teaching departments and affiliated colleges and the output therefrom and these should be approved after bringing them into accord with manpower needs. In granting affiliations or expanding their departments, the universities should be required to follow these plans.</w:t>
      </w:r>
    </w:p>
    <w:p>
      <w:pPr>
        <w:pStyle w:val="BodyText"/>
        <w:spacing w:before="3"/>
      </w:pPr>
    </w:p>
    <w:p>
      <w:pPr>
        <w:pStyle w:val="ListParagraph"/>
        <w:numPr>
          <w:ilvl w:val="2"/>
          <w:numId w:val="102"/>
        </w:numPr>
        <w:tabs>
          <w:tab w:pos="502" w:val="left" w:leader="none"/>
        </w:tabs>
        <w:spacing w:line="240" w:lineRule="auto" w:before="0" w:after="0"/>
        <w:ind w:left="159" w:right="496" w:firstLine="0"/>
        <w:jc w:val="both"/>
        <w:rPr>
          <w:sz w:val="24"/>
        </w:rPr>
      </w:pPr>
      <w:r>
        <w:rPr>
          <w:sz w:val="24"/>
        </w:rPr>
        <w:t>It is also essential to have an authority at the district level which can plan all school education. This authority</w:t>
      </w:r>
      <w:r>
        <w:rPr>
          <w:spacing w:val="-1"/>
          <w:sz w:val="24"/>
        </w:rPr>
        <w:t> </w:t>
      </w:r>
      <w:r>
        <w:rPr>
          <w:sz w:val="24"/>
        </w:rPr>
        <w:t>will plan in the light</w:t>
      </w:r>
      <w:r>
        <w:rPr>
          <w:spacing w:val="-1"/>
          <w:sz w:val="24"/>
        </w:rPr>
        <w:t> </w:t>
      </w:r>
      <w:r>
        <w:rPr>
          <w:sz w:val="24"/>
        </w:rPr>
        <w:t>of general directives</w:t>
      </w:r>
      <w:r>
        <w:rPr>
          <w:spacing w:val="-1"/>
          <w:sz w:val="24"/>
        </w:rPr>
        <w:t> </w:t>
      </w:r>
      <w:r>
        <w:rPr>
          <w:sz w:val="24"/>
        </w:rPr>
        <w:t>given from</w:t>
      </w:r>
      <w:r>
        <w:rPr>
          <w:spacing w:val="-2"/>
          <w:sz w:val="24"/>
        </w:rPr>
        <w:t> </w:t>
      </w:r>
      <w:r>
        <w:rPr>
          <w:sz w:val="24"/>
        </w:rPr>
        <w:t>the Centre and the State. In order to assist in its work, local studies of manpower needs, etc., will have to be carried out. 5.43-48</w:t>
      </w:r>
    </w:p>
    <w:p>
      <w:pPr>
        <w:pStyle w:val="BodyText"/>
        <w:spacing w:before="4"/>
      </w:pPr>
    </w:p>
    <w:p>
      <w:pPr>
        <w:pStyle w:val="ListParagraph"/>
        <w:numPr>
          <w:ilvl w:val="0"/>
          <w:numId w:val="102"/>
        </w:numPr>
        <w:tabs>
          <w:tab w:pos="515" w:val="left" w:leader="none"/>
        </w:tabs>
        <w:spacing w:line="240" w:lineRule="auto" w:before="0" w:after="0"/>
        <w:ind w:left="159" w:right="496" w:firstLine="0"/>
        <w:jc w:val="both"/>
        <w:rPr>
          <w:sz w:val="24"/>
        </w:rPr>
      </w:pPr>
      <w:r>
        <w:rPr>
          <w:b/>
          <w:sz w:val="24"/>
        </w:rPr>
        <w:t>Education and Employment. </w:t>
      </w:r>
      <w:r>
        <w:rPr>
          <w:sz w:val="24"/>
        </w:rPr>
        <w:t>We should move in the direction of giving every graduate an offer of employment along with his degree or diploma. From this point of view, the system of one year internship now prescribed for medical graduates should be extended to other categories of graduates. 5.49</w:t>
      </w:r>
    </w:p>
    <w:p>
      <w:pPr>
        <w:pStyle w:val="BodyText"/>
        <w:spacing w:before="5"/>
      </w:pPr>
    </w:p>
    <w:p>
      <w:pPr>
        <w:pStyle w:val="ListParagraph"/>
        <w:numPr>
          <w:ilvl w:val="0"/>
          <w:numId w:val="102"/>
        </w:numPr>
        <w:tabs>
          <w:tab w:pos="499" w:val="left" w:leader="none"/>
        </w:tabs>
        <w:spacing w:line="240" w:lineRule="auto" w:before="0" w:after="0"/>
        <w:ind w:left="159" w:right="498" w:firstLine="0"/>
        <w:jc w:val="both"/>
        <w:rPr>
          <w:sz w:val="24"/>
        </w:rPr>
      </w:pPr>
      <w:r>
        <w:rPr>
          <w:b/>
          <w:sz w:val="24"/>
        </w:rPr>
        <w:t>A Wider Perspective. </w:t>
      </w:r>
      <w:r>
        <w:rPr>
          <w:sz w:val="24"/>
        </w:rPr>
        <w:t>The basic problem of human resource development can be solved</w:t>
      </w:r>
      <w:r>
        <w:rPr>
          <w:spacing w:val="53"/>
          <w:sz w:val="24"/>
        </w:rPr>
        <w:t> </w:t>
      </w:r>
      <w:r>
        <w:rPr>
          <w:sz w:val="24"/>
        </w:rPr>
        <w:t>only</w:t>
      </w:r>
      <w:r>
        <w:rPr>
          <w:spacing w:val="52"/>
          <w:sz w:val="24"/>
        </w:rPr>
        <w:t> </w:t>
      </w:r>
      <w:r>
        <w:rPr>
          <w:sz w:val="24"/>
        </w:rPr>
        <w:t>against</w:t>
      </w:r>
      <w:r>
        <w:rPr>
          <w:spacing w:val="53"/>
          <w:sz w:val="24"/>
        </w:rPr>
        <w:t> </w:t>
      </w:r>
      <w:r>
        <w:rPr>
          <w:sz w:val="24"/>
        </w:rPr>
        <w:t>a</w:t>
      </w:r>
      <w:r>
        <w:rPr>
          <w:spacing w:val="54"/>
          <w:sz w:val="24"/>
        </w:rPr>
        <w:t> </w:t>
      </w:r>
      <w:r>
        <w:rPr>
          <w:sz w:val="24"/>
        </w:rPr>
        <w:t>wider</w:t>
      </w:r>
      <w:r>
        <w:rPr>
          <w:spacing w:val="53"/>
          <w:sz w:val="24"/>
        </w:rPr>
        <w:t> </w:t>
      </w:r>
      <w:r>
        <w:rPr>
          <w:sz w:val="24"/>
        </w:rPr>
        <w:t>perspective.</w:t>
      </w:r>
      <w:r>
        <w:rPr>
          <w:spacing w:val="54"/>
          <w:sz w:val="24"/>
        </w:rPr>
        <w:t> </w:t>
      </w:r>
      <w:r>
        <w:rPr>
          <w:sz w:val="24"/>
        </w:rPr>
        <w:t>From</w:t>
      </w:r>
      <w:r>
        <w:rPr>
          <w:spacing w:val="52"/>
          <w:sz w:val="24"/>
        </w:rPr>
        <w:t> </w:t>
      </w:r>
      <w:r>
        <w:rPr>
          <w:sz w:val="24"/>
        </w:rPr>
        <w:t>this</w:t>
      </w:r>
      <w:r>
        <w:rPr>
          <w:spacing w:val="53"/>
          <w:sz w:val="24"/>
        </w:rPr>
        <w:t> </w:t>
      </w:r>
      <w:r>
        <w:rPr>
          <w:sz w:val="24"/>
        </w:rPr>
        <w:t>point</w:t>
      </w:r>
      <w:r>
        <w:rPr>
          <w:spacing w:val="54"/>
          <w:sz w:val="24"/>
        </w:rPr>
        <w:t> </w:t>
      </w:r>
      <w:r>
        <w:rPr>
          <w:sz w:val="24"/>
        </w:rPr>
        <w:t>of</w:t>
      </w:r>
      <w:r>
        <w:rPr>
          <w:spacing w:val="53"/>
          <w:sz w:val="24"/>
        </w:rPr>
        <w:t> </w:t>
      </w:r>
      <w:r>
        <w:rPr>
          <w:sz w:val="24"/>
        </w:rPr>
        <w:t>view,</w:t>
      </w:r>
      <w:r>
        <w:rPr>
          <w:spacing w:val="54"/>
          <w:sz w:val="24"/>
        </w:rPr>
        <w:t> </w:t>
      </w:r>
      <w:r>
        <w:rPr>
          <w:sz w:val="24"/>
        </w:rPr>
        <w:t>it</w:t>
      </w:r>
      <w:r>
        <w:rPr>
          <w:spacing w:val="53"/>
          <w:sz w:val="24"/>
        </w:rPr>
        <w:t> </w:t>
      </w:r>
      <w:r>
        <w:rPr>
          <w:sz w:val="24"/>
        </w:rPr>
        <w:t>is</w:t>
      </w:r>
      <w:r>
        <w:rPr>
          <w:spacing w:val="54"/>
          <w:sz w:val="24"/>
        </w:rPr>
        <w:t> </w:t>
      </w:r>
      <w:r>
        <w:rPr>
          <w:sz w:val="24"/>
        </w:rPr>
        <w:t>necessary</w:t>
      </w:r>
      <w:r>
        <w:rPr>
          <w:spacing w:val="54"/>
          <w:sz w:val="24"/>
        </w:rPr>
        <w:t> </w:t>
      </w:r>
      <w:r>
        <w:rPr>
          <w:spacing w:val="-5"/>
          <w:sz w:val="24"/>
        </w:rPr>
        <w:t>to</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pPr>
      <w:r>
        <w:rPr/>
        <w:t>formulate and implement integrated plans which will have three objectives: (1) to reduce the birth-rate by about half; (2) to bring about an expansion of employment; and (3) to provide such education as will qualify young people for specific jobs. Such integrated plans are needed at the national, State and district levels. 5.50-51</w:t>
      </w:r>
    </w:p>
    <w:p>
      <w:pPr>
        <w:spacing w:after="0"/>
        <w:jc w:val="both"/>
        <w:sectPr>
          <w:pgSz w:w="12240" w:h="15840"/>
          <w:pgMar w:header="0" w:footer="743" w:top="1360" w:bottom="940" w:left="1640" w:right="1300"/>
        </w:sectPr>
      </w:pPr>
    </w:p>
    <w:p>
      <w:pPr>
        <w:pStyle w:val="Heading1"/>
        <w:spacing w:before="79"/>
        <w:ind w:left="3523" w:right="3860"/>
      </w:pPr>
      <w:r>
        <w:rPr/>
        <w:t>CHAPTER</w:t>
      </w:r>
      <w:r>
        <w:rPr>
          <w:spacing w:val="-6"/>
        </w:rPr>
        <w:t> </w:t>
      </w:r>
      <w:r>
        <w:rPr>
          <w:spacing w:val="-5"/>
        </w:rPr>
        <w:t>VI</w:t>
      </w:r>
    </w:p>
    <w:p>
      <w:pPr>
        <w:pStyle w:val="BodyText"/>
        <w:rPr>
          <w:b/>
        </w:rPr>
      </w:pPr>
    </w:p>
    <w:p>
      <w:pPr>
        <w:spacing w:before="0"/>
        <w:ind w:left="292" w:right="629" w:firstLine="0"/>
        <w:jc w:val="center"/>
        <w:rPr>
          <w:b/>
          <w:sz w:val="24"/>
        </w:rPr>
      </w:pPr>
      <w:r>
        <w:rPr>
          <w:b/>
          <w:sz w:val="24"/>
        </w:rPr>
        <w:t>TOWARDS</w:t>
      </w:r>
      <w:r>
        <w:rPr>
          <w:b/>
          <w:spacing w:val="-9"/>
          <w:sz w:val="24"/>
        </w:rPr>
        <w:t> </w:t>
      </w:r>
      <w:r>
        <w:rPr>
          <w:b/>
          <w:sz w:val="24"/>
        </w:rPr>
        <w:t>EQUALIZATION</w:t>
      </w:r>
      <w:r>
        <w:rPr>
          <w:b/>
          <w:spacing w:val="-7"/>
          <w:sz w:val="24"/>
        </w:rPr>
        <w:t> </w:t>
      </w:r>
      <w:r>
        <w:rPr>
          <w:b/>
          <w:sz w:val="24"/>
        </w:rPr>
        <w:t>OF</w:t>
      </w:r>
      <w:r>
        <w:rPr>
          <w:b/>
          <w:spacing w:val="-7"/>
          <w:sz w:val="24"/>
        </w:rPr>
        <w:t> </w:t>
      </w:r>
      <w:r>
        <w:rPr>
          <w:b/>
          <w:sz w:val="24"/>
        </w:rPr>
        <w:t>EDUCATIONAL</w:t>
      </w:r>
      <w:r>
        <w:rPr>
          <w:b/>
          <w:spacing w:val="-6"/>
          <w:sz w:val="24"/>
        </w:rPr>
        <w:t> </w:t>
      </w:r>
      <w:r>
        <w:rPr>
          <w:b/>
          <w:spacing w:val="-2"/>
          <w:sz w:val="24"/>
        </w:rPr>
        <w:t>OPPORTUNITY</w:t>
      </w:r>
    </w:p>
    <w:p>
      <w:pPr>
        <w:pStyle w:val="BodyText"/>
        <w:rPr>
          <w:b/>
        </w:rPr>
      </w:pPr>
    </w:p>
    <w:p>
      <w:pPr>
        <w:pStyle w:val="BodyText"/>
        <w:spacing w:before="2"/>
        <w:rPr>
          <w:b/>
        </w:rPr>
      </w:pPr>
    </w:p>
    <w:p>
      <w:pPr>
        <w:pStyle w:val="ListParagraph"/>
        <w:numPr>
          <w:ilvl w:val="1"/>
          <w:numId w:val="106"/>
        </w:numPr>
        <w:tabs>
          <w:tab w:pos="695" w:val="left" w:leader="none"/>
        </w:tabs>
        <w:spacing w:line="240" w:lineRule="auto" w:before="0" w:after="0"/>
        <w:ind w:left="159" w:right="496" w:firstLine="0"/>
        <w:jc w:val="both"/>
        <w:rPr>
          <w:sz w:val="24"/>
        </w:rPr>
      </w:pPr>
      <w:r>
        <w:rPr>
          <w:sz w:val="24"/>
        </w:rPr>
        <w:t>One of the important social objectives of education is to equalize opportunity, enabling the backward or underprivileged classes and individuals to use education as a lever for the improvement of their condition. Every society that values social Justice and is anxious to improve the lot of the common man and cultivate all avail- able talent, must ensure progressive equality of opportunity to all sections of the population. This is the only guarantee for the building up of an egalitarian and human society in which the exploitation of the weak will be minimized.</w:t>
      </w:r>
    </w:p>
    <w:p>
      <w:pPr>
        <w:pStyle w:val="BodyText"/>
        <w:spacing w:before="3"/>
      </w:pPr>
    </w:p>
    <w:p>
      <w:pPr>
        <w:pStyle w:val="ListParagraph"/>
        <w:numPr>
          <w:ilvl w:val="1"/>
          <w:numId w:val="106"/>
        </w:numPr>
        <w:tabs>
          <w:tab w:pos="659" w:val="left" w:leader="none"/>
        </w:tabs>
        <w:spacing w:line="240" w:lineRule="auto" w:before="0" w:after="0"/>
        <w:ind w:left="159" w:right="496" w:firstLine="0"/>
        <w:jc w:val="both"/>
        <w:rPr>
          <w:sz w:val="24"/>
        </w:rPr>
      </w:pPr>
      <w:r>
        <w:rPr>
          <w:sz w:val="24"/>
        </w:rPr>
        <w:t>Inequalities of educational opportunities anise in various ways. In places where no primary, secondary, or collegiate institutions exist, children do not have the same opportunity as those who have these facilities in the neighbourhood. This handicap</w:t>
      </w:r>
      <w:r>
        <w:rPr>
          <w:spacing w:val="40"/>
          <w:sz w:val="24"/>
        </w:rPr>
        <w:t> </w:t>
      </w:r>
      <w:r>
        <w:rPr>
          <w:sz w:val="24"/>
        </w:rPr>
        <w:t>should be overcome by the widest dispersal of educational institutions, consistent with economy and efficiency, by instituting, an adequate scholar- ship programme, by providing the needed hostel facilities or 'by making suitable transport arrangements. It is sometimes not fully appreciated that there are at present glaring imbalances of education- al development in different parts of the country: the educational developments in the States show wide differences, and even wider differences are found between the districts. To remove such inequalities, deliberate policies of equalization of educational opportunities and educational development in the different districts will have to be </w:t>
      </w:r>
      <w:r>
        <w:rPr>
          <w:spacing w:val="-2"/>
          <w:sz w:val="24"/>
        </w:rPr>
        <w:t>adopted.</w:t>
      </w:r>
    </w:p>
    <w:p>
      <w:pPr>
        <w:pStyle w:val="BodyText"/>
        <w:spacing w:before="5"/>
      </w:pPr>
    </w:p>
    <w:p>
      <w:pPr>
        <w:pStyle w:val="ListParagraph"/>
        <w:numPr>
          <w:ilvl w:val="1"/>
          <w:numId w:val="106"/>
        </w:numPr>
        <w:tabs>
          <w:tab w:pos="682" w:val="left" w:leader="none"/>
        </w:tabs>
        <w:spacing w:line="240" w:lineRule="auto" w:before="0" w:after="0"/>
        <w:ind w:left="159" w:right="495" w:firstLine="0"/>
        <w:jc w:val="both"/>
        <w:rPr>
          <w:sz w:val="24"/>
        </w:rPr>
      </w:pPr>
      <w:r>
        <w:rPr>
          <w:sz w:val="24"/>
        </w:rPr>
        <w:t>Another cause of inequality of educational opportunity is the poverty of a large section of the population and the relative affluence of a small minority. Even in the neighbourhood of an educational institution, children from poor families do not have the same chance as those who come from richer ones. To overcome these handicaps, it is desirable to abolish fees progressively, to provide free books, stationery and even school meals and uniforms. In addition, it is necessary to develop a large programme of </w:t>
      </w:r>
      <w:r>
        <w:rPr>
          <w:spacing w:val="-2"/>
          <w:sz w:val="24"/>
        </w:rPr>
        <w:t>scholarships.</w:t>
      </w:r>
    </w:p>
    <w:p>
      <w:pPr>
        <w:pStyle w:val="BodyText"/>
        <w:spacing w:before="4"/>
      </w:pPr>
    </w:p>
    <w:p>
      <w:pPr>
        <w:pStyle w:val="ListParagraph"/>
        <w:numPr>
          <w:ilvl w:val="1"/>
          <w:numId w:val="106"/>
        </w:numPr>
        <w:tabs>
          <w:tab w:pos="688" w:val="left" w:leader="none"/>
        </w:tabs>
        <w:spacing w:line="240" w:lineRule="auto" w:before="0" w:after="0"/>
        <w:ind w:left="159" w:right="495" w:firstLine="0"/>
        <w:jc w:val="both"/>
        <w:rPr>
          <w:sz w:val="24"/>
        </w:rPr>
      </w:pPr>
      <w:r>
        <w:rPr>
          <w:sz w:val="24"/>
        </w:rPr>
        <w:t>Again, differences in the standards of schools and colleges create an extremely intractable form of educational inequality. When admission to an institution such as a university or professional college, is made on the basis of marks obtained at the public examination at the end of the secondary stage, as often happens, the marks do not at all provide a common yardstick for a student from a rural area who attends an ill-equipped school in his village, and a student from</w:t>
      </w:r>
      <w:r>
        <w:rPr>
          <w:spacing w:val="-2"/>
          <w:sz w:val="24"/>
        </w:rPr>
        <w:t> </w:t>
      </w:r>
      <w:r>
        <w:rPr>
          <w:sz w:val="24"/>
        </w:rPr>
        <w:t>an urban area who attends a good city school. To overcome this to some extent at least, it is necessary to evolve more reliable and egalitarian methods of selection, whether for admission to institutions or for award of </w:t>
      </w:r>
      <w:r>
        <w:rPr>
          <w:spacing w:val="-2"/>
          <w:sz w:val="24"/>
        </w:rPr>
        <w:t>scholarships.</w:t>
      </w:r>
    </w:p>
    <w:p>
      <w:pPr>
        <w:pStyle w:val="BodyText"/>
        <w:spacing w:before="3"/>
      </w:pPr>
    </w:p>
    <w:p>
      <w:pPr>
        <w:pStyle w:val="ListParagraph"/>
        <w:numPr>
          <w:ilvl w:val="1"/>
          <w:numId w:val="106"/>
        </w:numPr>
        <w:tabs>
          <w:tab w:pos="640" w:val="left" w:leader="none"/>
        </w:tabs>
        <w:spacing w:line="240" w:lineRule="auto" w:before="1" w:after="0"/>
        <w:ind w:left="159" w:right="494" w:firstLine="0"/>
        <w:jc w:val="both"/>
        <w:rPr>
          <w:sz w:val="24"/>
        </w:rPr>
      </w:pPr>
      <w:r>
        <w:rPr>
          <w:sz w:val="24"/>
        </w:rPr>
        <w:t>Gross</w:t>
      </w:r>
      <w:r>
        <w:rPr>
          <w:spacing w:val="-1"/>
          <w:sz w:val="24"/>
        </w:rPr>
        <w:t> </w:t>
      </w:r>
      <w:r>
        <w:rPr>
          <w:sz w:val="24"/>
        </w:rPr>
        <w:t>inequalities</w:t>
      </w:r>
      <w:r>
        <w:rPr>
          <w:spacing w:val="-1"/>
          <w:sz w:val="24"/>
        </w:rPr>
        <w:t> </w:t>
      </w:r>
      <w:r>
        <w:rPr>
          <w:sz w:val="24"/>
        </w:rPr>
        <w:t>arise</w:t>
      </w:r>
      <w:r>
        <w:rPr>
          <w:spacing w:val="-1"/>
          <w:sz w:val="24"/>
        </w:rPr>
        <w:t> </w:t>
      </w:r>
      <w:r>
        <w:rPr>
          <w:sz w:val="24"/>
        </w:rPr>
        <w:t>from</w:t>
      </w:r>
      <w:r>
        <w:rPr>
          <w:spacing w:val="-3"/>
          <w:sz w:val="24"/>
        </w:rPr>
        <w:t> </w:t>
      </w:r>
      <w:r>
        <w:rPr>
          <w:sz w:val="24"/>
        </w:rPr>
        <w:t>differences</w:t>
      </w:r>
      <w:r>
        <w:rPr>
          <w:spacing w:val="-1"/>
          <w:sz w:val="24"/>
        </w:rPr>
        <w:t> </w:t>
      </w:r>
      <w:r>
        <w:rPr>
          <w:sz w:val="24"/>
        </w:rPr>
        <w:t>in</w:t>
      </w:r>
      <w:r>
        <w:rPr>
          <w:spacing w:val="-4"/>
          <w:sz w:val="24"/>
        </w:rPr>
        <w:t> </w:t>
      </w:r>
      <w:r>
        <w:rPr>
          <w:sz w:val="24"/>
        </w:rPr>
        <w:t>home</w:t>
      </w:r>
      <w:r>
        <w:rPr>
          <w:spacing w:val="-1"/>
          <w:sz w:val="24"/>
        </w:rPr>
        <w:t> </w:t>
      </w:r>
      <w:r>
        <w:rPr>
          <w:sz w:val="24"/>
        </w:rPr>
        <w:t>environments.</w:t>
      </w:r>
      <w:r>
        <w:rPr>
          <w:spacing w:val="-1"/>
          <w:sz w:val="24"/>
        </w:rPr>
        <w:t> </w:t>
      </w:r>
      <w:r>
        <w:rPr>
          <w:sz w:val="24"/>
        </w:rPr>
        <w:t>A</w:t>
      </w:r>
      <w:r>
        <w:rPr>
          <w:spacing w:val="-1"/>
          <w:sz w:val="24"/>
        </w:rPr>
        <w:t> </w:t>
      </w:r>
      <w:r>
        <w:rPr>
          <w:sz w:val="24"/>
        </w:rPr>
        <w:t>child</w:t>
      </w:r>
      <w:r>
        <w:rPr>
          <w:spacing w:val="-1"/>
          <w:sz w:val="24"/>
        </w:rPr>
        <w:t> </w:t>
      </w:r>
      <w:r>
        <w:rPr>
          <w:sz w:val="24"/>
        </w:rPr>
        <w:t>from</w:t>
      </w:r>
      <w:r>
        <w:rPr>
          <w:spacing w:val="-1"/>
          <w:sz w:val="24"/>
        </w:rPr>
        <w:t> </w:t>
      </w:r>
      <w:r>
        <w:rPr>
          <w:sz w:val="24"/>
        </w:rPr>
        <w:t>a</w:t>
      </w:r>
      <w:r>
        <w:rPr>
          <w:spacing w:val="-1"/>
          <w:sz w:val="24"/>
        </w:rPr>
        <w:t> </w:t>
      </w:r>
      <w:r>
        <w:rPr>
          <w:sz w:val="24"/>
        </w:rPr>
        <w:t>rural household</w:t>
      </w:r>
      <w:r>
        <w:rPr>
          <w:spacing w:val="71"/>
          <w:sz w:val="24"/>
        </w:rPr>
        <w:t> </w:t>
      </w:r>
      <w:r>
        <w:rPr>
          <w:sz w:val="24"/>
        </w:rPr>
        <w:t>or</w:t>
      </w:r>
      <w:r>
        <w:rPr>
          <w:spacing w:val="71"/>
          <w:sz w:val="24"/>
        </w:rPr>
        <w:t> </w:t>
      </w:r>
      <w:r>
        <w:rPr>
          <w:sz w:val="24"/>
        </w:rPr>
        <w:t>an</w:t>
      </w:r>
      <w:r>
        <w:rPr>
          <w:spacing w:val="71"/>
          <w:sz w:val="24"/>
        </w:rPr>
        <w:t> </w:t>
      </w:r>
      <w:r>
        <w:rPr>
          <w:sz w:val="24"/>
        </w:rPr>
        <w:t>urban</w:t>
      </w:r>
      <w:r>
        <w:rPr>
          <w:spacing w:val="71"/>
          <w:sz w:val="24"/>
        </w:rPr>
        <w:t> </w:t>
      </w:r>
      <w:r>
        <w:rPr>
          <w:sz w:val="24"/>
        </w:rPr>
        <w:t>slum</w:t>
      </w:r>
      <w:r>
        <w:rPr>
          <w:spacing w:val="69"/>
          <w:sz w:val="24"/>
        </w:rPr>
        <w:t> </w:t>
      </w:r>
      <w:r>
        <w:rPr>
          <w:sz w:val="24"/>
        </w:rPr>
        <w:t>having</w:t>
      </w:r>
      <w:r>
        <w:rPr>
          <w:spacing w:val="71"/>
          <w:sz w:val="24"/>
        </w:rPr>
        <w:t> </w:t>
      </w:r>
      <w:r>
        <w:rPr>
          <w:sz w:val="24"/>
        </w:rPr>
        <w:t>non-</w:t>
      </w:r>
      <w:r>
        <w:rPr>
          <w:spacing w:val="71"/>
          <w:sz w:val="24"/>
        </w:rPr>
        <w:t> </w:t>
      </w:r>
      <w:r>
        <w:rPr>
          <w:sz w:val="24"/>
        </w:rPr>
        <w:t>literate</w:t>
      </w:r>
      <w:r>
        <w:rPr>
          <w:spacing w:val="71"/>
          <w:sz w:val="24"/>
        </w:rPr>
        <w:t> </w:t>
      </w:r>
      <w:r>
        <w:rPr>
          <w:sz w:val="24"/>
        </w:rPr>
        <w:t>parents,</w:t>
      </w:r>
      <w:r>
        <w:rPr>
          <w:spacing w:val="71"/>
          <w:sz w:val="24"/>
        </w:rPr>
        <w:t> </w:t>
      </w:r>
      <w:r>
        <w:rPr>
          <w:sz w:val="24"/>
        </w:rPr>
        <w:t>does</w:t>
      </w:r>
      <w:r>
        <w:rPr>
          <w:spacing w:val="71"/>
          <w:sz w:val="24"/>
        </w:rPr>
        <w:t> </w:t>
      </w:r>
      <w:r>
        <w:rPr>
          <w:sz w:val="24"/>
        </w:rPr>
        <w:t>not</w:t>
      </w:r>
      <w:r>
        <w:rPr>
          <w:spacing w:val="71"/>
          <w:sz w:val="24"/>
        </w:rPr>
        <w:t> </w:t>
      </w:r>
      <w:r>
        <w:rPr>
          <w:sz w:val="24"/>
        </w:rPr>
        <w:t>have</w:t>
      </w:r>
      <w:r>
        <w:rPr>
          <w:spacing w:val="71"/>
          <w:sz w:val="24"/>
        </w:rPr>
        <w:t> </w:t>
      </w:r>
      <w:r>
        <w:rPr>
          <w:sz w:val="24"/>
        </w:rPr>
        <w:t>the</w:t>
      </w:r>
      <w:r>
        <w:rPr>
          <w:spacing w:val="72"/>
          <w:sz w:val="24"/>
        </w:rPr>
        <w:t> </w:t>
      </w:r>
      <w:r>
        <w:rPr>
          <w:spacing w:val="-4"/>
          <w:sz w:val="24"/>
        </w:rPr>
        <w:t>same</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opportunity which a child from an upper class home with highly educated parents has. These inequalities are obviously the most difficult to overcome and here progress essentially depends on the general improvement in the standard of living of the population. But something can be done by ensuring</w:t>
      </w:r>
      <w:r>
        <w:rPr>
          <w:spacing w:val="-1"/>
        </w:rPr>
        <w:t> </w:t>
      </w:r>
      <w:r>
        <w:rPr/>
        <w:t>that special attention</w:t>
      </w:r>
      <w:r>
        <w:rPr>
          <w:spacing w:val="-1"/>
        </w:rPr>
        <w:t> </w:t>
      </w:r>
      <w:r>
        <w:rPr/>
        <w:t>at</w:t>
      </w:r>
      <w:r>
        <w:rPr>
          <w:spacing w:val="-1"/>
        </w:rPr>
        <w:t> </w:t>
      </w:r>
      <w:r>
        <w:rPr/>
        <w:t>school</w:t>
      </w:r>
      <w:r>
        <w:rPr>
          <w:spacing w:val="-1"/>
        </w:rPr>
        <w:t> </w:t>
      </w:r>
      <w:r>
        <w:rPr/>
        <w:t>is</w:t>
      </w:r>
      <w:r>
        <w:rPr>
          <w:spacing w:val="-1"/>
        </w:rPr>
        <w:t> </w:t>
      </w:r>
      <w:r>
        <w:rPr/>
        <w:t>paid to children from the under-privileged groups and by the provision of day-study centres or boarding houses.</w:t>
      </w:r>
    </w:p>
    <w:p>
      <w:pPr>
        <w:pStyle w:val="BodyText"/>
        <w:spacing w:before="4"/>
      </w:pPr>
    </w:p>
    <w:p>
      <w:pPr>
        <w:pStyle w:val="ListParagraph"/>
        <w:numPr>
          <w:ilvl w:val="1"/>
          <w:numId w:val="106"/>
        </w:numPr>
        <w:tabs>
          <w:tab w:pos="702" w:val="left" w:leader="none"/>
        </w:tabs>
        <w:spacing w:line="240" w:lineRule="auto" w:before="0" w:after="0"/>
        <w:ind w:left="160" w:right="495" w:firstLine="0"/>
        <w:jc w:val="both"/>
        <w:rPr>
          <w:sz w:val="24"/>
        </w:rPr>
      </w:pPr>
      <w:r>
        <w:rPr>
          <w:sz w:val="24"/>
        </w:rPr>
        <w:t>Two other forms of educational 'inequalities, which are peculiar to the Indian situation,</w:t>
      </w:r>
      <w:r>
        <w:rPr>
          <w:spacing w:val="-1"/>
          <w:sz w:val="24"/>
        </w:rPr>
        <w:t> </w:t>
      </w:r>
      <w:r>
        <w:rPr>
          <w:sz w:val="24"/>
        </w:rPr>
        <w:t>need</w:t>
      </w:r>
      <w:r>
        <w:rPr>
          <w:spacing w:val="-1"/>
          <w:sz w:val="24"/>
        </w:rPr>
        <w:t> </w:t>
      </w:r>
      <w:r>
        <w:rPr>
          <w:sz w:val="24"/>
        </w:rPr>
        <w:t>attention.</w:t>
      </w:r>
      <w:r>
        <w:rPr>
          <w:spacing w:val="-1"/>
          <w:sz w:val="24"/>
        </w:rPr>
        <w:t> </w:t>
      </w:r>
      <w:r>
        <w:rPr>
          <w:sz w:val="24"/>
        </w:rPr>
        <w:t>The</w:t>
      </w:r>
      <w:r>
        <w:rPr>
          <w:spacing w:val="-4"/>
          <w:sz w:val="24"/>
        </w:rPr>
        <w:t> </w:t>
      </w:r>
      <w:r>
        <w:rPr>
          <w:sz w:val="24"/>
        </w:rPr>
        <w:t>first</w:t>
      </w:r>
      <w:r>
        <w:rPr>
          <w:spacing w:val="-2"/>
          <w:sz w:val="24"/>
        </w:rPr>
        <w:t> </w:t>
      </w:r>
      <w:r>
        <w:rPr>
          <w:sz w:val="24"/>
        </w:rPr>
        <w:t>is</w:t>
      </w:r>
      <w:r>
        <w:rPr>
          <w:spacing w:val="-2"/>
          <w:sz w:val="24"/>
        </w:rPr>
        <w:t> </w:t>
      </w:r>
      <w:r>
        <w:rPr>
          <w:sz w:val="24"/>
        </w:rPr>
        <w:t>the</w:t>
      </w:r>
      <w:r>
        <w:rPr>
          <w:spacing w:val="-2"/>
          <w:sz w:val="24"/>
        </w:rPr>
        <w:t> </w:t>
      </w:r>
      <w:r>
        <w:rPr>
          <w:sz w:val="24"/>
        </w:rPr>
        <w:t>wide</w:t>
      </w:r>
      <w:r>
        <w:rPr>
          <w:spacing w:val="-2"/>
          <w:sz w:val="24"/>
        </w:rPr>
        <w:t> </w:t>
      </w:r>
      <w:r>
        <w:rPr>
          <w:sz w:val="24"/>
        </w:rPr>
        <w:t>disparity</w:t>
      </w:r>
      <w:r>
        <w:rPr>
          <w:spacing w:val="-2"/>
          <w:sz w:val="24"/>
        </w:rPr>
        <w:t> </w:t>
      </w:r>
      <w:r>
        <w:rPr>
          <w:sz w:val="24"/>
        </w:rPr>
        <w:t>between</w:t>
      </w:r>
      <w:r>
        <w:rPr>
          <w:spacing w:val="-1"/>
          <w:sz w:val="24"/>
        </w:rPr>
        <w:t> </w:t>
      </w:r>
      <w:r>
        <w:rPr>
          <w:sz w:val="24"/>
        </w:rPr>
        <w:t>the</w:t>
      </w:r>
      <w:r>
        <w:rPr>
          <w:spacing w:val="-1"/>
          <w:sz w:val="24"/>
        </w:rPr>
        <w:t> </w:t>
      </w:r>
      <w:r>
        <w:rPr>
          <w:sz w:val="24"/>
        </w:rPr>
        <w:t>education</w:t>
      </w:r>
      <w:r>
        <w:rPr>
          <w:spacing w:val="-1"/>
          <w:sz w:val="24"/>
        </w:rPr>
        <w:t> </w:t>
      </w:r>
      <w:r>
        <w:rPr>
          <w:sz w:val="24"/>
        </w:rPr>
        <w:t>of</w:t>
      </w:r>
      <w:r>
        <w:rPr>
          <w:spacing w:val="-1"/>
          <w:sz w:val="24"/>
        </w:rPr>
        <w:t> </w:t>
      </w:r>
      <w:r>
        <w:rPr>
          <w:sz w:val="24"/>
        </w:rPr>
        <w:t>boys</w:t>
      </w:r>
      <w:r>
        <w:rPr>
          <w:spacing w:val="-1"/>
          <w:sz w:val="24"/>
        </w:rPr>
        <w:t> </w:t>
      </w:r>
      <w:r>
        <w:rPr>
          <w:sz w:val="24"/>
        </w:rPr>
        <w:t>and girls at all stages and in all sectors of education. The second is the equally wide, or sometimes wider disparity of educational development between the advanced classes and the backward ones-the Scheduled Castes and the Scheduled Tribes. On grounds of social justice as well as for the furtherance of democracy, it is essential to make special efforts</w:t>
      </w:r>
      <w:r>
        <w:rPr>
          <w:spacing w:val="40"/>
          <w:sz w:val="24"/>
        </w:rPr>
        <w:t> </w:t>
      </w:r>
      <w:r>
        <w:rPr>
          <w:sz w:val="24"/>
        </w:rPr>
        <w:t>to equalize educational opportunities between these groups.</w:t>
      </w:r>
    </w:p>
    <w:p>
      <w:pPr>
        <w:pStyle w:val="BodyText"/>
        <w:spacing w:before="4"/>
      </w:pPr>
    </w:p>
    <w:p>
      <w:pPr>
        <w:pStyle w:val="ListParagraph"/>
        <w:numPr>
          <w:ilvl w:val="1"/>
          <w:numId w:val="106"/>
        </w:numPr>
        <w:tabs>
          <w:tab w:pos="707" w:val="left" w:leader="none"/>
        </w:tabs>
        <w:spacing w:line="240" w:lineRule="auto" w:before="0" w:after="0"/>
        <w:ind w:left="160" w:right="496" w:firstLine="0"/>
        <w:jc w:val="both"/>
        <w:rPr>
          <w:sz w:val="24"/>
        </w:rPr>
      </w:pPr>
      <w:r>
        <w:rPr>
          <w:sz w:val="24"/>
        </w:rPr>
        <w:t>Like all ideals in life, perfect equality of educational opportunity is probably unattainable. In such matters, however, the essence of the problem is not the attainment</w:t>
      </w:r>
      <w:r>
        <w:rPr>
          <w:spacing w:val="40"/>
          <w:sz w:val="24"/>
        </w:rPr>
        <w:t> </w:t>
      </w:r>
      <w:r>
        <w:rPr>
          <w:sz w:val="24"/>
        </w:rPr>
        <w:t>of the goal, but an impassioned faith and earnest striving. In a good system of education, there should be a continuous attempt to identify factors which tend to create significant forms of inequality and to adopt measures either to eliminate them altogether or at least</w:t>
      </w:r>
      <w:r>
        <w:rPr>
          <w:spacing w:val="80"/>
          <w:sz w:val="24"/>
        </w:rPr>
        <w:t> </w:t>
      </w:r>
      <w:r>
        <w:rPr>
          <w:sz w:val="24"/>
        </w:rPr>
        <w:t>to reduce them to the minimum.</w:t>
      </w:r>
    </w:p>
    <w:p>
      <w:pPr>
        <w:pStyle w:val="BodyText"/>
        <w:spacing w:before="5"/>
      </w:pPr>
    </w:p>
    <w:p>
      <w:pPr>
        <w:pStyle w:val="BodyText"/>
        <w:ind w:left="160" w:right="496"/>
        <w:jc w:val="both"/>
      </w:pPr>
      <w:r>
        <w:rPr/>
        <w:t>We shall address ourselves, in the course of this chapter, to an examination of the implication of this policy for Indian education during the next twenty years.</w:t>
      </w:r>
    </w:p>
    <w:p>
      <w:pPr>
        <w:pStyle w:val="BodyText"/>
        <w:spacing w:before="6"/>
      </w:pPr>
    </w:p>
    <w:p>
      <w:pPr>
        <w:pStyle w:val="Heading1"/>
      </w:pPr>
      <w:r>
        <w:rPr/>
        <w:t>TUITION</w:t>
      </w:r>
      <w:r>
        <w:rPr>
          <w:spacing w:val="-7"/>
        </w:rPr>
        <w:t> </w:t>
      </w:r>
      <w:r>
        <w:rPr/>
        <w:t>FEES</w:t>
      </w:r>
      <w:r>
        <w:rPr>
          <w:spacing w:val="-4"/>
        </w:rPr>
        <w:t> </w:t>
      </w:r>
      <w:r>
        <w:rPr/>
        <w:t>AND</w:t>
      </w:r>
      <w:r>
        <w:rPr>
          <w:spacing w:val="-4"/>
        </w:rPr>
        <w:t> </w:t>
      </w:r>
      <w:r>
        <w:rPr/>
        <w:t>OTHER</w:t>
      </w:r>
      <w:r>
        <w:rPr>
          <w:spacing w:val="-4"/>
        </w:rPr>
        <w:t> </w:t>
      </w:r>
      <w:r>
        <w:rPr/>
        <w:t>PRIVATE</w:t>
      </w:r>
      <w:r>
        <w:rPr>
          <w:spacing w:val="-4"/>
        </w:rPr>
        <w:t> </w:t>
      </w:r>
      <w:r>
        <w:rPr>
          <w:spacing w:val="-2"/>
        </w:rPr>
        <w:t>COSTS</w:t>
      </w:r>
    </w:p>
    <w:p>
      <w:pPr>
        <w:pStyle w:val="BodyText"/>
        <w:spacing w:before="2"/>
        <w:rPr>
          <w:b/>
        </w:rPr>
      </w:pPr>
    </w:p>
    <w:p>
      <w:pPr>
        <w:pStyle w:val="ListParagraph"/>
        <w:numPr>
          <w:ilvl w:val="1"/>
          <w:numId w:val="106"/>
        </w:numPr>
        <w:tabs>
          <w:tab w:pos="646" w:val="left" w:leader="none"/>
        </w:tabs>
        <w:spacing w:line="240" w:lineRule="auto" w:before="0" w:after="0"/>
        <w:ind w:left="160" w:right="497" w:firstLine="0"/>
        <w:jc w:val="both"/>
        <w:rPr>
          <w:b/>
          <w:sz w:val="24"/>
        </w:rPr>
      </w:pPr>
      <w:r>
        <w:rPr>
          <w:b/>
          <w:sz w:val="24"/>
        </w:rPr>
        <w:t>Fees in Education</w:t>
      </w:r>
      <w:r>
        <w:rPr>
          <w:sz w:val="24"/>
        </w:rPr>
        <w:t>. The attitude towards tuition fees has undergone several changes in our modern educational history. In 1854, the Wood's Education Despatch, which laid the foundation for the present system of education, 'insisted that some fee, however</w:t>
      </w:r>
      <w:r>
        <w:rPr>
          <w:spacing w:val="80"/>
          <w:sz w:val="24"/>
        </w:rPr>
        <w:t> </w:t>
      </w:r>
      <w:r>
        <w:rPr>
          <w:sz w:val="24"/>
        </w:rPr>
        <w:t>small, should be charged in all institutions on two grounds: people do not value anything which is given free; and the payment of a fee is an indication of the seriousness of purpose on the part of a student or his guardian. This view soon gave way to a concept of fees</w:t>
      </w:r>
      <w:r>
        <w:rPr>
          <w:spacing w:val="16"/>
          <w:sz w:val="24"/>
        </w:rPr>
        <w:t> </w:t>
      </w:r>
      <w:r>
        <w:rPr>
          <w:sz w:val="24"/>
        </w:rPr>
        <w:t>as</w:t>
      </w:r>
      <w:r>
        <w:rPr>
          <w:spacing w:val="16"/>
          <w:sz w:val="24"/>
        </w:rPr>
        <w:t> </w:t>
      </w:r>
      <w:r>
        <w:rPr>
          <w:sz w:val="24"/>
        </w:rPr>
        <w:t>a</w:t>
      </w:r>
      <w:r>
        <w:rPr>
          <w:spacing w:val="16"/>
          <w:sz w:val="24"/>
        </w:rPr>
        <w:t> </w:t>
      </w:r>
      <w:r>
        <w:rPr>
          <w:sz w:val="24"/>
        </w:rPr>
        <w:t>source</w:t>
      </w:r>
      <w:r>
        <w:rPr>
          <w:spacing w:val="16"/>
          <w:sz w:val="24"/>
        </w:rPr>
        <w:t> </w:t>
      </w:r>
      <w:r>
        <w:rPr>
          <w:sz w:val="24"/>
        </w:rPr>
        <w:t>of</w:t>
      </w:r>
      <w:r>
        <w:rPr>
          <w:spacing w:val="16"/>
          <w:sz w:val="24"/>
        </w:rPr>
        <w:t> </w:t>
      </w:r>
      <w:r>
        <w:rPr>
          <w:sz w:val="24"/>
        </w:rPr>
        <w:t>revenue</w:t>
      </w:r>
      <w:r>
        <w:rPr>
          <w:spacing w:val="16"/>
          <w:sz w:val="24"/>
        </w:rPr>
        <w:t> </w:t>
      </w:r>
      <w:r>
        <w:rPr>
          <w:sz w:val="24"/>
        </w:rPr>
        <w:t>for</w:t>
      </w:r>
      <w:r>
        <w:rPr>
          <w:spacing w:val="16"/>
          <w:sz w:val="24"/>
        </w:rPr>
        <w:t> </w:t>
      </w:r>
      <w:r>
        <w:rPr>
          <w:sz w:val="24"/>
        </w:rPr>
        <w:t>supporting</w:t>
      </w:r>
      <w:r>
        <w:rPr>
          <w:spacing w:val="16"/>
          <w:sz w:val="24"/>
        </w:rPr>
        <w:t> </w:t>
      </w:r>
      <w:r>
        <w:rPr>
          <w:sz w:val="24"/>
        </w:rPr>
        <w:t>schools;</w:t>
      </w:r>
      <w:r>
        <w:rPr>
          <w:spacing w:val="16"/>
          <w:sz w:val="24"/>
        </w:rPr>
        <w:t> </w:t>
      </w:r>
      <w:r>
        <w:rPr>
          <w:sz w:val="24"/>
        </w:rPr>
        <w:t>and</w:t>
      </w:r>
      <w:r>
        <w:rPr>
          <w:spacing w:val="16"/>
          <w:sz w:val="24"/>
        </w:rPr>
        <w:t> </w:t>
      </w:r>
      <w:r>
        <w:rPr>
          <w:sz w:val="24"/>
        </w:rPr>
        <w:t>in</w:t>
      </w:r>
      <w:r>
        <w:rPr>
          <w:spacing w:val="16"/>
          <w:sz w:val="24"/>
        </w:rPr>
        <w:t> </w:t>
      </w:r>
      <w:r>
        <w:rPr>
          <w:sz w:val="24"/>
        </w:rPr>
        <w:t>1946-47,</w:t>
      </w:r>
      <w:r>
        <w:rPr>
          <w:spacing w:val="16"/>
          <w:sz w:val="24"/>
        </w:rPr>
        <w:t> </w:t>
      </w:r>
      <w:r>
        <w:rPr>
          <w:sz w:val="24"/>
        </w:rPr>
        <w:t>fees</w:t>
      </w:r>
      <w:r>
        <w:rPr>
          <w:spacing w:val="16"/>
          <w:sz w:val="24"/>
        </w:rPr>
        <w:t> </w:t>
      </w:r>
      <w:r>
        <w:rPr>
          <w:sz w:val="24"/>
        </w:rPr>
        <w:t>ac-</w:t>
      </w:r>
      <w:r>
        <w:rPr>
          <w:spacing w:val="16"/>
          <w:sz w:val="24"/>
        </w:rPr>
        <w:t> </w:t>
      </w:r>
      <w:r>
        <w:rPr>
          <w:sz w:val="24"/>
        </w:rPr>
        <w:t>counted</w:t>
      </w:r>
      <w:r>
        <w:rPr>
          <w:spacing w:val="16"/>
          <w:sz w:val="24"/>
        </w:rPr>
        <w:t> </w:t>
      </w:r>
      <w:r>
        <w:rPr>
          <w:spacing w:val="-5"/>
          <w:sz w:val="24"/>
        </w:rPr>
        <w:t>for</w:t>
      </w:r>
    </w:p>
    <w:p>
      <w:pPr>
        <w:pStyle w:val="BodyText"/>
        <w:ind w:left="160" w:right="498"/>
        <w:jc w:val="both"/>
      </w:pPr>
      <w:r>
        <w:rPr/>
        <w:t>25.6 per cent of the total educational expenditure. Since then dependence on fees as a source of revenue is diminishing and Government is assuming an increasing burden in</w:t>
      </w:r>
      <w:r>
        <w:rPr>
          <w:spacing w:val="40"/>
        </w:rPr>
        <w:t> </w:t>
      </w:r>
      <w:r>
        <w:rPr/>
        <w:t>the financing of education. This will be seen from the statistics given in Table 6.1.</w:t>
      </w:r>
    </w:p>
    <w:p>
      <w:pPr>
        <w:spacing w:after="0"/>
        <w:jc w:val="both"/>
        <w:sectPr>
          <w:pgSz w:w="12240" w:h="15840"/>
          <w:pgMar w:header="0" w:footer="743" w:top="1360" w:bottom="940" w:left="1640" w:right="1300"/>
        </w:sectPr>
      </w:pPr>
    </w:p>
    <w:p>
      <w:pPr>
        <w:pStyle w:val="BodyText"/>
        <w:spacing w:before="76"/>
        <w:ind w:left="290" w:right="629"/>
        <w:jc w:val="center"/>
      </w:pPr>
      <w:r>
        <w:rPr/>
        <w:t>TABLE</w:t>
      </w:r>
      <w:r>
        <w:rPr>
          <w:spacing w:val="-6"/>
        </w:rPr>
        <w:t> </w:t>
      </w:r>
      <w:r>
        <w:rPr/>
        <w:t>6.1.</w:t>
      </w:r>
      <w:r>
        <w:rPr>
          <w:spacing w:val="-4"/>
        </w:rPr>
        <w:t> </w:t>
      </w:r>
      <w:r>
        <w:rPr/>
        <w:t>TOTAL</w:t>
      </w:r>
      <w:r>
        <w:rPr>
          <w:spacing w:val="-3"/>
        </w:rPr>
        <w:t> </w:t>
      </w:r>
      <w:r>
        <w:rPr/>
        <w:t>REVENUE</w:t>
      </w:r>
      <w:r>
        <w:rPr>
          <w:spacing w:val="-5"/>
        </w:rPr>
        <w:t> </w:t>
      </w:r>
      <w:r>
        <w:rPr/>
        <w:t>FROM</w:t>
      </w:r>
      <w:r>
        <w:rPr>
          <w:spacing w:val="-4"/>
        </w:rPr>
        <w:t> FEES</w:t>
      </w:r>
    </w:p>
    <w:p>
      <w:pPr>
        <w:pStyle w:val="BodyText"/>
        <w:ind w:right="71"/>
        <w:jc w:val="center"/>
      </w:pPr>
      <w:r>
        <w:rPr/>
        <w:t>(1950-51 to 1965-</w:t>
      </w:r>
      <w:r>
        <w:rPr>
          <w:spacing w:val="-5"/>
        </w:rPr>
        <w:t>66)</w:t>
      </w:r>
    </w:p>
    <w:p>
      <w:pPr>
        <w:pStyle w:val="BodyText"/>
        <w:spacing w:before="6"/>
        <w:rPr>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7"/>
        <w:gridCol w:w="1092"/>
        <w:gridCol w:w="1353"/>
        <w:gridCol w:w="1496"/>
        <w:gridCol w:w="2351"/>
      </w:tblGrid>
      <w:tr>
        <w:trPr>
          <w:trHeight w:val="798" w:hRule="atLeast"/>
        </w:trPr>
        <w:tc>
          <w:tcPr>
            <w:tcW w:w="2347" w:type="dxa"/>
            <w:tcBorders>
              <w:top w:val="single" w:sz="12" w:space="0" w:color="808080"/>
              <w:bottom w:val="single" w:sz="12" w:space="0" w:color="808080"/>
            </w:tcBorders>
          </w:tcPr>
          <w:p>
            <w:pPr>
              <w:pStyle w:val="TableParagraph"/>
              <w:rPr>
                <w:sz w:val="22"/>
              </w:rPr>
            </w:pPr>
          </w:p>
        </w:tc>
        <w:tc>
          <w:tcPr>
            <w:tcW w:w="1092" w:type="dxa"/>
            <w:tcBorders>
              <w:top w:val="single" w:sz="12" w:space="0" w:color="808080"/>
              <w:bottom w:val="single" w:sz="12" w:space="0" w:color="808080"/>
            </w:tcBorders>
          </w:tcPr>
          <w:p>
            <w:pPr>
              <w:pStyle w:val="TableParagraph"/>
              <w:spacing w:before="48"/>
              <w:ind w:left="81"/>
              <w:rPr>
                <w:sz w:val="24"/>
              </w:rPr>
            </w:pPr>
            <w:r>
              <w:rPr>
                <w:sz w:val="24"/>
              </w:rPr>
              <w:t>1950-</w:t>
            </w:r>
            <w:r>
              <w:rPr>
                <w:spacing w:val="-5"/>
                <w:sz w:val="24"/>
              </w:rPr>
              <w:t>51</w:t>
            </w:r>
          </w:p>
        </w:tc>
        <w:tc>
          <w:tcPr>
            <w:tcW w:w="1353" w:type="dxa"/>
            <w:tcBorders>
              <w:top w:val="single" w:sz="12" w:space="0" w:color="808080"/>
              <w:bottom w:val="single" w:sz="12" w:space="0" w:color="808080"/>
            </w:tcBorders>
          </w:tcPr>
          <w:p>
            <w:pPr>
              <w:pStyle w:val="TableParagraph"/>
              <w:spacing w:before="48"/>
              <w:ind w:left="298"/>
              <w:rPr>
                <w:sz w:val="24"/>
              </w:rPr>
            </w:pPr>
            <w:r>
              <w:rPr>
                <w:sz w:val="24"/>
              </w:rPr>
              <w:t>1955-</w:t>
            </w:r>
            <w:r>
              <w:rPr>
                <w:spacing w:val="-5"/>
                <w:sz w:val="24"/>
              </w:rPr>
              <w:t>56</w:t>
            </w:r>
          </w:p>
        </w:tc>
        <w:tc>
          <w:tcPr>
            <w:tcW w:w="1496" w:type="dxa"/>
            <w:tcBorders>
              <w:top w:val="single" w:sz="12" w:space="0" w:color="808080"/>
              <w:bottom w:val="single" w:sz="12" w:space="0" w:color="808080"/>
            </w:tcBorders>
          </w:tcPr>
          <w:p>
            <w:pPr>
              <w:pStyle w:val="TableParagraph"/>
              <w:spacing w:before="48"/>
              <w:ind w:left="253"/>
              <w:rPr>
                <w:sz w:val="24"/>
              </w:rPr>
            </w:pPr>
            <w:r>
              <w:rPr>
                <w:sz w:val="24"/>
              </w:rPr>
              <w:t>1960-</w:t>
            </w:r>
            <w:r>
              <w:rPr>
                <w:spacing w:val="-5"/>
                <w:sz w:val="24"/>
              </w:rPr>
              <w:t>61</w:t>
            </w:r>
          </w:p>
        </w:tc>
        <w:tc>
          <w:tcPr>
            <w:tcW w:w="2351" w:type="dxa"/>
            <w:tcBorders>
              <w:top w:val="single" w:sz="12" w:space="0" w:color="808080"/>
              <w:bottom w:val="single" w:sz="12" w:space="0" w:color="808080"/>
            </w:tcBorders>
          </w:tcPr>
          <w:p>
            <w:pPr>
              <w:pStyle w:val="TableParagraph"/>
              <w:spacing w:before="48"/>
              <w:ind w:left="441"/>
              <w:rPr>
                <w:sz w:val="24"/>
              </w:rPr>
            </w:pPr>
            <w:r>
              <w:rPr>
                <w:sz w:val="24"/>
              </w:rPr>
              <w:t>1965-</w:t>
            </w:r>
            <w:r>
              <w:rPr>
                <w:spacing w:val="-5"/>
                <w:sz w:val="24"/>
              </w:rPr>
              <w:t>66</w:t>
            </w:r>
          </w:p>
          <w:p>
            <w:pPr>
              <w:pStyle w:val="TableParagraph"/>
              <w:ind w:left="441"/>
              <w:rPr>
                <w:sz w:val="24"/>
              </w:rPr>
            </w:pPr>
            <w:r>
              <w:rPr>
                <w:spacing w:val="-2"/>
                <w:sz w:val="24"/>
              </w:rPr>
              <w:t>(Estimated)</w:t>
            </w:r>
          </w:p>
        </w:tc>
      </w:tr>
      <w:tr>
        <w:trPr>
          <w:trHeight w:val="467" w:hRule="atLeast"/>
        </w:trPr>
        <w:tc>
          <w:tcPr>
            <w:tcW w:w="2347" w:type="dxa"/>
            <w:tcBorders>
              <w:top w:val="single" w:sz="12" w:space="0" w:color="808080"/>
            </w:tcBorders>
          </w:tcPr>
          <w:p>
            <w:pPr>
              <w:pStyle w:val="TableParagraph"/>
              <w:rPr>
                <w:sz w:val="22"/>
              </w:rPr>
            </w:pPr>
          </w:p>
        </w:tc>
        <w:tc>
          <w:tcPr>
            <w:tcW w:w="1092" w:type="dxa"/>
            <w:tcBorders>
              <w:top w:val="single" w:sz="12" w:space="0" w:color="808080"/>
            </w:tcBorders>
          </w:tcPr>
          <w:p>
            <w:pPr>
              <w:pStyle w:val="TableParagraph"/>
              <w:spacing w:before="48"/>
              <w:ind w:left="81"/>
              <w:rPr>
                <w:sz w:val="24"/>
              </w:rPr>
            </w:pPr>
            <w:r>
              <w:rPr>
                <w:spacing w:val="-5"/>
                <w:sz w:val="24"/>
              </w:rPr>
              <w:t>Rs.</w:t>
            </w:r>
          </w:p>
        </w:tc>
        <w:tc>
          <w:tcPr>
            <w:tcW w:w="1353" w:type="dxa"/>
            <w:tcBorders>
              <w:top w:val="single" w:sz="12" w:space="0" w:color="808080"/>
            </w:tcBorders>
          </w:tcPr>
          <w:p>
            <w:pPr>
              <w:pStyle w:val="TableParagraph"/>
              <w:spacing w:before="48"/>
              <w:ind w:left="299"/>
              <w:rPr>
                <w:sz w:val="24"/>
              </w:rPr>
            </w:pPr>
            <w:r>
              <w:rPr>
                <w:spacing w:val="-5"/>
                <w:sz w:val="24"/>
              </w:rPr>
              <w:t>Rs.</w:t>
            </w:r>
          </w:p>
        </w:tc>
        <w:tc>
          <w:tcPr>
            <w:tcW w:w="1496" w:type="dxa"/>
            <w:tcBorders>
              <w:top w:val="single" w:sz="12" w:space="0" w:color="808080"/>
            </w:tcBorders>
          </w:tcPr>
          <w:p>
            <w:pPr>
              <w:pStyle w:val="TableParagraph"/>
              <w:spacing w:before="48"/>
              <w:ind w:left="254"/>
              <w:rPr>
                <w:sz w:val="24"/>
              </w:rPr>
            </w:pPr>
            <w:r>
              <w:rPr>
                <w:spacing w:val="-5"/>
                <w:sz w:val="24"/>
              </w:rPr>
              <w:t>Rs.</w:t>
            </w:r>
          </w:p>
        </w:tc>
        <w:tc>
          <w:tcPr>
            <w:tcW w:w="2351" w:type="dxa"/>
            <w:tcBorders>
              <w:top w:val="single" w:sz="12" w:space="0" w:color="808080"/>
            </w:tcBorders>
          </w:tcPr>
          <w:p>
            <w:pPr>
              <w:pStyle w:val="TableParagraph"/>
              <w:spacing w:before="48"/>
              <w:ind w:left="442"/>
              <w:rPr>
                <w:sz w:val="24"/>
              </w:rPr>
            </w:pPr>
            <w:r>
              <w:rPr>
                <w:spacing w:val="-5"/>
                <w:sz w:val="24"/>
              </w:rPr>
              <w:t>Rs.</w:t>
            </w:r>
          </w:p>
        </w:tc>
      </w:tr>
      <w:tr>
        <w:trPr>
          <w:trHeight w:val="827" w:hRule="atLeast"/>
        </w:trPr>
        <w:tc>
          <w:tcPr>
            <w:tcW w:w="2347" w:type="dxa"/>
          </w:tcPr>
          <w:p>
            <w:pPr>
              <w:pStyle w:val="TableParagraph"/>
              <w:spacing w:before="133"/>
              <w:ind w:left="-3"/>
              <w:rPr>
                <w:sz w:val="24"/>
              </w:rPr>
            </w:pPr>
            <w:r>
              <w:rPr>
                <w:sz w:val="24"/>
              </w:rPr>
              <w:t>1.</w:t>
            </w:r>
            <w:r>
              <w:rPr>
                <w:spacing w:val="-13"/>
                <w:sz w:val="24"/>
              </w:rPr>
              <w:t> </w:t>
            </w:r>
            <w:r>
              <w:rPr>
                <w:sz w:val="24"/>
              </w:rPr>
              <w:t>Total</w:t>
            </w:r>
            <w:r>
              <w:rPr>
                <w:spacing w:val="-13"/>
                <w:sz w:val="24"/>
              </w:rPr>
              <w:t> </w:t>
            </w:r>
            <w:r>
              <w:rPr>
                <w:sz w:val="24"/>
              </w:rPr>
              <w:t>receipts</w:t>
            </w:r>
            <w:r>
              <w:rPr>
                <w:spacing w:val="-13"/>
                <w:sz w:val="24"/>
              </w:rPr>
              <w:t> </w:t>
            </w:r>
            <w:r>
              <w:rPr>
                <w:sz w:val="24"/>
              </w:rPr>
              <w:t>from fees (in 000's)</w:t>
            </w:r>
          </w:p>
        </w:tc>
        <w:tc>
          <w:tcPr>
            <w:tcW w:w="1092" w:type="dxa"/>
          </w:tcPr>
          <w:p>
            <w:pPr>
              <w:pStyle w:val="TableParagraph"/>
              <w:spacing w:before="132"/>
              <w:rPr>
                <w:sz w:val="24"/>
              </w:rPr>
            </w:pPr>
          </w:p>
          <w:p>
            <w:pPr>
              <w:pStyle w:val="TableParagraph"/>
              <w:spacing w:before="1"/>
              <w:ind w:left="80"/>
              <w:rPr>
                <w:sz w:val="24"/>
              </w:rPr>
            </w:pPr>
            <w:r>
              <w:rPr>
                <w:spacing w:val="-2"/>
                <w:sz w:val="24"/>
              </w:rPr>
              <w:t>233,272</w:t>
            </w:r>
          </w:p>
        </w:tc>
        <w:tc>
          <w:tcPr>
            <w:tcW w:w="1353" w:type="dxa"/>
          </w:tcPr>
          <w:p>
            <w:pPr>
              <w:pStyle w:val="TableParagraph"/>
              <w:spacing w:before="132"/>
              <w:rPr>
                <w:sz w:val="24"/>
              </w:rPr>
            </w:pPr>
          </w:p>
          <w:p>
            <w:pPr>
              <w:pStyle w:val="TableParagraph"/>
              <w:spacing w:before="1"/>
              <w:ind w:left="221"/>
              <w:rPr>
                <w:sz w:val="24"/>
              </w:rPr>
            </w:pPr>
            <w:r>
              <w:rPr>
                <w:spacing w:val="-2"/>
                <w:sz w:val="24"/>
              </w:rPr>
              <w:t>379,033</w:t>
            </w:r>
          </w:p>
        </w:tc>
        <w:tc>
          <w:tcPr>
            <w:tcW w:w="1496" w:type="dxa"/>
          </w:tcPr>
          <w:p>
            <w:pPr>
              <w:pStyle w:val="TableParagraph"/>
              <w:spacing w:before="132"/>
              <w:rPr>
                <w:sz w:val="24"/>
              </w:rPr>
            </w:pPr>
          </w:p>
          <w:p>
            <w:pPr>
              <w:pStyle w:val="TableParagraph"/>
              <w:spacing w:before="1"/>
              <w:ind w:left="252"/>
              <w:rPr>
                <w:sz w:val="24"/>
              </w:rPr>
            </w:pPr>
            <w:r>
              <w:rPr>
                <w:spacing w:val="-2"/>
                <w:sz w:val="24"/>
              </w:rPr>
              <w:t>590,258</w:t>
            </w:r>
          </w:p>
        </w:tc>
        <w:tc>
          <w:tcPr>
            <w:tcW w:w="2351" w:type="dxa"/>
          </w:tcPr>
          <w:p>
            <w:pPr>
              <w:pStyle w:val="TableParagraph"/>
              <w:spacing w:before="132"/>
              <w:rPr>
                <w:sz w:val="24"/>
              </w:rPr>
            </w:pPr>
          </w:p>
          <w:p>
            <w:pPr>
              <w:pStyle w:val="TableParagraph"/>
              <w:spacing w:before="1"/>
              <w:ind w:left="439"/>
              <w:rPr>
                <w:sz w:val="24"/>
              </w:rPr>
            </w:pPr>
            <w:r>
              <w:rPr>
                <w:spacing w:val="-2"/>
                <w:sz w:val="24"/>
              </w:rPr>
              <w:t>918,077</w:t>
            </w:r>
          </w:p>
        </w:tc>
      </w:tr>
      <w:tr>
        <w:trPr>
          <w:trHeight w:val="551" w:hRule="atLeast"/>
        </w:trPr>
        <w:tc>
          <w:tcPr>
            <w:tcW w:w="2347" w:type="dxa"/>
          </w:tcPr>
          <w:p>
            <w:pPr>
              <w:pStyle w:val="TableParagraph"/>
              <w:spacing w:before="133"/>
              <w:ind w:left="-3"/>
              <w:rPr>
                <w:sz w:val="24"/>
              </w:rPr>
            </w:pPr>
            <w:r>
              <w:rPr>
                <w:sz w:val="24"/>
              </w:rPr>
              <w:t>2. Index of </w:t>
            </w:r>
            <w:r>
              <w:rPr>
                <w:spacing w:val="-2"/>
                <w:sz w:val="24"/>
              </w:rPr>
              <w:t>growth</w:t>
            </w:r>
          </w:p>
        </w:tc>
        <w:tc>
          <w:tcPr>
            <w:tcW w:w="1092" w:type="dxa"/>
          </w:tcPr>
          <w:p>
            <w:pPr>
              <w:pStyle w:val="TableParagraph"/>
              <w:spacing w:before="133"/>
              <w:ind w:left="81"/>
              <w:rPr>
                <w:sz w:val="24"/>
              </w:rPr>
            </w:pPr>
            <w:r>
              <w:rPr>
                <w:spacing w:val="-5"/>
                <w:sz w:val="24"/>
              </w:rPr>
              <w:t>100</w:t>
            </w:r>
          </w:p>
        </w:tc>
        <w:tc>
          <w:tcPr>
            <w:tcW w:w="1353" w:type="dxa"/>
          </w:tcPr>
          <w:p>
            <w:pPr>
              <w:pStyle w:val="TableParagraph"/>
              <w:spacing w:before="133"/>
              <w:ind w:left="221"/>
              <w:rPr>
                <w:sz w:val="24"/>
              </w:rPr>
            </w:pPr>
            <w:r>
              <w:rPr>
                <w:spacing w:val="-5"/>
                <w:sz w:val="24"/>
              </w:rPr>
              <w:t>162</w:t>
            </w:r>
          </w:p>
        </w:tc>
        <w:tc>
          <w:tcPr>
            <w:tcW w:w="1496" w:type="dxa"/>
          </w:tcPr>
          <w:p>
            <w:pPr>
              <w:pStyle w:val="TableParagraph"/>
              <w:spacing w:before="133"/>
              <w:ind w:left="253"/>
              <w:rPr>
                <w:sz w:val="24"/>
              </w:rPr>
            </w:pPr>
            <w:r>
              <w:rPr>
                <w:spacing w:val="-5"/>
                <w:sz w:val="24"/>
              </w:rPr>
              <w:t>253</w:t>
            </w:r>
          </w:p>
        </w:tc>
        <w:tc>
          <w:tcPr>
            <w:tcW w:w="2351" w:type="dxa"/>
          </w:tcPr>
          <w:p>
            <w:pPr>
              <w:pStyle w:val="TableParagraph"/>
              <w:spacing w:before="133"/>
              <w:ind w:left="441"/>
              <w:rPr>
                <w:sz w:val="24"/>
              </w:rPr>
            </w:pPr>
            <w:r>
              <w:rPr>
                <w:spacing w:val="-5"/>
                <w:sz w:val="24"/>
              </w:rPr>
              <w:t>394</w:t>
            </w:r>
          </w:p>
        </w:tc>
      </w:tr>
      <w:tr>
        <w:trPr>
          <w:trHeight w:val="1103" w:hRule="atLeast"/>
        </w:trPr>
        <w:tc>
          <w:tcPr>
            <w:tcW w:w="2347" w:type="dxa"/>
          </w:tcPr>
          <w:p>
            <w:pPr>
              <w:pStyle w:val="TableParagraph"/>
              <w:spacing w:before="133"/>
              <w:ind w:left="-3" w:right="116"/>
              <w:rPr>
                <w:sz w:val="24"/>
              </w:rPr>
            </w:pPr>
            <w:r>
              <w:rPr>
                <w:sz w:val="24"/>
              </w:rPr>
              <w:t>3.</w:t>
            </w:r>
            <w:r>
              <w:rPr>
                <w:spacing w:val="-13"/>
                <w:sz w:val="24"/>
              </w:rPr>
              <w:t> </w:t>
            </w:r>
            <w:r>
              <w:rPr>
                <w:sz w:val="24"/>
              </w:rPr>
              <w:t>As</w:t>
            </w:r>
            <w:r>
              <w:rPr>
                <w:spacing w:val="-13"/>
                <w:sz w:val="24"/>
              </w:rPr>
              <w:t> </w:t>
            </w:r>
            <w:r>
              <w:rPr>
                <w:sz w:val="24"/>
              </w:rPr>
              <w:t>percentage</w:t>
            </w:r>
            <w:r>
              <w:rPr>
                <w:spacing w:val="-13"/>
                <w:sz w:val="24"/>
              </w:rPr>
              <w:t> </w:t>
            </w:r>
            <w:r>
              <w:rPr>
                <w:sz w:val="24"/>
              </w:rPr>
              <w:t>of total educational </w:t>
            </w:r>
            <w:r>
              <w:rPr>
                <w:spacing w:val="-2"/>
                <w:sz w:val="24"/>
              </w:rPr>
              <w:t>expenditure</w:t>
            </w:r>
          </w:p>
        </w:tc>
        <w:tc>
          <w:tcPr>
            <w:tcW w:w="1092" w:type="dxa"/>
          </w:tcPr>
          <w:p>
            <w:pPr>
              <w:pStyle w:val="TableParagraph"/>
              <w:rPr>
                <w:sz w:val="24"/>
              </w:rPr>
            </w:pPr>
          </w:p>
          <w:p>
            <w:pPr>
              <w:pStyle w:val="TableParagraph"/>
              <w:spacing w:before="132"/>
              <w:rPr>
                <w:sz w:val="24"/>
              </w:rPr>
            </w:pPr>
          </w:p>
          <w:p>
            <w:pPr>
              <w:pStyle w:val="TableParagraph"/>
              <w:spacing w:before="1"/>
              <w:ind w:left="81"/>
              <w:rPr>
                <w:sz w:val="24"/>
              </w:rPr>
            </w:pPr>
            <w:r>
              <w:rPr>
                <w:spacing w:val="-4"/>
                <w:sz w:val="24"/>
              </w:rPr>
              <w:t>20.4</w:t>
            </w:r>
          </w:p>
        </w:tc>
        <w:tc>
          <w:tcPr>
            <w:tcW w:w="1353" w:type="dxa"/>
          </w:tcPr>
          <w:p>
            <w:pPr>
              <w:pStyle w:val="TableParagraph"/>
              <w:rPr>
                <w:sz w:val="24"/>
              </w:rPr>
            </w:pPr>
          </w:p>
          <w:p>
            <w:pPr>
              <w:pStyle w:val="TableParagraph"/>
              <w:spacing w:before="132"/>
              <w:rPr>
                <w:sz w:val="24"/>
              </w:rPr>
            </w:pPr>
          </w:p>
          <w:p>
            <w:pPr>
              <w:pStyle w:val="TableParagraph"/>
              <w:spacing w:before="1"/>
              <w:ind w:left="298"/>
              <w:rPr>
                <w:sz w:val="24"/>
              </w:rPr>
            </w:pPr>
            <w:r>
              <w:rPr>
                <w:spacing w:val="-4"/>
                <w:sz w:val="24"/>
              </w:rPr>
              <w:t>20,0</w:t>
            </w:r>
          </w:p>
        </w:tc>
        <w:tc>
          <w:tcPr>
            <w:tcW w:w="1496" w:type="dxa"/>
          </w:tcPr>
          <w:p>
            <w:pPr>
              <w:pStyle w:val="TableParagraph"/>
              <w:rPr>
                <w:sz w:val="24"/>
              </w:rPr>
            </w:pPr>
          </w:p>
          <w:p>
            <w:pPr>
              <w:pStyle w:val="TableParagraph"/>
              <w:spacing w:before="132"/>
              <w:rPr>
                <w:sz w:val="24"/>
              </w:rPr>
            </w:pPr>
          </w:p>
          <w:p>
            <w:pPr>
              <w:pStyle w:val="TableParagraph"/>
              <w:spacing w:before="1"/>
              <w:ind w:left="253"/>
              <w:rPr>
                <w:sz w:val="24"/>
              </w:rPr>
            </w:pPr>
            <w:r>
              <w:rPr>
                <w:spacing w:val="-4"/>
                <w:sz w:val="24"/>
              </w:rPr>
              <w:t>17.1</w:t>
            </w:r>
          </w:p>
        </w:tc>
        <w:tc>
          <w:tcPr>
            <w:tcW w:w="2351" w:type="dxa"/>
          </w:tcPr>
          <w:p>
            <w:pPr>
              <w:pStyle w:val="TableParagraph"/>
              <w:rPr>
                <w:sz w:val="24"/>
              </w:rPr>
            </w:pPr>
          </w:p>
          <w:p>
            <w:pPr>
              <w:pStyle w:val="TableParagraph"/>
              <w:spacing w:before="132"/>
              <w:rPr>
                <w:sz w:val="24"/>
              </w:rPr>
            </w:pPr>
          </w:p>
          <w:p>
            <w:pPr>
              <w:pStyle w:val="TableParagraph"/>
              <w:spacing w:before="1"/>
              <w:ind w:left="440"/>
              <w:rPr>
                <w:sz w:val="24"/>
              </w:rPr>
            </w:pPr>
            <w:r>
              <w:rPr>
                <w:spacing w:val="-4"/>
                <w:sz w:val="24"/>
              </w:rPr>
              <w:t>15.3</w:t>
            </w:r>
          </w:p>
        </w:tc>
      </w:tr>
      <w:tr>
        <w:trPr>
          <w:trHeight w:val="1242" w:hRule="atLeast"/>
        </w:trPr>
        <w:tc>
          <w:tcPr>
            <w:tcW w:w="2347" w:type="dxa"/>
          </w:tcPr>
          <w:p>
            <w:pPr>
              <w:pStyle w:val="TableParagraph"/>
              <w:spacing w:line="270" w:lineRule="atLeast" w:before="118"/>
              <w:ind w:left="-3" w:right="46"/>
              <w:rPr>
                <w:sz w:val="24"/>
              </w:rPr>
            </w:pPr>
            <w:r>
              <w:rPr>
                <w:sz w:val="24"/>
              </w:rPr>
              <w:t>4.</w:t>
            </w:r>
            <w:r>
              <w:rPr>
                <w:spacing w:val="40"/>
                <w:sz w:val="24"/>
              </w:rPr>
              <w:t> </w:t>
            </w:r>
            <w:r>
              <w:rPr>
                <w:sz w:val="24"/>
              </w:rPr>
              <w:t>Contribution from Government Funds as percentage of total educational</w:t>
            </w:r>
            <w:r>
              <w:rPr>
                <w:spacing w:val="-15"/>
                <w:sz w:val="24"/>
              </w:rPr>
              <w:t> </w:t>
            </w:r>
            <w:r>
              <w:rPr>
                <w:sz w:val="24"/>
              </w:rPr>
              <w:t>expenditure</w:t>
            </w:r>
          </w:p>
        </w:tc>
        <w:tc>
          <w:tcPr>
            <w:tcW w:w="1092" w:type="dxa"/>
          </w:tcPr>
          <w:p>
            <w:pPr>
              <w:pStyle w:val="TableParagraph"/>
              <w:rPr>
                <w:sz w:val="24"/>
              </w:rPr>
            </w:pPr>
          </w:p>
          <w:p>
            <w:pPr>
              <w:pStyle w:val="TableParagraph"/>
              <w:rPr>
                <w:sz w:val="24"/>
              </w:rPr>
            </w:pPr>
          </w:p>
          <w:p>
            <w:pPr>
              <w:pStyle w:val="TableParagraph"/>
              <w:spacing w:before="132"/>
              <w:rPr>
                <w:sz w:val="24"/>
              </w:rPr>
            </w:pPr>
          </w:p>
          <w:p>
            <w:pPr>
              <w:pStyle w:val="TableParagraph"/>
              <w:spacing w:line="261" w:lineRule="exact" w:before="1"/>
              <w:ind w:left="69"/>
              <w:rPr>
                <w:sz w:val="24"/>
              </w:rPr>
            </w:pPr>
            <w:r>
              <w:rPr>
                <w:spacing w:val="-4"/>
                <w:sz w:val="24"/>
              </w:rPr>
              <w:t>57.1</w:t>
            </w:r>
          </w:p>
        </w:tc>
        <w:tc>
          <w:tcPr>
            <w:tcW w:w="1353" w:type="dxa"/>
          </w:tcPr>
          <w:p>
            <w:pPr>
              <w:pStyle w:val="TableParagraph"/>
              <w:rPr>
                <w:sz w:val="24"/>
              </w:rPr>
            </w:pPr>
          </w:p>
          <w:p>
            <w:pPr>
              <w:pStyle w:val="TableParagraph"/>
              <w:rPr>
                <w:sz w:val="24"/>
              </w:rPr>
            </w:pPr>
          </w:p>
          <w:p>
            <w:pPr>
              <w:pStyle w:val="TableParagraph"/>
              <w:spacing w:before="132"/>
              <w:rPr>
                <w:sz w:val="24"/>
              </w:rPr>
            </w:pPr>
          </w:p>
          <w:p>
            <w:pPr>
              <w:pStyle w:val="TableParagraph"/>
              <w:spacing w:line="261" w:lineRule="exact" w:before="1"/>
              <w:ind w:left="221"/>
              <w:rPr>
                <w:sz w:val="24"/>
              </w:rPr>
            </w:pPr>
            <w:r>
              <w:rPr>
                <w:spacing w:val="-4"/>
                <w:sz w:val="24"/>
              </w:rPr>
              <w:t>61.8</w:t>
            </w:r>
          </w:p>
        </w:tc>
        <w:tc>
          <w:tcPr>
            <w:tcW w:w="1496" w:type="dxa"/>
          </w:tcPr>
          <w:p>
            <w:pPr>
              <w:pStyle w:val="TableParagraph"/>
              <w:rPr>
                <w:sz w:val="24"/>
              </w:rPr>
            </w:pPr>
          </w:p>
          <w:p>
            <w:pPr>
              <w:pStyle w:val="TableParagraph"/>
              <w:rPr>
                <w:sz w:val="24"/>
              </w:rPr>
            </w:pPr>
          </w:p>
          <w:p>
            <w:pPr>
              <w:pStyle w:val="TableParagraph"/>
              <w:spacing w:before="132"/>
              <w:rPr>
                <w:sz w:val="24"/>
              </w:rPr>
            </w:pPr>
          </w:p>
          <w:p>
            <w:pPr>
              <w:pStyle w:val="TableParagraph"/>
              <w:spacing w:line="261" w:lineRule="exact" w:before="1"/>
              <w:ind w:left="253"/>
              <w:rPr>
                <w:sz w:val="24"/>
              </w:rPr>
            </w:pPr>
            <w:r>
              <w:rPr>
                <w:spacing w:val="-4"/>
                <w:sz w:val="24"/>
              </w:rPr>
              <w:t>68.0</w:t>
            </w:r>
          </w:p>
        </w:tc>
        <w:tc>
          <w:tcPr>
            <w:tcW w:w="2351" w:type="dxa"/>
          </w:tcPr>
          <w:p>
            <w:pPr>
              <w:pStyle w:val="TableParagraph"/>
              <w:rPr>
                <w:sz w:val="24"/>
              </w:rPr>
            </w:pPr>
          </w:p>
          <w:p>
            <w:pPr>
              <w:pStyle w:val="TableParagraph"/>
              <w:rPr>
                <w:sz w:val="24"/>
              </w:rPr>
            </w:pPr>
          </w:p>
          <w:p>
            <w:pPr>
              <w:pStyle w:val="TableParagraph"/>
              <w:spacing w:before="132"/>
              <w:rPr>
                <w:sz w:val="24"/>
              </w:rPr>
            </w:pPr>
          </w:p>
          <w:p>
            <w:pPr>
              <w:pStyle w:val="TableParagraph"/>
              <w:spacing w:line="261" w:lineRule="exact" w:before="1"/>
              <w:ind w:left="440"/>
              <w:rPr>
                <w:sz w:val="24"/>
              </w:rPr>
            </w:pPr>
            <w:r>
              <w:rPr>
                <w:spacing w:val="-4"/>
                <w:sz w:val="24"/>
              </w:rPr>
              <w:t>71.2</w:t>
            </w:r>
          </w:p>
        </w:tc>
      </w:tr>
      <w:tr>
        <w:trPr>
          <w:trHeight w:val="546" w:hRule="atLeast"/>
        </w:trPr>
        <w:tc>
          <w:tcPr>
            <w:tcW w:w="2347" w:type="dxa"/>
          </w:tcPr>
          <w:p>
            <w:pPr>
              <w:pStyle w:val="TableParagraph"/>
              <w:rPr>
                <w:sz w:val="22"/>
              </w:rPr>
            </w:pPr>
          </w:p>
        </w:tc>
        <w:tc>
          <w:tcPr>
            <w:tcW w:w="1092" w:type="dxa"/>
          </w:tcPr>
          <w:p>
            <w:pPr>
              <w:pStyle w:val="TableParagraph"/>
              <w:spacing w:line="271" w:lineRule="exact"/>
              <w:ind w:left="81"/>
              <w:rPr>
                <w:sz w:val="24"/>
              </w:rPr>
            </w:pPr>
            <w:r>
              <w:rPr>
                <w:spacing w:val="-2"/>
                <w:sz w:val="24"/>
              </w:rPr>
              <w:t>First</w:t>
            </w:r>
          </w:p>
          <w:p>
            <w:pPr>
              <w:pStyle w:val="TableParagraph"/>
              <w:spacing w:line="256" w:lineRule="exact"/>
              <w:ind w:left="49"/>
              <w:rPr>
                <w:sz w:val="24"/>
              </w:rPr>
            </w:pPr>
            <w:r>
              <w:rPr>
                <w:spacing w:val="-4"/>
                <w:sz w:val="24"/>
              </w:rPr>
              <w:t>plan</w:t>
            </w:r>
          </w:p>
        </w:tc>
        <w:tc>
          <w:tcPr>
            <w:tcW w:w="1353" w:type="dxa"/>
          </w:tcPr>
          <w:p>
            <w:pPr>
              <w:pStyle w:val="TableParagraph"/>
              <w:spacing w:line="271" w:lineRule="exact"/>
              <w:ind w:left="209"/>
              <w:rPr>
                <w:sz w:val="24"/>
              </w:rPr>
            </w:pPr>
            <w:r>
              <w:rPr>
                <w:spacing w:val="-2"/>
                <w:sz w:val="24"/>
              </w:rPr>
              <w:t>Second</w:t>
            </w:r>
          </w:p>
          <w:p>
            <w:pPr>
              <w:pStyle w:val="TableParagraph"/>
              <w:spacing w:line="256" w:lineRule="exact"/>
              <w:ind w:left="210"/>
              <w:rPr>
                <w:sz w:val="24"/>
              </w:rPr>
            </w:pPr>
            <w:r>
              <w:rPr>
                <w:spacing w:val="-4"/>
                <w:sz w:val="24"/>
              </w:rPr>
              <w:t>plan</w:t>
            </w:r>
          </w:p>
        </w:tc>
        <w:tc>
          <w:tcPr>
            <w:tcW w:w="1496" w:type="dxa"/>
          </w:tcPr>
          <w:p>
            <w:pPr>
              <w:pStyle w:val="TableParagraph"/>
              <w:spacing w:line="271" w:lineRule="exact"/>
              <w:ind w:left="282"/>
              <w:rPr>
                <w:sz w:val="24"/>
              </w:rPr>
            </w:pPr>
            <w:r>
              <w:rPr>
                <w:spacing w:val="-2"/>
                <w:sz w:val="24"/>
              </w:rPr>
              <w:t>Third</w:t>
            </w:r>
          </w:p>
          <w:p>
            <w:pPr>
              <w:pStyle w:val="TableParagraph"/>
              <w:spacing w:line="256" w:lineRule="exact"/>
              <w:ind w:left="350"/>
              <w:rPr>
                <w:sz w:val="24"/>
              </w:rPr>
            </w:pPr>
            <w:r>
              <w:rPr>
                <w:spacing w:val="-4"/>
                <w:sz w:val="24"/>
              </w:rPr>
              <w:t>plan</w:t>
            </w:r>
          </w:p>
        </w:tc>
        <w:tc>
          <w:tcPr>
            <w:tcW w:w="2351" w:type="dxa"/>
          </w:tcPr>
          <w:p>
            <w:pPr>
              <w:pStyle w:val="TableParagraph"/>
              <w:spacing w:line="271" w:lineRule="exact"/>
              <w:ind w:left="459"/>
              <w:rPr>
                <w:sz w:val="24"/>
              </w:rPr>
            </w:pPr>
            <w:r>
              <w:rPr>
                <w:spacing w:val="-5"/>
                <w:sz w:val="24"/>
              </w:rPr>
              <w:t>All</w:t>
            </w:r>
          </w:p>
          <w:p>
            <w:pPr>
              <w:pStyle w:val="TableParagraph"/>
              <w:spacing w:line="256" w:lineRule="exact"/>
              <w:ind w:left="466"/>
              <w:rPr>
                <w:sz w:val="24"/>
              </w:rPr>
            </w:pPr>
            <w:r>
              <w:rPr>
                <w:spacing w:val="-2"/>
                <w:sz w:val="24"/>
              </w:rPr>
              <w:t>plans</w:t>
            </w:r>
          </w:p>
        </w:tc>
      </w:tr>
    </w:tbl>
    <w:p>
      <w:pPr>
        <w:pStyle w:val="BodyText"/>
        <w:spacing w:before="265"/>
        <w:ind w:left="159"/>
      </w:pPr>
      <w:r>
        <w:rPr/>
        <w:t>5. Average annual rate </w:t>
      </w:r>
      <w:r>
        <w:rPr>
          <w:spacing w:val="-5"/>
        </w:rPr>
        <w:t>of</w:t>
      </w:r>
    </w:p>
    <w:p>
      <w:pPr>
        <w:pStyle w:val="BodyText"/>
        <w:tabs>
          <w:tab w:pos="2373" w:val="left" w:leader="none"/>
          <w:tab w:pos="3822" w:val="left" w:leader="none"/>
          <w:tab w:pos="5207" w:val="left" w:leader="none"/>
          <w:tab w:pos="7191" w:val="right" w:leader="none"/>
        </w:tabs>
        <w:ind w:left="159"/>
      </w:pPr>
      <w:r>
        <w:rPr/>
        <w:t>growth in </w:t>
      </w:r>
      <w:r>
        <w:rPr>
          <w:spacing w:val="-4"/>
        </w:rPr>
        <w:t>fees</w:t>
      </w:r>
      <w:r>
        <w:rPr/>
        <w:tab/>
      </w:r>
      <w:r>
        <w:rPr>
          <w:spacing w:val="-4"/>
        </w:rPr>
        <w:t>10.2</w:t>
      </w:r>
      <w:r>
        <w:rPr/>
        <w:tab/>
      </w:r>
      <w:r>
        <w:rPr>
          <w:spacing w:val="-5"/>
        </w:rPr>
        <w:t>9.3</w:t>
      </w:r>
      <w:r>
        <w:rPr/>
        <w:tab/>
      </w:r>
      <w:r>
        <w:rPr>
          <w:spacing w:val="-5"/>
        </w:rPr>
        <w:t>9.2</w:t>
      </w:r>
      <w:r>
        <w:rPr/>
        <w:tab/>
      </w:r>
      <w:r>
        <w:rPr>
          <w:spacing w:val="-5"/>
        </w:rPr>
        <w:t>9.6</w:t>
      </w:r>
    </w:p>
    <w:p>
      <w:pPr>
        <w:pStyle w:val="BodyText"/>
        <w:spacing w:before="551"/>
        <w:ind w:left="159" w:right="510"/>
      </w:pPr>
      <w:r>
        <w:rPr/>
        <mc:AlternateContent>
          <mc:Choice Requires="wps">
            <w:drawing>
              <wp:anchor distT="0" distB="0" distL="0" distR="0" allowOverlap="1" layoutInCell="1" locked="0" behindDoc="0" simplePos="0" relativeHeight="15759360">
                <wp:simplePos x="0" y="0"/>
                <wp:positionH relativeFrom="page">
                  <wp:posOffset>1143000</wp:posOffset>
                </wp:positionH>
                <wp:positionV relativeFrom="paragraph">
                  <wp:posOffset>300258</wp:posOffset>
                </wp:positionV>
                <wp:extent cx="5486400" cy="1905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5486400" cy="19050"/>
                          <a:chExt cx="5486400" cy="19050"/>
                        </a:xfrm>
                      </wpg:grpSpPr>
                      <wps:wsp>
                        <wps:cNvPr id="345" name="Graphic 34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46" name="Graphic 346"/>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47" name="Graphic 347"/>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48" name="Graphic 348"/>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49" name="Graphic 349"/>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50" name="Graphic 350"/>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351" name="Graphic 351"/>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642368pt;width:432pt;height:1.5pt;mso-position-horizontal-relative:page;mso-position-vertical-relative:paragraph;z-index:15759360" id="docshapegroup332" coordorigin="1800,473" coordsize="8640,30">
                <v:rect style="position:absolute;left:1800;top:472;width:8640;height:30" id="docshape333" filled="true" fillcolor="#808080" stroked="false">
                  <v:fill type="solid"/>
                </v:rect>
                <v:shape style="position:absolute;left:1800;top:472;width:8636;height:5" id="docshape334" coordorigin="1800,473" coordsize="8636,5" path="m10435,473l1805,473,1800,473,1800,478,1805,478,10435,478,10435,473xe" filled="true" fillcolor="#aca89a" stroked="false">
                  <v:path arrowok="t"/>
                  <v:fill type="solid"/>
                </v:shape>
                <v:rect style="position:absolute;left:10435;top:472;width:5;height:5" id="docshape335" filled="true" fillcolor="#f1efe2" stroked="false">
                  <v:fill type="solid"/>
                </v:rect>
                <v:shape style="position:absolute;left:1800;top:472;width:8640;height:26" id="docshape336" coordorigin="1800,473" coordsize="8640,26" path="m1805,478l1800,478,1800,498,1805,498,1805,478xm10440,473l10435,473,10435,478,10440,478,10440,473xe" filled="true" fillcolor="#aca89a" stroked="false">
                  <v:path arrowok="t"/>
                  <v:fill type="solid"/>
                </v:shape>
                <v:rect style="position:absolute;left:10435;top:477;width:5;height:21" id="docshape337" filled="true" fillcolor="#f1efe2" stroked="false">
                  <v:fill type="solid"/>
                </v:rect>
                <v:rect style="position:absolute;left:1800;top:498;width:5;height:5" id="docshape338" filled="true" fillcolor="#aca89a" stroked="false">
                  <v:fill type="solid"/>
                </v:rect>
                <v:shape style="position:absolute;left:1800;top:498;width:8640;height:5" id="docshape339" coordorigin="1800,498" coordsize="8640,5" path="m10440,498l10435,498,1800,498,1800,503,10435,503,10440,503,10440,498xe" filled="true" fillcolor="#f1efe2" stroked="false">
                  <v:path arrowok="t"/>
                  <v:fill type="solid"/>
                </v:shape>
                <w10:wrap type="none"/>
              </v:group>
            </w:pict>
          </mc:Fallback>
        </mc:AlternateContent>
      </w:r>
      <w:r>
        <w:rPr/>
        <w:t>Source.</w:t>
      </w:r>
      <w:r>
        <w:rPr>
          <w:spacing w:val="40"/>
        </w:rPr>
        <w:t> </w:t>
      </w:r>
      <w:r>
        <w:rPr/>
        <w:t>Ministry of Education, Form A, except for 1965-66 which has been estimated </w:t>
      </w:r>
      <w:r>
        <w:rPr/>
        <w:t>in the Secretariat of the Commission.</w:t>
      </w: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pStyle w:val="ListParagraph"/>
        <w:numPr>
          <w:ilvl w:val="1"/>
          <w:numId w:val="106"/>
        </w:numPr>
        <w:tabs>
          <w:tab w:pos="661" w:val="left" w:leader="none"/>
        </w:tabs>
        <w:spacing w:line="240" w:lineRule="auto" w:before="0" w:after="0"/>
        <w:ind w:left="159" w:right="497" w:firstLine="0"/>
        <w:jc w:val="both"/>
        <w:rPr>
          <w:sz w:val="24"/>
        </w:rPr>
      </w:pPr>
      <w:r>
        <w:rPr>
          <w:sz w:val="24"/>
        </w:rPr>
        <w:t>The incidence of fees varies from stage to stage and from one type of educational institution</w:t>
      </w:r>
      <w:r>
        <w:rPr>
          <w:spacing w:val="-3"/>
          <w:sz w:val="24"/>
        </w:rPr>
        <w:t> </w:t>
      </w:r>
      <w:r>
        <w:rPr>
          <w:sz w:val="24"/>
        </w:rPr>
        <w:t>to</w:t>
      </w:r>
      <w:r>
        <w:rPr>
          <w:spacing w:val="-3"/>
          <w:sz w:val="24"/>
        </w:rPr>
        <w:t> </w:t>
      </w:r>
      <w:r>
        <w:rPr>
          <w:sz w:val="24"/>
        </w:rPr>
        <w:t>another.</w:t>
      </w:r>
      <w:r>
        <w:rPr>
          <w:spacing w:val="-3"/>
          <w:sz w:val="24"/>
        </w:rPr>
        <w:t> </w:t>
      </w:r>
      <w:r>
        <w:rPr>
          <w:sz w:val="24"/>
        </w:rPr>
        <w:t>The</w:t>
      </w:r>
      <w:r>
        <w:rPr>
          <w:spacing w:val="-3"/>
          <w:sz w:val="24"/>
        </w:rPr>
        <w:t> </w:t>
      </w:r>
      <w:r>
        <w:rPr>
          <w:sz w:val="24"/>
        </w:rPr>
        <w:t>percentage</w:t>
      </w:r>
      <w:r>
        <w:rPr>
          <w:spacing w:val="-3"/>
          <w:sz w:val="24"/>
        </w:rPr>
        <w:t> </w:t>
      </w:r>
      <w:r>
        <w:rPr>
          <w:sz w:val="24"/>
        </w:rPr>
        <w:t>of</w:t>
      </w:r>
      <w:r>
        <w:rPr>
          <w:spacing w:val="-3"/>
          <w:sz w:val="24"/>
        </w:rPr>
        <w:t> </w:t>
      </w:r>
      <w:r>
        <w:rPr>
          <w:sz w:val="24"/>
        </w:rPr>
        <w:t>students</w:t>
      </w:r>
      <w:r>
        <w:rPr>
          <w:spacing w:val="-3"/>
          <w:sz w:val="24"/>
        </w:rPr>
        <w:t> </w:t>
      </w:r>
      <w:r>
        <w:rPr>
          <w:sz w:val="24"/>
        </w:rPr>
        <w:t>paying</w:t>
      </w:r>
      <w:r>
        <w:rPr>
          <w:spacing w:val="-3"/>
          <w:sz w:val="24"/>
        </w:rPr>
        <w:t> </w:t>
      </w:r>
      <w:r>
        <w:rPr>
          <w:sz w:val="24"/>
        </w:rPr>
        <w:t>fees,</w:t>
      </w:r>
      <w:r>
        <w:rPr>
          <w:spacing w:val="-3"/>
          <w:sz w:val="24"/>
        </w:rPr>
        <w:t> </w:t>
      </w:r>
      <w:r>
        <w:rPr>
          <w:sz w:val="24"/>
        </w:rPr>
        <w:t>the</w:t>
      </w:r>
      <w:r>
        <w:rPr>
          <w:spacing w:val="-3"/>
          <w:sz w:val="24"/>
        </w:rPr>
        <w:t> </w:t>
      </w:r>
      <w:r>
        <w:rPr>
          <w:sz w:val="24"/>
        </w:rPr>
        <w:t>rates</w:t>
      </w:r>
      <w:r>
        <w:rPr>
          <w:spacing w:val="-3"/>
          <w:sz w:val="24"/>
        </w:rPr>
        <w:t> </w:t>
      </w:r>
      <w:r>
        <w:rPr>
          <w:sz w:val="24"/>
        </w:rPr>
        <w:t>of</w:t>
      </w:r>
      <w:r>
        <w:rPr>
          <w:spacing w:val="-3"/>
          <w:sz w:val="24"/>
        </w:rPr>
        <w:t> </w:t>
      </w:r>
      <w:r>
        <w:rPr>
          <w:sz w:val="24"/>
        </w:rPr>
        <w:t>fees,</w:t>
      </w:r>
      <w:r>
        <w:rPr>
          <w:spacing w:val="-3"/>
          <w:sz w:val="24"/>
        </w:rPr>
        <w:t> </w:t>
      </w:r>
      <w:r>
        <w:rPr>
          <w:sz w:val="24"/>
        </w:rPr>
        <w:t>the</w:t>
      </w:r>
      <w:r>
        <w:rPr>
          <w:spacing w:val="-3"/>
          <w:sz w:val="24"/>
        </w:rPr>
        <w:t> </w:t>
      </w:r>
      <w:r>
        <w:rPr>
          <w:sz w:val="24"/>
        </w:rPr>
        <w:t>type</w:t>
      </w:r>
      <w:r>
        <w:rPr>
          <w:spacing w:val="-3"/>
          <w:sz w:val="24"/>
        </w:rPr>
        <w:t> </w:t>
      </w:r>
      <w:r>
        <w:rPr>
          <w:sz w:val="24"/>
        </w:rPr>
        <w:t>of institution charging fees and the total amount of fees collected-all show considerable variations. The detailed statistics relating to these matters for 1960-61the latest year for which data are available-are given in Table 6.2.</w:t>
      </w:r>
    </w:p>
    <w:p>
      <w:pPr>
        <w:spacing w:after="0" w:line="240" w:lineRule="auto"/>
        <w:jc w:val="both"/>
        <w:rPr>
          <w:sz w:val="24"/>
        </w:rPr>
        <w:sectPr>
          <w:pgSz w:w="12240" w:h="15840"/>
          <w:pgMar w:header="0" w:footer="743" w:top="1360" w:bottom="940" w:left="1640" w:right="1300"/>
        </w:sectPr>
      </w:pPr>
    </w:p>
    <w:p>
      <w:pPr>
        <w:pStyle w:val="BodyText"/>
        <w:spacing w:before="116"/>
        <w:ind w:left="159" w:right="496"/>
        <w:jc w:val="both"/>
      </w:pPr>
      <w:r>
        <w:rPr/>
        <mc:AlternateContent>
          <mc:Choice Requires="wps">
            <w:drawing>
              <wp:anchor distT="0" distB="0" distL="0" distR="0" allowOverlap="1" layoutInCell="1" locked="0" behindDoc="0" simplePos="0" relativeHeight="15760384">
                <wp:simplePos x="0" y="0"/>
                <wp:positionH relativeFrom="page">
                  <wp:posOffset>6626352</wp:posOffset>
                </wp:positionH>
                <wp:positionV relativeFrom="page">
                  <wp:posOffset>5955029</wp:posOffset>
                </wp:positionV>
                <wp:extent cx="3175" cy="1651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3175" cy="16510"/>
                        </a:xfrm>
                        <a:custGeom>
                          <a:avLst/>
                          <a:gdLst/>
                          <a:ahLst/>
                          <a:cxnLst/>
                          <a:rect l="l" t="t" r="r" b="b"/>
                          <a:pathLst>
                            <a:path w="3175" h="16510">
                              <a:moveTo>
                                <a:pt x="3035" y="3060"/>
                              </a:moveTo>
                              <a:lnTo>
                                <a:pt x="0" y="3060"/>
                              </a:lnTo>
                              <a:lnTo>
                                <a:pt x="0" y="16002"/>
                              </a:lnTo>
                              <a:lnTo>
                                <a:pt x="3035" y="16002"/>
                              </a:lnTo>
                              <a:lnTo>
                                <a:pt x="3035" y="3060"/>
                              </a:lnTo>
                              <a:close/>
                            </a:path>
                            <a:path w="3175" h="16510">
                              <a:moveTo>
                                <a:pt x="3035" y="0"/>
                              </a:moveTo>
                              <a:lnTo>
                                <a:pt x="0" y="0"/>
                              </a:lnTo>
                              <a:lnTo>
                                <a:pt x="0" y="3048"/>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468.899994pt;width:.25pt;height:1.3pt;mso-position-horizontal-relative:page;mso-position-vertical-relative:page;z-index:15760384" id="docshape340" coordorigin="10435,9378" coordsize="5,26" path="m10440,9383l10435,9383,10435,9403,10440,9403,10440,9383xm10440,9378l10435,9378,10435,9383,10440,9383,10440,9378xe" filled="true" fillcolor="#f1efe2" stroked="false">
                <v:path arrowok="t"/>
                <v:fill type="solid"/>
                <w10:wrap type="none"/>
              </v:shape>
            </w:pict>
          </mc:Fallback>
        </mc:AlternateContent>
      </w:r>
      <w:r>
        <w:rPr/>
        <w:t>It will be seen that pre-primary education is mostly supported by fees.</w:t>
      </w:r>
      <w:r>
        <w:rPr>
          <w:b/>
          <w:vertAlign w:val="superscript"/>
        </w:rPr>
        <w:t>49</w:t>
      </w:r>
      <w:r>
        <w:rPr>
          <w:b/>
          <w:vertAlign w:val="baseline"/>
        </w:rPr>
        <w:t> </w:t>
      </w:r>
      <w:r>
        <w:rPr>
          <w:vertAlign w:val="baseline"/>
        </w:rPr>
        <w:t>Fees have almost disappeared at the lower primary stage; but they do play a more significant role at the higher primary stage. Their contribution becomes very important at the secondary stage where</w:t>
      </w:r>
      <w:r>
        <w:rPr>
          <w:spacing w:val="-2"/>
          <w:vertAlign w:val="baseline"/>
        </w:rPr>
        <w:t> </w:t>
      </w:r>
      <w:r>
        <w:rPr>
          <w:vertAlign w:val="baseline"/>
        </w:rPr>
        <w:t>the</w:t>
      </w:r>
      <w:r>
        <w:rPr>
          <w:spacing w:val="-2"/>
          <w:vertAlign w:val="baseline"/>
        </w:rPr>
        <w:t> </w:t>
      </w:r>
      <w:r>
        <w:rPr>
          <w:vertAlign w:val="baseline"/>
        </w:rPr>
        <w:t>fees</w:t>
      </w:r>
      <w:r>
        <w:rPr>
          <w:spacing w:val="-2"/>
          <w:vertAlign w:val="baseline"/>
        </w:rPr>
        <w:t> </w:t>
      </w:r>
      <w:r>
        <w:rPr>
          <w:vertAlign w:val="baseline"/>
        </w:rPr>
        <w:t>collected</w:t>
      </w:r>
      <w:r>
        <w:rPr>
          <w:spacing w:val="-5"/>
          <w:vertAlign w:val="baseline"/>
        </w:rPr>
        <w:t> </w:t>
      </w:r>
      <w:r>
        <w:rPr>
          <w:vertAlign w:val="baseline"/>
        </w:rPr>
        <w:t>form</w:t>
      </w:r>
      <w:r>
        <w:rPr>
          <w:spacing w:val="-4"/>
          <w:vertAlign w:val="baseline"/>
        </w:rPr>
        <w:t> </w:t>
      </w:r>
      <w:r>
        <w:rPr>
          <w:vertAlign w:val="baseline"/>
        </w:rPr>
        <w:t>45.8</w:t>
      </w:r>
      <w:r>
        <w:rPr>
          <w:spacing w:val="-2"/>
          <w:vertAlign w:val="baseline"/>
        </w:rPr>
        <w:t> </w:t>
      </w:r>
      <w:r>
        <w:rPr>
          <w:vertAlign w:val="baseline"/>
        </w:rPr>
        <w:t>per</w:t>
      </w:r>
      <w:r>
        <w:rPr>
          <w:spacing w:val="-2"/>
          <w:vertAlign w:val="baseline"/>
        </w:rPr>
        <w:t> </w:t>
      </w:r>
      <w:r>
        <w:rPr>
          <w:vertAlign w:val="baseline"/>
        </w:rPr>
        <w:t>cent</w:t>
      </w:r>
      <w:r>
        <w:rPr>
          <w:spacing w:val="-2"/>
          <w:vertAlign w:val="baseline"/>
        </w:rPr>
        <w:t> </w:t>
      </w:r>
      <w:r>
        <w:rPr>
          <w:vertAlign w:val="baseline"/>
        </w:rPr>
        <w:t>of</w:t>
      </w:r>
      <w:r>
        <w:rPr>
          <w:spacing w:val="-2"/>
          <w:vertAlign w:val="baseline"/>
        </w:rPr>
        <w:t> </w:t>
      </w:r>
      <w:r>
        <w:rPr>
          <w:vertAlign w:val="baseline"/>
        </w:rPr>
        <w:t>all</w:t>
      </w:r>
      <w:r>
        <w:rPr>
          <w:spacing w:val="-2"/>
          <w:vertAlign w:val="baseline"/>
        </w:rPr>
        <w:t> </w:t>
      </w:r>
      <w:r>
        <w:rPr>
          <w:vertAlign w:val="baseline"/>
        </w:rPr>
        <w:t>fees</w:t>
      </w:r>
      <w:r>
        <w:rPr>
          <w:spacing w:val="-2"/>
          <w:vertAlign w:val="baseline"/>
        </w:rPr>
        <w:t> </w:t>
      </w:r>
      <w:r>
        <w:rPr>
          <w:vertAlign w:val="baseline"/>
        </w:rPr>
        <w:t>collected</w:t>
      </w:r>
      <w:r>
        <w:rPr>
          <w:spacing w:val="-2"/>
          <w:vertAlign w:val="baseline"/>
        </w:rPr>
        <w:t> </w:t>
      </w:r>
      <w:r>
        <w:rPr>
          <w:vertAlign w:val="baseline"/>
        </w:rPr>
        <w:t>in</w:t>
      </w:r>
      <w:r>
        <w:rPr>
          <w:spacing w:val="-2"/>
          <w:vertAlign w:val="baseline"/>
        </w:rPr>
        <w:t> </w:t>
      </w:r>
      <w:r>
        <w:rPr>
          <w:vertAlign w:val="baseline"/>
        </w:rPr>
        <w:t>the</w:t>
      </w:r>
      <w:r>
        <w:rPr>
          <w:spacing w:val="-2"/>
          <w:vertAlign w:val="baseline"/>
        </w:rPr>
        <w:t> </w:t>
      </w:r>
      <w:r>
        <w:rPr>
          <w:vertAlign w:val="baseline"/>
        </w:rPr>
        <w:t>educational</w:t>
      </w:r>
      <w:r>
        <w:rPr>
          <w:spacing w:val="-3"/>
          <w:vertAlign w:val="baseline"/>
        </w:rPr>
        <w:t> </w:t>
      </w:r>
      <w:r>
        <w:rPr>
          <w:vertAlign w:val="baseline"/>
        </w:rPr>
        <w:t>system, and where they contribute 39.2 per cent of the total expenditure on secondary schools. </w:t>
      </w:r>
      <w:r>
        <w:rPr>
          <w:b/>
          <w:vertAlign w:val="superscript"/>
        </w:rPr>
        <w:t>50</w:t>
      </w:r>
      <w:r>
        <w:rPr>
          <w:b/>
          <w:vertAlign w:val="baseline"/>
        </w:rPr>
        <w:t> </w:t>
      </w:r>
      <w:r>
        <w:rPr>
          <w:vertAlign w:val="baseline"/>
        </w:rPr>
        <w:t>The position in vocational schools,</w:t>
      </w:r>
    </w:p>
    <w:p>
      <w:pPr>
        <w:pStyle w:val="BodyText"/>
        <w:spacing w:before="4"/>
      </w:pPr>
    </w:p>
    <w:p>
      <w:pPr>
        <w:pStyle w:val="BodyText"/>
        <w:ind w:left="160" w:right="497"/>
        <w:jc w:val="both"/>
      </w:pPr>
      <w:r>
        <w:rPr>
          <w:b/>
          <w:vertAlign w:val="superscript"/>
        </w:rPr>
        <w:t>49</w:t>
      </w:r>
      <w:r>
        <w:rPr>
          <w:vertAlign w:val="baseline"/>
        </w:rPr>
        <w:t>Except in the rural balwadis whose statistics are not included here and which are all </w:t>
      </w:r>
      <w:r>
        <w:rPr>
          <w:spacing w:val="-2"/>
          <w:vertAlign w:val="baseline"/>
        </w:rPr>
        <w:t>tuition-free.</w:t>
      </w:r>
    </w:p>
    <w:p>
      <w:pPr>
        <w:pStyle w:val="BodyText"/>
        <w:spacing w:before="5"/>
      </w:pPr>
    </w:p>
    <w:p>
      <w:pPr>
        <w:pStyle w:val="BodyText"/>
        <w:ind w:left="160" w:right="497"/>
        <w:jc w:val="both"/>
      </w:pPr>
      <w:r>
        <w:rPr>
          <w:b/>
          <w:vertAlign w:val="superscript"/>
        </w:rPr>
        <w:t>50</w:t>
      </w:r>
      <w:r>
        <w:rPr>
          <w:vertAlign w:val="baseline"/>
        </w:rPr>
        <w:t>In 1960-61 the provision for free-studentships was rather meagre at this stage, although the position has considerably changed since.</w:t>
      </w:r>
    </w:p>
    <w:p>
      <w:pPr>
        <w:pStyle w:val="BodyText"/>
      </w:pPr>
    </w:p>
    <w:p>
      <w:pPr>
        <w:pStyle w:val="BodyText"/>
      </w:pPr>
    </w:p>
    <w:p>
      <w:pPr>
        <w:pStyle w:val="BodyText"/>
        <w:spacing w:before="7"/>
      </w:pPr>
    </w:p>
    <w:p>
      <w:pPr>
        <w:pStyle w:val="BodyText"/>
        <w:ind w:left="291" w:right="629"/>
        <w:jc w:val="center"/>
      </w:pPr>
      <w:r>
        <w:rPr/>
        <mc:AlternateContent>
          <mc:Choice Requires="wps">
            <w:drawing>
              <wp:anchor distT="0" distB="0" distL="0" distR="0" allowOverlap="1" layoutInCell="1" locked="0" behindDoc="0" simplePos="0" relativeHeight="15759872">
                <wp:simplePos x="0" y="0"/>
                <wp:positionH relativeFrom="page">
                  <wp:posOffset>6626352</wp:posOffset>
                </wp:positionH>
                <wp:positionV relativeFrom="paragraph">
                  <wp:posOffset>301212</wp:posOffset>
                </wp:positionV>
                <wp:extent cx="3175" cy="1651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23.717554pt;width:.25pt;height:1.3pt;mso-position-horizontal-relative:page;mso-position-vertical-relative:paragraph;z-index:15759872" id="docshape341" coordorigin="10435,474" coordsize="5,26" path="m10440,474l10435,474,10435,479,10435,500,10440,500,10440,479,10440,474xe" filled="true" fillcolor="#f1efe2" stroked="false">
                <v:path arrowok="t"/>
                <v:fill type="solid"/>
                <w10:wrap type="none"/>
              </v:shape>
            </w:pict>
          </mc:Fallback>
        </mc:AlternateContent>
      </w:r>
      <w:r>
        <w:rPr/>
        <w:t>TABLE</w:t>
      </w:r>
      <w:r>
        <w:rPr>
          <w:spacing w:val="-6"/>
        </w:rPr>
        <w:t> </w:t>
      </w:r>
      <w:r>
        <w:rPr/>
        <w:t>6.2.</w:t>
      </w:r>
      <w:r>
        <w:rPr>
          <w:spacing w:val="-6"/>
        </w:rPr>
        <w:t> </w:t>
      </w:r>
      <w:r>
        <w:rPr/>
        <w:t>FEES</w:t>
      </w:r>
      <w:r>
        <w:rPr>
          <w:spacing w:val="-6"/>
        </w:rPr>
        <w:t> </w:t>
      </w:r>
      <w:r>
        <w:rPr/>
        <w:t>IN</w:t>
      </w:r>
      <w:r>
        <w:rPr>
          <w:spacing w:val="-6"/>
        </w:rPr>
        <w:t> </w:t>
      </w:r>
      <w:r>
        <w:rPr/>
        <w:t>EDUCATION</w:t>
      </w:r>
      <w:r>
        <w:rPr>
          <w:spacing w:val="-6"/>
        </w:rPr>
        <w:t> </w:t>
      </w:r>
      <w:r>
        <w:rPr/>
        <w:t>(1960-</w:t>
      </w:r>
      <w:r>
        <w:rPr>
          <w:spacing w:val="-5"/>
        </w:rPr>
        <w:t>61)</w:t>
      </w:r>
    </w:p>
    <w:p>
      <w:pPr>
        <w:pStyle w:val="BodyText"/>
        <w:spacing w:before="6"/>
        <w:rPr>
          <w:sz w:val="18"/>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1226"/>
        <w:gridCol w:w="1294"/>
        <w:gridCol w:w="1482"/>
        <w:gridCol w:w="1362"/>
        <w:gridCol w:w="1559"/>
      </w:tblGrid>
      <w:tr>
        <w:trPr>
          <w:trHeight w:val="3281" w:hRule="atLeast"/>
        </w:trPr>
        <w:tc>
          <w:tcPr>
            <w:tcW w:w="1712" w:type="dxa"/>
            <w:tcBorders>
              <w:top w:val="single" w:sz="12" w:space="0" w:color="808080"/>
              <w:bottom w:val="single" w:sz="12" w:space="0" w:color="808080"/>
            </w:tcBorders>
          </w:tcPr>
          <w:p>
            <w:pPr>
              <w:pStyle w:val="TableParagraph"/>
              <w:rPr>
                <w:sz w:val="24"/>
              </w:rPr>
            </w:pPr>
          </w:p>
          <w:p>
            <w:pPr>
              <w:pStyle w:val="TableParagraph"/>
              <w:rPr>
                <w:sz w:val="24"/>
              </w:rPr>
            </w:pPr>
          </w:p>
          <w:p>
            <w:pPr>
              <w:pStyle w:val="TableParagraph"/>
              <w:spacing w:before="48"/>
              <w:rPr>
                <w:sz w:val="24"/>
              </w:rPr>
            </w:pPr>
          </w:p>
          <w:p>
            <w:pPr>
              <w:pStyle w:val="TableParagraph"/>
              <w:ind w:left="-1"/>
              <w:rPr>
                <w:sz w:val="24"/>
              </w:rPr>
            </w:pPr>
            <w:r>
              <w:rPr>
                <w:sz w:val="24"/>
              </w:rPr>
              <w:t>Stage-</w:t>
            </w:r>
            <w:r>
              <w:rPr>
                <w:spacing w:val="-2"/>
                <w:sz w:val="24"/>
              </w:rPr>
              <w:t>Object</w:t>
            </w:r>
          </w:p>
        </w:tc>
        <w:tc>
          <w:tcPr>
            <w:tcW w:w="1226" w:type="dxa"/>
            <w:tcBorders>
              <w:top w:val="single" w:sz="12" w:space="0" w:color="808080"/>
              <w:bottom w:val="single" w:sz="12" w:space="0" w:color="808080"/>
            </w:tcBorders>
          </w:tcPr>
          <w:p>
            <w:pPr>
              <w:pStyle w:val="TableParagraph"/>
              <w:spacing w:before="48"/>
              <w:ind w:left="119" w:right="24"/>
              <w:rPr>
                <w:sz w:val="24"/>
              </w:rPr>
            </w:pPr>
            <w:r>
              <w:rPr>
                <w:spacing w:val="-2"/>
                <w:sz w:val="24"/>
              </w:rPr>
              <w:t>Total amount collected through </w:t>
            </w:r>
            <w:r>
              <w:rPr>
                <w:spacing w:val="-4"/>
                <w:sz w:val="24"/>
              </w:rPr>
              <w:t>fees</w:t>
            </w:r>
          </w:p>
          <w:p>
            <w:pPr>
              <w:pStyle w:val="TableParagraph"/>
              <w:ind w:left="120"/>
              <w:rPr>
                <w:sz w:val="24"/>
              </w:rPr>
            </w:pPr>
            <w:r>
              <w:rPr>
                <w:sz w:val="24"/>
              </w:rPr>
              <w:t>(Rs.</w:t>
            </w:r>
            <w:r>
              <w:rPr>
                <w:spacing w:val="-1"/>
                <w:sz w:val="24"/>
              </w:rPr>
              <w:t> </w:t>
            </w:r>
            <w:r>
              <w:rPr>
                <w:spacing w:val="-5"/>
                <w:sz w:val="24"/>
              </w:rPr>
              <w:t>in</w:t>
            </w:r>
          </w:p>
          <w:p>
            <w:pPr>
              <w:pStyle w:val="TableParagraph"/>
              <w:ind w:left="120"/>
              <w:rPr>
                <w:sz w:val="24"/>
              </w:rPr>
            </w:pPr>
            <w:r>
              <w:rPr>
                <w:spacing w:val="-2"/>
                <w:sz w:val="24"/>
              </w:rPr>
              <w:t>000's)</w:t>
            </w:r>
          </w:p>
        </w:tc>
        <w:tc>
          <w:tcPr>
            <w:tcW w:w="1294" w:type="dxa"/>
            <w:tcBorders>
              <w:top w:val="single" w:sz="12" w:space="0" w:color="808080"/>
              <w:bottom w:val="single" w:sz="12" w:space="0" w:color="808080"/>
            </w:tcBorders>
          </w:tcPr>
          <w:p>
            <w:pPr>
              <w:pStyle w:val="TableParagraph"/>
              <w:spacing w:before="48"/>
              <w:ind w:left="239" w:right="250" w:firstLine="1"/>
              <w:rPr>
                <w:sz w:val="24"/>
              </w:rPr>
            </w:pPr>
            <w:r>
              <w:rPr>
                <w:spacing w:val="-2"/>
                <w:sz w:val="24"/>
              </w:rPr>
              <w:t>Percent- </w:t>
            </w:r>
            <w:r>
              <w:rPr>
                <w:sz w:val="24"/>
              </w:rPr>
              <w:t>age of </w:t>
            </w:r>
            <w:r>
              <w:rPr>
                <w:spacing w:val="-2"/>
                <w:sz w:val="24"/>
              </w:rPr>
              <w:t>students paying </w:t>
            </w:r>
            <w:r>
              <w:rPr>
                <w:spacing w:val="-4"/>
                <w:sz w:val="24"/>
              </w:rPr>
              <w:t>fees</w:t>
            </w:r>
          </w:p>
        </w:tc>
        <w:tc>
          <w:tcPr>
            <w:tcW w:w="1482" w:type="dxa"/>
            <w:tcBorders>
              <w:top w:val="single" w:sz="12" w:space="0" w:color="808080"/>
              <w:bottom w:val="single" w:sz="12" w:space="0" w:color="808080"/>
            </w:tcBorders>
          </w:tcPr>
          <w:p>
            <w:pPr>
              <w:pStyle w:val="TableParagraph"/>
              <w:spacing w:before="48"/>
              <w:ind w:left="346" w:right="247" w:firstLine="2"/>
              <w:rPr>
                <w:sz w:val="24"/>
              </w:rPr>
            </w:pPr>
            <w:r>
              <w:rPr>
                <w:spacing w:val="-2"/>
                <w:sz w:val="24"/>
              </w:rPr>
              <w:t>Average annual </w:t>
            </w:r>
            <w:r>
              <w:rPr>
                <w:spacing w:val="-4"/>
                <w:sz w:val="24"/>
              </w:rPr>
              <w:t>fee </w:t>
            </w:r>
            <w:r>
              <w:rPr>
                <w:spacing w:val="-2"/>
                <w:sz w:val="24"/>
              </w:rPr>
              <w:t>collected </w:t>
            </w:r>
            <w:r>
              <w:rPr>
                <w:spacing w:val="-4"/>
                <w:sz w:val="24"/>
              </w:rPr>
              <w:t>per </w:t>
            </w:r>
            <w:r>
              <w:rPr>
                <w:spacing w:val="-2"/>
                <w:sz w:val="24"/>
              </w:rPr>
              <w:t>student (Rs.)</w:t>
            </w:r>
          </w:p>
        </w:tc>
        <w:tc>
          <w:tcPr>
            <w:tcW w:w="1362" w:type="dxa"/>
            <w:tcBorders>
              <w:top w:val="single" w:sz="12" w:space="0" w:color="808080"/>
              <w:bottom w:val="single" w:sz="12" w:space="0" w:color="808080"/>
            </w:tcBorders>
          </w:tcPr>
          <w:p>
            <w:pPr>
              <w:pStyle w:val="TableParagraph"/>
              <w:spacing w:before="48"/>
              <w:ind w:left="269" w:right="244"/>
              <w:rPr>
                <w:sz w:val="24"/>
              </w:rPr>
            </w:pPr>
            <w:r>
              <w:rPr>
                <w:spacing w:val="-2"/>
                <w:sz w:val="24"/>
              </w:rPr>
              <w:t>Percent- </w:t>
            </w:r>
            <w:r>
              <w:rPr>
                <w:sz w:val="24"/>
              </w:rPr>
              <w:t>age of </w:t>
            </w:r>
            <w:r>
              <w:rPr>
                <w:spacing w:val="-4"/>
                <w:sz w:val="24"/>
              </w:rPr>
              <w:t>fees</w:t>
            </w:r>
          </w:p>
          <w:p>
            <w:pPr>
              <w:pStyle w:val="TableParagraph"/>
              <w:ind w:left="269" w:right="244"/>
              <w:rPr>
                <w:sz w:val="24"/>
              </w:rPr>
            </w:pPr>
            <w:r>
              <w:rPr>
                <w:sz w:val="24"/>
              </w:rPr>
              <w:t>to total </w:t>
            </w:r>
            <w:r>
              <w:rPr>
                <w:spacing w:val="-2"/>
                <w:sz w:val="24"/>
              </w:rPr>
              <w:t>expendi- </w:t>
            </w:r>
            <w:r>
              <w:rPr>
                <w:sz w:val="24"/>
              </w:rPr>
              <w:t>ture on the</w:t>
            </w:r>
            <w:r>
              <w:rPr>
                <w:spacing w:val="-15"/>
                <w:sz w:val="24"/>
              </w:rPr>
              <w:t> </w:t>
            </w:r>
            <w:r>
              <w:rPr>
                <w:sz w:val="24"/>
              </w:rPr>
              <w:t>stage</w:t>
            </w:r>
          </w:p>
        </w:tc>
        <w:tc>
          <w:tcPr>
            <w:tcW w:w="1559" w:type="dxa"/>
            <w:tcBorders>
              <w:top w:val="single" w:sz="12" w:space="0" w:color="808080"/>
              <w:bottom w:val="single" w:sz="12" w:space="0" w:color="808080"/>
            </w:tcBorders>
          </w:tcPr>
          <w:p>
            <w:pPr>
              <w:pStyle w:val="TableParagraph"/>
              <w:spacing w:before="48"/>
              <w:ind w:left="251" w:right="437"/>
              <w:rPr>
                <w:sz w:val="24"/>
              </w:rPr>
            </w:pPr>
            <w:r>
              <w:rPr>
                <w:spacing w:val="-2"/>
                <w:sz w:val="24"/>
              </w:rPr>
              <w:t>Percent- </w:t>
            </w:r>
            <w:r>
              <w:rPr>
                <w:sz w:val="24"/>
              </w:rPr>
              <w:t>age of </w:t>
            </w:r>
            <w:r>
              <w:rPr>
                <w:spacing w:val="-4"/>
                <w:sz w:val="24"/>
              </w:rPr>
              <w:t>fees </w:t>
            </w:r>
            <w:r>
              <w:rPr>
                <w:spacing w:val="-2"/>
                <w:sz w:val="24"/>
              </w:rPr>
              <w:t>collected </w:t>
            </w:r>
            <w:r>
              <w:rPr>
                <w:sz w:val="24"/>
              </w:rPr>
              <w:t>at the stage to total of </w:t>
            </w:r>
            <w:r>
              <w:rPr>
                <w:spacing w:val="-4"/>
                <w:sz w:val="24"/>
              </w:rPr>
              <w:t>fees </w:t>
            </w:r>
            <w:r>
              <w:rPr>
                <w:spacing w:val="-2"/>
                <w:sz w:val="24"/>
              </w:rPr>
              <w:t>collected </w:t>
            </w:r>
            <w:r>
              <w:rPr>
                <w:sz w:val="24"/>
              </w:rPr>
              <w:t>at all </w:t>
            </w:r>
            <w:r>
              <w:rPr>
                <w:spacing w:val="-2"/>
                <w:sz w:val="24"/>
              </w:rPr>
              <w:t>stages</w:t>
            </w:r>
          </w:p>
        </w:tc>
      </w:tr>
      <w:tr>
        <w:trPr>
          <w:trHeight w:val="467" w:hRule="atLeast"/>
        </w:trPr>
        <w:tc>
          <w:tcPr>
            <w:tcW w:w="1712" w:type="dxa"/>
            <w:tcBorders>
              <w:top w:val="single" w:sz="12" w:space="0" w:color="808080"/>
            </w:tcBorders>
          </w:tcPr>
          <w:p>
            <w:pPr>
              <w:pStyle w:val="TableParagraph"/>
              <w:spacing w:before="48"/>
              <w:ind w:left="-1"/>
              <w:rPr>
                <w:sz w:val="24"/>
              </w:rPr>
            </w:pPr>
            <w:r>
              <w:rPr>
                <w:sz w:val="24"/>
              </w:rPr>
              <w:t>1.</w:t>
            </w:r>
            <w:r>
              <w:rPr>
                <w:spacing w:val="-1"/>
                <w:sz w:val="24"/>
              </w:rPr>
              <w:t> </w:t>
            </w:r>
            <w:r>
              <w:rPr>
                <w:sz w:val="24"/>
              </w:rPr>
              <w:t>Pre-</w:t>
            </w:r>
            <w:r>
              <w:rPr>
                <w:spacing w:val="-2"/>
                <w:sz w:val="24"/>
              </w:rPr>
              <w:t>Schools</w:t>
            </w:r>
          </w:p>
        </w:tc>
        <w:tc>
          <w:tcPr>
            <w:tcW w:w="1226" w:type="dxa"/>
            <w:tcBorders>
              <w:top w:val="single" w:sz="12" w:space="0" w:color="808080"/>
            </w:tcBorders>
          </w:tcPr>
          <w:p>
            <w:pPr>
              <w:pStyle w:val="TableParagraph"/>
              <w:spacing w:before="48"/>
              <w:ind w:left="120"/>
              <w:rPr>
                <w:sz w:val="24"/>
              </w:rPr>
            </w:pPr>
            <w:r>
              <w:rPr>
                <w:spacing w:val="-2"/>
                <w:sz w:val="24"/>
              </w:rPr>
              <w:t>2,184</w:t>
            </w:r>
          </w:p>
        </w:tc>
        <w:tc>
          <w:tcPr>
            <w:tcW w:w="1294" w:type="dxa"/>
            <w:tcBorders>
              <w:top w:val="single" w:sz="12" w:space="0" w:color="808080"/>
            </w:tcBorders>
          </w:tcPr>
          <w:p>
            <w:pPr>
              <w:pStyle w:val="TableParagraph"/>
              <w:spacing w:before="48"/>
              <w:ind w:left="241"/>
              <w:rPr>
                <w:sz w:val="24"/>
              </w:rPr>
            </w:pPr>
            <w:r>
              <w:rPr>
                <w:spacing w:val="-4"/>
                <w:sz w:val="24"/>
              </w:rPr>
              <w:t>77.5</w:t>
            </w:r>
          </w:p>
        </w:tc>
        <w:tc>
          <w:tcPr>
            <w:tcW w:w="1482" w:type="dxa"/>
            <w:tcBorders>
              <w:top w:val="single" w:sz="12" w:space="0" w:color="808080"/>
            </w:tcBorders>
          </w:tcPr>
          <w:p>
            <w:pPr>
              <w:pStyle w:val="TableParagraph"/>
              <w:spacing w:before="48"/>
              <w:ind w:left="256"/>
              <w:rPr>
                <w:sz w:val="24"/>
              </w:rPr>
            </w:pPr>
            <w:r>
              <w:rPr>
                <w:spacing w:val="-4"/>
                <w:sz w:val="24"/>
              </w:rPr>
              <w:t>23.3</w:t>
            </w:r>
          </w:p>
        </w:tc>
        <w:tc>
          <w:tcPr>
            <w:tcW w:w="1362" w:type="dxa"/>
            <w:tcBorders>
              <w:top w:val="single" w:sz="12" w:space="0" w:color="808080"/>
            </w:tcBorders>
          </w:tcPr>
          <w:p>
            <w:pPr>
              <w:pStyle w:val="TableParagraph"/>
              <w:spacing w:before="48"/>
              <w:ind w:left="270"/>
              <w:rPr>
                <w:sz w:val="24"/>
              </w:rPr>
            </w:pPr>
            <w:r>
              <w:rPr>
                <w:spacing w:val="-4"/>
                <w:sz w:val="24"/>
              </w:rPr>
              <w:t>37.2</w:t>
            </w:r>
          </w:p>
        </w:tc>
        <w:tc>
          <w:tcPr>
            <w:tcW w:w="1559" w:type="dxa"/>
            <w:tcBorders>
              <w:top w:val="single" w:sz="12" w:space="0" w:color="808080"/>
            </w:tcBorders>
          </w:tcPr>
          <w:p>
            <w:pPr>
              <w:pStyle w:val="TableParagraph"/>
              <w:spacing w:before="48"/>
              <w:ind w:left="251"/>
              <w:rPr>
                <w:sz w:val="24"/>
              </w:rPr>
            </w:pPr>
            <w:r>
              <w:rPr>
                <w:spacing w:val="-5"/>
                <w:sz w:val="24"/>
              </w:rPr>
              <w:t>0.4</w:t>
            </w:r>
          </w:p>
        </w:tc>
      </w:tr>
      <w:tr>
        <w:trPr>
          <w:trHeight w:val="828" w:hRule="atLeast"/>
        </w:trPr>
        <w:tc>
          <w:tcPr>
            <w:tcW w:w="1712" w:type="dxa"/>
          </w:tcPr>
          <w:p>
            <w:pPr>
              <w:pStyle w:val="TableParagraph"/>
              <w:spacing w:before="133"/>
              <w:ind w:left="-1" w:right="114"/>
              <w:rPr>
                <w:sz w:val="24"/>
              </w:rPr>
            </w:pPr>
            <w:r>
              <w:rPr>
                <w:sz w:val="24"/>
              </w:rPr>
              <w:t>2. Lower Primary</w:t>
            </w:r>
            <w:r>
              <w:rPr>
                <w:spacing w:val="-15"/>
                <w:sz w:val="24"/>
              </w:rPr>
              <w:t> </w:t>
            </w:r>
            <w:r>
              <w:rPr>
                <w:sz w:val="24"/>
              </w:rPr>
              <w:t>Schools</w:t>
            </w:r>
          </w:p>
        </w:tc>
        <w:tc>
          <w:tcPr>
            <w:tcW w:w="1226" w:type="dxa"/>
          </w:tcPr>
          <w:p>
            <w:pPr>
              <w:pStyle w:val="TableParagraph"/>
              <w:spacing w:before="132"/>
              <w:rPr>
                <w:sz w:val="24"/>
              </w:rPr>
            </w:pPr>
          </w:p>
          <w:p>
            <w:pPr>
              <w:pStyle w:val="TableParagraph"/>
              <w:spacing w:before="1"/>
              <w:ind w:left="119"/>
              <w:rPr>
                <w:sz w:val="24"/>
              </w:rPr>
            </w:pPr>
            <w:r>
              <w:rPr>
                <w:spacing w:val="-2"/>
                <w:sz w:val="24"/>
              </w:rPr>
              <w:t>17,169</w:t>
            </w:r>
          </w:p>
        </w:tc>
        <w:tc>
          <w:tcPr>
            <w:tcW w:w="1294" w:type="dxa"/>
          </w:tcPr>
          <w:p>
            <w:pPr>
              <w:pStyle w:val="TableParagraph"/>
              <w:spacing w:before="132"/>
              <w:rPr>
                <w:sz w:val="24"/>
              </w:rPr>
            </w:pPr>
          </w:p>
          <w:p>
            <w:pPr>
              <w:pStyle w:val="TableParagraph"/>
              <w:spacing w:before="1"/>
              <w:ind w:left="240"/>
              <w:rPr>
                <w:sz w:val="24"/>
              </w:rPr>
            </w:pPr>
            <w:r>
              <w:rPr>
                <w:spacing w:val="-5"/>
                <w:sz w:val="24"/>
              </w:rPr>
              <w:t>3.9</w:t>
            </w:r>
          </w:p>
        </w:tc>
        <w:tc>
          <w:tcPr>
            <w:tcW w:w="1482" w:type="dxa"/>
          </w:tcPr>
          <w:p>
            <w:pPr>
              <w:pStyle w:val="TableParagraph"/>
              <w:spacing w:before="132"/>
              <w:rPr>
                <w:sz w:val="24"/>
              </w:rPr>
            </w:pPr>
          </w:p>
          <w:p>
            <w:pPr>
              <w:pStyle w:val="TableParagraph"/>
              <w:spacing w:before="1"/>
              <w:ind w:left="255"/>
              <w:rPr>
                <w:sz w:val="24"/>
              </w:rPr>
            </w:pPr>
            <w:r>
              <w:rPr>
                <w:spacing w:val="-4"/>
                <w:sz w:val="24"/>
              </w:rPr>
              <w:t>16.4</w:t>
            </w:r>
          </w:p>
        </w:tc>
        <w:tc>
          <w:tcPr>
            <w:tcW w:w="1362" w:type="dxa"/>
          </w:tcPr>
          <w:p>
            <w:pPr>
              <w:pStyle w:val="TableParagraph"/>
              <w:spacing w:before="132"/>
              <w:rPr>
                <w:sz w:val="24"/>
              </w:rPr>
            </w:pPr>
          </w:p>
          <w:p>
            <w:pPr>
              <w:pStyle w:val="TableParagraph"/>
              <w:spacing w:before="1"/>
              <w:ind w:left="269"/>
              <w:rPr>
                <w:sz w:val="24"/>
              </w:rPr>
            </w:pPr>
            <w:r>
              <w:rPr>
                <w:spacing w:val="-5"/>
                <w:sz w:val="24"/>
              </w:rPr>
              <w:t>2.3</w:t>
            </w:r>
          </w:p>
        </w:tc>
        <w:tc>
          <w:tcPr>
            <w:tcW w:w="1559" w:type="dxa"/>
          </w:tcPr>
          <w:p>
            <w:pPr>
              <w:pStyle w:val="TableParagraph"/>
              <w:spacing w:before="132"/>
              <w:rPr>
                <w:sz w:val="24"/>
              </w:rPr>
            </w:pPr>
          </w:p>
          <w:p>
            <w:pPr>
              <w:pStyle w:val="TableParagraph"/>
              <w:spacing w:before="1"/>
              <w:ind w:left="251"/>
              <w:rPr>
                <w:sz w:val="24"/>
              </w:rPr>
            </w:pPr>
            <w:r>
              <w:rPr>
                <w:spacing w:val="-5"/>
                <w:sz w:val="24"/>
              </w:rPr>
              <w:t>2.9</w:t>
            </w:r>
          </w:p>
        </w:tc>
      </w:tr>
      <w:tr>
        <w:trPr>
          <w:trHeight w:val="828" w:hRule="atLeast"/>
        </w:trPr>
        <w:tc>
          <w:tcPr>
            <w:tcW w:w="1712" w:type="dxa"/>
          </w:tcPr>
          <w:p>
            <w:pPr>
              <w:pStyle w:val="TableParagraph"/>
              <w:spacing w:before="133"/>
              <w:ind w:left="-1" w:right="114"/>
              <w:rPr>
                <w:sz w:val="24"/>
              </w:rPr>
            </w:pPr>
            <w:r>
              <w:rPr>
                <w:sz w:val="24"/>
              </w:rPr>
              <w:t>3. Higher Primary</w:t>
            </w:r>
            <w:r>
              <w:rPr>
                <w:spacing w:val="-15"/>
                <w:sz w:val="24"/>
              </w:rPr>
              <w:t> </w:t>
            </w:r>
            <w:r>
              <w:rPr>
                <w:sz w:val="24"/>
              </w:rPr>
              <w:t>Schools</w:t>
            </w:r>
          </w:p>
        </w:tc>
        <w:tc>
          <w:tcPr>
            <w:tcW w:w="1226" w:type="dxa"/>
          </w:tcPr>
          <w:p>
            <w:pPr>
              <w:pStyle w:val="TableParagraph"/>
              <w:spacing w:before="132"/>
              <w:rPr>
                <w:sz w:val="24"/>
              </w:rPr>
            </w:pPr>
          </w:p>
          <w:p>
            <w:pPr>
              <w:pStyle w:val="TableParagraph"/>
              <w:spacing w:before="1"/>
              <w:ind w:left="119"/>
              <w:rPr>
                <w:sz w:val="24"/>
              </w:rPr>
            </w:pPr>
            <w:r>
              <w:rPr>
                <w:spacing w:val="-2"/>
                <w:sz w:val="24"/>
              </w:rPr>
              <w:t>31,677</w:t>
            </w:r>
          </w:p>
        </w:tc>
        <w:tc>
          <w:tcPr>
            <w:tcW w:w="1294" w:type="dxa"/>
          </w:tcPr>
          <w:p>
            <w:pPr>
              <w:pStyle w:val="TableParagraph"/>
              <w:spacing w:before="132"/>
              <w:rPr>
                <w:sz w:val="24"/>
              </w:rPr>
            </w:pPr>
          </w:p>
          <w:p>
            <w:pPr>
              <w:pStyle w:val="TableParagraph"/>
              <w:spacing w:before="1"/>
              <w:ind w:left="240"/>
              <w:rPr>
                <w:sz w:val="24"/>
              </w:rPr>
            </w:pPr>
            <w:r>
              <w:rPr>
                <w:spacing w:val="-4"/>
                <w:sz w:val="24"/>
              </w:rPr>
              <w:t>16.4</w:t>
            </w:r>
          </w:p>
        </w:tc>
        <w:tc>
          <w:tcPr>
            <w:tcW w:w="1482" w:type="dxa"/>
          </w:tcPr>
          <w:p>
            <w:pPr>
              <w:pStyle w:val="TableParagraph"/>
              <w:spacing w:before="132"/>
              <w:rPr>
                <w:sz w:val="24"/>
              </w:rPr>
            </w:pPr>
          </w:p>
          <w:p>
            <w:pPr>
              <w:pStyle w:val="TableParagraph"/>
              <w:spacing w:before="1"/>
              <w:ind w:left="255"/>
              <w:rPr>
                <w:sz w:val="24"/>
              </w:rPr>
            </w:pPr>
            <w:r>
              <w:rPr>
                <w:spacing w:val="-4"/>
                <w:sz w:val="24"/>
              </w:rPr>
              <w:t>18.2</w:t>
            </w:r>
          </w:p>
        </w:tc>
        <w:tc>
          <w:tcPr>
            <w:tcW w:w="1362" w:type="dxa"/>
          </w:tcPr>
          <w:p>
            <w:pPr>
              <w:pStyle w:val="TableParagraph"/>
              <w:spacing w:before="132"/>
              <w:rPr>
                <w:sz w:val="24"/>
              </w:rPr>
            </w:pPr>
          </w:p>
          <w:p>
            <w:pPr>
              <w:pStyle w:val="TableParagraph"/>
              <w:spacing w:before="1"/>
              <w:ind w:left="269"/>
              <w:rPr>
                <w:sz w:val="24"/>
              </w:rPr>
            </w:pPr>
            <w:r>
              <w:rPr>
                <w:spacing w:val="-5"/>
                <w:sz w:val="24"/>
              </w:rPr>
              <w:t>7.4</w:t>
            </w:r>
          </w:p>
        </w:tc>
        <w:tc>
          <w:tcPr>
            <w:tcW w:w="1559" w:type="dxa"/>
          </w:tcPr>
          <w:p>
            <w:pPr>
              <w:pStyle w:val="TableParagraph"/>
              <w:spacing w:before="132"/>
              <w:rPr>
                <w:sz w:val="24"/>
              </w:rPr>
            </w:pPr>
          </w:p>
          <w:p>
            <w:pPr>
              <w:pStyle w:val="TableParagraph"/>
              <w:spacing w:before="1"/>
              <w:ind w:left="251"/>
              <w:rPr>
                <w:sz w:val="24"/>
              </w:rPr>
            </w:pPr>
            <w:r>
              <w:rPr>
                <w:spacing w:val="-5"/>
                <w:sz w:val="24"/>
              </w:rPr>
              <w:t>5.4</w:t>
            </w:r>
          </w:p>
        </w:tc>
      </w:tr>
      <w:tr>
        <w:trPr>
          <w:trHeight w:val="828" w:hRule="atLeast"/>
        </w:trPr>
        <w:tc>
          <w:tcPr>
            <w:tcW w:w="1712" w:type="dxa"/>
          </w:tcPr>
          <w:p>
            <w:pPr>
              <w:pStyle w:val="TableParagraph"/>
              <w:spacing w:before="133"/>
              <w:ind w:left="-1" w:right="455"/>
              <w:rPr>
                <w:sz w:val="24"/>
              </w:rPr>
            </w:pPr>
            <w:r>
              <w:rPr>
                <w:sz w:val="24"/>
              </w:rPr>
              <w:t>4.</w:t>
            </w:r>
            <w:r>
              <w:rPr>
                <w:spacing w:val="-15"/>
                <w:sz w:val="24"/>
              </w:rPr>
              <w:t> </w:t>
            </w:r>
            <w:r>
              <w:rPr>
                <w:sz w:val="24"/>
              </w:rPr>
              <w:t>Secondary </w:t>
            </w:r>
            <w:r>
              <w:rPr>
                <w:spacing w:val="-2"/>
                <w:sz w:val="24"/>
              </w:rPr>
              <w:t>Schools</w:t>
            </w:r>
          </w:p>
        </w:tc>
        <w:tc>
          <w:tcPr>
            <w:tcW w:w="1226" w:type="dxa"/>
          </w:tcPr>
          <w:p>
            <w:pPr>
              <w:pStyle w:val="TableParagraph"/>
              <w:spacing w:before="132"/>
              <w:rPr>
                <w:sz w:val="24"/>
              </w:rPr>
            </w:pPr>
          </w:p>
          <w:p>
            <w:pPr>
              <w:pStyle w:val="TableParagraph"/>
              <w:spacing w:before="1"/>
              <w:ind w:left="120"/>
              <w:rPr>
                <w:sz w:val="24"/>
              </w:rPr>
            </w:pPr>
            <w:r>
              <w:rPr>
                <w:spacing w:val="-2"/>
                <w:sz w:val="24"/>
              </w:rPr>
              <w:t>270,394</w:t>
            </w:r>
          </w:p>
        </w:tc>
        <w:tc>
          <w:tcPr>
            <w:tcW w:w="1294" w:type="dxa"/>
          </w:tcPr>
          <w:p>
            <w:pPr>
              <w:pStyle w:val="TableParagraph"/>
              <w:spacing w:before="132"/>
              <w:rPr>
                <w:sz w:val="24"/>
              </w:rPr>
            </w:pPr>
          </w:p>
          <w:p>
            <w:pPr>
              <w:pStyle w:val="TableParagraph"/>
              <w:spacing w:before="1"/>
              <w:ind w:left="240"/>
              <w:rPr>
                <w:sz w:val="24"/>
              </w:rPr>
            </w:pPr>
            <w:r>
              <w:rPr>
                <w:spacing w:val="-4"/>
                <w:sz w:val="24"/>
              </w:rPr>
              <w:t>64.8</w:t>
            </w:r>
          </w:p>
        </w:tc>
        <w:tc>
          <w:tcPr>
            <w:tcW w:w="1482" w:type="dxa"/>
          </w:tcPr>
          <w:p>
            <w:pPr>
              <w:pStyle w:val="TableParagraph"/>
              <w:spacing w:before="132"/>
              <w:rPr>
                <w:sz w:val="24"/>
              </w:rPr>
            </w:pPr>
          </w:p>
          <w:p>
            <w:pPr>
              <w:pStyle w:val="TableParagraph"/>
              <w:spacing w:before="1"/>
              <w:ind w:left="255"/>
              <w:rPr>
                <w:sz w:val="24"/>
              </w:rPr>
            </w:pPr>
            <w:r>
              <w:rPr>
                <w:spacing w:val="-4"/>
                <w:sz w:val="24"/>
              </w:rPr>
              <w:t>55.6</w:t>
            </w:r>
          </w:p>
        </w:tc>
        <w:tc>
          <w:tcPr>
            <w:tcW w:w="1362" w:type="dxa"/>
          </w:tcPr>
          <w:p>
            <w:pPr>
              <w:pStyle w:val="TableParagraph"/>
              <w:spacing w:before="132"/>
              <w:rPr>
                <w:sz w:val="24"/>
              </w:rPr>
            </w:pPr>
          </w:p>
          <w:p>
            <w:pPr>
              <w:pStyle w:val="TableParagraph"/>
              <w:spacing w:before="1"/>
              <w:ind w:left="270"/>
              <w:rPr>
                <w:sz w:val="24"/>
              </w:rPr>
            </w:pPr>
            <w:r>
              <w:rPr>
                <w:spacing w:val="-4"/>
                <w:sz w:val="24"/>
              </w:rPr>
              <w:t>39.2</w:t>
            </w:r>
          </w:p>
        </w:tc>
        <w:tc>
          <w:tcPr>
            <w:tcW w:w="1559" w:type="dxa"/>
          </w:tcPr>
          <w:p>
            <w:pPr>
              <w:pStyle w:val="TableParagraph"/>
              <w:spacing w:before="132"/>
              <w:rPr>
                <w:sz w:val="24"/>
              </w:rPr>
            </w:pPr>
          </w:p>
          <w:p>
            <w:pPr>
              <w:pStyle w:val="TableParagraph"/>
              <w:spacing w:before="1"/>
              <w:ind w:left="251"/>
              <w:rPr>
                <w:sz w:val="24"/>
              </w:rPr>
            </w:pPr>
            <w:r>
              <w:rPr>
                <w:spacing w:val="-4"/>
                <w:sz w:val="24"/>
              </w:rPr>
              <w:t>45.8</w:t>
            </w:r>
          </w:p>
        </w:tc>
      </w:tr>
      <w:tr>
        <w:trPr>
          <w:trHeight w:val="960" w:hRule="atLeast"/>
        </w:trPr>
        <w:tc>
          <w:tcPr>
            <w:tcW w:w="1712" w:type="dxa"/>
          </w:tcPr>
          <w:p>
            <w:pPr>
              <w:pStyle w:val="TableParagraph"/>
              <w:spacing w:line="270" w:lineRule="atLeast" w:before="113"/>
              <w:ind w:left="-1" w:right="595"/>
              <w:rPr>
                <w:sz w:val="24"/>
              </w:rPr>
            </w:pPr>
            <w:r>
              <w:rPr>
                <w:sz w:val="24"/>
              </w:rPr>
              <w:t>5. Schools for</w:t>
            </w:r>
            <w:r>
              <w:rPr>
                <w:spacing w:val="-15"/>
                <w:sz w:val="24"/>
              </w:rPr>
              <w:t> </w:t>
            </w:r>
            <w:r>
              <w:rPr>
                <w:sz w:val="24"/>
              </w:rPr>
              <w:t>Teacher </w:t>
            </w:r>
            <w:r>
              <w:rPr>
                <w:spacing w:val="-2"/>
                <w:sz w:val="24"/>
              </w:rPr>
              <w:t>Training</w:t>
            </w:r>
          </w:p>
        </w:tc>
        <w:tc>
          <w:tcPr>
            <w:tcW w:w="1226" w:type="dxa"/>
          </w:tcPr>
          <w:p>
            <w:pPr>
              <w:pStyle w:val="TableParagraph"/>
              <w:rPr>
                <w:sz w:val="24"/>
              </w:rPr>
            </w:pPr>
          </w:p>
          <w:p>
            <w:pPr>
              <w:pStyle w:val="TableParagraph"/>
              <w:spacing w:before="132"/>
              <w:rPr>
                <w:sz w:val="24"/>
              </w:rPr>
            </w:pPr>
          </w:p>
          <w:p>
            <w:pPr>
              <w:pStyle w:val="TableParagraph"/>
              <w:spacing w:line="256" w:lineRule="exact" w:before="1"/>
              <w:ind w:left="119"/>
              <w:rPr>
                <w:sz w:val="24"/>
              </w:rPr>
            </w:pPr>
            <w:r>
              <w:rPr>
                <w:spacing w:val="-2"/>
                <w:sz w:val="24"/>
              </w:rPr>
              <w:t>1,856</w:t>
            </w:r>
          </w:p>
        </w:tc>
        <w:tc>
          <w:tcPr>
            <w:tcW w:w="1294" w:type="dxa"/>
          </w:tcPr>
          <w:p>
            <w:pPr>
              <w:pStyle w:val="TableParagraph"/>
              <w:rPr>
                <w:sz w:val="24"/>
              </w:rPr>
            </w:pPr>
          </w:p>
          <w:p>
            <w:pPr>
              <w:pStyle w:val="TableParagraph"/>
              <w:spacing w:before="132"/>
              <w:rPr>
                <w:sz w:val="24"/>
              </w:rPr>
            </w:pPr>
          </w:p>
          <w:p>
            <w:pPr>
              <w:pStyle w:val="TableParagraph"/>
              <w:spacing w:line="256" w:lineRule="exact" w:before="1"/>
              <w:ind w:left="240"/>
              <w:rPr>
                <w:sz w:val="24"/>
              </w:rPr>
            </w:pPr>
            <w:r>
              <w:rPr>
                <w:spacing w:val="-4"/>
                <w:sz w:val="24"/>
              </w:rPr>
              <w:t>20.0</w:t>
            </w:r>
          </w:p>
        </w:tc>
        <w:tc>
          <w:tcPr>
            <w:tcW w:w="1482" w:type="dxa"/>
          </w:tcPr>
          <w:p>
            <w:pPr>
              <w:pStyle w:val="TableParagraph"/>
              <w:rPr>
                <w:sz w:val="24"/>
              </w:rPr>
            </w:pPr>
          </w:p>
          <w:p>
            <w:pPr>
              <w:pStyle w:val="TableParagraph"/>
              <w:spacing w:before="132"/>
              <w:rPr>
                <w:sz w:val="24"/>
              </w:rPr>
            </w:pPr>
          </w:p>
          <w:p>
            <w:pPr>
              <w:pStyle w:val="TableParagraph"/>
              <w:spacing w:line="256" w:lineRule="exact" w:before="1"/>
              <w:ind w:left="255"/>
              <w:rPr>
                <w:sz w:val="24"/>
              </w:rPr>
            </w:pPr>
            <w:r>
              <w:rPr>
                <w:spacing w:val="-4"/>
                <w:sz w:val="24"/>
              </w:rPr>
              <w:t>84.2</w:t>
            </w:r>
          </w:p>
        </w:tc>
        <w:tc>
          <w:tcPr>
            <w:tcW w:w="1362" w:type="dxa"/>
          </w:tcPr>
          <w:p>
            <w:pPr>
              <w:pStyle w:val="TableParagraph"/>
              <w:rPr>
                <w:sz w:val="24"/>
              </w:rPr>
            </w:pPr>
          </w:p>
          <w:p>
            <w:pPr>
              <w:pStyle w:val="TableParagraph"/>
              <w:spacing w:before="132"/>
              <w:rPr>
                <w:sz w:val="24"/>
              </w:rPr>
            </w:pPr>
          </w:p>
          <w:p>
            <w:pPr>
              <w:pStyle w:val="TableParagraph"/>
              <w:spacing w:line="256" w:lineRule="exact" w:before="1"/>
              <w:ind w:left="269"/>
              <w:rPr>
                <w:sz w:val="24"/>
              </w:rPr>
            </w:pPr>
            <w:r>
              <w:rPr>
                <w:spacing w:val="-5"/>
                <w:sz w:val="24"/>
              </w:rPr>
              <w:t>5.3</w:t>
            </w:r>
          </w:p>
        </w:tc>
        <w:tc>
          <w:tcPr>
            <w:tcW w:w="1559" w:type="dxa"/>
          </w:tcPr>
          <w:p>
            <w:pPr>
              <w:pStyle w:val="TableParagraph"/>
              <w:rPr>
                <w:sz w:val="24"/>
              </w:rPr>
            </w:pPr>
          </w:p>
          <w:p>
            <w:pPr>
              <w:pStyle w:val="TableParagraph"/>
              <w:spacing w:before="132"/>
              <w:rPr>
                <w:sz w:val="24"/>
              </w:rPr>
            </w:pPr>
          </w:p>
          <w:p>
            <w:pPr>
              <w:pStyle w:val="TableParagraph"/>
              <w:spacing w:line="256" w:lineRule="exact" w:before="1"/>
              <w:ind w:left="251"/>
              <w:rPr>
                <w:sz w:val="24"/>
              </w:rPr>
            </w:pPr>
            <w:r>
              <w:rPr>
                <w:spacing w:val="-5"/>
                <w:sz w:val="24"/>
              </w:rPr>
              <w:t>0.3</w:t>
            </w:r>
          </w:p>
        </w:tc>
      </w:tr>
    </w:tbl>
    <w:p>
      <w:pPr>
        <w:spacing w:after="0" w:line="256" w:lineRule="exact"/>
        <w:rPr>
          <w:sz w:val="24"/>
        </w:rPr>
        <w:sectPr>
          <w:pgSz w:w="12240" w:h="15840"/>
          <w:pgMar w:header="0" w:footer="743" w:top="1320" w:bottom="940" w:left="1640" w:right="1300"/>
        </w:sectPr>
      </w:pPr>
    </w:p>
    <w:p>
      <w:pPr>
        <w:pStyle w:val="BodyText"/>
        <w:spacing w:before="76"/>
        <w:ind w:left="160"/>
      </w:pPr>
      <w:r>
        <w:rPr/>
        <w:t>6. </w:t>
      </w:r>
      <w:r>
        <w:rPr>
          <w:spacing w:val="-2"/>
        </w:rPr>
        <w:t>Schools</w:t>
      </w:r>
    </w:p>
    <w:p>
      <w:pPr>
        <w:pStyle w:val="BodyText"/>
        <w:spacing w:after="11"/>
        <w:ind w:left="160" w:right="7276"/>
      </w:pPr>
      <w:r>
        <w:rPr/>
        <w:t>for Vocational </w:t>
      </w:r>
      <w:r>
        <w:rPr>
          <w:spacing w:val="-2"/>
        </w:rPr>
        <w:t>Education </w:t>
      </w:r>
      <w:r>
        <w:rPr/>
        <w:t>(excluding</w:t>
      </w:r>
      <w:r>
        <w:rPr>
          <w:spacing w:val="-15"/>
        </w:rPr>
        <w:t> </w:t>
      </w:r>
      <w:r>
        <w:rPr/>
        <w:t>Teacher</w:t>
      </w: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5"/>
        <w:gridCol w:w="1149"/>
        <w:gridCol w:w="1907"/>
        <w:gridCol w:w="917"/>
        <w:gridCol w:w="1773"/>
      </w:tblGrid>
      <w:tr>
        <w:trPr>
          <w:trHeight w:val="408" w:hRule="atLeast"/>
        </w:trPr>
        <w:tc>
          <w:tcPr>
            <w:tcW w:w="2895" w:type="dxa"/>
          </w:tcPr>
          <w:p>
            <w:pPr>
              <w:pStyle w:val="TableParagraph"/>
              <w:tabs>
                <w:tab w:pos="1832" w:val="left" w:leader="none"/>
              </w:tabs>
              <w:spacing w:line="266" w:lineRule="exact"/>
              <w:rPr>
                <w:sz w:val="24"/>
              </w:rPr>
            </w:pPr>
            <w:r>
              <w:rPr>
                <w:spacing w:val="-2"/>
                <w:sz w:val="24"/>
              </w:rPr>
              <w:t>Training)</w:t>
            </w:r>
            <w:r>
              <w:rPr>
                <w:sz w:val="24"/>
              </w:rPr>
              <w:tab/>
            </w:r>
            <w:r>
              <w:rPr>
                <w:spacing w:val="-2"/>
                <w:sz w:val="24"/>
              </w:rPr>
              <w:t>13,604</w:t>
            </w:r>
          </w:p>
        </w:tc>
        <w:tc>
          <w:tcPr>
            <w:tcW w:w="1149" w:type="dxa"/>
          </w:tcPr>
          <w:p>
            <w:pPr>
              <w:pStyle w:val="TableParagraph"/>
              <w:spacing w:line="266" w:lineRule="exact"/>
              <w:ind w:left="284"/>
              <w:rPr>
                <w:sz w:val="24"/>
              </w:rPr>
            </w:pPr>
            <w:r>
              <w:rPr>
                <w:spacing w:val="-4"/>
                <w:sz w:val="24"/>
              </w:rPr>
              <w:t>72.0</w:t>
            </w:r>
          </w:p>
        </w:tc>
        <w:tc>
          <w:tcPr>
            <w:tcW w:w="1907" w:type="dxa"/>
          </w:tcPr>
          <w:p>
            <w:pPr>
              <w:pStyle w:val="TableParagraph"/>
              <w:spacing w:line="266" w:lineRule="exact"/>
              <w:ind w:left="444"/>
              <w:rPr>
                <w:sz w:val="24"/>
              </w:rPr>
            </w:pPr>
            <w:r>
              <w:rPr>
                <w:spacing w:val="-4"/>
                <w:sz w:val="24"/>
              </w:rPr>
              <w:t>65.0</w:t>
            </w:r>
          </w:p>
        </w:tc>
        <w:tc>
          <w:tcPr>
            <w:tcW w:w="917" w:type="dxa"/>
          </w:tcPr>
          <w:p>
            <w:pPr>
              <w:pStyle w:val="TableParagraph"/>
              <w:spacing w:line="266" w:lineRule="exact"/>
              <w:ind w:left="33"/>
              <w:rPr>
                <w:sz w:val="24"/>
              </w:rPr>
            </w:pPr>
            <w:r>
              <w:rPr>
                <w:spacing w:val="-4"/>
                <w:sz w:val="24"/>
              </w:rPr>
              <w:t>17.2</w:t>
            </w:r>
          </w:p>
        </w:tc>
        <w:tc>
          <w:tcPr>
            <w:tcW w:w="1773" w:type="dxa"/>
          </w:tcPr>
          <w:p>
            <w:pPr>
              <w:pStyle w:val="TableParagraph"/>
              <w:spacing w:line="266" w:lineRule="exact"/>
              <w:ind w:left="460"/>
              <w:rPr>
                <w:sz w:val="24"/>
              </w:rPr>
            </w:pPr>
            <w:r>
              <w:rPr>
                <w:spacing w:val="-5"/>
                <w:sz w:val="24"/>
              </w:rPr>
              <w:t>2.3</w:t>
            </w:r>
          </w:p>
        </w:tc>
      </w:tr>
      <w:tr>
        <w:trPr>
          <w:trHeight w:val="1103" w:hRule="atLeast"/>
        </w:trPr>
        <w:tc>
          <w:tcPr>
            <w:tcW w:w="2895" w:type="dxa"/>
          </w:tcPr>
          <w:p>
            <w:pPr>
              <w:pStyle w:val="TableParagraph"/>
              <w:spacing w:before="133"/>
              <w:ind w:right="1842"/>
              <w:rPr>
                <w:sz w:val="24"/>
              </w:rPr>
            </w:pPr>
            <w:r>
              <w:rPr>
                <w:sz w:val="24"/>
              </w:rPr>
              <w:t>7. Schools for </w:t>
            </w:r>
            <w:r>
              <w:rPr>
                <w:spacing w:val="-2"/>
                <w:sz w:val="24"/>
              </w:rPr>
              <w:t>Specia</w:t>
            </w:r>
            <w:r>
              <w:rPr>
                <w:spacing w:val="-2"/>
                <w:sz w:val="24"/>
              </w:rPr>
              <w:t>l</w:t>
            </w:r>
          </w:p>
          <w:p>
            <w:pPr>
              <w:pStyle w:val="TableParagraph"/>
              <w:tabs>
                <w:tab w:pos="1812" w:val="left" w:leader="none"/>
              </w:tabs>
              <w:rPr>
                <w:sz w:val="24"/>
              </w:rPr>
            </w:pPr>
            <w:r>
              <w:rPr>
                <w:spacing w:val="-2"/>
                <w:sz w:val="24"/>
              </w:rPr>
              <w:t>Education</w:t>
            </w:r>
            <w:r>
              <w:rPr>
                <w:sz w:val="24"/>
              </w:rPr>
              <w:tab/>
            </w:r>
            <w:r>
              <w:rPr>
                <w:spacing w:val="-2"/>
                <w:sz w:val="24"/>
              </w:rPr>
              <w:t>1,378</w:t>
            </w:r>
          </w:p>
        </w:tc>
        <w:tc>
          <w:tcPr>
            <w:tcW w:w="1149" w:type="dxa"/>
          </w:tcPr>
          <w:p>
            <w:pPr>
              <w:pStyle w:val="TableParagraph"/>
              <w:rPr>
                <w:sz w:val="24"/>
              </w:rPr>
            </w:pPr>
          </w:p>
          <w:p>
            <w:pPr>
              <w:pStyle w:val="TableParagraph"/>
              <w:spacing w:before="132"/>
              <w:rPr>
                <w:sz w:val="24"/>
              </w:rPr>
            </w:pPr>
          </w:p>
          <w:p>
            <w:pPr>
              <w:pStyle w:val="TableParagraph"/>
              <w:spacing w:before="1"/>
              <w:ind w:left="283"/>
              <w:rPr>
                <w:sz w:val="24"/>
              </w:rPr>
            </w:pPr>
            <w:r>
              <w:rPr>
                <w:spacing w:val="-4"/>
                <w:sz w:val="24"/>
              </w:rPr>
              <w:t>10.0</w:t>
            </w:r>
          </w:p>
        </w:tc>
        <w:tc>
          <w:tcPr>
            <w:tcW w:w="1907" w:type="dxa"/>
          </w:tcPr>
          <w:p>
            <w:pPr>
              <w:pStyle w:val="TableParagraph"/>
              <w:rPr>
                <w:sz w:val="24"/>
              </w:rPr>
            </w:pPr>
          </w:p>
          <w:p>
            <w:pPr>
              <w:pStyle w:val="TableParagraph"/>
              <w:spacing w:before="132"/>
              <w:rPr>
                <w:sz w:val="24"/>
              </w:rPr>
            </w:pPr>
          </w:p>
          <w:p>
            <w:pPr>
              <w:pStyle w:val="TableParagraph"/>
              <w:spacing w:before="1"/>
              <w:ind w:left="443"/>
              <w:rPr>
                <w:sz w:val="24"/>
              </w:rPr>
            </w:pPr>
            <w:r>
              <w:rPr>
                <w:spacing w:val="-5"/>
                <w:sz w:val="24"/>
              </w:rPr>
              <w:t>8.1</w:t>
            </w:r>
          </w:p>
        </w:tc>
        <w:tc>
          <w:tcPr>
            <w:tcW w:w="917" w:type="dxa"/>
          </w:tcPr>
          <w:p>
            <w:pPr>
              <w:pStyle w:val="TableParagraph"/>
              <w:rPr>
                <w:sz w:val="24"/>
              </w:rPr>
            </w:pPr>
          </w:p>
          <w:p>
            <w:pPr>
              <w:pStyle w:val="TableParagraph"/>
              <w:spacing w:before="132"/>
              <w:rPr>
                <w:sz w:val="24"/>
              </w:rPr>
            </w:pPr>
          </w:p>
          <w:p>
            <w:pPr>
              <w:pStyle w:val="TableParagraph"/>
              <w:spacing w:before="1"/>
              <w:ind w:left="32"/>
              <w:rPr>
                <w:sz w:val="24"/>
              </w:rPr>
            </w:pPr>
            <w:r>
              <w:rPr>
                <w:spacing w:val="-5"/>
                <w:sz w:val="24"/>
              </w:rPr>
              <w:t>4.3</w:t>
            </w:r>
          </w:p>
        </w:tc>
        <w:tc>
          <w:tcPr>
            <w:tcW w:w="1773" w:type="dxa"/>
          </w:tcPr>
          <w:p>
            <w:pPr>
              <w:pStyle w:val="TableParagraph"/>
              <w:rPr>
                <w:sz w:val="24"/>
              </w:rPr>
            </w:pPr>
          </w:p>
          <w:p>
            <w:pPr>
              <w:pStyle w:val="TableParagraph"/>
              <w:spacing w:before="132"/>
              <w:rPr>
                <w:sz w:val="24"/>
              </w:rPr>
            </w:pPr>
          </w:p>
          <w:p>
            <w:pPr>
              <w:pStyle w:val="TableParagraph"/>
              <w:spacing w:before="1"/>
              <w:ind w:left="459"/>
              <w:rPr>
                <w:sz w:val="24"/>
              </w:rPr>
            </w:pPr>
            <w:r>
              <w:rPr>
                <w:spacing w:val="-5"/>
                <w:sz w:val="24"/>
              </w:rPr>
              <w:t>0.2</w:t>
            </w:r>
          </w:p>
        </w:tc>
      </w:tr>
      <w:tr>
        <w:trPr>
          <w:trHeight w:val="1103" w:hRule="atLeast"/>
        </w:trPr>
        <w:tc>
          <w:tcPr>
            <w:tcW w:w="2895" w:type="dxa"/>
          </w:tcPr>
          <w:p>
            <w:pPr>
              <w:pStyle w:val="TableParagraph"/>
              <w:spacing w:before="133"/>
              <w:ind w:right="1270"/>
              <w:rPr>
                <w:sz w:val="24"/>
              </w:rPr>
            </w:pPr>
            <w:r>
              <w:rPr>
                <w:sz w:val="24"/>
              </w:rPr>
              <w:t>8. University Teaching</w:t>
            </w:r>
            <w:r>
              <w:rPr>
                <w:spacing w:val="-15"/>
                <w:sz w:val="24"/>
              </w:rPr>
              <w:t> </w:t>
            </w:r>
            <w:r>
              <w:rPr>
                <w:sz w:val="24"/>
              </w:rPr>
              <w:t>Depar-</w:t>
            </w:r>
          </w:p>
          <w:p>
            <w:pPr>
              <w:pStyle w:val="TableParagraph"/>
              <w:tabs>
                <w:tab w:pos="1778" w:val="left" w:leader="none"/>
              </w:tabs>
              <w:rPr>
                <w:sz w:val="24"/>
              </w:rPr>
            </w:pPr>
            <w:r>
              <w:rPr>
                <w:spacing w:val="-2"/>
                <w:sz w:val="24"/>
              </w:rPr>
              <w:t>tments</w:t>
            </w:r>
            <w:r>
              <w:rPr>
                <w:sz w:val="24"/>
              </w:rPr>
              <w:tab/>
            </w:r>
            <w:r>
              <w:rPr>
                <w:spacing w:val="-2"/>
                <w:sz w:val="24"/>
              </w:rPr>
              <w:t>52,934</w:t>
            </w:r>
          </w:p>
        </w:tc>
        <w:tc>
          <w:tcPr>
            <w:tcW w:w="1149" w:type="dxa"/>
          </w:tcPr>
          <w:p>
            <w:pPr>
              <w:pStyle w:val="TableParagraph"/>
              <w:rPr>
                <w:sz w:val="24"/>
              </w:rPr>
            </w:pPr>
          </w:p>
          <w:p>
            <w:pPr>
              <w:pStyle w:val="TableParagraph"/>
              <w:spacing w:before="132"/>
              <w:rPr>
                <w:sz w:val="24"/>
              </w:rPr>
            </w:pPr>
          </w:p>
          <w:p>
            <w:pPr>
              <w:pStyle w:val="TableParagraph"/>
              <w:spacing w:before="1"/>
              <w:ind w:left="282"/>
              <w:rPr>
                <w:sz w:val="24"/>
              </w:rPr>
            </w:pPr>
            <w:r>
              <w:rPr>
                <w:spacing w:val="-4"/>
                <w:sz w:val="24"/>
              </w:rPr>
              <w:t>90.1</w:t>
            </w:r>
          </w:p>
        </w:tc>
        <w:tc>
          <w:tcPr>
            <w:tcW w:w="1907" w:type="dxa"/>
          </w:tcPr>
          <w:p>
            <w:pPr>
              <w:pStyle w:val="TableParagraph"/>
              <w:rPr>
                <w:sz w:val="24"/>
              </w:rPr>
            </w:pPr>
          </w:p>
          <w:p>
            <w:pPr>
              <w:pStyle w:val="TableParagraph"/>
              <w:spacing w:before="132"/>
              <w:rPr>
                <w:sz w:val="24"/>
              </w:rPr>
            </w:pPr>
          </w:p>
          <w:p>
            <w:pPr>
              <w:pStyle w:val="TableParagraph"/>
              <w:spacing w:before="1"/>
              <w:ind w:left="442"/>
              <w:rPr>
                <w:sz w:val="24"/>
              </w:rPr>
            </w:pPr>
            <w:r>
              <w:rPr>
                <w:spacing w:val="-5"/>
                <w:sz w:val="24"/>
              </w:rPr>
              <w:t>..</w:t>
            </w:r>
          </w:p>
        </w:tc>
        <w:tc>
          <w:tcPr>
            <w:tcW w:w="917" w:type="dxa"/>
          </w:tcPr>
          <w:p>
            <w:pPr>
              <w:pStyle w:val="TableParagraph"/>
              <w:rPr>
                <w:sz w:val="24"/>
              </w:rPr>
            </w:pPr>
          </w:p>
          <w:p>
            <w:pPr>
              <w:pStyle w:val="TableParagraph"/>
              <w:spacing w:before="132"/>
              <w:rPr>
                <w:sz w:val="24"/>
              </w:rPr>
            </w:pPr>
          </w:p>
          <w:p>
            <w:pPr>
              <w:pStyle w:val="TableParagraph"/>
              <w:spacing w:before="1"/>
              <w:ind w:left="32"/>
              <w:rPr>
                <w:sz w:val="24"/>
              </w:rPr>
            </w:pPr>
            <w:r>
              <w:rPr>
                <w:spacing w:val="-4"/>
                <w:sz w:val="24"/>
              </w:rPr>
              <w:t>37.4</w:t>
            </w:r>
          </w:p>
        </w:tc>
        <w:tc>
          <w:tcPr>
            <w:tcW w:w="1773" w:type="dxa"/>
          </w:tcPr>
          <w:p>
            <w:pPr>
              <w:pStyle w:val="TableParagraph"/>
              <w:rPr>
                <w:sz w:val="24"/>
              </w:rPr>
            </w:pPr>
          </w:p>
          <w:p>
            <w:pPr>
              <w:pStyle w:val="TableParagraph"/>
              <w:spacing w:before="132"/>
              <w:rPr>
                <w:sz w:val="24"/>
              </w:rPr>
            </w:pPr>
          </w:p>
          <w:p>
            <w:pPr>
              <w:pStyle w:val="TableParagraph"/>
              <w:spacing w:before="1"/>
              <w:ind w:left="459"/>
              <w:rPr>
                <w:sz w:val="24"/>
              </w:rPr>
            </w:pPr>
            <w:r>
              <w:rPr>
                <w:spacing w:val="-5"/>
                <w:sz w:val="24"/>
              </w:rPr>
              <w:t>9.0</w:t>
            </w:r>
          </w:p>
        </w:tc>
      </w:tr>
      <w:tr>
        <w:trPr>
          <w:trHeight w:val="827" w:hRule="atLeast"/>
        </w:trPr>
        <w:tc>
          <w:tcPr>
            <w:tcW w:w="2895" w:type="dxa"/>
          </w:tcPr>
          <w:p>
            <w:pPr>
              <w:pStyle w:val="TableParagraph"/>
              <w:spacing w:before="133"/>
              <w:rPr>
                <w:sz w:val="24"/>
              </w:rPr>
            </w:pPr>
            <w:r>
              <w:rPr>
                <w:sz w:val="24"/>
              </w:rPr>
              <w:t>9.</w:t>
            </w:r>
            <w:r>
              <w:rPr>
                <w:spacing w:val="-1"/>
                <w:sz w:val="24"/>
              </w:rPr>
              <w:t> </w:t>
            </w:r>
            <w:r>
              <w:rPr>
                <w:spacing w:val="-2"/>
                <w:sz w:val="24"/>
              </w:rPr>
              <w:t>Research</w:t>
            </w:r>
          </w:p>
          <w:p>
            <w:pPr>
              <w:pStyle w:val="TableParagraph"/>
              <w:tabs>
                <w:tab w:pos="2192" w:val="right" w:leader="none"/>
              </w:tabs>
              <w:rPr>
                <w:sz w:val="24"/>
              </w:rPr>
            </w:pPr>
            <w:r>
              <w:rPr>
                <w:spacing w:val="-2"/>
                <w:sz w:val="24"/>
              </w:rPr>
              <w:t>Institutions</w:t>
            </w:r>
            <w:r>
              <w:rPr>
                <w:sz w:val="24"/>
              </w:rPr>
              <w:tab/>
            </w:r>
            <w:r>
              <w:rPr>
                <w:spacing w:val="-5"/>
                <w:sz w:val="24"/>
              </w:rPr>
              <w:t>375</w:t>
            </w:r>
          </w:p>
        </w:tc>
        <w:tc>
          <w:tcPr>
            <w:tcW w:w="1149" w:type="dxa"/>
          </w:tcPr>
          <w:p>
            <w:pPr>
              <w:pStyle w:val="TableParagraph"/>
              <w:spacing w:before="132"/>
              <w:rPr>
                <w:sz w:val="24"/>
              </w:rPr>
            </w:pPr>
          </w:p>
          <w:p>
            <w:pPr>
              <w:pStyle w:val="TableParagraph"/>
              <w:spacing w:before="1"/>
              <w:ind w:left="283"/>
              <w:rPr>
                <w:sz w:val="24"/>
              </w:rPr>
            </w:pPr>
            <w:r>
              <w:rPr>
                <w:spacing w:val="-4"/>
                <w:sz w:val="24"/>
              </w:rPr>
              <w:t>86.3</w:t>
            </w:r>
          </w:p>
        </w:tc>
        <w:tc>
          <w:tcPr>
            <w:tcW w:w="1907" w:type="dxa"/>
          </w:tcPr>
          <w:p>
            <w:pPr>
              <w:pStyle w:val="TableParagraph"/>
              <w:spacing w:before="132"/>
              <w:rPr>
                <w:sz w:val="24"/>
              </w:rPr>
            </w:pPr>
          </w:p>
          <w:p>
            <w:pPr>
              <w:pStyle w:val="TableParagraph"/>
              <w:spacing w:before="1"/>
              <w:ind w:left="443"/>
              <w:rPr>
                <w:sz w:val="24"/>
              </w:rPr>
            </w:pPr>
            <w:r>
              <w:rPr>
                <w:spacing w:val="-2"/>
                <w:sz w:val="24"/>
              </w:rPr>
              <w:t>147.1</w:t>
            </w:r>
          </w:p>
        </w:tc>
        <w:tc>
          <w:tcPr>
            <w:tcW w:w="917" w:type="dxa"/>
          </w:tcPr>
          <w:p>
            <w:pPr>
              <w:pStyle w:val="TableParagraph"/>
              <w:spacing w:before="132"/>
              <w:rPr>
                <w:sz w:val="24"/>
              </w:rPr>
            </w:pPr>
          </w:p>
          <w:p>
            <w:pPr>
              <w:pStyle w:val="TableParagraph"/>
              <w:spacing w:before="1"/>
              <w:ind w:left="32"/>
              <w:rPr>
                <w:sz w:val="24"/>
              </w:rPr>
            </w:pPr>
            <w:r>
              <w:rPr>
                <w:spacing w:val="-5"/>
                <w:sz w:val="24"/>
              </w:rPr>
              <w:t>1.4</w:t>
            </w:r>
          </w:p>
        </w:tc>
        <w:tc>
          <w:tcPr>
            <w:tcW w:w="1773" w:type="dxa"/>
          </w:tcPr>
          <w:p>
            <w:pPr>
              <w:pStyle w:val="TableParagraph"/>
              <w:spacing w:before="132"/>
              <w:rPr>
                <w:sz w:val="24"/>
              </w:rPr>
            </w:pPr>
          </w:p>
          <w:p>
            <w:pPr>
              <w:pStyle w:val="TableParagraph"/>
              <w:spacing w:before="1"/>
              <w:ind w:left="459"/>
              <w:rPr>
                <w:sz w:val="24"/>
              </w:rPr>
            </w:pPr>
            <w:r>
              <w:rPr>
                <w:spacing w:val="-5"/>
                <w:sz w:val="24"/>
              </w:rPr>
              <w:t>0.1</w:t>
            </w:r>
          </w:p>
        </w:tc>
      </w:tr>
      <w:tr>
        <w:trPr>
          <w:trHeight w:val="1104" w:hRule="atLeast"/>
        </w:trPr>
        <w:tc>
          <w:tcPr>
            <w:tcW w:w="2895" w:type="dxa"/>
          </w:tcPr>
          <w:p>
            <w:pPr>
              <w:pStyle w:val="TableParagraph"/>
              <w:spacing w:before="133"/>
              <w:ind w:right="1435"/>
              <w:rPr>
                <w:sz w:val="24"/>
              </w:rPr>
            </w:pPr>
            <w:r>
              <w:rPr>
                <w:sz w:val="24"/>
              </w:rPr>
              <w:t>10. Colleges for</w:t>
            </w:r>
            <w:r>
              <w:rPr>
                <w:spacing w:val="-13"/>
                <w:sz w:val="24"/>
              </w:rPr>
              <w:t> </w:t>
            </w:r>
            <w:r>
              <w:rPr>
                <w:sz w:val="24"/>
              </w:rPr>
              <w:t>Arts</w:t>
            </w:r>
            <w:r>
              <w:rPr>
                <w:spacing w:val="-13"/>
                <w:sz w:val="24"/>
              </w:rPr>
              <w:t> </w:t>
            </w:r>
            <w:r>
              <w:rPr>
                <w:sz w:val="24"/>
              </w:rPr>
              <w:t>&amp;</w:t>
            </w:r>
            <w:r>
              <w:rPr>
                <w:spacing w:val="-13"/>
                <w:sz w:val="24"/>
              </w:rPr>
              <w:t> </w:t>
            </w:r>
            <w:r>
              <w:rPr>
                <w:sz w:val="24"/>
              </w:rPr>
              <w:t>Sc-</w:t>
            </w:r>
          </w:p>
          <w:p>
            <w:pPr>
              <w:pStyle w:val="TableParagraph"/>
              <w:tabs>
                <w:tab w:pos="1831" w:val="left" w:leader="none"/>
              </w:tabs>
              <w:rPr>
                <w:sz w:val="24"/>
              </w:rPr>
            </w:pPr>
            <w:r>
              <w:rPr>
                <w:spacing w:val="-2"/>
                <w:sz w:val="24"/>
              </w:rPr>
              <w:t>ience</w:t>
            </w:r>
            <w:r>
              <w:rPr>
                <w:sz w:val="24"/>
              </w:rPr>
              <w:tab/>
            </w:r>
            <w:r>
              <w:rPr>
                <w:spacing w:val="-2"/>
                <w:sz w:val="24"/>
              </w:rPr>
              <w:t>101,384</w:t>
            </w:r>
          </w:p>
        </w:tc>
        <w:tc>
          <w:tcPr>
            <w:tcW w:w="1149" w:type="dxa"/>
          </w:tcPr>
          <w:p>
            <w:pPr>
              <w:pStyle w:val="TableParagraph"/>
              <w:rPr>
                <w:sz w:val="24"/>
              </w:rPr>
            </w:pPr>
          </w:p>
          <w:p>
            <w:pPr>
              <w:pStyle w:val="TableParagraph"/>
              <w:spacing w:before="132"/>
              <w:rPr>
                <w:sz w:val="24"/>
              </w:rPr>
            </w:pPr>
          </w:p>
          <w:p>
            <w:pPr>
              <w:pStyle w:val="TableParagraph"/>
              <w:spacing w:before="1"/>
              <w:ind w:left="283"/>
              <w:rPr>
                <w:sz w:val="24"/>
              </w:rPr>
            </w:pPr>
            <w:r>
              <w:rPr>
                <w:spacing w:val="-4"/>
                <w:sz w:val="24"/>
              </w:rPr>
              <w:t>84.9</w:t>
            </w:r>
          </w:p>
        </w:tc>
        <w:tc>
          <w:tcPr>
            <w:tcW w:w="1907" w:type="dxa"/>
          </w:tcPr>
          <w:p>
            <w:pPr>
              <w:pStyle w:val="TableParagraph"/>
              <w:rPr>
                <w:sz w:val="24"/>
              </w:rPr>
            </w:pPr>
          </w:p>
          <w:p>
            <w:pPr>
              <w:pStyle w:val="TableParagraph"/>
              <w:spacing w:before="132"/>
              <w:rPr>
                <w:sz w:val="24"/>
              </w:rPr>
            </w:pPr>
          </w:p>
          <w:p>
            <w:pPr>
              <w:pStyle w:val="TableParagraph"/>
              <w:spacing w:before="1"/>
              <w:ind w:left="443"/>
              <w:rPr>
                <w:sz w:val="24"/>
              </w:rPr>
            </w:pPr>
            <w:r>
              <w:rPr>
                <w:spacing w:val="-2"/>
                <w:sz w:val="24"/>
              </w:rPr>
              <w:t>172.7</w:t>
            </w:r>
          </w:p>
        </w:tc>
        <w:tc>
          <w:tcPr>
            <w:tcW w:w="917" w:type="dxa"/>
          </w:tcPr>
          <w:p>
            <w:pPr>
              <w:pStyle w:val="TableParagraph"/>
              <w:rPr>
                <w:sz w:val="24"/>
              </w:rPr>
            </w:pPr>
          </w:p>
          <w:p>
            <w:pPr>
              <w:pStyle w:val="TableParagraph"/>
              <w:spacing w:before="132"/>
              <w:rPr>
                <w:sz w:val="24"/>
              </w:rPr>
            </w:pPr>
          </w:p>
          <w:p>
            <w:pPr>
              <w:pStyle w:val="TableParagraph"/>
              <w:spacing w:before="1"/>
              <w:ind w:left="32"/>
              <w:rPr>
                <w:sz w:val="24"/>
              </w:rPr>
            </w:pPr>
            <w:r>
              <w:rPr>
                <w:spacing w:val="-4"/>
                <w:sz w:val="24"/>
              </w:rPr>
              <w:t>48.5</w:t>
            </w:r>
          </w:p>
        </w:tc>
        <w:tc>
          <w:tcPr>
            <w:tcW w:w="1773" w:type="dxa"/>
          </w:tcPr>
          <w:p>
            <w:pPr>
              <w:pStyle w:val="TableParagraph"/>
              <w:rPr>
                <w:sz w:val="24"/>
              </w:rPr>
            </w:pPr>
          </w:p>
          <w:p>
            <w:pPr>
              <w:pStyle w:val="TableParagraph"/>
              <w:spacing w:before="132"/>
              <w:rPr>
                <w:sz w:val="24"/>
              </w:rPr>
            </w:pPr>
          </w:p>
          <w:p>
            <w:pPr>
              <w:pStyle w:val="TableParagraph"/>
              <w:spacing w:before="1"/>
              <w:ind w:left="459"/>
              <w:rPr>
                <w:sz w:val="24"/>
              </w:rPr>
            </w:pPr>
            <w:r>
              <w:rPr>
                <w:spacing w:val="-4"/>
                <w:sz w:val="24"/>
              </w:rPr>
              <w:t>17.2</w:t>
            </w:r>
          </w:p>
        </w:tc>
      </w:tr>
      <w:tr>
        <w:trPr>
          <w:trHeight w:val="1104" w:hRule="atLeast"/>
        </w:trPr>
        <w:tc>
          <w:tcPr>
            <w:tcW w:w="2895" w:type="dxa"/>
          </w:tcPr>
          <w:p>
            <w:pPr>
              <w:pStyle w:val="TableParagraph"/>
              <w:spacing w:before="133"/>
              <w:ind w:right="1690"/>
              <w:rPr>
                <w:sz w:val="24"/>
              </w:rPr>
            </w:pPr>
            <w:r>
              <w:rPr>
                <w:sz w:val="24"/>
              </w:rPr>
              <w:t>11.</w:t>
            </w:r>
            <w:r>
              <w:rPr>
                <w:spacing w:val="-15"/>
                <w:sz w:val="24"/>
              </w:rPr>
              <w:t> </w:t>
            </w:r>
            <w:r>
              <w:rPr>
                <w:sz w:val="24"/>
              </w:rPr>
              <w:t>Colleges for Teacher</w:t>
            </w:r>
          </w:p>
          <w:p>
            <w:pPr>
              <w:pStyle w:val="TableParagraph"/>
              <w:tabs>
                <w:tab w:pos="1845" w:val="left" w:leader="none"/>
              </w:tabs>
              <w:rPr>
                <w:sz w:val="24"/>
              </w:rPr>
            </w:pPr>
            <w:r>
              <w:rPr>
                <w:spacing w:val="-2"/>
                <w:sz w:val="24"/>
              </w:rPr>
              <w:t>Training</w:t>
            </w:r>
            <w:r>
              <w:rPr>
                <w:sz w:val="24"/>
              </w:rPr>
              <w:tab/>
            </w:r>
            <w:r>
              <w:rPr>
                <w:spacing w:val="-2"/>
                <w:sz w:val="24"/>
              </w:rPr>
              <w:t>2,761</w:t>
            </w:r>
          </w:p>
        </w:tc>
        <w:tc>
          <w:tcPr>
            <w:tcW w:w="1149" w:type="dxa"/>
          </w:tcPr>
          <w:p>
            <w:pPr>
              <w:pStyle w:val="TableParagraph"/>
              <w:rPr>
                <w:sz w:val="24"/>
              </w:rPr>
            </w:pPr>
          </w:p>
          <w:p>
            <w:pPr>
              <w:pStyle w:val="TableParagraph"/>
              <w:spacing w:before="132"/>
              <w:rPr>
                <w:sz w:val="24"/>
              </w:rPr>
            </w:pPr>
          </w:p>
          <w:p>
            <w:pPr>
              <w:pStyle w:val="TableParagraph"/>
              <w:spacing w:before="1"/>
              <w:ind w:left="282"/>
              <w:rPr>
                <w:sz w:val="24"/>
              </w:rPr>
            </w:pPr>
            <w:r>
              <w:rPr>
                <w:spacing w:val="-4"/>
                <w:sz w:val="24"/>
              </w:rPr>
              <w:t>34.7</w:t>
            </w:r>
          </w:p>
        </w:tc>
        <w:tc>
          <w:tcPr>
            <w:tcW w:w="1907" w:type="dxa"/>
          </w:tcPr>
          <w:p>
            <w:pPr>
              <w:pStyle w:val="TableParagraph"/>
              <w:rPr>
                <w:sz w:val="24"/>
              </w:rPr>
            </w:pPr>
          </w:p>
          <w:p>
            <w:pPr>
              <w:pStyle w:val="TableParagraph"/>
              <w:spacing w:before="132"/>
              <w:rPr>
                <w:sz w:val="24"/>
              </w:rPr>
            </w:pPr>
          </w:p>
          <w:p>
            <w:pPr>
              <w:pStyle w:val="TableParagraph"/>
              <w:spacing w:before="1"/>
              <w:ind w:left="443"/>
              <w:rPr>
                <w:sz w:val="24"/>
              </w:rPr>
            </w:pPr>
            <w:r>
              <w:rPr>
                <w:spacing w:val="-2"/>
                <w:sz w:val="24"/>
              </w:rPr>
              <w:t>156.9</w:t>
            </w:r>
          </w:p>
        </w:tc>
        <w:tc>
          <w:tcPr>
            <w:tcW w:w="917" w:type="dxa"/>
          </w:tcPr>
          <w:p>
            <w:pPr>
              <w:pStyle w:val="TableParagraph"/>
              <w:rPr>
                <w:sz w:val="24"/>
              </w:rPr>
            </w:pPr>
          </w:p>
          <w:p>
            <w:pPr>
              <w:pStyle w:val="TableParagraph"/>
              <w:spacing w:before="132"/>
              <w:rPr>
                <w:sz w:val="24"/>
              </w:rPr>
            </w:pPr>
          </w:p>
          <w:p>
            <w:pPr>
              <w:pStyle w:val="TableParagraph"/>
              <w:spacing w:before="1"/>
              <w:ind w:left="32"/>
              <w:rPr>
                <w:sz w:val="24"/>
              </w:rPr>
            </w:pPr>
            <w:r>
              <w:rPr>
                <w:spacing w:val="-4"/>
                <w:sz w:val="24"/>
              </w:rPr>
              <w:t>12.8</w:t>
            </w:r>
          </w:p>
        </w:tc>
        <w:tc>
          <w:tcPr>
            <w:tcW w:w="1773" w:type="dxa"/>
          </w:tcPr>
          <w:p>
            <w:pPr>
              <w:pStyle w:val="TableParagraph"/>
              <w:rPr>
                <w:sz w:val="24"/>
              </w:rPr>
            </w:pPr>
          </w:p>
          <w:p>
            <w:pPr>
              <w:pStyle w:val="TableParagraph"/>
              <w:spacing w:before="132"/>
              <w:rPr>
                <w:sz w:val="24"/>
              </w:rPr>
            </w:pPr>
          </w:p>
          <w:p>
            <w:pPr>
              <w:pStyle w:val="TableParagraph"/>
              <w:spacing w:before="1"/>
              <w:ind w:left="459"/>
              <w:rPr>
                <w:sz w:val="24"/>
              </w:rPr>
            </w:pPr>
            <w:r>
              <w:rPr>
                <w:spacing w:val="-5"/>
                <w:sz w:val="24"/>
              </w:rPr>
              <w:t>0.5</w:t>
            </w:r>
          </w:p>
        </w:tc>
      </w:tr>
      <w:tr>
        <w:trPr>
          <w:trHeight w:val="1654" w:hRule="atLeast"/>
        </w:trPr>
        <w:tc>
          <w:tcPr>
            <w:tcW w:w="2895" w:type="dxa"/>
          </w:tcPr>
          <w:p>
            <w:pPr>
              <w:pStyle w:val="TableParagraph"/>
              <w:spacing w:before="133"/>
              <w:ind w:right="1364"/>
              <w:rPr>
                <w:sz w:val="24"/>
              </w:rPr>
            </w:pPr>
            <w:r>
              <w:rPr>
                <w:sz w:val="24"/>
              </w:rPr>
              <w:t>12.</w:t>
            </w:r>
            <w:r>
              <w:rPr>
                <w:spacing w:val="40"/>
                <w:sz w:val="24"/>
              </w:rPr>
              <w:t> </w:t>
            </w:r>
            <w:r>
              <w:rPr>
                <w:sz w:val="24"/>
              </w:rPr>
              <w:t>Colleges for</w:t>
            </w:r>
            <w:r>
              <w:rPr>
                <w:spacing w:val="-15"/>
                <w:sz w:val="24"/>
              </w:rPr>
              <w:t> </w:t>
            </w:r>
            <w:r>
              <w:rPr>
                <w:sz w:val="24"/>
              </w:rPr>
              <w:t>Professional </w:t>
            </w:r>
            <w:r>
              <w:rPr>
                <w:spacing w:val="-2"/>
                <w:sz w:val="24"/>
              </w:rPr>
              <w:t>Education</w:t>
            </w:r>
          </w:p>
          <w:p>
            <w:pPr>
              <w:pStyle w:val="TableParagraph"/>
              <w:tabs>
                <w:tab w:pos="1865" w:val="left" w:leader="none"/>
              </w:tabs>
              <w:ind w:right="367"/>
              <w:rPr>
                <w:sz w:val="24"/>
              </w:rPr>
            </w:pPr>
            <w:r>
              <w:rPr>
                <w:sz w:val="24"/>
              </w:rPr>
              <w:t>(excluding Teacher </w:t>
            </w:r>
            <w:r>
              <w:rPr>
                <w:spacing w:val="-2"/>
                <w:sz w:val="24"/>
              </w:rPr>
              <w:t>Training)</w:t>
            </w:r>
            <w:r>
              <w:rPr>
                <w:sz w:val="24"/>
              </w:rPr>
              <w:tab/>
            </w:r>
            <w:r>
              <w:rPr>
                <w:spacing w:val="-2"/>
                <w:sz w:val="24"/>
              </w:rPr>
              <w:t>30,346</w:t>
            </w:r>
          </w:p>
        </w:tc>
        <w:tc>
          <w:tcPr>
            <w:tcW w:w="1149" w:type="dxa"/>
          </w:tcPr>
          <w:p>
            <w:pPr>
              <w:pStyle w:val="TableParagraph"/>
              <w:rPr>
                <w:sz w:val="24"/>
              </w:rPr>
            </w:pPr>
          </w:p>
          <w:p>
            <w:pPr>
              <w:pStyle w:val="TableParagraph"/>
              <w:rPr>
                <w:sz w:val="24"/>
              </w:rPr>
            </w:pPr>
          </w:p>
          <w:p>
            <w:pPr>
              <w:pStyle w:val="TableParagraph"/>
              <w:rPr>
                <w:sz w:val="24"/>
              </w:rPr>
            </w:pPr>
          </w:p>
          <w:p>
            <w:pPr>
              <w:pStyle w:val="TableParagraph"/>
              <w:spacing w:before="131"/>
              <w:rPr>
                <w:sz w:val="24"/>
              </w:rPr>
            </w:pPr>
          </w:p>
          <w:p>
            <w:pPr>
              <w:pStyle w:val="TableParagraph"/>
              <w:spacing w:before="1"/>
              <w:ind w:left="283"/>
              <w:rPr>
                <w:sz w:val="24"/>
              </w:rPr>
            </w:pPr>
            <w:r>
              <w:rPr>
                <w:spacing w:val="-4"/>
                <w:sz w:val="24"/>
              </w:rPr>
              <w:t>87.9</w:t>
            </w:r>
          </w:p>
        </w:tc>
        <w:tc>
          <w:tcPr>
            <w:tcW w:w="1907" w:type="dxa"/>
          </w:tcPr>
          <w:p>
            <w:pPr>
              <w:pStyle w:val="TableParagraph"/>
              <w:rPr>
                <w:sz w:val="24"/>
              </w:rPr>
            </w:pPr>
          </w:p>
          <w:p>
            <w:pPr>
              <w:pStyle w:val="TableParagraph"/>
              <w:rPr>
                <w:sz w:val="24"/>
              </w:rPr>
            </w:pPr>
          </w:p>
          <w:p>
            <w:pPr>
              <w:pStyle w:val="TableParagraph"/>
              <w:rPr>
                <w:sz w:val="24"/>
              </w:rPr>
            </w:pPr>
          </w:p>
          <w:p>
            <w:pPr>
              <w:pStyle w:val="TableParagraph"/>
              <w:spacing w:before="131"/>
              <w:rPr>
                <w:sz w:val="24"/>
              </w:rPr>
            </w:pPr>
          </w:p>
          <w:p>
            <w:pPr>
              <w:pStyle w:val="TableParagraph"/>
              <w:spacing w:before="1"/>
              <w:ind w:left="443"/>
              <w:rPr>
                <w:sz w:val="24"/>
              </w:rPr>
            </w:pPr>
            <w:r>
              <w:rPr>
                <w:spacing w:val="-2"/>
                <w:sz w:val="24"/>
              </w:rPr>
              <w:t>240.5</w:t>
            </w:r>
          </w:p>
        </w:tc>
        <w:tc>
          <w:tcPr>
            <w:tcW w:w="917" w:type="dxa"/>
          </w:tcPr>
          <w:p>
            <w:pPr>
              <w:pStyle w:val="TableParagraph"/>
              <w:rPr>
                <w:sz w:val="24"/>
              </w:rPr>
            </w:pPr>
          </w:p>
          <w:p>
            <w:pPr>
              <w:pStyle w:val="TableParagraph"/>
              <w:rPr>
                <w:sz w:val="24"/>
              </w:rPr>
            </w:pPr>
          </w:p>
          <w:p>
            <w:pPr>
              <w:pStyle w:val="TableParagraph"/>
              <w:rPr>
                <w:sz w:val="24"/>
              </w:rPr>
            </w:pPr>
          </w:p>
          <w:p>
            <w:pPr>
              <w:pStyle w:val="TableParagraph"/>
              <w:spacing w:before="131"/>
              <w:rPr>
                <w:sz w:val="24"/>
              </w:rPr>
            </w:pPr>
          </w:p>
          <w:p>
            <w:pPr>
              <w:pStyle w:val="TableParagraph"/>
              <w:spacing w:before="1"/>
              <w:ind w:left="33"/>
              <w:rPr>
                <w:sz w:val="24"/>
              </w:rPr>
            </w:pPr>
            <w:r>
              <w:rPr>
                <w:spacing w:val="-4"/>
                <w:sz w:val="24"/>
              </w:rPr>
              <w:t>22.2</w:t>
            </w:r>
          </w:p>
        </w:tc>
        <w:tc>
          <w:tcPr>
            <w:tcW w:w="1773" w:type="dxa"/>
          </w:tcPr>
          <w:p>
            <w:pPr>
              <w:pStyle w:val="TableParagraph"/>
              <w:rPr>
                <w:sz w:val="24"/>
              </w:rPr>
            </w:pPr>
          </w:p>
          <w:p>
            <w:pPr>
              <w:pStyle w:val="TableParagraph"/>
              <w:rPr>
                <w:sz w:val="24"/>
              </w:rPr>
            </w:pPr>
          </w:p>
          <w:p>
            <w:pPr>
              <w:pStyle w:val="TableParagraph"/>
              <w:rPr>
                <w:sz w:val="24"/>
              </w:rPr>
            </w:pPr>
          </w:p>
          <w:p>
            <w:pPr>
              <w:pStyle w:val="TableParagraph"/>
              <w:spacing w:before="131"/>
              <w:rPr>
                <w:sz w:val="24"/>
              </w:rPr>
            </w:pPr>
          </w:p>
          <w:p>
            <w:pPr>
              <w:pStyle w:val="TableParagraph"/>
              <w:spacing w:before="1"/>
              <w:ind w:left="459"/>
              <w:rPr>
                <w:sz w:val="24"/>
              </w:rPr>
            </w:pPr>
            <w:r>
              <w:rPr>
                <w:spacing w:val="-5"/>
                <w:sz w:val="24"/>
              </w:rPr>
              <w:t>5.1</w:t>
            </w:r>
          </w:p>
        </w:tc>
      </w:tr>
      <w:tr>
        <w:trPr>
          <w:trHeight w:val="1158" w:hRule="atLeast"/>
        </w:trPr>
        <w:tc>
          <w:tcPr>
            <w:tcW w:w="2895" w:type="dxa"/>
            <w:tcBorders>
              <w:bottom w:val="single" w:sz="12" w:space="0" w:color="808080"/>
            </w:tcBorders>
          </w:tcPr>
          <w:p>
            <w:pPr>
              <w:pStyle w:val="TableParagraph"/>
              <w:spacing w:before="133"/>
              <w:ind w:right="1690"/>
              <w:rPr>
                <w:sz w:val="24"/>
              </w:rPr>
            </w:pPr>
            <w:r>
              <w:rPr>
                <w:sz w:val="24"/>
              </w:rPr>
              <w:t>13.</w:t>
            </w:r>
            <w:r>
              <w:rPr>
                <w:spacing w:val="-15"/>
                <w:sz w:val="24"/>
              </w:rPr>
              <w:t> </w:t>
            </w:r>
            <w:r>
              <w:rPr>
                <w:sz w:val="24"/>
              </w:rPr>
              <w:t>Colleges for Special</w:t>
            </w:r>
          </w:p>
          <w:p>
            <w:pPr>
              <w:pStyle w:val="TableParagraph"/>
              <w:tabs>
                <w:tab w:pos="1872" w:val="left" w:leader="none"/>
              </w:tabs>
              <w:rPr>
                <w:sz w:val="24"/>
              </w:rPr>
            </w:pPr>
            <w:r>
              <w:rPr>
                <w:spacing w:val="-2"/>
                <w:sz w:val="24"/>
              </w:rPr>
              <w:t>Education</w:t>
            </w:r>
            <w:r>
              <w:rPr>
                <w:sz w:val="24"/>
              </w:rPr>
              <w:tab/>
            </w:r>
            <w:r>
              <w:rPr>
                <w:spacing w:val="-2"/>
                <w:sz w:val="24"/>
              </w:rPr>
              <w:t>1,447</w:t>
            </w:r>
          </w:p>
        </w:tc>
        <w:tc>
          <w:tcPr>
            <w:tcW w:w="1149" w:type="dxa"/>
            <w:tcBorders>
              <w:bottom w:val="single" w:sz="12" w:space="0" w:color="808080"/>
            </w:tcBorders>
          </w:tcPr>
          <w:p>
            <w:pPr>
              <w:pStyle w:val="TableParagraph"/>
              <w:rPr>
                <w:sz w:val="24"/>
              </w:rPr>
            </w:pPr>
          </w:p>
          <w:p>
            <w:pPr>
              <w:pStyle w:val="TableParagraph"/>
              <w:spacing w:before="132"/>
              <w:rPr>
                <w:sz w:val="24"/>
              </w:rPr>
            </w:pPr>
          </w:p>
          <w:p>
            <w:pPr>
              <w:pStyle w:val="TableParagraph"/>
              <w:spacing w:before="1"/>
              <w:ind w:left="283"/>
              <w:rPr>
                <w:sz w:val="24"/>
              </w:rPr>
            </w:pPr>
            <w:r>
              <w:rPr>
                <w:spacing w:val="-4"/>
                <w:sz w:val="24"/>
              </w:rPr>
              <w:t>52.4</w:t>
            </w:r>
          </w:p>
        </w:tc>
        <w:tc>
          <w:tcPr>
            <w:tcW w:w="1907" w:type="dxa"/>
            <w:tcBorders>
              <w:bottom w:val="single" w:sz="12" w:space="0" w:color="808080"/>
            </w:tcBorders>
          </w:tcPr>
          <w:p>
            <w:pPr>
              <w:pStyle w:val="TableParagraph"/>
              <w:rPr>
                <w:sz w:val="24"/>
              </w:rPr>
            </w:pPr>
          </w:p>
          <w:p>
            <w:pPr>
              <w:pStyle w:val="TableParagraph"/>
              <w:spacing w:before="132"/>
              <w:rPr>
                <w:sz w:val="24"/>
              </w:rPr>
            </w:pPr>
          </w:p>
          <w:p>
            <w:pPr>
              <w:pStyle w:val="TableParagraph"/>
              <w:spacing w:before="1"/>
              <w:ind w:left="443"/>
              <w:rPr>
                <w:sz w:val="24"/>
              </w:rPr>
            </w:pPr>
            <w:r>
              <w:rPr>
                <w:spacing w:val="-2"/>
                <w:sz w:val="24"/>
              </w:rPr>
              <w:t>109.0</w:t>
            </w:r>
          </w:p>
        </w:tc>
        <w:tc>
          <w:tcPr>
            <w:tcW w:w="917" w:type="dxa"/>
            <w:tcBorders>
              <w:bottom w:val="single" w:sz="12" w:space="0" w:color="808080"/>
            </w:tcBorders>
          </w:tcPr>
          <w:p>
            <w:pPr>
              <w:pStyle w:val="TableParagraph"/>
              <w:rPr>
                <w:sz w:val="24"/>
              </w:rPr>
            </w:pPr>
          </w:p>
          <w:p>
            <w:pPr>
              <w:pStyle w:val="TableParagraph"/>
              <w:spacing w:before="132"/>
              <w:rPr>
                <w:sz w:val="24"/>
              </w:rPr>
            </w:pPr>
          </w:p>
          <w:p>
            <w:pPr>
              <w:pStyle w:val="TableParagraph"/>
              <w:spacing w:before="1"/>
              <w:ind w:left="32"/>
              <w:rPr>
                <w:sz w:val="24"/>
              </w:rPr>
            </w:pPr>
            <w:r>
              <w:rPr>
                <w:spacing w:val="-4"/>
                <w:sz w:val="24"/>
              </w:rPr>
              <w:t>15.9</w:t>
            </w:r>
          </w:p>
        </w:tc>
        <w:tc>
          <w:tcPr>
            <w:tcW w:w="1773" w:type="dxa"/>
            <w:tcBorders>
              <w:bottom w:val="single" w:sz="12" w:space="0" w:color="808080"/>
            </w:tcBorders>
          </w:tcPr>
          <w:p>
            <w:pPr>
              <w:pStyle w:val="TableParagraph"/>
              <w:rPr>
                <w:sz w:val="24"/>
              </w:rPr>
            </w:pPr>
          </w:p>
          <w:p>
            <w:pPr>
              <w:pStyle w:val="TableParagraph"/>
              <w:spacing w:before="132"/>
              <w:rPr>
                <w:sz w:val="24"/>
              </w:rPr>
            </w:pPr>
          </w:p>
          <w:p>
            <w:pPr>
              <w:pStyle w:val="TableParagraph"/>
              <w:spacing w:before="1"/>
              <w:ind w:left="459"/>
              <w:rPr>
                <w:sz w:val="24"/>
              </w:rPr>
            </w:pPr>
            <w:r>
              <w:rPr>
                <w:spacing w:val="-5"/>
                <w:sz w:val="24"/>
              </w:rPr>
              <w:t>0.2</w:t>
            </w:r>
          </w:p>
        </w:tc>
      </w:tr>
      <w:tr>
        <w:trPr>
          <w:trHeight w:val="278" w:hRule="atLeast"/>
        </w:trPr>
        <w:tc>
          <w:tcPr>
            <w:tcW w:w="2895" w:type="dxa"/>
            <w:tcBorders>
              <w:top w:val="single" w:sz="12" w:space="0" w:color="808080"/>
            </w:tcBorders>
          </w:tcPr>
          <w:p>
            <w:pPr>
              <w:pStyle w:val="TableParagraph"/>
              <w:spacing w:line="210" w:lineRule="exact" w:before="48"/>
              <w:rPr>
                <w:sz w:val="20"/>
              </w:rPr>
            </w:pPr>
            <w:r>
              <w:rPr>
                <w:spacing w:val="-5"/>
                <w:sz w:val="20"/>
              </w:rPr>
              <w:t>ALL</w:t>
            </w:r>
          </w:p>
        </w:tc>
        <w:tc>
          <w:tcPr>
            <w:tcW w:w="1149" w:type="dxa"/>
            <w:tcBorders>
              <w:top w:val="single" w:sz="12" w:space="0" w:color="808080"/>
            </w:tcBorders>
          </w:tcPr>
          <w:p>
            <w:pPr>
              <w:pStyle w:val="TableParagraph"/>
              <w:rPr>
                <w:sz w:val="20"/>
              </w:rPr>
            </w:pPr>
          </w:p>
        </w:tc>
        <w:tc>
          <w:tcPr>
            <w:tcW w:w="1907" w:type="dxa"/>
            <w:tcBorders>
              <w:top w:val="single" w:sz="12" w:space="0" w:color="808080"/>
            </w:tcBorders>
          </w:tcPr>
          <w:p>
            <w:pPr>
              <w:pStyle w:val="TableParagraph"/>
              <w:rPr>
                <w:sz w:val="20"/>
              </w:rPr>
            </w:pPr>
          </w:p>
        </w:tc>
        <w:tc>
          <w:tcPr>
            <w:tcW w:w="917" w:type="dxa"/>
            <w:tcBorders>
              <w:top w:val="single" w:sz="12" w:space="0" w:color="808080"/>
            </w:tcBorders>
          </w:tcPr>
          <w:p>
            <w:pPr>
              <w:pStyle w:val="TableParagraph"/>
              <w:rPr>
                <w:sz w:val="20"/>
              </w:rPr>
            </w:pPr>
          </w:p>
        </w:tc>
        <w:tc>
          <w:tcPr>
            <w:tcW w:w="1773" w:type="dxa"/>
            <w:tcBorders>
              <w:top w:val="single" w:sz="12" w:space="0" w:color="808080"/>
            </w:tcBorders>
          </w:tcPr>
          <w:p>
            <w:pPr>
              <w:pStyle w:val="TableParagraph"/>
              <w:rPr>
                <w:sz w:val="20"/>
              </w:rPr>
            </w:pPr>
          </w:p>
        </w:tc>
      </w:tr>
      <w:tr>
        <w:trPr>
          <w:trHeight w:val="473" w:hRule="atLeast"/>
        </w:trPr>
        <w:tc>
          <w:tcPr>
            <w:tcW w:w="5951" w:type="dxa"/>
            <w:gridSpan w:val="3"/>
            <w:tcBorders>
              <w:bottom w:val="single" w:sz="12" w:space="0" w:color="808080"/>
            </w:tcBorders>
          </w:tcPr>
          <w:p>
            <w:pPr>
              <w:pStyle w:val="TableParagraph"/>
              <w:tabs>
                <w:tab w:pos="1832" w:val="left" w:leader="none"/>
                <w:tab w:pos="3663" w:val="left" w:leader="none"/>
                <w:tab w:pos="4580" w:val="left" w:leader="none"/>
              </w:tabs>
              <w:spacing w:line="266" w:lineRule="exact"/>
              <w:rPr>
                <w:sz w:val="24"/>
              </w:rPr>
            </w:pPr>
            <w:r>
              <w:rPr>
                <w:spacing w:val="-2"/>
                <w:sz w:val="20"/>
              </w:rPr>
              <w:t>INSTITUTIONS</w:t>
            </w:r>
            <w:r>
              <w:rPr>
                <w:sz w:val="20"/>
              </w:rPr>
              <w:tab/>
            </w:r>
            <w:r>
              <w:rPr>
                <w:spacing w:val="-2"/>
                <w:sz w:val="24"/>
              </w:rPr>
              <w:t>527,510</w:t>
            </w:r>
            <w:r>
              <w:rPr>
                <w:sz w:val="24"/>
              </w:rPr>
              <w:tab/>
            </w:r>
            <w:r>
              <w:rPr>
                <w:spacing w:val="-4"/>
                <w:sz w:val="24"/>
              </w:rPr>
              <w:t>18.7</w:t>
            </w:r>
            <w:r>
              <w:rPr>
                <w:sz w:val="24"/>
              </w:rPr>
              <w:tab/>
            </w:r>
            <w:r>
              <w:rPr>
                <w:spacing w:val="-5"/>
                <w:sz w:val="24"/>
              </w:rPr>
              <w:t>..</w:t>
            </w:r>
          </w:p>
        </w:tc>
        <w:tc>
          <w:tcPr>
            <w:tcW w:w="917" w:type="dxa"/>
            <w:tcBorders>
              <w:bottom w:val="single" w:sz="12" w:space="0" w:color="808080"/>
            </w:tcBorders>
          </w:tcPr>
          <w:p>
            <w:pPr>
              <w:pStyle w:val="TableParagraph"/>
              <w:spacing w:line="266" w:lineRule="exact"/>
              <w:ind w:left="33"/>
              <w:rPr>
                <w:sz w:val="24"/>
              </w:rPr>
            </w:pPr>
            <w:r>
              <w:rPr>
                <w:spacing w:val="-4"/>
                <w:sz w:val="24"/>
              </w:rPr>
              <w:t>20.7</w:t>
            </w:r>
          </w:p>
        </w:tc>
        <w:tc>
          <w:tcPr>
            <w:tcW w:w="1773" w:type="dxa"/>
            <w:tcBorders>
              <w:bottom w:val="single" w:sz="12" w:space="0" w:color="808080"/>
            </w:tcBorders>
          </w:tcPr>
          <w:p>
            <w:pPr>
              <w:pStyle w:val="TableParagraph"/>
              <w:spacing w:line="266" w:lineRule="exact"/>
              <w:ind w:left="460"/>
              <w:rPr>
                <w:sz w:val="24"/>
              </w:rPr>
            </w:pPr>
            <w:r>
              <w:rPr>
                <w:spacing w:val="-4"/>
                <w:sz w:val="24"/>
              </w:rPr>
              <w:t>89.4</w:t>
            </w:r>
          </w:p>
        </w:tc>
      </w:tr>
      <w:tr>
        <w:trPr>
          <w:trHeight w:val="743" w:hRule="atLeast"/>
        </w:trPr>
        <w:tc>
          <w:tcPr>
            <w:tcW w:w="5951" w:type="dxa"/>
            <w:gridSpan w:val="3"/>
            <w:tcBorders>
              <w:top w:val="single" w:sz="12" w:space="0" w:color="808080"/>
            </w:tcBorders>
          </w:tcPr>
          <w:p>
            <w:pPr>
              <w:pStyle w:val="TableParagraph"/>
              <w:spacing w:before="48"/>
              <w:ind w:left="-1"/>
              <w:rPr>
                <w:sz w:val="24"/>
              </w:rPr>
            </w:pPr>
            <w:r>
              <w:rPr/>
              <mc:AlternateContent>
                <mc:Choice Requires="wps">
                  <w:drawing>
                    <wp:anchor distT="0" distB="0" distL="0" distR="0" allowOverlap="1" layoutInCell="1" locked="0" behindDoc="0" simplePos="0" relativeHeight="15761408">
                      <wp:simplePos x="0" y="0"/>
                      <wp:positionH relativeFrom="column">
                        <wp:posOffset>0</wp:posOffset>
                      </wp:positionH>
                      <wp:positionV relativeFrom="paragraph">
                        <wp:posOffset>-19264</wp:posOffset>
                      </wp:positionV>
                      <wp:extent cx="3175" cy="19050"/>
                      <wp:effectExtent l="0" t="0" r="0" b="0"/>
                      <wp:wrapNone/>
                      <wp:docPr id="354" name="Group 354"/>
                      <wp:cNvGraphicFramePr>
                        <a:graphicFrameLocks/>
                      </wp:cNvGraphicFramePr>
                      <a:graphic>
                        <a:graphicData uri="http://schemas.microsoft.com/office/word/2010/wordprocessingGroup">
                          <wpg:wgp>
                            <wpg:cNvPr id="354" name="Group 354"/>
                            <wpg:cNvGrpSpPr/>
                            <wpg:grpSpPr>
                              <a:xfrm>
                                <a:off x="0" y="0"/>
                                <a:ext cx="3175" cy="19050"/>
                                <a:chExt cx="3175" cy="19050"/>
                              </a:xfrm>
                            </wpg:grpSpPr>
                            <wps:wsp>
                              <wps:cNvPr id="355" name="Graphic 355"/>
                              <wps:cNvSpPr/>
                              <wps:spPr>
                                <a:xfrm>
                                  <a:off x="0" y="0"/>
                                  <a:ext cx="3175" cy="19050"/>
                                </a:xfrm>
                                <a:custGeom>
                                  <a:avLst/>
                                  <a:gdLst/>
                                  <a:ahLst/>
                                  <a:cxnLst/>
                                  <a:rect l="l" t="t" r="r" b="b"/>
                                  <a:pathLst>
                                    <a:path w="3175" h="19050">
                                      <a:moveTo>
                                        <a:pt x="3048" y="0"/>
                                      </a:moveTo>
                                      <a:lnTo>
                                        <a:pt x="0" y="0"/>
                                      </a:lnTo>
                                      <a:lnTo>
                                        <a:pt x="0" y="3048"/>
                                      </a:lnTo>
                                      <a:lnTo>
                                        <a:pt x="0" y="16002"/>
                                      </a:lnTo>
                                      <a:lnTo>
                                        <a:pt x="0" y="19050"/>
                                      </a:lnTo>
                                      <a:lnTo>
                                        <a:pt x="3048" y="19050"/>
                                      </a:lnTo>
                                      <a:lnTo>
                                        <a:pt x="3048" y="16002"/>
                                      </a:lnTo>
                                      <a:lnTo>
                                        <a:pt x="3048" y="3048"/>
                                      </a:lnTo>
                                      <a:lnTo>
                                        <a:pt x="3048" y="0"/>
                                      </a:lnTo>
                                      <a:close/>
                                    </a:path>
                                  </a:pathLst>
                                </a:custGeom>
                                <a:solidFill>
                                  <a:srgbClr val="ACA89A"/>
                                </a:solidFill>
                              </wps:spPr>
                              <wps:bodyPr wrap="square" lIns="0" tIns="0" rIns="0" bIns="0" rtlCol="0">
                                <a:prstTxWarp prst="textNoShape">
                                  <a:avLst/>
                                </a:prstTxWarp>
                                <a:noAutofit/>
                              </wps:bodyPr>
                            </wps:wsp>
                          </wpg:wgp>
                        </a:graphicData>
                      </a:graphic>
                    </wp:anchor>
                  </w:drawing>
                </mc:Choice>
                <mc:Fallback>
                  <w:pict>
                    <v:group style="position:absolute;margin-left:0pt;margin-top:-1.516891pt;width:.25pt;height:1.5pt;mso-position-horizontal-relative:column;mso-position-vertical-relative:paragraph;z-index:15761408" id="docshapegroup342" coordorigin="0,-30" coordsize="5,30">
                      <v:shape style="position:absolute;left:0;top:-31;width:5;height:30" id="docshape343" coordorigin="0,-30" coordsize="5,30" path="m5,-30l0,-30,0,-26,0,-5,0,0,5,0,5,-5,5,-26,5,-30xe" filled="true" fillcolor="#aca89a" stroked="false">
                        <v:path arrowok="t"/>
                        <v:fill type="solid"/>
                      </v:shape>
                      <w10:wrap type="none"/>
                    </v:group>
                  </w:pict>
                </mc:Fallback>
              </mc:AlternateContent>
            </w:r>
            <w:r>
              <w:rPr>
                <w:sz w:val="24"/>
              </w:rPr>
              <w:t>14.</w:t>
            </w:r>
            <w:r>
              <w:rPr>
                <w:spacing w:val="54"/>
                <w:sz w:val="24"/>
              </w:rPr>
              <w:t> </w:t>
            </w:r>
            <w:r>
              <w:rPr>
                <w:sz w:val="24"/>
              </w:rPr>
              <w:t>Boards</w:t>
            </w:r>
            <w:r>
              <w:rPr>
                <w:spacing w:val="-3"/>
                <w:sz w:val="24"/>
              </w:rPr>
              <w:t> </w:t>
            </w:r>
            <w:r>
              <w:rPr>
                <w:spacing w:val="-5"/>
                <w:sz w:val="24"/>
              </w:rPr>
              <w:t>of</w:t>
            </w:r>
          </w:p>
          <w:p>
            <w:pPr>
              <w:pStyle w:val="TableParagraph"/>
              <w:tabs>
                <w:tab w:pos="1832" w:val="left" w:leader="none"/>
                <w:tab w:pos="3663" w:val="left" w:leader="none"/>
                <w:tab w:pos="4579" w:val="left" w:leader="none"/>
              </w:tabs>
              <w:ind w:left="-1"/>
              <w:rPr>
                <w:sz w:val="24"/>
              </w:rPr>
            </w:pPr>
            <w:r>
              <w:rPr>
                <w:spacing w:val="-2"/>
                <w:sz w:val="24"/>
              </w:rPr>
              <w:t>Education</w:t>
            </w:r>
            <w:r>
              <w:rPr>
                <w:sz w:val="24"/>
              </w:rPr>
              <w:tab/>
            </w:r>
            <w:r>
              <w:rPr>
                <w:spacing w:val="-2"/>
                <w:sz w:val="24"/>
              </w:rPr>
              <w:t>23,342</w:t>
            </w:r>
            <w:r>
              <w:rPr>
                <w:sz w:val="24"/>
              </w:rPr>
              <w:tab/>
            </w:r>
            <w:r>
              <w:rPr>
                <w:spacing w:val="-7"/>
                <w:sz w:val="24"/>
              </w:rPr>
              <w:t>..</w:t>
            </w:r>
            <w:r>
              <w:rPr>
                <w:sz w:val="24"/>
              </w:rPr>
              <w:tab/>
            </w:r>
            <w:r>
              <w:rPr>
                <w:spacing w:val="-5"/>
                <w:sz w:val="24"/>
              </w:rPr>
              <w:t>..</w:t>
            </w:r>
          </w:p>
        </w:tc>
        <w:tc>
          <w:tcPr>
            <w:tcW w:w="917" w:type="dxa"/>
            <w:tcBorders>
              <w:top w:val="single" w:sz="12" w:space="0" w:color="808080"/>
            </w:tcBorders>
          </w:tcPr>
          <w:p>
            <w:pPr>
              <w:pStyle w:val="TableParagraph"/>
              <w:spacing w:before="48"/>
              <w:rPr>
                <w:sz w:val="24"/>
              </w:rPr>
            </w:pPr>
          </w:p>
          <w:p>
            <w:pPr>
              <w:pStyle w:val="TableParagraph"/>
              <w:ind w:left="32"/>
              <w:rPr>
                <w:sz w:val="24"/>
              </w:rPr>
            </w:pPr>
            <w:r>
              <w:rPr>
                <w:spacing w:val="-4"/>
                <w:sz w:val="24"/>
              </w:rPr>
              <w:t>96.7</w:t>
            </w:r>
          </w:p>
        </w:tc>
        <w:tc>
          <w:tcPr>
            <w:tcW w:w="1773" w:type="dxa"/>
            <w:tcBorders>
              <w:top w:val="single" w:sz="12" w:space="0" w:color="808080"/>
            </w:tcBorders>
          </w:tcPr>
          <w:p>
            <w:pPr>
              <w:pStyle w:val="TableParagraph"/>
              <w:spacing w:before="48"/>
              <w:rPr>
                <w:sz w:val="24"/>
              </w:rPr>
            </w:pPr>
          </w:p>
          <w:p>
            <w:pPr>
              <w:pStyle w:val="TableParagraph"/>
              <w:ind w:left="459"/>
              <w:rPr>
                <w:sz w:val="24"/>
              </w:rPr>
            </w:pPr>
            <w:r>
              <w:rPr>
                <w:spacing w:val="-5"/>
                <w:sz w:val="24"/>
              </w:rPr>
              <w:t>3.9</w:t>
            </w:r>
          </w:p>
        </w:tc>
      </w:tr>
      <w:tr>
        <w:trPr>
          <w:trHeight w:val="882" w:hRule="atLeast"/>
        </w:trPr>
        <w:tc>
          <w:tcPr>
            <w:tcW w:w="5951" w:type="dxa"/>
            <w:gridSpan w:val="3"/>
            <w:tcBorders>
              <w:bottom w:val="single" w:sz="12" w:space="0" w:color="808080"/>
            </w:tcBorders>
          </w:tcPr>
          <w:p>
            <w:pPr>
              <w:pStyle w:val="TableParagraph"/>
              <w:spacing w:before="133"/>
              <w:ind w:left="-1"/>
              <w:rPr>
                <w:sz w:val="24"/>
              </w:rPr>
            </w:pPr>
            <w:r>
              <w:rPr>
                <w:sz w:val="24"/>
              </w:rPr>
              <w:t>15.</w:t>
            </w:r>
            <w:r>
              <w:rPr>
                <w:spacing w:val="59"/>
                <w:sz w:val="24"/>
              </w:rPr>
              <w:t> </w:t>
            </w:r>
            <w:r>
              <w:rPr>
                <w:spacing w:val="-2"/>
                <w:sz w:val="24"/>
              </w:rPr>
              <w:t>Indirect</w:t>
            </w:r>
          </w:p>
          <w:p>
            <w:pPr>
              <w:pStyle w:val="TableParagraph"/>
              <w:tabs>
                <w:tab w:pos="1832" w:val="left" w:leader="none"/>
                <w:tab w:pos="3664" w:val="left" w:leader="none"/>
                <w:tab w:pos="4580" w:val="left" w:leader="none"/>
              </w:tabs>
              <w:ind w:left="-1"/>
              <w:rPr>
                <w:sz w:val="24"/>
              </w:rPr>
            </w:pPr>
            <w:r>
              <w:rPr>
                <w:spacing w:val="-2"/>
                <w:sz w:val="24"/>
              </w:rPr>
              <w:t>Expenditure</w:t>
            </w:r>
            <w:r>
              <w:rPr>
                <w:sz w:val="24"/>
              </w:rPr>
              <w:tab/>
            </w:r>
            <w:r>
              <w:rPr>
                <w:spacing w:val="-2"/>
                <w:sz w:val="24"/>
              </w:rPr>
              <w:t>39,406</w:t>
            </w:r>
            <w:r>
              <w:rPr>
                <w:sz w:val="24"/>
              </w:rPr>
              <w:tab/>
            </w:r>
            <w:r>
              <w:rPr>
                <w:spacing w:val="-5"/>
                <w:sz w:val="24"/>
              </w:rPr>
              <w:t>..</w:t>
            </w:r>
            <w:r>
              <w:rPr>
                <w:sz w:val="24"/>
              </w:rPr>
              <w:tab/>
            </w:r>
            <w:r>
              <w:rPr>
                <w:spacing w:val="-5"/>
                <w:sz w:val="24"/>
              </w:rPr>
              <w:t>..</w:t>
            </w:r>
          </w:p>
        </w:tc>
        <w:tc>
          <w:tcPr>
            <w:tcW w:w="917" w:type="dxa"/>
            <w:tcBorders>
              <w:bottom w:val="single" w:sz="12" w:space="0" w:color="808080"/>
            </w:tcBorders>
          </w:tcPr>
          <w:p>
            <w:pPr>
              <w:pStyle w:val="TableParagraph"/>
              <w:spacing w:before="132"/>
              <w:rPr>
                <w:sz w:val="24"/>
              </w:rPr>
            </w:pPr>
          </w:p>
          <w:p>
            <w:pPr>
              <w:pStyle w:val="TableParagraph"/>
              <w:spacing w:before="1"/>
              <w:ind w:left="33"/>
              <w:rPr>
                <w:sz w:val="24"/>
              </w:rPr>
            </w:pPr>
            <w:r>
              <w:rPr>
                <w:spacing w:val="-5"/>
                <w:sz w:val="24"/>
              </w:rPr>
              <w:t>1.7</w:t>
            </w:r>
          </w:p>
        </w:tc>
        <w:tc>
          <w:tcPr>
            <w:tcW w:w="1773" w:type="dxa"/>
            <w:tcBorders>
              <w:bottom w:val="single" w:sz="12" w:space="0" w:color="808080"/>
            </w:tcBorders>
          </w:tcPr>
          <w:p>
            <w:pPr>
              <w:pStyle w:val="TableParagraph"/>
              <w:spacing w:before="132"/>
              <w:rPr>
                <w:sz w:val="24"/>
              </w:rPr>
            </w:pPr>
          </w:p>
          <w:p>
            <w:pPr>
              <w:pStyle w:val="TableParagraph"/>
              <w:spacing w:before="1"/>
              <w:ind w:left="460"/>
              <w:rPr>
                <w:sz w:val="24"/>
              </w:rPr>
            </w:pPr>
            <w:r>
              <w:rPr>
                <w:spacing w:val="-5"/>
                <w:sz w:val="24"/>
              </w:rPr>
              <w:t>6.7</w:t>
            </w:r>
          </w:p>
        </w:tc>
      </w:tr>
      <w:tr>
        <w:trPr>
          <w:trHeight w:val="324" w:hRule="atLeast"/>
        </w:trPr>
        <w:tc>
          <w:tcPr>
            <w:tcW w:w="5951" w:type="dxa"/>
            <w:gridSpan w:val="3"/>
            <w:tcBorders>
              <w:top w:val="single" w:sz="12" w:space="0" w:color="808080"/>
            </w:tcBorders>
          </w:tcPr>
          <w:p>
            <w:pPr>
              <w:pStyle w:val="TableParagraph"/>
              <w:tabs>
                <w:tab w:pos="2748" w:val="left" w:leader="none"/>
                <w:tab w:pos="3664" w:val="left" w:leader="none"/>
                <w:tab w:pos="5916" w:val="right" w:leader="none"/>
              </w:tabs>
              <w:spacing w:line="256" w:lineRule="exact" w:before="48"/>
              <w:rPr>
                <w:sz w:val="24"/>
              </w:rPr>
            </w:pPr>
            <w:r>
              <w:rPr>
                <w:sz w:val="20"/>
              </w:rPr>
              <w:t>GRAND</w:t>
            </w:r>
            <w:r>
              <w:rPr>
                <w:spacing w:val="-3"/>
                <w:sz w:val="20"/>
              </w:rPr>
              <w:t> </w:t>
            </w:r>
            <w:r>
              <w:rPr>
                <w:sz w:val="20"/>
              </w:rPr>
              <w:t>TOTAL</w:t>
            </w:r>
            <w:r>
              <w:rPr>
                <w:spacing w:val="67"/>
                <w:sz w:val="20"/>
              </w:rPr>
              <w:t> </w:t>
            </w:r>
            <w:r>
              <w:rPr>
                <w:spacing w:val="-2"/>
                <w:sz w:val="24"/>
              </w:rPr>
              <w:t>590,258</w:t>
            </w:r>
            <w:r>
              <w:rPr>
                <w:sz w:val="24"/>
              </w:rPr>
              <w:tab/>
            </w:r>
            <w:r>
              <w:rPr>
                <w:spacing w:val="-5"/>
                <w:sz w:val="24"/>
              </w:rPr>
              <w:t>..</w:t>
            </w:r>
            <w:r>
              <w:rPr>
                <w:sz w:val="24"/>
              </w:rPr>
              <w:tab/>
            </w:r>
            <w:r>
              <w:rPr>
                <w:spacing w:val="-5"/>
                <w:sz w:val="24"/>
              </w:rPr>
              <w:t>..</w:t>
            </w:r>
            <w:r>
              <w:rPr>
                <w:sz w:val="24"/>
              </w:rPr>
              <w:tab/>
            </w:r>
            <w:r>
              <w:rPr>
                <w:spacing w:val="-4"/>
                <w:sz w:val="24"/>
              </w:rPr>
              <w:t>17.1</w:t>
            </w:r>
          </w:p>
        </w:tc>
        <w:tc>
          <w:tcPr>
            <w:tcW w:w="917" w:type="dxa"/>
            <w:tcBorders>
              <w:top w:val="single" w:sz="12" w:space="0" w:color="808080"/>
            </w:tcBorders>
          </w:tcPr>
          <w:p>
            <w:pPr>
              <w:pStyle w:val="TableParagraph"/>
              <w:rPr>
                <w:sz w:val="22"/>
              </w:rPr>
            </w:pPr>
          </w:p>
        </w:tc>
        <w:tc>
          <w:tcPr>
            <w:tcW w:w="1773" w:type="dxa"/>
            <w:tcBorders>
              <w:top w:val="single" w:sz="12" w:space="0" w:color="808080"/>
            </w:tcBorders>
          </w:tcPr>
          <w:p>
            <w:pPr>
              <w:pStyle w:val="TableParagraph"/>
              <w:spacing w:line="256" w:lineRule="exact" w:before="48"/>
              <w:ind w:left="460"/>
              <w:rPr>
                <w:sz w:val="24"/>
              </w:rPr>
            </w:pPr>
            <w:r>
              <w:rPr>
                <w:spacing w:val="-2"/>
                <w:sz w:val="24"/>
              </w:rPr>
              <w:t>100.0</w:t>
            </w:r>
          </w:p>
        </w:tc>
      </w:tr>
    </w:tbl>
    <w:p>
      <w:pPr>
        <w:pStyle w:val="BodyText"/>
        <w:spacing w:before="11"/>
      </w:pPr>
    </w:p>
    <w:p>
      <w:pPr>
        <w:spacing w:before="0"/>
        <w:ind w:left="160" w:right="0" w:firstLine="0"/>
        <w:jc w:val="left"/>
        <w:rPr>
          <w:sz w:val="14"/>
        </w:rPr>
      </w:pPr>
      <w:r>
        <w:rPr/>
        <mc:AlternateContent>
          <mc:Choice Requires="wps">
            <w:drawing>
              <wp:anchor distT="0" distB="0" distL="0" distR="0" allowOverlap="1" layoutInCell="1" locked="0" behindDoc="0" simplePos="0" relativeHeight="15760896">
                <wp:simplePos x="0" y="0"/>
                <wp:positionH relativeFrom="page">
                  <wp:posOffset>6626352</wp:posOffset>
                </wp:positionH>
                <wp:positionV relativeFrom="paragraph">
                  <wp:posOffset>-1950522</wp:posOffset>
                </wp:positionV>
                <wp:extent cx="3175" cy="16510"/>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153.584473pt;width:.25pt;height:1.3pt;mso-position-horizontal-relative:page;mso-position-vertical-relative:paragraph;z-index:15760896" id="docshape344" coordorigin="10435,-3072" coordsize="5,26" path="m10440,-3072l10435,-3072,10435,-3067,10435,-3047,10440,-3047,10440,-3067,10440,-3072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6626352</wp:posOffset>
                </wp:positionH>
                <wp:positionV relativeFrom="paragraph">
                  <wp:posOffset>-1453711</wp:posOffset>
                </wp:positionV>
                <wp:extent cx="3175" cy="1651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114.465477pt;width:.25pt;height:1.3pt;mso-position-horizontal-relative:page;mso-position-vertical-relative:paragraph;z-index:15761920" id="docshape345" coordorigin="10435,-2289" coordsize="5,26" path="m10440,-2289l10435,-2289,10435,-2285,10435,-2264,10440,-2264,10440,-2285,10440,-2289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6626352</wp:posOffset>
                </wp:positionH>
                <wp:positionV relativeFrom="paragraph">
                  <wp:posOffset>-402151</wp:posOffset>
                </wp:positionV>
                <wp:extent cx="3175" cy="16510"/>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3175" cy="16510"/>
                        </a:xfrm>
                        <a:custGeom>
                          <a:avLst/>
                          <a:gdLst/>
                          <a:ahLst/>
                          <a:cxnLst/>
                          <a:rect l="l" t="t" r="r" b="b"/>
                          <a:pathLst>
                            <a:path w="3175" h="16510">
                              <a:moveTo>
                                <a:pt x="3035" y="3060"/>
                              </a:moveTo>
                              <a:lnTo>
                                <a:pt x="0" y="3060"/>
                              </a:lnTo>
                              <a:lnTo>
                                <a:pt x="0" y="16002"/>
                              </a:lnTo>
                              <a:lnTo>
                                <a:pt x="3035" y="16002"/>
                              </a:lnTo>
                              <a:lnTo>
                                <a:pt x="3035" y="3060"/>
                              </a:lnTo>
                              <a:close/>
                            </a:path>
                            <a:path w="3175" h="16510">
                              <a:moveTo>
                                <a:pt x="3035" y="0"/>
                              </a:moveTo>
                              <a:lnTo>
                                <a:pt x="0" y="0"/>
                              </a:lnTo>
                              <a:lnTo>
                                <a:pt x="0" y="3048"/>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31.665474pt;width:.25pt;height:1.3pt;mso-position-horizontal-relative:page;mso-position-vertical-relative:paragraph;z-index:15762432" id="docshape346" coordorigin="10435,-633" coordsize="5,26" path="m10440,-628l10435,-628,10435,-608,10440,-608,10440,-628xm10440,-633l10435,-633,10435,-629,10440,-629,10440,-633xe" filled="true" fillcolor="#f1efe2" stroked="false">
                <v:path arrowok="t"/>
                <v:fill type="solid"/>
                <w10:wrap type="none"/>
              </v:shape>
            </w:pict>
          </mc:Fallback>
        </mc:AlternateContent>
      </w:r>
      <w:r>
        <w:rPr>
          <w:sz w:val="14"/>
        </w:rPr>
        <w:t>Source.</w:t>
      </w:r>
      <w:r>
        <w:rPr>
          <w:spacing w:val="-5"/>
          <w:sz w:val="14"/>
        </w:rPr>
        <w:t> </w:t>
      </w:r>
      <w:r>
        <w:rPr>
          <w:sz w:val="14"/>
        </w:rPr>
        <w:t>Ministry</w:t>
      </w:r>
      <w:r>
        <w:rPr>
          <w:spacing w:val="-5"/>
          <w:sz w:val="14"/>
        </w:rPr>
        <w:t> </w:t>
      </w:r>
      <w:r>
        <w:rPr>
          <w:sz w:val="14"/>
        </w:rPr>
        <w:t>of</w:t>
      </w:r>
      <w:r>
        <w:rPr>
          <w:spacing w:val="-5"/>
          <w:sz w:val="14"/>
        </w:rPr>
        <w:t> </w:t>
      </w:r>
      <w:r>
        <w:rPr>
          <w:sz w:val="14"/>
        </w:rPr>
        <w:t>Education,</w:t>
      </w:r>
      <w:r>
        <w:rPr>
          <w:spacing w:val="-4"/>
          <w:sz w:val="14"/>
        </w:rPr>
        <w:t> </w:t>
      </w:r>
      <w:r>
        <w:rPr>
          <w:sz w:val="14"/>
        </w:rPr>
        <w:t>Form</w:t>
      </w:r>
      <w:r>
        <w:rPr>
          <w:spacing w:val="-6"/>
          <w:sz w:val="14"/>
        </w:rPr>
        <w:t> </w:t>
      </w:r>
      <w:r>
        <w:rPr>
          <w:spacing w:val="-5"/>
          <w:sz w:val="14"/>
        </w:rPr>
        <w:t>A.</w:t>
      </w:r>
    </w:p>
    <w:p>
      <w:pPr>
        <w:spacing w:after="0"/>
        <w:jc w:val="left"/>
        <w:rPr>
          <w:sz w:val="14"/>
        </w:rPr>
        <w:sectPr>
          <w:pgSz w:w="12240" w:h="15840"/>
          <w:pgMar w:header="0" w:footer="743" w:top="1360" w:bottom="940" w:left="1640" w:right="1300"/>
        </w:sectPr>
      </w:pPr>
    </w:p>
    <w:p>
      <w:pPr>
        <w:pStyle w:val="BodyText"/>
        <w:spacing w:before="76"/>
        <w:ind w:left="160" w:right="497"/>
        <w:jc w:val="both"/>
      </w:pPr>
      <w:r>
        <w:rPr/>
        <w:t>universities, colleges of arts and science, and colleges of professional education is</w:t>
      </w:r>
      <w:r>
        <w:rPr>
          <w:spacing w:val="40"/>
        </w:rPr>
        <w:t> </w:t>
      </w:r>
      <w:r>
        <w:rPr/>
        <w:t>broadly similar; the proportion of free- studentships is comparatively small; the fee collected per student is comparatively high; and the revenue from fees contributes a sizable amount towards the expenditure of the institutions concerned.</w:t>
      </w:r>
    </w:p>
    <w:p>
      <w:pPr>
        <w:pStyle w:val="BodyText"/>
        <w:spacing w:before="4"/>
      </w:pPr>
    </w:p>
    <w:p>
      <w:pPr>
        <w:pStyle w:val="ListParagraph"/>
        <w:numPr>
          <w:ilvl w:val="1"/>
          <w:numId w:val="10"/>
        </w:numPr>
        <w:tabs>
          <w:tab w:pos="651" w:val="left" w:leader="none"/>
        </w:tabs>
        <w:spacing w:line="240" w:lineRule="auto" w:before="0" w:after="0"/>
        <w:ind w:left="160" w:right="495" w:firstLine="0"/>
        <w:jc w:val="both"/>
        <w:rPr>
          <w:sz w:val="24"/>
        </w:rPr>
      </w:pPr>
      <w:r>
        <w:rPr>
          <w:sz w:val="24"/>
        </w:rPr>
        <w:t>It is undesirable to regard fees as a source of revenue. They are the most regressive form of taxation, fall more heavily on the poorer classes of society and act as an anti- egalitarian force. Suggestions have been made to make them progressive by relating</w:t>
      </w:r>
      <w:r>
        <w:rPr>
          <w:spacing w:val="40"/>
          <w:sz w:val="24"/>
        </w:rPr>
        <w:t> </w:t>
      </w:r>
      <w:r>
        <w:rPr>
          <w:sz w:val="24"/>
        </w:rPr>
        <w:t>them,</w:t>
      </w:r>
      <w:r>
        <w:rPr>
          <w:spacing w:val="-1"/>
          <w:sz w:val="24"/>
        </w:rPr>
        <w:t> </w:t>
      </w:r>
      <w:r>
        <w:rPr>
          <w:sz w:val="24"/>
        </w:rPr>
        <w:t>on</w:t>
      </w:r>
      <w:r>
        <w:rPr>
          <w:spacing w:val="-1"/>
          <w:sz w:val="24"/>
        </w:rPr>
        <w:t> </w:t>
      </w:r>
      <w:r>
        <w:rPr>
          <w:sz w:val="24"/>
        </w:rPr>
        <w:t>a</w:t>
      </w:r>
      <w:r>
        <w:rPr>
          <w:spacing w:val="-1"/>
          <w:sz w:val="24"/>
        </w:rPr>
        <w:t> </w:t>
      </w:r>
      <w:r>
        <w:rPr>
          <w:sz w:val="24"/>
        </w:rPr>
        <w:t>graduated</w:t>
      </w:r>
      <w:r>
        <w:rPr>
          <w:spacing w:val="-1"/>
          <w:sz w:val="24"/>
        </w:rPr>
        <w:t> </w:t>
      </w:r>
      <w:r>
        <w:rPr>
          <w:sz w:val="24"/>
        </w:rPr>
        <w:t>scale,</w:t>
      </w:r>
      <w:r>
        <w:rPr>
          <w:spacing w:val="-1"/>
          <w:sz w:val="24"/>
        </w:rPr>
        <w:t> </w:t>
      </w:r>
      <w:r>
        <w:rPr>
          <w:sz w:val="24"/>
        </w:rPr>
        <w:t>to</w:t>
      </w:r>
      <w:r>
        <w:rPr>
          <w:spacing w:val="-1"/>
          <w:sz w:val="24"/>
        </w:rPr>
        <w:t> </w:t>
      </w:r>
      <w:r>
        <w:rPr>
          <w:sz w:val="24"/>
        </w:rPr>
        <w:t>the</w:t>
      </w:r>
      <w:r>
        <w:rPr>
          <w:spacing w:val="-1"/>
          <w:sz w:val="24"/>
        </w:rPr>
        <w:t> </w:t>
      </w:r>
      <w:r>
        <w:rPr>
          <w:sz w:val="24"/>
        </w:rPr>
        <w:t>income</w:t>
      </w:r>
      <w:r>
        <w:rPr>
          <w:spacing w:val="-1"/>
          <w:sz w:val="24"/>
        </w:rPr>
        <w:t> </w:t>
      </w:r>
      <w:r>
        <w:rPr>
          <w:sz w:val="24"/>
        </w:rPr>
        <w:t>of</w:t>
      </w:r>
      <w:r>
        <w:rPr>
          <w:spacing w:val="-1"/>
          <w:sz w:val="24"/>
        </w:rPr>
        <w:t> </w:t>
      </w:r>
      <w:r>
        <w:rPr>
          <w:sz w:val="24"/>
        </w:rPr>
        <w:t>the</w:t>
      </w:r>
      <w:r>
        <w:rPr>
          <w:spacing w:val="-1"/>
          <w:sz w:val="24"/>
        </w:rPr>
        <w:t> </w:t>
      </w:r>
      <w:r>
        <w:rPr>
          <w:sz w:val="24"/>
        </w:rPr>
        <w:t>parent</w:t>
      </w:r>
      <w:r>
        <w:rPr>
          <w:spacing w:val="-1"/>
          <w:sz w:val="24"/>
        </w:rPr>
        <w:t> </w:t>
      </w:r>
      <w:r>
        <w:rPr>
          <w:sz w:val="24"/>
        </w:rPr>
        <w:t>and</w:t>
      </w:r>
      <w:r>
        <w:rPr>
          <w:spacing w:val="-1"/>
          <w:sz w:val="24"/>
        </w:rPr>
        <w:t> </w:t>
      </w:r>
      <w:r>
        <w:rPr>
          <w:sz w:val="24"/>
        </w:rPr>
        <w:t>the</w:t>
      </w:r>
      <w:r>
        <w:rPr>
          <w:spacing w:val="-1"/>
          <w:sz w:val="24"/>
        </w:rPr>
        <w:t> </w:t>
      </w:r>
      <w:r>
        <w:rPr>
          <w:sz w:val="24"/>
        </w:rPr>
        <w:t>size</w:t>
      </w:r>
      <w:r>
        <w:rPr>
          <w:spacing w:val="-1"/>
          <w:sz w:val="24"/>
        </w:rPr>
        <w:t> </w:t>
      </w:r>
      <w:r>
        <w:rPr>
          <w:sz w:val="24"/>
        </w:rPr>
        <w:t>of</w:t>
      </w:r>
      <w:r>
        <w:rPr>
          <w:spacing w:val="-3"/>
          <w:sz w:val="24"/>
        </w:rPr>
        <w:t> </w:t>
      </w:r>
      <w:r>
        <w:rPr>
          <w:sz w:val="24"/>
        </w:rPr>
        <w:t>the</w:t>
      </w:r>
      <w:r>
        <w:rPr>
          <w:spacing w:val="-1"/>
          <w:sz w:val="24"/>
        </w:rPr>
        <w:t> </w:t>
      </w:r>
      <w:r>
        <w:rPr>
          <w:sz w:val="24"/>
        </w:rPr>
        <w:t>family.</w:t>
      </w:r>
      <w:r>
        <w:rPr>
          <w:spacing w:val="-1"/>
          <w:sz w:val="24"/>
        </w:rPr>
        <w:t> </w:t>
      </w:r>
      <w:r>
        <w:rPr>
          <w:sz w:val="24"/>
        </w:rPr>
        <w:t>But</w:t>
      </w:r>
      <w:r>
        <w:rPr>
          <w:spacing w:val="-1"/>
          <w:sz w:val="24"/>
        </w:rPr>
        <w:t> </w:t>
      </w:r>
      <w:r>
        <w:rPr>
          <w:sz w:val="24"/>
        </w:rPr>
        <w:t>this would not be administratively feasible and, in a country where sixty per cent of the population has an income of less than Rs. 20 per head per month, their yield would be almost negligible. It would, on the whole, be much better to raise the required revenue in some other and more equitable form than to depend on fees. We recommend, therefore, that the country should gradually work towards a stage when all education would be tuition-free. The implementation of this programme, however, would have to be spread over a period of time and the abolition of tuition fees will have to proceed from stage to stage, beginning with primary. It may be mentioned that school education is completely free in most countries, and all education from elementary school to the research degree is free in the USSR.</w:t>
      </w:r>
    </w:p>
    <w:p>
      <w:pPr>
        <w:pStyle w:val="BodyText"/>
        <w:spacing w:before="4"/>
      </w:pPr>
    </w:p>
    <w:p>
      <w:pPr>
        <w:pStyle w:val="ListParagraph"/>
        <w:numPr>
          <w:ilvl w:val="1"/>
          <w:numId w:val="10"/>
        </w:numPr>
        <w:tabs>
          <w:tab w:pos="679" w:val="left" w:leader="none"/>
        </w:tabs>
        <w:spacing w:line="240" w:lineRule="auto" w:before="0" w:after="0"/>
        <w:ind w:left="159" w:right="496" w:firstLine="0"/>
        <w:jc w:val="both"/>
        <w:rPr>
          <w:b/>
          <w:sz w:val="24"/>
        </w:rPr>
      </w:pPr>
      <w:r>
        <w:rPr>
          <w:b/>
          <w:sz w:val="24"/>
        </w:rPr>
        <w:t>Fees at the Primary Stage. </w:t>
      </w:r>
      <w:r>
        <w:rPr>
          <w:sz w:val="24"/>
        </w:rPr>
        <w:t>The Constitution requires the provision of free and compulsory</w:t>
      </w:r>
      <w:r>
        <w:rPr>
          <w:spacing w:val="61"/>
          <w:sz w:val="24"/>
        </w:rPr>
        <w:t> </w:t>
      </w:r>
      <w:r>
        <w:rPr>
          <w:sz w:val="24"/>
        </w:rPr>
        <w:t>education</w:t>
      </w:r>
      <w:r>
        <w:rPr>
          <w:spacing w:val="64"/>
          <w:sz w:val="24"/>
        </w:rPr>
        <w:t> </w:t>
      </w:r>
      <w:r>
        <w:rPr>
          <w:sz w:val="24"/>
        </w:rPr>
        <w:t>for</w:t>
      </w:r>
      <w:r>
        <w:rPr>
          <w:spacing w:val="64"/>
          <w:sz w:val="24"/>
        </w:rPr>
        <w:t> </w:t>
      </w:r>
      <w:r>
        <w:rPr>
          <w:sz w:val="24"/>
        </w:rPr>
        <w:t>all</w:t>
      </w:r>
      <w:r>
        <w:rPr>
          <w:spacing w:val="64"/>
          <w:sz w:val="24"/>
        </w:rPr>
        <w:t> </w:t>
      </w:r>
      <w:r>
        <w:rPr>
          <w:sz w:val="24"/>
        </w:rPr>
        <w:t>children</w:t>
      </w:r>
      <w:r>
        <w:rPr>
          <w:spacing w:val="64"/>
          <w:sz w:val="24"/>
        </w:rPr>
        <w:t> </w:t>
      </w:r>
      <w:r>
        <w:rPr>
          <w:sz w:val="24"/>
        </w:rPr>
        <w:t>up</w:t>
      </w:r>
      <w:r>
        <w:rPr>
          <w:spacing w:val="64"/>
          <w:sz w:val="24"/>
        </w:rPr>
        <w:t> </w:t>
      </w:r>
      <w:r>
        <w:rPr>
          <w:sz w:val="24"/>
        </w:rPr>
        <w:t>to</w:t>
      </w:r>
      <w:r>
        <w:rPr>
          <w:spacing w:val="64"/>
          <w:sz w:val="24"/>
        </w:rPr>
        <w:t> </w:t>
      </w:r>
      <w:r>
        <w:rPr>
          <w:sz w:val="24"/>
        </w:rPr>
        <w:t>the</w:t>
      </w:r>
      <w:r>
        <w:rPr>
          <w:spacing w:val="63"/>
          <w:sz w:val="24"/>
        </w:rPr>
        <w:t> </w:t>
      </w:r>
      <w:r>
        <w:rPr>
          <w:sz w:val="24"/>
        </w:rPr>
        <w:t>age</w:t>
      </w:r>
      <w:r>
        <w:rPr>
          <w:spacing w:val="64"/>
          <w:sz w:val="24"/>
        </w:rPr>
        <w:t> </w:t>
      </w:r>
      <w:r>
        <w:rPr>
          <w:sz w:val="24"/>
        </w:rPr>
        <w:t>of</w:t>
      </w:r>
      <w:r>
        <w:rPr>
          <w:spacing w:val="64"/>
          <w:sz w:val="24"/>
        </w:rPr>
        <w:t> </w:t>
      </w:r>
      <w:r>
        <w:rPr>
          <w:sz w:val="24"/>
        </w:rPr>
        <w:t>14</w:t>
      </w:r>
      <w:r>
        <w:rPr>
          <w:spacing w:val="64"/>
          <w:sz w:val="24"/>
        </w:rPr>
        <w:t> </w:t>
      </w:r>
      <w:r>
        <w:rPr>
          <w:sz w:val="24"/>
        </w:rPr>
        <w:t>years.</w:t>
      </w:r>
      <w:r>
        <w:rPr>
          <w:spacing w:val="64"/>
          <w:sz w:val="24"/>
        </w:rPr>
        <w:t> </w:t>
      </w:r>
      <w:r>
        <w:rPr>
          <w:sz w:val="24"/>
        </w:rPr>
        <w:t>Even</w:t>
      </w:r>
      <w:r>
        <w:rPr>
          <w:spacing w:val="64"/>
          <w:sz w:val="24"/>
        </w:rPr>
        <w:t> </w:t>
      </w:r>
      <w:r>
        <w:rPr>
          <w:sz w:val="24"/>
        </w:rPr>
        <w:t>though</w:t>
      </w:r>
      <w:r>
        <w:rPr>
          <w:spacing w:val="64"/>
          <w:sz w:val="24"/>
        </w:rPr>
        <w:t> </w:t>
      </w:r>
      <w:r>
        <w:rPr>
          <w:spacing w:val="-5"/>
          <w:sz w:val="24"/>
        </w:rPr>
        <w:t>the</w:t>
      </w:r>
    </w:p>
    <w:p>
      <w:pPr>
        <w:pStyle w:val="BodyText"/>
        <w:ind w:left="159" w:right="497"/>
        <w:jc w:val="both"/>
        <w:rPr>
          <w:b/>
        </w:rPr>
      </w:pPr>
      <w:r>
        <w:rPr/>
        <w:t>`compulsory' part of this directive may take about 20 years to realize, the `free' part of it should be implemented without delay. We, therefore, recommend that all tuition fees at the primary stage should be abolished as early as possible and preferably before the end</w:t>
      </w:r>
      <w:r>
        <w:rPr>
          <w:spacing w:val="40"/>
        </w:rPr>
        <w:t> </w:t>
      </w:r>
      <w:r>
        <w:rPr/>
        <w:t>of the Fourth Five Year Plan. This implies that there would be no tuition fees </w:t>
      </w:r>
      <w:r>
        <w:rPr/>
        <w:t>in government, local authority and aided private schools, grants-in-aid to the last group being suitably adjusted. Fee-charging independent private schools which receive no aid may, however, continue to exist.</w:t>
      </w:r>
      <w:r>
        <w:rPr>
          <w:b/>
          <w:vertAlign w:val="superscript"/>
        </w:rPr>
        <w:t>51</w:t>
      </w:r>
    </w:p>
    <w:p>
      <w:pPr>
        <w:pStyle w:val="BodyText"/>
        <w:spacing w:before="4"/>
        <w:rPr>
          <w:b/>
        </w:rPr>
      </w:pPr>
    </w:p>
    <w:p>
      <w:pPr>
        <w:pStyle w:val="ListParagraph"/>
        <w:numPr>
          <w:ilvl w:val="1"/>
          <w:numId w:val="10"/>
        </w:numPr>
        <w:tabs>
          <w:tab w:pos="658" w:val="left" w:leader="none"/>
        </w:tabs>
        <w:spacing w:line="240" w:lineRule="auto" w:before="0" w:after="0"/>
        <w:ind w:left="159" w:right="495" w:firstLine="0"/>
        <w:jc w:val="both"/>
        <w:rPr>
          <w:b/>
          <w:sz w:val="24"/>
        </w:rPr>
      </w:pPr>
      <w:r>
        <w:rPr>
          <w:b/>
          <w:sz w:val="24"/>
        </w:rPr>
        <w:t>Fees at the Secondary Stage. </w:t>
      </w:r>
      <w:r>
        <w:rPr>
          <w:sz w:val="24"/>
        </w:rPr>
        <w:t>At the secondary stage, the problem is a little more difficult. Two arguments have been put forward in favour of the levy of fees at this stage. The first is that the expansion of secondary education being still largely restricted to the middle</w:t>
      </w:r>
      <w:r>
        <w:rPr>
          <w:spacing w:val="-1"/>
          <w:sz w:val="24"/>
        </w:rPr>
        <w:t> </w:t>
      </w:r>
      <w:r>
        <w:rPr>
          <w:sz w:val="24"/>
        </w:rPr>
        <w:t>and</w:t>
      </w:r>
      <w:r>
        <w:rPr>
          <w:spacing w:val="-1"/>
          <w:sz w:val="24"/>
        </w:rPr>
        <w:t> </w:t>
      </w:r>
      <w:r>
        <w:rPr>
          <w:sz w:val="24"/>
        </w:rPr>
        <w:t>upper</w:t>
      </w:r>
      <w:r>
        <w:rPr>
          <w:spacing w:val="-1"/>
          <w:sz w:val="24"/>
        </w:rPr>
        <w:t> </w:t>
      </w:r>
      <w:r>
        <w:rPr>
          <w:sz w:val="24"/>
        </w:rPr>
        <w:t>classes</w:t>
      </w:r>
      <w:r>
        <w:rPr>
          <w:spacing w:val="-1"/>
          <w:sz w:val="24"/>
        </w:rPr>
        <w:t> </w:t>
      </w:r>
      <w:r>
        <w:rPr>
          <w:sz w:val="24"/>
        </w:rPr>
        <w:t>of</w:t>
      </w:r>
      <w:r>
        <w:rPr>
          <w:spacing w:val="-1"/>
          <w:sz w:val="24"/>
        </w:rPr>
        <w:t> </w:t>
      </w:r>
      <w:r>
        <w:rPr>
          <w:sz w:val="24"/>
        </w:rPr>
        <w:t>the</w:t>
      </w:r>
      <w:r>
        <w:rPr>
          <w:spacing w:val="-1"/>
          <w:sz w:val="24"/>
        </w:rPr>
        <w:t> </w:t>
      </w:r>
      <w:r>
        <w:rPr>
          <w:sz w:val="24"/>
        </w:rPr>
        <w:t>society,</w:t>
      </w:r>
      <w:r>
        <w:rPr>
          <w:spacing w:val="-1"/>
          <w:sz w:val="24"/>
        </w:rPr>
        <w:t> </w:t>
      </w:r>
      <w:r>
        <w:rPr>
          <w:sz w:val="24"/>
        </w:rPr>
        <w:t>the</w:t>
      </w:r>
      <w:r>
        <w:rPr>
          <w:spacing w:val="-1"/>
          <w:sz w:val="24"/>
        </w:rPr>
        <w:t> </w:t>
      </w:r>
      <w:r>
        <w:rPr>
          <w:sz w:val="24"/>
        </w:rPr>
        <w:t>abolition</w:t>
      </w:r>
      <w:r>
        <w:rPr>
          <w:spacing w:val="-1"/>
          <w:sz w:val="24"/>
        </w:rPr>
        <w:t> </w:t>
      </w:r>
      <w:r>
        <w:rPr>
          <w:sz w:val="24"/>
        </w:rPr>
        <w:t>of</w:t>
      </w:r>
      <w:r>
        <w:rPr>
          <w:spacing w:val="-1"/>
          <w:sz w:val="24"/>
        </w:rPr>
        <w:t> </w:t>
      </w:r>
      <w:r>
        <w:rPr>
          <w:sz w:val="24"/>
        </w:rPr>
        <w:t>fees</w:t>
      </w:r>
      <w:r>
        <w:rPr>
          <w:spacing w:val="-1"/>
          <w:sz w:val="24"/>
        </w:rPr>
        <w:t> </w:t>
      </w:r>
      <w:r>
        <w:rPr>
          <w:sz w:val="24"/>
        </w:rPr>
        <w:t>will</w:t>
      </w:r>
      <w:r>
        <w:rPr>
          <w:spacing w:val="-1"/>
          <w:sz w:val="24"/>
        </w:rPr>
        <w:t> </w:t>
      </w:r>
      <w:r>
        <w:rPr>
          <w:sz w:val="24"/>
        </w:rPr>
        <w:t>be</w:t>
      </w:r>
      <w:r>
        <w:rPr>
          <w:spacing w:val="-1"/>
          <w:sz w:val="24"/>
        </w:rPr>
        <w:t> </w:t>
      </w:r>
      <w:r>
        <w:rPr>
          <w:sz w:val="24"/>
        </w:rPr>
        <w:t>more</w:t>
      </w:r>
      <w:r>
        <w:rPr>
          <w:spacing w:val="-1"/>
          <w:sz w:val="24"/>
        </w:rPr>
        <w:t> </w:t>
      </w:r>
      <w:r>
        <w:rPr>
          <w:sz w:val="24"/>
        </w:rPr>
        <w:t>in</w:t>
      </w:r>
      <w:r>
        <w:rPr>
          <w:spacing w:val="-1"/>
          <w:sz w:val="24"/>
        </w:rPr>
        <w:t> </w:t>
      </w:r>
      <w:r>
        <w:rPr>
          <w:sz w:val="24"/>
        </w:rPr>
        <w:t>favour</w:t>
      </w:r>
      <w:r>
        <w:rPr>
          <w:spacing w:val="-1"/>
          <w:sz w:val="24"/>
        </w:rPr>
        <w:t> </w:t>
      </w:r>
      <w:r>
        <w:rPr>
          <w:sz w:val="24"/>
        </w:rPr>
        <w:t>of</w:t>
      </w:r>
      <w:r>
        <w:rPr>
          <w:spacing w:val="-1"/>
          <w:sz w:val="24"/>
        </w:rPr>
        <w:t> </w:t>
      </w:r>
      <w:r>
        <w:rPr>
          <w:sz w:val="24"/>
        </w:rPr>
        <w:t>the haves than of the have-nots, and the second is that the revenue from fees collected at this stage being substantial, the abolition of fees would be neither feasible nor desirable from the financial point of view. We cannot agree with either of these arguments. The levy of fees in secondary schools prevents several children from the poorer classes of society,</w:t>
      </w:r>
      <w:r>
        <w:rPr>
          <w:spacing w:val="40"/>
          <w:sz w:val="24"/>
        </w:rPr>
        <w:t> </w:t>
      </w:r>
      <w:r>
        <w:rPr>
          <w:sz w:val="24"/>
        </w:rPr>
        <w:t>and particularly girls, from receiving education and it is mostly among these groups that the</w:t>
      </w:r>
      <w:r>
        <w:rPr>
          <w:spacing w:val="-2"/>
          <w:sz w:val="24"/>
        </w:rPr>
        <w:t> </w:t>
      </w:r>
      <w:r>
        <w:rPr>
          <w:sz w:val="24"/>
        </w:rPr>
        <w:t>expansion</w:t>
      </w:r>
      <w:r>
        <w:rPr>
          <w:spacing w:val="-2"/>
          <w:sz w:val="24"/>
        </w:rPr>
        <w:t> </w:t>
      </w:r>
      <w:r>
        <w:rPr>
          <w:sz w:val="24"/>
        </w:rPr>
        <w:t>of</w:t>
      </w:r>
      <w:r>
        <w:rPr>
          <w:spacing w:val="-2"/>
          <w:sz w:val="24"/>
        </w:rPr>
        <w:t> </w:t>
      </w:r>
      <w:r>
        <w:rPr>
          <w:sz w:val="24"/>
        </w:rPr>
        <w:t>secondary</w:t>
      </w:r>
      <w:r>
        <w:rPr>
          <w:spacing w:val="-2"/>
          <w:sz w:val="24"/>
        </w:rPr>
        <w:t> </w:t>
      </w:r>
      <w:r>
        <w:rPr>
          <w:sz w:val="24"/>
        </w:rPr>
        <w:t>education</w:t>
      </w:r>
      <w:r>
        <w:rPr>
          <w:spacing w:val="-4"/>
          <w:sz w:val="24"/>
        </w:rPr>
        <w:t> </w:t>
      </w:r>
      <w:r>
        <w:rPr>
          <w:sz w:val="24"/>
        </w:rPr>
        <w:t>will</w:t>
      </w:r>
      <w:r>
        <w:rPr>
          <w:spacing w:val="-2"/>
          <w:sz w:val="24"/>
        </w:rPr>
        <w:t> </w:t>
      </w:r>
      <w:r>
        <w:rPr>
          <w:sz w:val="24"/>
        </w:rPr>
        <w:t>have</w:t>
      </w:r>
      <w:r>
        <w:rPr>
          <w:spacing w:val="-3"/>
          <w:sz w:val="24"/>
        </w:rPr>
        <w:t> </w:t>
      </w:r>
      <w:r>
        <w:rPr>
          <w:sz w:val="24"/>
        </w:rPr>
        <w:t>to</w:t>
      </w:r>
      <w:r>
        <w:rPr>
          <w:spacing w:val="-4"/>
          <w:sz w:val="24"/>
        </w:rPr>
        <w:t> </w:t>
      </w:r>
      <w:r>
        <w:rPr>
          <w:sz w:val="24"/>
        </w:rPr>
        <w:t>take</w:t>
      </w:r>
      <w:r>
        <w:rPr>
          <w:spacing w:val="-2"/>
          <w:sz w:val="24"/>
        </w:rPr>
        <w:t> </w:t>
      </w:r>
      <w:r>
        <w:rPr>
          <w:sz w:val="24"/>
        </w:rPr>
        <w:t>place</w:t>
      </w:r>
      <w:r>
        <w:rPr>
          <w:spacing w:val="-2"/>
          <w:sz w:val="24"/>
        </w:rPr>
        <w:t> </w:t>
      </w:r>
      <w:r>
        <w:rPr>
          <w:sz w:val="24"/>
        </w:rPr>
        <w:t>in</w:t>
      </w:r>
      <w:r>
        <w:rPr>
          <w:spacing w:val="-2"/>
          <w:sz w:val="24"/>
        </w:rPr>
        <w:t> </w:t>
      </w:r>
      <w:r>
        <w:rPr>
          <w:sz w:val="24"/>
        </w:rPr>
        <w:t>the</w:t>
      </w:r>
      <w:r>
        <w:rPr>
          <w:spacing w:val="-2"/>
          <w:sz w:val="24"/>
        </w:rPr>
        <w:t> </w:t>
      </w:r>
      <w:r>
        <w:rPr>
          <w:sz w:val="24"/>
        </w:rPr>
        <w:t>next</w:t>
      </w:r>
      <w:r>
        <w:rPr>
          <w:spacing w:val="-2"/>
          <w:sz w:val="24"/>
        </w:rPr>
        <w:t> </w:t>
      </w:r>
      <w:r>
        <w:rPr>
          <w:sz w:val="24"/>
        </w:rPr>
        <w:t>two</w:t>
      </w:r>
      <w:r>
        <w:rPr>
          <w:spacing w:val="-2"/>
          <w:sz w:val="24"/>
        </w:rPr>
        <w:t> </w:t>
      </w:r>
      <w:r>
        <w:rPr>
          <w:sz w:val="24"/>
        </w:rPr>
        <w:t>decades.</w:t>
      </w:r>
      <w:r>
        <w:rPr>
          <w:spacing w:val="-4"/>
          <w:sz w:val="24"/>
        </w:rPr>
        <w:t> </w:t>
      </w:r>
      <w:r>
        <w:rPr>
          <w:sz w:val="24"/>
        </w:rPr>
        <w:t>The abolition of fees at the secondary stage is thus intended mainly for the benefit of such underprivileged groups who are now entering secondary education in large numbers. It is also necessary to point out that the total revenue from fees collected at the secondary</w:t>
      </w:r>
    </w:p>
    <w:p>
      <w:pPr>
        <w:pStyle w:val="BodyText"/>
        <w:spacing w:before="5"/>
      </w:pPr>
    </w:p>
    <w:p>
      <w:pPr>
        <w:pStyle w:val="BodyText"/>
        <w:tabs>
          <w:tab w:pos="2208" w:val="left" w:leader="none"/>
          <w:tab w:pos="4389" w:val="left" w:leader="none"/>
          <w:tab w:pos="6250" w:val="left" w:leader="none"/>
          <w:tab w:pos="8564" w:val="left" w:leader="none"/>
        </w:tabs>
        <w:ind w:left="160"/>
        <w:jc w:val="both"/>
      </w:pPr>
      <w:r>
        <w:rPr>
          <w:b/>
          <w:spacing w:val="-2"/>
          <w:vertAlign w:val="superscript"/>
        </w:rPr>
        <w:t>51</w:t>
      </w:r>
      <w:r>
        <w:rPr>
          <w:spacing w:val="-2"/>
          <w:vertAlign w:val="baseline"/>
        </w:rPr>
        <w:t>For</w:t>
      </w:r>
      <w:r>
        <w:rPr>
          <w:vertAlign w:val="baseline"/>
        </w:rPr>
        <w:tab/>
      </w:r>
      <w:r>
        <w:rPr>
          <w:spacing w:val="-2"/>
          <w:vertAlign w:val="baseline"/>
        </w:rPr>
        <w:t>details</w:t>
      </w:r>
      <w:r>
        <w:rPr>
          <w:vertAlign w:val="baseline"/>
        </w:rPr>
        <w:tab/>
      </w:r>
      <w:r>
        <w:rPr>
          <w:spacing w:val="-5"/>
          <w:vertAlign w:val="baseline"/>
        </w:rPr>
        <w:t>see</w:t>
      </w:r>
      <w:r>
        <w:rPr>
          <w:vertAlign w:val="baseline"/>
        </w:rPr>
        <w:tab/>
      </w:r>
      <w:r>
        <w:rPr>
          <w:spacing w:val="-2"/>
          <w:vertAlign w:val="baseline"/>
        </w:rPr>
        <w:t>Chapter</w:t>
      </w:r>
      <w:r>
        <w:rPr>
          <w:vertAlign w:val="baseline"/>
        </w:rPr>
        <w:tab/>
      </w:r>
      <w:r>
        <w:rPr>
          <w:spacing w:val="-5"/>
          <w:vertAlign w:val="baseline"/>
        </w:rPr>
        <w:t>X.</w:t>
      </w:r>
    </w:p>
    <w:p>
      <w:pPr>
        <w:spacing w:after="0"/>
        <w:jc w:val="both"/>
        <w:sectPr>
          <w:pgSz w:w="12240" w:h="15840"/>
          <w:pgMar w:header="0" w:footer="743" w:top="1360" w:bottom="940" w:left="1640" w:right="1300"/>
        </w:sectPr>
      </w:pPr>
    </w:p>
    <w:p>
      <w:pPr>
        <w:pStyle w:val="BodyText"/>
        <w:spacing w:before="76"/>
        <w:ind w:left="159" w:right="496"/>
        <w:jc w:val="both"/>
      </w:pPr>
      <w:r>
        <w:rPr/>
        <w:t>stage has declined considerably in the Third Five Year Plan. Madras has made all education free till the end of the secondary stage. Uttar Pradesh and Orissa have made it free for girls. Mysore, which had already introduced a very large programme of free- studentships, has now decided to follow Madras from the current year. We understand that Andhra Pradesh is also proposing to adopt the same policy. Maharashtra and Gujarat now provide free-studentships to nearly 85 per cent of the total enrolment. In Punjab, Madhya Pradesh and Rajasthan, it is free for girls in all government schools at least and very largely free for boys also. In all parts of the country, it has always been free for the Scheduled Castes, the Scheduled Tribes and some other backward classes. If all these developments are duly allowed for, it appears that the provision of tuition-free secondary education is limited only in Assam, Bihar, Orissa (for boys), Uttar Pradesh (for boys) and West Bengal. The difficulty of making secondary education free of tuition or of finding alternative sources for the loss of revenue involved is thus no longer as formidable as it was five years ago.</w:t>
      </w:r>
    </w:p>
    <w:p>
      <w:pPr>
        <w:pStyle w:val="BodyText"/>
        <w:spacing w:before="4"/>
      </w:pPr>
    </w:p>
    <w:p>
      <w:pPr>
        <w:pStyle w:val="ListParagraph"/>
        <w:numPr>
          <w:ilvl w:val="1"/>
          <w:numId w:val="10"/>
        </w:numPr>
        <w:tabs>
          <w:tab w:pos="639" w:val="left" w:leader="none"/>
        </w:tabs>
        <w:spacing w:line="240" w:lineRule="auto" w:before="0" w:after="0"/>
        <w:ind w:left="159" w:right="492" w:firstLine="0"/>
        <w:jc w:val="both"/>
        <w:rPr>
          <w:sz w:val="24"/>
        </w:rPr>
      </w:pPr>
      <w:r>
        <w:rPr>
          <w:sz w:val="24"/>
        </w:rPr>
        <w:t>There</w:t>
      </w:r>
      <w:r>
        <w:rPr>
          <w:spacing w:val="-2"/>
          <w:sz w:val="24"/>
        </w:rPr>
        <w:t> </w:t>
      </w:r>
      <w:r>
        <w:rPr>
          <w:sz w:val="24"/>
        </w:rPr>
        <w:t>was</w:t>
      </w:r>
      <w:r>
        <w:rPr>
          <w:spacing w:val="-2"/>
          <w:sz w:val="24"/>
        </w:rPr>
        <w:t> </w:t>
      </w:r>
      <w:r>
        <w:rPr>
          <w:sz w:val="24"/>
        </w:rPr>
        <w:t>a</w:t>
      </w:r>
      <w:r>
        <w:rPr>
          <w:spacing w:val="-2"/>
          <w:sz w:val="24"/>
        </w:rPr>
        <w:t> </w:t>
      </w:r>
      <w:r>
        <w:rPr>
          <w:sz w:val="24"/>
        </w:rPr>
        <w:t>view</w:t>
      </w:r>
      <w:r>
        <w:rPr>
          <w:spacing w:val="-2"/>
          <w:sz w:val="24"/>
        </w:rPr>
        <w:t> </w:t>
      </w:r>
      <w:r>
        <w:rPr>
          <w:sz w:val="24"/>
        </w:rPr>
        <w:t>in</w:t>
      </w:r>
      <w:r>
        <w:rPr>
          <w:spacing w:val="-2"/>
          <w:sz w:val="24"/>
        </w:rPr>
        <w:t> </w:t>
      </w:r>
      <w:r>
        <w:rPr>
          <w:sz w:val="24"/>
        </w:rPr>
        <w:t>the</w:t>
      </w:r>
      <w:r>
        <w:rPr>
          <w:spacing w:val="-2"/>
          <w:sz w:val="24"/>
        </w:rPr>
        <w:t> </w:t>
      </w:r>
      <w:r>
        <w:rPr>
          <w:sz w:val="24"/>
        </w:rPr>
        <w:t>Commission</w:t>
      </w:r>
      <w:r>
        <w:rPr>
          <w:spacing w:val="-2"/>
          <w:sz w:val="24"/>
        </w:rPr>
        <w:t> </w:t>
      </w:r>
      <w:r>
        <w:rPr>
          <w:sz w:val="24"/>
        </w:rPr>
        <w:t>that</w:t>
      </w:r>
      <w:r>
        <w:rPr>
          <w:spacing w:val="-2"/>
          <w:sz w:val="24"/>
        </w:rPr>
        <w:t> </w:t>
      </w:r>
      <w:r>
        <w:rPr>
          <w:sz w:val="24"/>
        </w:rPr>
        <w:t>the</w:t>
      </w:r>
      <w:r>
        <w:rPr>
          <w:spacing w:val="-4"/>
          <w:sz w:val="24"/>
        </w:rPr>
        <w:t> </w:t>
      </w:r>
      <w:r>
        <w:rPr>
          <w:sz w:val="24"/>
        </w:rPr>
        <w:t>levy</w:t>
      </w:r>
      <w:r>
        <w:rPr>
          <w:spacing w:val="-1"/>
          <w:sz w:val="24"/>
        </w:rPr>
        <w:t> </w:t>
      </w:r>
      <w:r>
        <w:rPr>
          <w:sz w:val="24"/>
        </w:rPr>
        <w:t>of</w:t>
      </w:r>
      <w:r>
        <w:rPr>
          <w:spacing w:val="-1"/>
          <w:sz w:val="24"/>
        </w:rPr>
        <w:t> </w:t>
      </w:r>
      <w:r>
        <w:rPr>
          <w:sz w:val="24"/>
        </w:rPr>
        <w:t>tuition</w:t>
      </w:r>
      <w:r>
        <w:rPr>
          <w:spacing w:val="-3"/>
          <w:sz w:val="24"/>
        </w:rPr>
        <w:t> </w:t>
      </w:r>
      <w:r>
        <w:rPr>
          <w:sz w:val="24"/>
        </w:rPr>
        <w:t>fees</w:t>
      </w:r>
      <w:r>
        <w:rPr>
          <w:spacing w:val="-1"/>
          <w:sz w:val="24"/>
        </w:rPr>
        <w:t> </w:t>
      </w:r>
      <w:r>
        <w:rPr>
          <w:sz w:val="24"/>
        </w:rPr>
        <w:t>must</w:t>
      </w:r>
      <w:r>
        <w:rPr>
          <w:spacing w:val="-1"/>
          <w:sz w:val="24"/>
        </w:rPr>
        <w:t> </w:t>
      </w:r>
      <w:r>
        <w:rPr>
          <w:sz w:val="24"/>
        </w:rPr>
        <w:t>continue</w:t>
      </w:r>
      <w:r>
        <w:rPr>
          <w:spacing w:val="-1"/>
          <w:sz w:val="24"/>
        </w:rPr>
        <w:t> </w:t>
      </w:r>
      <w:r>
        <w:rPr>
          <w:sz w:val="24"/>
        </w:rPr>
        <w:t>to</w:t>
      </w:r>
      <w:r>
        <w:rPr>
          <w:spacing w:val="-1"/>
          <w:sz w:val="24"/>
        </w:rPr>
        <w:t> </w:t>
      </w:r>
      <w:r>
        <w:rPr>
          <w:sz w:val="24"/>
        </w:rPr>
        <w:t>be the rule for lower secondary education, tempered by adequate and suitable provision for the grant of concessions and exemptions to all the needy students. On a careful consideration of the problem, however, we think that such a system does not have much to commend itself and involves several administrative difficulties. We, therefore, recommend that lower secondary education should be made tuition-free in all government, local authority and aided private institutions as early as possible and, preferably before the end of the Fifth Plan. Even where it is not possible to implement</w:t>
      </w:r>
      <w:r>
        <w:rPr>
          <w:spacing w:val="40"/>
          <w:sz w:val="24"/>
        </w:rPr>
        <w:t> </w:t>
      </w:r>
      <w:r>
        <w:rPr>
          <w:sz w:val="24"/>
        </w:rPr>
        <w:t>this recommendation in one step, a beginning should be made by making all vocational secondary education free; and as resources permit, the principle should be extended to girls and to children who come from the poorer families. Fees in higher secondary education</w:t>
      </w:r>
      <w:r>
        <w:rPr>
          <w:spacing w:val="-1"/>
          <w:sz w:val="24"/>
        </w:rPr>
        <w:t> </w:t>
      </w:r>
      <w:r>
        <w:rPr>
          <w:sz w:val="24"/>
        </w:rPr>
        <w:t>should,</w:t>
      </w:r>
      <w:r>
        <w:rPr>
          <w:spacing w:val="-1"/>
          <w:sz w:val="24"/>
        </w:rPr>
        <w:t> </w:t>
      </w:r>
      <w:r>
        <w:rPr>
          <w:sz w:val="24"/>
        </w:rPr>
        <w:t>however,</w:t>
      </w:r>
      <w:r>
        <w:rPr>
          <w:spacing w:val="-1"/>
          <w:sz w:val="24"/>
        </w:rPr>
        <w:t> </w:t>
      </w:r>
      <w:r>
        <w:rPr>
          <w:sz w:val="24"/>
        </w:rPr>
        <w:t>be</w:t>
      </w:r>
      <w:r>
        <w:rPr>
          <w:spacing w:val="-1"/>
          <w:sz w:val="24"/>
        </w:rPr>
        <w:t> </w:t>
      </w:r>
      <w:r>
        <w:rPr>
          <w:sz w:val="24"/>
        </w:rPr>
        <w:t>dealt</w:t>
      </w:r>
      <w:r>
        <w:rPr>
          <w:spacing w:val="-1"/>
          <w:sz w:val="24"/>
        </w:rPr>
        <w:t> </w:t>
      </w:r>
      <w:r>
        <w:rPr>
          <w:sz w:val="24"/>
        </w:rPr>
        <w:t>with</w:t>
      </w:r>
      <w:r>
        <w:rPr>
          <w:spacing w:val="-1"/>
          <w:sz w:val="24"/>
        </w:rPr>
        <w:t> </w:t>
      </w:r>
      <w:r>
        <w:rPr>
          <w:sz w:val="24"/>
        </w:rPr>
        <w:t>on</w:t>
      </w:r>
      <w:r>
        <w:rPr>
          <w:spacing w:val="-1"/>
          <w:sz w:val="24"/>
        </w:rPr>
        <w:t> </w:t>
      </w:r>
      <w:r>
        <w:rPr>
          <w:sz w:val="24"/>
        </w:rPr>
        <w:t>the</w:t>
      </w:r>
      <w:r>
        <w:rPr>
          <w:spacing w:val="-3"/>
          <w:sz w:val="24"/>
        </w:rPr>
        <w:t> </w:t>
      </w:r>
      <w:r>
        <w:rPr>
          <w:sz w:val="24"/>
        </w:rPr>
        <w:t>same</w:t>
      </w:r>
      <w:r>
        <w:rPr>
          <w:spacing w:val="-1"/>
          <w:sz w:val="24"/>
        </w:rPr>
        <w:t> </w:t>
      </w:r>
      <w:r>
        <w:rPr>
          <w:sz w:val="24"/>
        </w:rPr>
        <w:t>lines</w:t>
      </w:r>
      <w:r>
        <w:rPr>
          <w:spacing w:val="-1"/>
          <w:sz w:val="24"/>
        </w:rPr>
        <w:t> </w:t>
      </w:r>
      <w:r>
        <w:rPr>
          <w:sz w:val="24"/>
        </w:rPr>
        <w:t>as</w:t>
      </w:r>
      <w:r>
        <w:rPr>
          <w:spacing w:val="-1"/>
          <w:sz w:val="24"/>
        </w:rPr>
        <w:t> </w:t>
      </w:r>
      <w:r>
        <w:rPr>
          <w:sz w:val="24"/>
        </w:rPr>
        <w:t>in</w:t>
      </w:r>
      <w:r>
        <w:rPr>
          <w:spacing w:val="-1"/>
          <w:sz w:val="24"/>
        </w:rPr>
        <w:t> </w:t>
      </w:r>
      <w:r>
        <w:rPr>
          <w:sz w:val="24"/>
        </w:rPr>
        <w:t>university</w:t>
      </w:r>
      <w:r>
        <w:rPr>
          <w:spacing w:val="-1"/>
          <w:sz w:val="24"/>
        </w:rPr>
        <w:t> </w:t>
      </w:r>
      <w:r>
        <w:rPr>
          <w:sz w:val="24"/>
        </w:rPr>
        <w:t>education,</w:t>
      </w:r>
      <w:r>
        <w:rPr>
          <w:spacing w:val="-1"/>
          <w:sz w:val="24"/>
        </w:rPr>
        <w:t> </w:t>
      </w:r>
      <w:r>
        <w:rPr>
          <w:sz w:val="24"/>
        </w:rPr>
        <w:t>our proposals regarding which are given in paragraphs 6.14 and 6.15.</w:t>
      </w:r>
    </w:p>
    <w:p>
      <w:pPr>
        <w:pStyle w:val="BodyText"/>
        <w:spacing w:before="4"/>
      </w:pPr>
    </w:p>
    <w:p>
      <w:pPr>
        <w:pStyle w:val="ListParagraph"/>
        <w:numPr>
          <w:ilvl w:val="1"/>
          <w:numId w:val="10"/>
        </w:numPr>
        <w:tabs>
          <w:tab w:pos="702" w:val="left" w:leader="none"/>
        </w:tabs>
        <w:spacing w:line="240" w:lineRule="auto" w:before="0" w:after="0"/>
        <w:ind w:left="159" w:right="496" w:firstLine="0"/>
        <w:jc w:val="both"/>
        <w:rPr>
          <w:b/>
          <w:sz w:val="24"/>
        </w:rPr>
      </w:pPr>
      <w:r>
        <w:rPr>
          <w:b/>
          <w:sz w:val="24"/>
        </w:rPr>
        <w:t>Fees in Higher Education. </w:t>
      </w:r>
      <w:r>
        <w:rPr>
          <w:sz w:val="24"/>
        </w:rPr>
        <w:t>At present, fees play an important role in higher education. Table 6.1 will show that in 1960-61 fees contributed 37.4 per cent of the total expenditure on universities, 48.5 per cent of that on colleges of general education, 22.2 per cent of that in colleges of professional education (excluding teacher training), 15.9</w:t>
      </w:r>
      <w:r>
        <w:rPr>
          <w:spacing w:val="40"/>
          <w:sz w:val="24"/>
        </w:rPr>
        <w:t> </w:t>
      </w:r>
      <w:r>
        <w:rPr>
          <w:sz w:val="24"/>
        </w:rPr>
        <w:t>per cent in colleges for special education and</w:t>
      </w:r>
      <w:r>
        <w:rPr>
          <w:spacing w:val="-1"/>
          <w:sz w:val="24"/>
        </w:rPr>
        <w:t> </w:t>
      </w:r>
      <w:r>
        <w:rPr>
          <w:sz w:val="24"/>
        </w:rPr>
        <w:t>12.8 per cent in</w:t>
      </w:r>
      <w:r>
        <w:rPr>
          <w:spacing w:val="-1"/>
          <w:sz w:val="24"/>
        </w:rPr>
        <w:t> </w:t>
      </w:r>
      <w:r>
        <w:rPr>
          <w:sz w:val="24"/>
        </w:rPr>
        <w:t>colleges of teacher training. For higher education as a whole, the contribution of fees was as high as 37.3 per cent of the total expenditure. This is even larger than that in the educationally advanced and richer countries. In the United States, for instance, only about 25 per cent of the income</w:t>
      </w:r>
      <w:r>
        <w:rPr>
          <w:spacing w:val="40"/>
          <w:sz w:val="24"/>
        </w:rPr>
        <w:t> </w:t>
      </w:r>
      <w:r>
        <w:rPr>
          <w:sz w:val="24"/>
        </w:rPr>
        <w:t>of institutions of higher learning is derived from fees and in Britain, it is less than one- </w:t>
      </w:r>
      <w:r>
        <w:rPr>
          <w:spacing w:val="-2"/>
          <w:sz w:val="24"/>
        </w:rPr>
        <w:t>eighth.</w:t>
      </w:r>
    </w:p>
    <w:p>
      <w:pPr>
        <w:pStyle w:val="BodyText"/>
        <w:spacing w:before="4"/>
      </w:pPr>
    </w:p>
    <w:p>
      <w:pPr>
        <w:pStyle w:val="ListParagraph"/>
        <w:numPr>
          <w:ilvl w:val="1"/>
          <w:numId w:val="10"/>
        </w:numPr>
        <w:tabs>
          <w:tab w:pos="675" w:val="left" w:leader="none"/>
        </w:tabs>
        <w:spacing w:line="240" w:lineRule="auto" w:before="0" w:after="0"/>
        <w:ind w:left="159" w:right="496" w:firstLine="0"/>
        <w:jc w:val="both"/>
        <w:rPr>
          <w:sz w:val="24"/>
        </w:rPr>
      </w:pPr>
      <w:r>
        <w:rPr>
          <w:sz w:val="24"/>
        </w:rPr>
        <w:t>We do not advocate the immediate general abolition of fees in higher education, although this should be the ultimate goal of educational policy. This programme has a lower priority than that of making all school education free and should be considered</w:t>
      </w:r>
      <w:r>
        <w:rPr>
          <w:spacing w:val="40"/>
          <w:sz w:val="24"/>
        </w:rPr>
        <w:t> </w:t>
      </w:r>
      <w:r>
        <w:rPr>
          <w:sz w:val="24"/>
        </w:rPr>
        <w:t>only after tuition fees have been abolished in secondary schools. At present, when higher education is mostly being availed of by the top five per cent of the</w:t>
      </w:r>
      <w:r>
        <w:rPr>
          <w:spacing w:val="-1"/>
          <w:sz w:val="24"/>
        </w:rPr>
        <w:t> </w:t>
      </w:r>
      <w:r>
        <w:rPr>
          <w:sz w:val="24"/>
        </w:rPr>
        <w:t>population, a policy of levying</w:t>
      </w:r>
      <w:r>
        <w:rPr>
          <w:spacing w:val="10"/>
          <w:sz w:val="24"/>
        </w:rPr>
        <w:t> </w:t>
      </w:r>
      <w:r>
        <w:rPr>
          <w:sz w:val="24"/>
        </w:rPr>
        <w:t>fees</w:t>
      </w:r>
      <w:r>
        <w:rPr>
          <w:spacing w:val="11"/>
          <w:sz w:val="24"/>
        </w:rPr>
        <w:t> </w:t>
      </w:r>
      <w:r>
        <w:rPr>
          <w:sz w:val="24"/>
        </w:rPr>
        <w:t>combined</w:t>
      </w:r>
      <w:r>
        <w:rPr>
          <w:spacing w:val="13"/>
          <w:sz w:val="24"/>
        </w:rPr>
        <w:t> </w:t>
      </w:r>
      <w:r>
        <w:rPr>
          <w:sz w:val="24"/>
        </w:rPr>
        <w:t>with</w:t>
      </w:r>
      <w:r>
        <w:rPr>
          <w:spacing w:val="12"/>
          <w:sz w:val="24"/>
        </w:rPr>
        <w:t> </w:t>
      </w:r>
      <w:r>
        <w:rPr>
          <w:sz w:val="24"/>
        </w:rPr>
        <w:t>that</w:t>
      </w:r>
      <w:r>
        <w:rPr>
          <w:spacing w:val="13"/>
          <w:sz w:val="24"/>
        </w:rPr>
        <w:t> </w:t>
      </w:r>
      <w:r>
        <w:rPr>
          <w:sz w:val="24"/>
        </w:rPr>
        <w:t>of</w:t>
      </w:r>
      <w:r>
        <w:rPr>
          <w:spacing w:val="11"/>
          <w:sz w:val="24"/>
        </w:rPr>
        <w:t> </w:t>
      </w:r>
      <w:r>
        <w:rPr>
          <w:sz w:val="24"/>
        </w:rPr>
        <w:t>liberal</w:t>
      </w:r>
      <w:r>
        <w:rPr>
          <w:spacing w:val="13"/>
          <w:sz w:val="24"/>
        </w:rPr>
        <w:t> </w:t>
      </w:r>
      <w:r>
        <w:rPr>
          <w:sz w:val="24"/>
        </w:rPr>
        <w:t>provision</w:t>
      </w:r>
      <w:r>
        <w:rPr>
          <w:spacing w:val="12"/>
          <w:sz w:val="24"/>
        </w:rPr>
        <w:t> </w:t>
      </w:r>
      <w:r>
        <w:rPr>
          <w:sz w:val="24"/>
        </w:rPr>
        <w:t>of</w:t>
      </w:r>
      <w:r>
        <w:rPr>
          <w:spacing w:val="13"/>
          <w:sz w:val="24"/>
        </w:rPr>
        <w:t> </w:t>
      </w:r>
      <w:r>
        <w:rPr>
          <w:sz w:val="24"/>
        </w:rPr>
        <w:t>free-studentships</w:t>
      </w:r>
      <w:r>
        <w:rPr>
          <w:spacing w:val="10"/>
          <w:sz w:val="24"/>
        </w:rPr>
        <w:t> </w:t>
      </w:r>
      <w:r>
        <w:rPr>
          <w:sz w:val="24"/>
        </w:rPr>
        <w:t>to</w:t>
      </w:r>
      <w:r>
        <w:rPr>
          <w:spacing w:val="13"/>
          <w:sz w:val="24"/>
        </w:rPr>
        <w:t> </w:t>
      </w:r>
      <w:r>
        <w:rPr>
          <w:sz w:val="24"/>
        </w:rPr>
        <w:t>all</w:t>
      </w:r>
      <w:r>
        <w:rPr>
          <w:spacing w:val="12"/>
          <w:sz w:val="24"/>
        </w:rPr>
        <w:t> </w:t>
      </w:r>
      <w:r>
        <w:rPr>
          <w:sz w:val="24"/>
        </w:rPr>
        <w:t>the</w:t>
      </w:r>
      <w:r>
        <w:rPr>
          <w:spacing w:val="13"/>
          <w:sz w:val="24"/>
        </w:rPr>
        <w:t> </w:t>
      </w:r>
      <w:r>
        <w:rPr>
          <w:spacing w:val="-2"/>
          <w:sz w:val="24"/>
        </w:rPr>
        <w:t>needy</w:t>
      </w:r>
    </w:p>
    <w:p>
      <w:pPr>
        <w:spacing w:after="0" w:line="240" w:lineRule="auto"/>
        <w:jc w:val="both"/>
        <w:rPr>
          <w:sz w:val="24"/>
        </w:rPr>
        <w:sectPr>
          <w:pgSz w:w="12240" w:h="15840"/>
          <w:pgMar w:header="0" w:footer="743" w:top="1360" w:bottom="940" w:left="1640" w:right="1300"/>
        </w:sectPr>
      </w:pPr>
    </w:p>
    <w:p>
      <w:pPr>
        <w:pStyle w:val="BodyText"/>
        <w:spacing w:before="76"/>
        <w:ind w:left="159" w:right="497"/>
        <w:jc w:val="both"/>
      </w:pPr>
      <w:r>
        <w:rPr/>
        <w:t>and deserving students would prove to be better than that of general abolition of fees.</w:t>
      </w:r>
      <w:r>
        <w:rPr>
          <w:spacing w:val="80"/>
        </w:rPr>
        <w:t> </w:t>
      </w:r>
      <w:r>
        <w:rPr/>
        <w:t>We, therefore, recommend that, for the next ten years, the main effort with regard to fees in higher secondary and university education should be to expand the provision of</w:t>
      </w:r>
      <w:r>
        <w:rPr>
          <w:spacing w:val="40"/>
        </w:rPr>
        <w:t> </w:t>
      </w:r>
      <w:r>
        <w:rPr/>
        <w:t>tuition-free education to cover all the needy and deserving students. To begin with, the proportion of free-studentships should be increased to at least 30 per cent of the total enrolment.</w:t>
      </w:r>
      <w:r>
        <w:rPr>
          <w:b/>
          <w:vertAlign w:val="superscript"/>
        </w:rPr>
        <w:t>52</w:t>
      </w:r>
      <w:r>
        <w:rPr>
          <w:b/>
          <w:vertAlign w:val="baseline"/>
        </w:rPr>
        <w:t> </w:t>
      </w:r>
      <w:r>
        <w:rPr>
          <w:vertAlign w:val="baseline"/>
        </w:rPr>
        <w:t>We also commend, for general acceptance, policies which have been</w:t>
      </w:r>
      <w:r>
        <w:rPr>
          <w:spacing w:val="40"/>
          <w:vertAlign w:val="baseline"/>
        </w:rPr>
        <w:t> </w:t>
      </w:r>
      <w:r>
        <w:rPr>
          <w:vertAlign w:val="baseline"/>
        </w:rPr>
        <w:t>adopted in some areas to provide tuition-free higher education to underprivileged </w:t>
      </w:r>
      <w:r>
        <w:rPr>
          <w:vertAlign w:val="baseline"/>
        </w:rPr>
        <w:t>groups, e.g., provision of free-studentships to Scheduled Castes, Scheduled Tribes, girls, or children of persons whose income is below a prescribed level. This will be adequate to meet the social demand from the underprivileged sections of society that are now in secondary schools and are quickly moving up to seek admission to institutions of higher education. The problem may be reviewed again after ten years.</w:t>
      </w:r>
    </w:p>
    <w:p>
      <w:pPr>
        <w:pStyle w:val="BodyText"/>
        <w:spacing w:before="4"/>
      </w:pPr>
    </w:p>
    <w:p>
      <w:pPr>
        <w:pStyle w:val="ListParagraph"/>
        <w:numPr>
          <w:ilvl w:val="1"/>
          <w:numId w:val="10"/>
        </w:numPr>
        <w:tabs>
          <w:tab w:pos="646" w:val="left" w:leader="none"/>
        </w:tabs>
        <w:spacing w:line="240" w:lineRule="auto" w:before="0" w:after="0"/>
        <w:ind w:left="160" w:right="496" w:firstLine="0"/>
        <w:jc w:val="both"/>
        <w:rPr>
          <w:sz w:val="24"/>
        </w:rPr>
      </w:pPr>
      <w:r>
        <w:rPr>
          <w:sz w:val="24"/>
        </w:rPr>
        <w:t>Other Private Costs. The private costs of education required for textbooks, supplies, co-curricular activities, etc., have increased very substantially in recent years and amount not infrequently, to several times the tuition fees in fact, the greater financial burden that creates the non-egalitarian trends today is not so much tuition-fees as these other costs. The Commission carried out a small study to discover the approximate level of these indirect costs at the school stage. For this purpose, we selected a few schools </w:t>
      </w:r>
      <w:r>
        <w:rPr>
          <w:sz w:val="24"/>
        </w:rPr>
        <w:t>with</w:t>
      </w:r>
      <w:r>
        <w:rPr>
          <w:spacing w:val="40"/>
          <w:sz w:val="24"/>
        </w:rPr>
        <w:t> </w:t>
      </w:r>
      <w:r>
        <w:rPr>
          <w:sz w:val="24"/>
        </w:rPr>
        <w:t>varying levels of such costs in each State and Union Territory and collected detailed information from them. The results are summarized in Table 6.3.</w:t>
      </w:r>
    </w:p>
    <w:p>
      <w:pPr>
        <w:pStyle w:val="BodyText"/>
      </w:pPr>
    </w:p>
    <w:p>
      <w:pPr>
        <w:pStyle w:val="BodyText"/>
      </w:pPr>
    </w:p>
    <w:p>
      <w:pPr>
        <w:pStyle w:val="BodyText"/>
        <w:spacing w:before="9"/>
      </w:pPr>
    </w:p>
    <w:p>
      <w:pPr>
        <w:pStyle w:val="BodyText"/>
        <w:ind w:left="160" w:right="496"/>
        <w:jc w:val="both"/>
      </w:pPr>
      <w:r>
        <w:rPr>
          <w:b/>
          <w:vertAlign w:val="superscript"/>
        </w:rPr>
        <w:t>52</w:t>
      </w:r>
      <w:r>
        <w:rPr>
          <w:vertAlign w:val="baseline"/>
        </w:rPr>
        <w:t>At present, the proportion of free-studentships to total enrolment in institutions of</w:t>
      </w:r>
      <w:r>
        <w:rPr>
          <w:spacing w:val="40"/>
          <w:vertAlign w:val="baseline"/>
        </w:rPr>
        <w:t> </w:t>
      </w:r>
      <w:r>
        <w:rPr>
          <w:vertAlign w:val="baseline"/>
        </w:rPr>
        <w:t>higher education is very small 14.6 per cent of students get tuition-free education in universities, 15.1 per cent in colleges of general education, 12.1 per cent in colleges of professional education, and 47.6 per cent in colleges of special education (1960-61 </w:t>
      </w:r>
      <w:r>
        <w:rPr>
          <w:spacing w:val="-2"/>
          <w:vertAlign w:val="baseline"/>
        </w:rPr>
        <w:t>figures).</w:t>
      </w:r>
    </w:p>
    <w:p>
      <w:pPr>
        <w:spacing w:after="0"/>
        <w:jc w:val="both"/>
        <w:sectPr>
          <w:pgSz w:w="12240" w:h="15840"/>
          <w:pgMar w:header="0" w:footer="743" w:top="1360" w:bottom="940" w:left="1640" w:right="1300"/>
        </w:sectPr>
      </w:pPr>
    </w:p>
    <w:p>
      <w:pPr>
        <w:pStyle w:val="BodyText"/>
        <w:spacing w:before="76"/>
        <w:ind w:left="983"/>
      </w:pPr>
      <w:r>
        <w:rPr/>
        <w:t>TABLE</w:t>
      </w:r>
      <w:r>
        <w:rPr>
          <w:spacing w:val="-5"/>
        </w:rPr>
        <w:t> </w:t>
      </w:r>
      <w:r>
        <w:rPr/>
        <w:t>6.3.</w:t>
      </w:r>
      <w:r>
        <w:rPr>
          <w:spacing w:val="-3"/>
        </w:rPr>
        <w:t> </w:t>
      </w:r>
      <w:r>
        <w:rPr/>
        <w:t>PRIVATE</w:t>
      </w:r>
      <w:r>
        <w:rPr>
          <w:spacing w:val="-2"/>
        </w:rPr>
        <w:t> </w:t>
      </w:r>
      <w:r>
        <w:rPr/>
        <w:t>COSTS</w:t>
      </w:r>
      <w:r>
        <w:rPr>
          <w:spacing w:val="-3"/>
        </w:rPr>
        <w:t> </w:t>
      </w:r>
      <w:r>
        <w:rPr/>
        <w:t>OF</w:t>
      </w:r>
      <w:r>
        <w:rPr>
          <w:spacing w:val="-2"/>
        </w:rPr>
        <w:t> </w:t>
      </w:r>
      <w:r>
        <w:rPr/>
        <w:t>EDUCATION</w:t>
      </w:r>
      <w:r>
        <w:rPr>
          <w:spacing w:val="-3"/>
        </w:rPr>
        <w:t> </w:t>
      </w:r>
      <w:r>
        <w:rPr/>
        <w:t>(ANNUAL)</w:t>
      </w:r>
      <w:r>
        <w:rPr>
          <w:spacing w:val="-2"/>
        </w:rPr>
        <w:t> </w:t>
      </w:r>
      <w:r>
        <w:rPr/>
        <w:t>1965-</w:t>
      </w:r>
      <w:r>
        <w:rPr>
          <w:spacing w:val="-5"/>
        </w:rPr>
        <w:t>66</w:t>
      </w:r>
    </w:p>
    <w:p>
      <w:pPr>
        <w:pStyle w:val="BodyText"/>
        <w:ind w:right="1103"/>
        <w:jc w:val="right"/>
      </w:pPr>
      <w:r>
        <w:rPr>
          <w:spacing w:val="-2"/>
        </w:rPr>
        <w:t>Rupees</w:t>
      </w:r>
    </w:p>
    <w:p>
      <w:pPr>
        <w:pStyle w:val="BodyText"/>
        <w:spacing w:before="1"/>
        <w:rPr>
          <w:sz w:val="15"/>
        </w:rPr>
      </w:pPr>
      <w:r>
        <w:rPr/>
        <mc:AlternateContent>
          <mc:Choice Requires="wps">
            <w:drawing>
              <wp:anchor distT="0" distB="0" distL="0" distR="0" allowOverlap="1" layoutInCell="1" locked="0" behindDoc="1" simplePos="0" relativeHeight="487622144">
                <wp:simplePos x="0" y="0"/>
                <wp:positionH relativeFrom="page">
                  <wp:posOffset>1143000</wp:posOffset>
                </wp:positionH>
                <wp:positionV relativeFrom="paragraph">
                  <wp:posOffset>126013</wp:posOffset>
                </wp:positionV>
                <wp:extent cx="5486400" cy="19050"/>
                <wp:effectExtent l="0" t="0" r="0" b="0"/>
                <wp:wrapTopAndBottom/>
                <wp:docPr id="359" name="Group 359"/>
                <wp:cNvGraphicFramePr>
                  <a:graphicFrameLocks/>
                </wp:cNvGraphicFramePr>
                <a:graphic>
                  <a:graphicData uri="http://schemas.microsoft.com/office/word/2010/wordprocessingGroup">
                    <wpg:wgp>
                      <wpg:cNvPr id="359" name="Group 359"/>
                      <wpg:cNvGrpSpPr/>
                      <wpg:grpSpPr>
                        <a:xfrm>
                          <a:off x="0" y="0"/>
                          <a:ext cx="5486400" cy="19050"/>
                          <a:chExt cx="5486400" cy="19050"/>
                        </a:xfrm>
                      </wpg:grpSpPr>
                      <wps:wsp>
                        <wps:cNvPr id="360" name="Graphic 36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61" name="Graphic 36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362" name="Graphic 36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363" name="Graphic 363"/>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364" name="Graphic 36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65" name="Graphic 36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66" name="Graphic 36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2294pt;width:432pt;height:1.5pt;mso-position-horizontal-relative:page;mso-position-vertical-relative:paragraph;z-index:-15694336;mso-wrap-distance-left:0;mso-wrap-distance-right:0" id="docshapegroup347" coordorigin="1800,198" coordsize="8640,30">
                <v:rect style="position:absolute;left:1800;top:198;width:8640;height:30" id="docshape348" filled="true" fillcolor="#808080" stroked="false">
                  <v:fill type="solid"/>
                </v:rect>
                <v:shape style="position:absolute;left:1800;top:198;width:8636;height:5" id="docshape349" coordorigin="1800,198" coordsize="8636,5" path="m10435,198l1805,198,1800,198,1800,203,1805,203,10435,203,10435,198xe" filled="true" fillcolor="#aca89a" stroked="false">
                  <v:path arrowok="t"/>
                  <v:fill type="solid"/>
                </v:shape>
                <v:rect style="position:absolute;left:10435;top:198;width:5;height:5" id="docshape350" filled="true" fillcolor="#f1efe2" stroked="false">
                  <v:fill type="solid"/>
                </v:rect>
                <v:shape style="position:absolute;left:1800;top:198;width:8640;height:26" id="docshape351" coordorigin="1800,198" coordsize="8640,26" path="m1805,203l1800,203,1800,224,1805,224,1805,203xm10440,198l10435,198,10435,203,10440,203,10440,198xe" filled="true" fillcolor="#aca89a" stroked="false">
                  <v:path arrowok="t"/>
                  <v:fill type="solid"/>
                </v:shape>
                <v:rect style="position:absolute;left:10435;top:203;width:5;height:21" id="docshape352" filled="true" fillcolor="#f1efe2" stroked="false">
                  <v:fill type="solid"/>
                </v:rect>
                <v:rect style="position:absolute;left:1800;top:223;width:5;height:5" id="docshape353" filled="true" fillcolor="#aca89a" stroked="false">
                  <v:fill type="solid"/>
                </v:rect>
                <v:shape style="position:absolute;left:1800;top:223;width:8640;height:5" id="docshape354"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spacing w:before="48" w:after="11"/>
        <w:ind w:left="4740"/>
      </w:pPr>
      <w:r>
        <w:rPr/>
        <w:t>Total private costs of </w:t>
      </w:r>
      <w:r>
        <w:rPr>
          <w:spacing w:val="-2"/>
        </w:rPr>
        <w:t>education</w:t>
      </w: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8"/>
        <w:gridCol w:w="943"/>
        <w:gridCol w:w="1828"/>
        <w:gridCol w:w="904"/>
        <w:gridCol w:w="1000"/>
        <w:gridCol w:w="1515"/>
        <w:gridCol w:w="1732"/>
      </w:tblGrid>
      <w:tr>
        <w:trPr>
          <w:trHeight w:val="1015" w:hRule="atLeast"/>
        </w:trPr>
        <w:tc>
          <w:tcPr>
            <w:tcW w:w="718" w:type="dxa"/>
            <w:tcBorders>
              <w:bottom w:val="single" w:sz="12" w:space="0" w:color="808080"/>
            </w:tcBorders>
          </w:tcPr>
          <w:p>
            <w:pPr>
              <w:pStyle w:val="TableParagraph"/>
              <w:spacing w:line="266" w:lineRule="exact"/>
              <w:ind w:left="-1"/>
              <w:rPr>
                <w:sz w:val="24"/>
              </w:rPr>
            </w:pPr>
            <w:r>
              <w:rPr>
                <w:spacing w:val="-2"/>
                <w:sz w:val="24"/>
              </w:rPr>
              <w:t>Class</w:t>
            </w:r>
          </w:p>
        </w:tc>
        <w:tc>
          <w:tcPr>
            <w:tcW w:w="943" w:type="dxa"/>
            <w:tcBorders>
              <w:bottom w:val="single" w:sz="12" w:space="0" w:color="808080"/>
            </w:tcBorders>
          </w:tcPr>
          <w:p>
            <w:pPr>
              <w:pStyle w:val="TableParagraph"/>
              <w:spacing w:before="266"/>
              <w:ind w:left="197" w:right="162"/>
              <w:rPr>
                <w:sz w:val="24"/>
              </w:rPr>
            </w:pPr>
            <w:r>
              <w:rPr>
                <w:spacing w:val="-2"/>
                <w:sz w:val="24"/>
              </w:rPr>
              <w:t>Text- books</w:t>
            </w:r>
          </w:p>
        </w:tc>
        <w:tc>
          <w:tcPr>
            <w:tcW w:w="1828" w:type="dxa"/>
            <w:tcBorders>
              <w:bottom w:val="single" w:sz="12" w:space="0" w:color="808080"/>
            </w:tcBorders>
          </w:tcPr>
          <w:p>
            <w:pPr>
              <w:pStyle w:val="TableParagraph"/>
              <w:spacing w:before="266"/>
              <w:ind w:left="171"/>
              <w:rPr>
                <w:sz w:val="24"/>
              </w:rPr>
            </w:pPr>
            <w:r>
              <w:rPr>
                <w:spacing w:val="-2"/>
                <w:sz w:val="24"/>
              </w:rPr>
              <w:t>Stationery</w:t>
            </w:r>
          </w:p>
        </w:tc>
        <w:tc>
          <w:tcPr>
            <w:tcW w:w="904" w:type="dxa"/>
            <w:tcBorders>
              <w:bottom w:val="single" w:sz="12" w:space="0" w:color="808080"/>
            </w:tcBorders>
          </w:tcPr>
          <w:p>
            <w:pPr>
              <w:pStyle w:val="TableParagraph"/>
              <w:spacing w:before="266"/>
              <w:ind w:left="87" w:right="133"/>
              <w:jc w:val="center"/>
              <w:rPr>
                <w:sz w:val="24"/>
              </w:rPr>
            </w:pPr>
            <w:r>
              <w:rPr>
                <w:spacing w:val="-2"/>
                <w:sz w:val="24"/>
              </w:rPr>
              <w:t>Total</w:t>
            </w:r>
          </w:p>
        </w:tc>
        <w:tc>
          <w:tcPr>
            <w:tcW w:w="1000" w:type="dxa"/>
            <w:tcBorders>
              <w:bottom w:val="single" w:sz="12" w:space="0" w:color="808080"/>
            </w:tcBorders>
          </w:tcPr>
          <w:p>
            <w:pPr>
              <w:pStyle w:val="TableParagraph"/>
              <w:ind w:left="187" w:right="103"/>
              <w:rPr>
                <w:sz w:val="24"/>
              </w:rPr>
            </w:pPr>
            <w:r>
              <w:rPr>
                <w:spacing w:val="-2"/>
                <w:sz w:val="24"/>
              </w:rPr>
              <w:t>Lowest Text- books</w:t>
            </w:r>
          </w:p>
        </w:tc>
        <w:tc>
          <w:tcPr>
            <w:tcW w:w="1515" w:type="dxa"/>
            <w:tcBorders>
              <w:bottom w:val="single" w:sz="12" w:space="0" w:color="808080"/>
            </w:tcBorders>
          </w:tcPr>
          <w:p>
            <w:pPr>
              <w:pStyle w:val="TableParagraph"/>
              <w:spacing w:before="266"/>
              <w:ind w:left="103"/>
              <w:rPr>
                <w:sz w:val="24"/>
              </w:rPr>
            </w:pPr>
            <w:r>
              <w:rPr>
                <w:spacing w:val="-2"/>
                <w:sz w:val="24"/>
              </w:rPr>
              <w:t>Stationery</w:t>
            </w:r>
          </w:p>
        </w:tc>
        <w:tc>
          <w:tcPr>
            <w:tcW w:w="1732" w:type="dxa"/>
            <w:tcBorders>
              <w:bottom w:val="single" w:sz="12" w:space="0" w:color="808080"/>
            </w:tcBorders>
          </w:tcPr>
          <w:p>
            <w:pPr>
              <w:pStyle w:val="TableParagraph"/>
              <w:ind w:left="420" w:right="560" w:hanging="1"/>
              <w:rPr>
                <w:sz w:val="24"/>
              </w:rPr>
            </w:pPr>
            <w:r>
              <w:rPr>
                <w:spacing w:val="-2"/>
                <w:sz w:val="24"/>
              </w:rPr>
              <w:t>Highest Total</w:t>
            </w:r>
          </w:p>
        </w:tc>
      </w:tr>
      <w:tr>
        <w:trPr>
          <w:trHeight w:val="467" w:hRule="atLeast"/>
        </w:trPr>
        <w:tc>
          <w:tcPr>
            <w:tcW w:w="718" w:type="dxa"/>
            <w:tcBorders>
              <w:top w:val="single" w:sz="12" w:space="0" w:color="808080"/>
            </w:tcBorders>
          </w:tcPr>
          <w:p>
            <w:pPr>
              <w:pStyle w:val="TableParagraph"/>
              <w:tabs>
                <w:tab w:pos="319" w:val="left" w:leader="none"/>
              </w:tabs>
              <w:spacing w:before="48"/>
              <w:ind w:left="-1"/>
              <w:rPr>
                <w:sz w:val="24"/>
              </w:rPr>
            </w:pPr>
            <w:r>
              <w:rPr>
                <w:spacing w:val="-10"/>
                <w:sz w:val="24"/>
              </w:rPr>
              <w:t>I</w:t>
            </w:r>
            <w:r>
              <w:rPr>
                <w:sz w:val="24"/>
              </w:rPr>
              <w:tab/>
            </w:r>
            <w:r>
              <w:rPr>
                <w:spacing w:val="-10"/>
                <w:sz w:val="24"/>
              </w:rPr>
              <w:t>.</w:t>
            </w:r>
          </w:p>
        </w:tc>
        <w:tc>
          <w:tcPr>
            <w:tcW w:w="943" w:type="dxa"/>
            <w:tcBorders>
              <w:top w:val="single" w:sz="12" w:space="0" w:color="808080"/>
            </w:tcBorders>
          </w:tcPr>
          <w:p>
            <w:pPr>
              <w:pStyle w:val="TableParagraph"/>
              <w:spacing w:before="48"/>
              <w:ind w:right="126"/>
              <w:jc w:val="center"/>
              <w:rPr>
                <w:sz w:val="24"/>
              </w:rPr>
            </w:pPr>
            <w:r>
              <w:rPr>
                <w:spacing w:val="-4"/>
                <w:sz w:val="24"/>
              </w:rPr>
              <w:t>0.50</w:t>
            </w:r>
          </w:p>
        </w:tc>
        <w:tc>
          <w:tcPr>
            <w:tcW w:w="1828" w:type="dxa"/>
            <w:tcBorders>
              <w:top w:val="single" w:sz="12" w:space="0" w:color="808080"/>
            </w:tcBorders>
          </w:tcPr>
          <w:p>
            <w:pPr>
              <w:pStyle w:val="TableParagraph"/>
              <w:spacing w:before="48"/>
              <w:ind w:left="171"/>
              <w:rPr>
                <w:sz w:val="24"/>
              </w:rPr>
            </w:pPr>
            <w:r>
              <w:rPr>
                <w:spacing w:val="-4"/>
                <w:sz w:val="24"/>
              </w:rPr>
              <w:t>0.60</w:t>
            </w:r>
          </w:p>
        </w:tc>
        <w:tc>
          <w:tcPr>
            <w:tcW w:w="904" w:type="dxa"/>
            <w:tcBorders>
              <w:top w:val="single" w:sz="12" w:space="0" w:color="808080"/>
            </w:tcBorders>
          </w:tcPr>
          <w:p>
            <w:pPr>
              <w:pStyle w:val="TableParagraph"/>
              <w:spacing w:before="48"/>
              <w:ind w:right="133"/>
              <w:jc w:val="center"/>
              <w:rPr>
                <w:sz w:val="24"/>
              </w:rPr>
            </w:pPr>
            <w:r>
              <w:rPr>
                <w:spacing w:val="-4"/>
                <w:sz w:val="24"/>
              </w:rPr>
              <w:t>1.10</w:t>
            </w:r>
          </w:p>
        </w:tc>
        <w:tc>
          <w:tcPr>
            <w:tcW w:w="1000" w:type="dxa"/>
            <w:tcBorders>
              <w:top w:val="single" w:sz="12" w:space="0" w:color="808080"/>
            </w:tcBorders>
          </w:tcPr>
          <w:p>
            <w:pPr>
              <w:pStyle w:val="TableParagraph"/>
              <w:spacing w:before="48"/>
              <w:ind w:left="34" w:right="117"/>
              <w:jc w:val="center"/>
              <w:rPr>
                <w:sz w:val="24"/>
              </w:rPr>
            </w:pPr>
            <w:r>
              <w:rPr>
                <w:spacing w:val="-2"/>
                <w:sz w:val="24"/>
              </w:rPr>
              <w:t>17.80</w:t>
            </w:r>
          </w:p>
        </w:tc>
        <w:tc>
          <w:tcPr>
            <w:tcW w:w="1515" w:type="dxa"/>
            <w:tcBorders>
              <w:top w:val="single" w:sz="12" w:space="0" w:color="808080"/>
            </w:tcBorders>
          </w:tcPr>
          <w:p>
            <w:pPr>
              <w:pStyle w:val="TableParagraph"/>
              <w:spacing w:before="48"/>
              <w:ind w:left="102"/>
              <w:rPr>
                <w:sz w:val="24"/>
              </w:rPr>
            </w:pPr>
            <w:r>
              <w:rPr>
                <w:spacing w:val="-2"/>
                <w:sz w:val="24"/>
              </w:rPr>
              <w:t>12.80</w:t>
            </w:r>
          </w:p>
        </w:tc>
        <w:tc>
          <w:tcPr>
            <w:tcW w:w="1732" w:type="dxa"/>
            <w:tcBorders>
              <w:top w:val="single" w:sz="12" w:space="0" w:color="808080"/>
            </w:tcBorders>
          </w:tcPr>
          <w:p>
            <w:pPr>
              <w:pStyle w:val="TableParagraph"/>
              <w:spacing w:before="48"/>
              <w:ind w:left="420"/>
              <w:rPr>
                <w:sz w:val="24"/>
              </w:rPr>
            </w:pPr>
            <w:r>
              <w:rPr>
                <w:spacing w:val="-2"/>
                <w:sz w:val="24"/>
              </w:rPr>
              <w:t>30.60</w:t>
            </w:r>
          </w:p>
        </w:tc>
      </w:tr>
      <w:tr>
        <w:trPr>
          <w:trHeight w:val="408" w:hRule="atLeast"/>
        </w:trPr>
        <w:tc>
          <w:tcPr>
            <w:tcW w:w="718" w:type="dxa"/>
          </w:tcPr>
          <w:p>
            <w:pPr>
              <w:pStyle w:val="TableParagraph"/>
              <w:spacing w:line="256" w:lineRule="exact" w:before="133"/>
              <w:ind w:left="-1"/>
              <w:rPr>
                <w:sz w:val="24"/>
              </w:rPr>
            </w:pPr>
            <w:r>
              <w:rPr>
                <w:sz w:val="24"/>
              </w:rPr>
              <w:t>II</w:t>
            </w:r>
            <w:r>
              <w:rPr>
                <w:spacing w:val="29"/>
                <w:sz w:val="24"/>
              </w:rPr>
              <w:t>  </w:t>
            </w:r>
            <w:r>
              <w:rPr>
                <w:spacing w:val="-10"/>
                <w:sz w:val="24"/>
              </w:rPr>
              <w:t>.</w:t>
            </w:r>
          </w:p>
        </w:tc>
        <w:tc>
          <w:tcPr>
            <w:tcW w:w="943" w:type="dxa"/>
          </w:tcPr>
          <w:p>
            <w:pPr>
              <w:pStyle w:val="TableParagraph"/>
              <w:spacing w:line="256" w:lineRule="exact" w:before="133"/>
              <w:ind w:left="1" w:right="126"/>
              <w:jc w:val="center"/>
              <w:rPr>
                <w:sz w:val="24"/>
              </w:rPr>
            </w:pPr>
            <w:r>
              <w:rPr>
                <w:spacing w:val="-4"/>
                <w:sz w:val="24"/>
              </w:rPr>
              <w:t>0.54</w:t>
            </w:r>
          </w:p>
        </w:tc>
        <w:tc>
          <w:tcPr>
            <w:tcW w:w="1828" w:type="dxa"/>
          </w:tcPr>
          <w:p>
            <w:pPr>
              <w:pStyle w:val="TableParagraph"/>
              <w:spacing w:line="256" w:lineRule="exact" w:before="133"/>
              <w:ind w:left="171"/>
              <w:rPr>
                <w:sz w:val="24"/>
              </w:rPr>
            </w:pPr>
            <w:r>
              <w:rPr>
                <w:spacing w:val="-4"/>
                <w:sz w:val="24"/>
              </w:rPr>
              <w:t>0.60</w:t>
            </w:r>
          </w:p>
        </w:tc>
        <w:tc>
          <w:tcPr>
            <w:tcW w:w="904" w:type="dxa"/>
          </w:tcPr>
          <w:p>
            <w:pPr>
              <w:pStyle w:val="TableParagraph"/>
              <w:spacing w:line="256" w:lineRule="exact" w:before="133"/>
              <w:ind w:right="133"/>
              <w:jc w:val="center"/>
              <w:rPr>
                <w:sz w:val="24"/>
              </w:rPr>
            </w:pPr>
            <w:r>
              <w:rPr>
                <w:spacing w:val="-4"/>
                <w:sz w:val="24"/>
              </w:rPr>
              <w:t>1.14</w:t>
            </w:r>
          </w:p>
        </w:tc>
        <w:tc>
          <w:tcPr>
            <w:tcW w:w="1000" w:type="dxa"/>
          </w:tcPr>
          <w:p>
            <w:pPr>
              <w:pStyle w:val="TableParagraph"/>
              <w:spacing w:line="256" w:lineRule="exact" w:before="133"/>
              <w:ind w:left="34" w:right="117"/>
              <w:jc w:val="center"/>
              <w:rPr>
                <w:sz w:val="24"/>
              </w:rPr>
            </w:pPr>
            <w:r>
              <w:rPr>
                <w:spacing w:val="-2"/>
                <w:sz w:val="24"/>
              </w:rPr>
              <w:t>16.60</w:t>
            </w:r>
          </w:p>
        </w:tc>
        <w:tc>
          <w:tcPr>
            <w:tcW w:w="1515" w:type="dxa"/>
          </w:tcPr>
          <w:p>
            <w:pPr>
              <w:pStyle w:val="TableParagraph"/>
              <w:spacing w:line="256" w:lineRule="exact" w:before="133"/>
              <w:ind w:left="102"/>
              <w:rPr>
                <w:sz w:val="24"/>
              </w:rPr>
            </w:pPr>
            <w:r>
              <w:rPr>
                <w:spacing w:val="-2"/>
                <w:sz w:val="24"/>
              </w:rPr>
              <w:t>12.80</w:t>
            </w:r>
          </w:p>
        </w:tc>
        <w:tc>
          <w:tcPr>
            <w:tcW w:w="1732" w:type="dxa"/>
          </w:tcPr>
          <w:p>
            <w:pPr>
              <w:pStyle w:val="TableParagraph"/>
              <w:spacing w:line="256" w:lineRule="exact" w:before="133"/>
              <w:ind w:left="420"/>
              <w:rPr>
                <w:sz w:val="24"/>
              </w:rPr>
            </w:pPr>
            <w:r>
              <w:rPr>
                <w:spacing w:val="-2"/>
                <w:sz w:val="24"/>
              </w:rPr>
              <w:t>29.40</w:t>
            </w:r>
          </w:p>
        </w:tc>
      </w:tr>
      <w:tr>
        <w:trPr>
          <w:trHeight w:val="551" w:hRule="atLeast"/>
        </w:trPr>
        <w:tc>
          <w:tcPr>
            <w:tcW w:w="1661" w:type="dxa"/>
            <w:gridSpan w:val="2"/>
          </w:tcPr>
          <w:p>
            <w:pPr>
              <w:pStyle w:val="TableParagraph"/>
              <w:tabs>
                <w:tab w:pos="1335" w:val="right" w:leader="none"/>
              </w:tabs>
              <w:spacing w:line="256" w:lineRule="exact" w:before="276"/>
              <w:ind w:left="-1"/>
              <w:rPr>
                <w:sz w:val="24"/>
              </w:rPr>
            </w:pPr>
            <w:r>
              <w:rPr>
                <w:sz w:val="24"/>
              </w:rPr>
              <w:t>III</w:t>
            </w:r>
            <w:r>
              <w:rPr>
                <w:spacing w:val="59"/>
                <w:sz w:val="24"/>
              </w:rPr>
              <w:t> </w:t>
            </w:r>
            <w:r>
              <w:rPr>
                <w:spacing w:val="-10"/>
                <w:sz w:val="24"/>
              </w:rPr>
              <w:t>.</w:t>
            </w:r>
            <w:r>
              <w:rPr>
                <w:sz w:val="24"/>
              </w:rPr>
              <w:tab/>
            </w:r>
            <w:r>
              <w:rPr>
                <w:spacing w:val="-4"/>
                <w:sz w:val="24"/>
              </w:rPr>
              <w:t>0.69</w:t>
            </w:r>
          </w:p>
        </w:tc>
        <w:tc>
          <w:tcPr>
            <w:tcW w:w="1828" w:type="dxa"/>
          </w:tcPr>
          <w:p>
            <w:pPr>
              <w:pStyle w:val="TableParagraph"/>
              <w:rPr>
                <w:sz w:val="24"/>
              </w:rPr>
            </w:pPr>
          </w:p>
          <w:p>
            <w:pPr>
              <w:pStyle w:val="TableParagraph"/>
              <w:spacing w:line="256" w:lineRule="exact"/>
              <w:ind w:left="171"/>
              <w:rPr>
                <w:sz w:val="24"/>
              </w:rPr>
            </w:pPr>
            <w:r>
              <w:rPr>
                <w:spacing w:val="-4"/>
                <w:sz w:val="24"/>
              </w:rPr>
              <w:t>2.11</w:t>
            </w:r>
          </w:p>
        </w:tc>
        <w:tc>
          <w:tcPr>
            <w:tcW w:w="904" w:type="dxa"/>
          </w:tcPr>
          <w:p>
            <w:pPr>
              <w:pStyle w:val="TableParagraph"/>
              <w:rPr>
                <w:sz w:val="24"/>
              </w:rPr>
            </w:pPr>
          </w:p>
          <w:p>
            <w:pPr>
              <w:pStyle w:val="TableParagraph"/>
              <w:spacing w:line="256" w:lineRule="exact"/>
              <w:ind w:right="133"/>
              <w:jc w:val="center"/>
              <w:rPr>
                <w:sz w:val="24"/>
              </w:rPr>
            </w:pPr>
            <w:r>
              <w:rPr>
                <w:spacing w:val="-4"/>
                <w:sz w:val="24"/>
              </w:rPr>
              <w:t>2.80</w:t>
            </w:r>
          </w:p>
        </w:tc>
        <w:tc>
          <w:tcPr>
            <w:tcW w:w="1000" w:type="dxa"/>
          </w:tcPr>
          <w:p>
            <w:pPr>
              <w:pStyle w:val="TableParagraph"/>
              <w:rPr>
                <w:sz w:val="24"/>
              </w:rPr>
            </w:pPr>
          </w:p>
          <w:p>
            <w:pPr>
              <w:pStyle w:val="TableParagraph"/>
              <w:spacing w:line="256" w:lineRule="exact"/>
              <w:ind w:left="34" w:right="117"/>
              <w:jc w:val="center"/>
              <w:rPr>
                <w:sz w:val="24"/>
              </w:rPr>
            </w:pPr>
            <w:r>
              <w:rPr>
                <w:spacing w:val="-2"/>
                <w:sz w:val="24"/>
              </w:rPr>
              <w:t>28.51</w:t>
            </w:r>
          </w:p>
        </w:tc>
        <w:tc>
          <w:tcPr>
            <w:tcW w:w="1515" w:type="dxa"/>
          </w:tcPr>
          <w:p>
            <w:pPr>
              <w:pStyle w:val="TableParagraph"/>
              <w:rPr>
                <w:sz w:val="24"/>
              </w:rPr>
            </w:pPr>
          </w:p>
          <w:p>
            <w:pPr>
              <w:pStyle w:val="TableParagraph"/>
              <w:spacing w:line="256" w:lineRule="exact"/>
              <w:ind w:left="102"/>
              <w:rPr>
                <w:sz w:val="24"/>
              </w:rPr>
            </w:pPr>
            <w:r>
              <w:rPr>
                <w:spacing w:val="-4"/>
                <w:sz w:val="24"/>
              </w:rPr>
              <w:t>8.33</w:t>
            </w:r>
          </w:p>
        </w:tc>
        <w:tc>
          <w:tcPr>
            <w:tcW w:w="1732" w:type="dxa"/>
          </w:tcPr>
          <w:p>
            <w:pPr>
              <w:pStyle w:val="TableParagraph"/>
              <w:rPr>
                <w:sz w:val="24"/>
              </w:rPr>
            </w:pPr>
          </w:p>
          <w:p>
            <w:pPr>
              <w:pStyle w:val="TableParagraph"/>
              <w:spacing w:line="256" w:lineRule="exact"/>
              <w:ind w:left="420"/>
              <w:rPr>
                <w:sz w:val="24"/>
              </w:rPr>
            </w:pPr>
            <w:r>
              <w:rPr>
                <w:spacing w:val="-2"/>
                <w:sz w:val="24"/>
              </w:rPr>
              <w:t>36.84</w:t>
            </w:r>
          </w:p>
        </w:tc>
      </w:tr>
      <w:tr>
        <w:trPr>
          <w:trHeight w:val="695" w:hRule="atLeast"/>
        </w:trPr>
        <w:tc>
          <w:tcPr>
            <w:tcW w:w="3489" w:type="dxa"/>
            <w:gridSpan w:val="3"/>
          </w:tcPr>
          <w:p>
            <w:pPr>
              <w:pStyle w:val="TableParagraph"/>
              <w:tabs>
                <w:tab w:pos="915" w:val="left" w:leader="none"/>
                <w:tab w:pos="2252" w:val="right" w:leader="none"/>
              </w:tabs>
              <w:spacing w:before="276"/>
              <w:ind w:left="-1"/>
              <w:rPr>
                <w:sz w:val="24"/>
              </w:rPr>
            </w:pPr>
            <w:r>
              <w:rPr>
                <w:sz w:val="24"/>
              </w:rPr>
              <w:t>IV</w:t>
            </w:r>
            <w:r>
              <w:rPr>
                <w:spacing w:val="30"/>
                <w:sz w:val="24"/>
              </w:rPr>
              <w:t>  </w:t>
            </w:r>
            <w:r>
              <w:rPr>
                <w:spacing w:val="-10"/>
                <w:sz w:val="24"/>
              </w:rPr>
              <w:t>.</w:t>
            </w:r>
            <w:r>
              <w:rPr>
                <w:sz w:val="24"/>
              </w:rPr>
              <w:tab/>
            </w:r>
            <w:r>
              <w:rPr>
                <w:spacing w:val="-4"/>
                <w:sz w:val="24"/>
              </w:rPr>
              <w:t>2.10</w:t>
            </w:r>
            <w:r>
              <w:rPr>
                <w:sz w:val="24"/>
              </w:rPr>
              <w:tab/>
            </w:r>
            <w:r>
              <w:rPr>
                <w:spacing w:val="-4"/>
                <w:sz w:val="24"/>
              </w:rPr>
              <w:t>3.26</w:t>
            </w:r>
          </w:p>
        </w:tc>
        <w:tc>
          <w:tcPr>
            <w:tcW w:w="904" w:type="dxa"/>
          </w:tcPr>
          <w:p>
            <w:pPr>
              <w:pStyle w:val="TableParagraph"/>
              <w:rPr>
                <w:sz w:val="24"/>
              </w:rPr>
            </w:pPr>
          </w:p>
          <w:p>
            <w:pPr>
              <w:pStyle w:val="TableParagraph"/>
              <w:ind w:left="1" w:right="133"/>
              <w:jc w:val="center"/>
              <w:rPr>
                <w:sz w:val="24"/>
              </w:rPr>
            </w:pPr>
            <w:r>
              <w:rPr>
                <w:spacing w:val="-4"/>
                <w:sz w:val="24"/>
              </w:rPr>
              <w:t>5.36</w:t>
            </w:r>
          </w:p>
        </w:tc>
        <w:tc>
          <w:tcPr>
            <w:tcW w:w="1000" w:type="dxa"/>
          </w:tcPr>
          <w:p>
            <w:pPr>
              <w:pStyle w:val="TableParagraph"/>
              <w:rPr>
                <w:sz w:val="24"/>
              </w:rPr>
            </w:pPr>
          </w:p>
          <w:p>
            <w:pPr>
              <w:pStyle w:val="TableParagraph"/>
              <w:ind w:left="34" w:right="117"/>
              <w:jc w:val="center"/>
              <w:rPr>
                <w:sz w:val="24"/>
              </w:rPr>
            </w:pPr>
            <w:r>
              <w:rPr>
                <w:spacing w:val="-2"/>
                <w:sz w:val="24"/>
              </w:rPr>
              <w:t>38.85</w:t>
            </w:r>
          </w:p>
        </w:tc>
        <w:tc>
          <w:tcPr>
            <w:tcW w:w="1515" w:type="dxa"/>
          </w:tcPr>
          <w:p>
            <w:pPr>
              <w:pStyle w:val="TableParagraph"/>
              <w:rPr>
                <w:sz w:val="24"/>
              </w:rPr>
            </w:pPr>
          </w:p>
          <w:p>
            <w:pPr>
              <w:pStyle w:val="TableParagraph"/>
              <w:ind w:left="103"/>
              <w:rPr>
                <w:sz w:val="24"/>
              </w:rPr>
            </w:pPr>
            <w:r>
              <w:rPr>
                <w:spacing w:val="-2"/>
                <w:sz w:val="24"/>
              </w:rPr>
              <w:t>14.50</w:t>
            </w:r>
          </w:p>
        </w:tc>
        <w:tc>
          <w:tcPr>
            <w:tcW w:w="1732" w:type="dxa"/>
          </w:tcPr>
          <w:p>
            <w:pPr>
              <w:pStyle w:val="TableParagraph"/>
              <w:rPr>
                <w:sz w:val="24"/>
              </w:rPr>
            </w:pPr>
          </w:p>
          <w:p>
            <w:pPr>
              <w:pStyle w:val="TableParagraph"/>
              <w:ind w:left="420"/>
              <w:rPr>
                <w:sz w:val="24"/>
              </w:rPr>
            </w:pPr>
            <w:r>
              <w:rPr>
                <w:spacing w:val="-2"/>
                <w:sz w:val="24"/>
              </w:rPr>
              <w:t>53.35</w:t>
            </w:r>
          </w:p>
        </w:tc>
      </w:tr>
      <w:tr>
        <w:trPr>
          <w:trHeight w:val="552" w:hRule="atLeast"/>
        </w:trPr>
        <w:tc>
          <w:tcPr>
            <w:tcW w:w="3489" w:type="dxa"/>
            <w:gridSpan w:val="3"/>
          </w:tcPr>
          <w:p>
            <w:pPr>
              <w:pStyle w:val="TableParagraph"/>
              <w:tabs>
                <w:tab w:pos="413" w:val="left" w:leader="none"/>
                <w:tab w:pos="915" w:val="left" w:leader="none"/>
                <w:tab w:pos="2252" w:val="right" w:leader="none"/>
              </w:tabs>
              <w:spacing w:before="133"/>
              <w:ind w:left="-1"/>
              <w:rPr>
                <w:sz w:val="24"/>
              </w:rPr>
            </w:pPr>
            <w:r>
              <w:rPr>
                <w:spacing w:val="-10"/>
                <w:sz w:val="24"/>
              </w:rPr>
              <w:t>V</w:t>
            </w:r>
            <w:r>
              <w:rPr>
                <w:sz w:val="24"/>
              </w:rPr>
              <w:tab/>
            </w:r>
            <w:r>
              <w:rPr>
                <w:spacing w:val="-10"/>
                <w:sz w:val="24"/>
              </w:rPr>
              <w:t>.</w:t>
            </w:r>
            <w:r>
              <w:rPr>
                <w:sz w:val="24"/>
              </w:rPr>
              <w:tab/>
            </w:r>
            <w:r>
              <w:rPr>
                <w:spacing w:val="-4"/>
                <w:sz w:val="24"/>
              </w:rPr>
              <w:t>3.91</w:t>
            </w:r>
            <w:r>
              <w:rPr>
                <w:sz w:val="24"/>
              </w:rPr>
              <w:tab/>
            </w:r>
            <w:r>
              <w:rPr>
                <w:spacing w:val="-4"/>
                <w:sz w:val="24"/>
              </w:rPr>
              <w:t>2.40</w:t>
            </w:r>
          </w:p>
        </w:tc>
        <w:tc>
          <w:tcPr>
            <w:tcW w:w="904" w:type="dxa"/>
          </w:tcPr>
          <w:p>
            <w:pPr>
              <w:pStyle w:val="TableParagraph"/>
              <w:spacing w:before="133"/>
              <w:ind w:left="1" w:right="133"/>
              <w:jc w:val="center"/>
              <w:rPr>
                <w:sz w:val="24"/>
              </w:rPr>
            </w:pPr>
            <w:r>
              <w:rPr>
                <w:spacing w:val="-4"/>
                <w:sz w:val="24"/>
              </w:rPr>
              <w:t>6.31</w:t>
            </w:r>
          </w:p>
        </w:tc>
        <w:tc>
          <w:tcPr>
            <w:tcW w:w="1000" w:type="dxa"/>
          </w:tcPr>
          <w:p>
            <w:pPr>
              <w:pStyle w:val="TableParagraph"/>
              <w:spacing w:before="133"/>
              <w:ind w:left="34" w:right="116"/>
              <w:jc w:val="center"/>
              <w:rPr>
                <w:sz w:val="24"/>
              </w:rPr>
            </w:pPr>
            <w:r>
              <w:rPr>
                <w:spacing w:val="-2"/>
                <w:sz w:val="24"/>
              </w:rPr>
              <w:t>36.10</w:t>
            </w:r>
          </w:p>
        </w:tc>
        <w:tc>
          <w:tcPr>
            <w:tcW w:w="1515" w:type="dxa"/>
          </w:tcPr>
          <w:p>
            <w:pPr>
              <w:pStyle w:val="TableParagraph"/>
              <w:spacing w:before="133"/>
              <w:ind w:left="103"/>
              <w:rPr>
                <w:sz w:val="24"/>
              </w:rPr>
            </w:pPr>
            <w:r>
              <w:rPr>
                <w:spacing w:val="-2"/>
                <w:sz w:val="24"/>
              </w:rPr>
              <w:t>14.50</w:t>
            </w:r>
          </w:p>
        </w:tc>
        <w:tc>
          <w:tcPr>
            <w:tcW w:w="1732" w:type="dxa"/>
          </w:tcPr>
          <w:p>
            <w:pPr>
              <w:pStyle w:val="TableParagraph"/>
              <w:spacing w:before="133"/>
              <w:ind w:left="420"/>
              <w:rPr>
                <w:sz w:val="24"/>
              </w:rPr>
            </w:pPr>
            <w:r>
              <w:rPr>
                <w:spacing w:val="-2"/>
                <w:sz w:val="24"/>
              </w:rPr>
              <w:t>50.60</w:t>
            </w:r>
          </w:p>
        </w:tc>
      </w:tr>
      <w:tr>
        <w:trPr>
          <w:trHeight w:val="552" w:hRule="atLeast"/>
        </w:trPr>
        <w:tc>
          <w:tcPr>
            <w:tcW w:w="3489" w:type="dxa"/>
            <w:gridSpan w:val="3"/>
          </w:tcPr>
          <w:p>
            <w:pPr>
              <w:pStyle w:val="TableParagraph"/>
              <w:tabs>
                <w:tab w:pos="915" w:val="left" w:leader="none"/>
                <w:tab w:pos="2252" w:val="right" w:leader="none"/>
              </w:tabs>
              <w:spacing w:before="133"/>
              <w:ind w:left="-1"/>
              <w:rPr>
                <w:sz w:val="24"/>
              </w:rPr>
            </w:pPr>
            <w:r>
              <w:rPr>
                <w:sz w:val="24"/>
              </w:rPr>
              <w:t>VI</w:t>
            </w:r>
            <w:r>
              <w:rPr>
                <w:spacing w:val="30"/>
                <w:sz w:val="24"/>
              </w:rPr>
              <w:t>  </w:t>
            </w:r>
            <w:r>
              <w:rPr>
                <w:spacing w:val="-10"/>
                <w:sz w:val="24"/>
              </w:rPr>
              <w:t>.</w:t>
            </w:r>
            <w:r>
              <w:rPr>
                <w:sz w:val="24"/>
              </w:rPr>
              <w:tab/>
            </w:r>
            <w:r>
              <w:rPr>
                <w:spacing w:val="-4"/>
                <w:sz w:val="24"/>
              </w:rPr>
              <w:t>5.85</w:t>
            </w:r>
            <w:r>
              <w:rPr>
                <w:sz w:val="24"/>
              </w:rPr>
              <w:tab/>
            </w:r>
            <w:r>
              <w:rPr>
                <w:spacing w:val="-4"/>
                <w:sz w:val="24"/>
              </w:rPr>
              <w:t>4.63</w:t>
            </w:r>
          </w:p>
        </w:tc>
        <w:tc>
          <w:tcPr>
            <w:tcW w:w="904" w:type="dxa"/>
          </w:tcPr>
          <w:p>
            <w:pPr>
              <w:pStyle w:val="TableParagraph"/>
              <w:spacing w:before="133"/>
              <w:ind w:left="121" w:right="133"/>
              <w:jc w:val="center"/>
              <w:rPr>
                <w:sz w:val="24"/>
              </w:rPr>
            </w:pPr>
            <w:r>
              <w:rPr>
                <w:spacing w:val="-2"/>
                <w:sz w:val="24"/>
              </w:rPr>
              <w:t>10.48</w:t>
            </w:r>
          </w:p>
        </w:tc>
        <w:tc>
          <w:tcPr>
            <w:tcW w:w="1000" w:type="dxa"/>
          </w:tcPr>
          <w:p>
            <w:pPr>
              <w:pStyle w:val="TableParagraph"/>
              <w:spacing w:before="133"/>
              <w:ind w:left="34" w:right="117"/>
              <w:jc w:val="center"/>
              <w:rPr>
                <w:sz w:val="24"/>
              </w:rPr>
            </w:pPr>
            <w:r>
              <w:rPr>
                <w:spacing w:val="-2"/>
                <w:sz w:val="24"/>
              </w:rPr>
              <w:t>43.24</w:t>
            </w:r>
          </w:p>
        </w:tc>
        <w:tc>
          <w:tcPr>
            <w:tcW w:w="1515" w:type="dxa"/>
          </w:tcPr>
          <w:p>
            <w:pPr>
              <w:pStyle w:val="TableParagraph"/>
              <w:spacing w:before="133"/>
              <w:ind w:left="103"/>
              <w:rPr>
                <w:sz w:val="24"/>
              </w:rPr>
            </w:pPr>
            <w:r>
              <w:rPr>
                <w:spacing w:val="-2"/>
                <w:sz w:val="24"/>
              </w:rPr>
              <w:t>60.00</w:t>
            </w:r>
          </w:p>
        </w:tc>
        <w:tc>
          <w:tcPr>
            <w:tcW w:w="1732" w:type="dxa"/>
          </w:tcPr>
          <w:p>
            <w:pPr>
              <w:pStyle w:val="TableParagraph"/>
              <w:spacing w:before="133"/>
              <w:ind w:left="420"/>
              <w:rPr>
                <w:sz w:val="24"/>
              </w:rPr>
            </w:pPr>
            <w:r>
              <w:rPr>
                <w:spacing w:val="-2"/>
                <w:sz w:val="24"/>
              </w:rPr>
              <w:t>103.24</w:t>
            </w:r>
          </w:p>
        </w:tc>
      </w:tr>
      <w:tr>
        <w:trPr>
          <w:trHeight w:val="552" w:hRule="atLeast"/>
        </w:trPr>
        <w:tc>
          <w:tcPr>
            <w:tcW w:w="3489" w:type="dxa"/>
            <w:gridSpan w:val="3"/>
          </w:tcPr>
          <w:p>
            <w:pPr>
              <w:pStyle w:val="TableParagraph"/>
              <w:tabs>
                <w:tab w:pos="915" w:val="left" w:leader="none"/>
                <w:tab w:pos="2252" w:val="right" w:leader="none"/>
              </w:tabs>
              <w:spacing w:before="133"/>
              <w:ind w:left="-1"/>
              <w:rPr>
                <w:sz w:val="24"/>
              </w:rPr>
            </w:pPr>
            <w:r>
              <w:rPr>
                <w:sz w:val="24"/>
              </w:rPr>
              <w:t>VII</w:t>
            </w:r>
            <w:r>
              <w:rPr>
                <w:spacing w:val="60"/>
                <w:sz w:val="24"/>
              </w:rPr>
              <w:t> </w:t>
            </w:r>
            <w:r>
              <w:rPr>
                <w:spacing w:val="-10"/>
                <w:sz w:val="24"/>
              </w:rPr>
              <w:t>.</w:t>
            </w:r>
            <w:r>
              <w:rPr>
                <w:sz w:val="24"/>
              </w:rPr>
              <w:tab/>
            </w:r>
            <w:r>
              <w:rPr>
                <w:spacing w:val="-4"/>
                <w:sz w:val="24"/>
              </w:rPr>
              <w:t>7.29</w:t>
            </w:r>
            <w:r>
              <w:rPr>
                <w:sz w:val="24"/>
              </w:rPr>
              <w:tab/>
            </w:r>
            <w:r>
              <w:rPr>
                <w:spacing w:val="-4"/>
                <w:sz w:val="24"/>
              </w:rPr>
              <w:t>4.88</w:t>
            </w:r>
          </w:p>
        </w:tc>
        <w:tc>
          <w:tcPr>
            <w:tcW w:w="904" w:type="dxa"/>
          </w:tcPr>
          <w:p>
            <w:pPr>
              <w:pStyle w:val="TableParagraph"/>
              <w:spacing w:before="133"/>
              <w:ind w:left="121" w:right="133"/>
              <w:jc w:val="center"/>
              <w:rPr>
                <w:sz w:val="24"/>
              </w:rPr>
            </w:pPr>
            <w:r>
              <w:rPr>
                <w:spacing w:val="-2"/>
                <w:sz w:val="24"/>
              </w:rPr>
              <w:t>12.17</w:t>
            </w:r>
          </w:p>
        </w:tc>
        <w:tc>
          <w:tcPr>
            <w:tcW w:w="1000" w:type="dxa"/>
          </w:tcPr>
          <w:p>
            <w:pPr>
              <w:pStyle w:val="TableParagraph"/>
              <w:spacing w:before="133"/>
              <w:ind w:left="34" w:right="117"/>
              <w:jc w:val="center"/>
              <w:rPr>
                <w:sz w:val="24"/>
              </w:rPr>
            </w:pPr>
            <w:r>
              <w:rPr>
                <w:spacing w:val="-2"/>
                <w:sz w:val="24"/>
              </w:rPr>
              <w:t>47.09</w:t>
            </w:r>
          </w:p>
        </w:tc>
        <w:tc>
          <w:tcPr>
            <w:tcW w:w="1515" w:type="dxa"/>
          </w:tcPr>
          <w:p>
            <w:pPr>
              <w:pStyle w:val="TableParagraph"/>
              <w:spacing w:before="133"/>
              <w:ind w:left="103"/>
              <w:rPr>
                <w:sz w:val="24"/>
              </w:rPr>
            </w:pPr>
            <w:r>
              <w:rPr>
                <w:spacing w:val="-2"/>
                <w:sz w:val="24"/>
              </w:rPr>
              <w:t>75.00</w:t>
            </w:r>
          </w:p>
        </w:tc>
        <w:tc>
          <w:tcPr>
            <w:tcW w:w="1732" w:type="dxa"/>
          </w:tcPr>
          <w:p>
            <w:pPr>
              <w:pStyle w:val="TableParagraph"/>
              <w:spacing w:before="133"/>
              <w:ind w:left="420"/>
              <w:rPr>
                <w:sz w:val="24"/>
              </w:rPr>
            </w:pPr>
            <w:r>
              <w:rPr>
                <w:spacing w:val="-2"/>
                <w:sz w:val="24"/>
              </w:rPr>
              <w:t>112.09</w:t>
            </w:r>
          </w:p>
        </w:tc>
      </w:tr>
      <w:tr>
        <w:trPr>
          <w:trHeight w:val="552" w:hRule="atLeast"/>
        </w:trPr>
        <w:tc>
          <w:tcPr>
            <w:tcW w:w="3489" w:type="dxa"/>
            <w:gridSpan w:val="3"/>
          </w:tcPr>
          <w:p>
            <w:pPr>
              <w:pStyle w:val="TableParagraph"/>
              <w:tabs>
                <w:tab w:pos="915" w:val="left" w:leader="none"/>
                <w:tab w:pos="2252" w:val="right" w:leader="none"/>
              </w:tabs>
              <w:spacing w:before="133"/>
              <w:ind w:left="-1"/>
              <w:rPr>
                <w:sz w:val="24"/>
              </w:rPr>
            </w:pPr>
            <w:r>
              <w:rPr>
                <w:sz w:val="24"/>
              </w:rPr>
              <w:t>VIII</w:t>
            </w:r>
            <w:r>
              <w:rPr>
                <w:spacing w:val="-1"/>
                <w:sz w:val="24"/>
              </w:rPr>
              <w:t> </w:t>
            </w:r>
            <w:r>
              <w:rPr>
                <w:spacing w:val="-10"/>
                <w:sz w:val="24"/>
              </w:rPr>
              <w:t>.</w:t>
            </w:r>
            <w:r>
              <w:rPr>
                <w:sz w:val="24"/>
              </w:rPr>
              <w:tab/>
            </w:r>
            <w:r>
              <w:rPr>
                <w:spacing w:val="-4"/>
                <w:sz w:val="24"/>
              </w:rPr>
              <w:t>9.30</w:t>
            </w:r>
            <w:r>
              <w:rPr>
                <w:sz w:val="24"/>
              </w:rPr>
              <w:tab/>
            </w:r>
            <w:r>
              <w:rPr>
                <w:spacing w:val="-4"/>
                <w:sz w:val="24"/>
              </w:rPr>
              <w:t>6.95</w:t>
            </w:r>
          </w:p>
        </w:tc>
        <w:tc>
          <w:tcPr>
            <w:tcW w:w="904" w:type="dxa"/>
          </w:tcPr>
          <w:p>
            <w:pPr>
              <w:pStyle w:val="TableParagraph"/>
              <w:spacing w:before="133"/>
              <w:ind w:left="121" w:right="133"/>
              <w:jc w:val="center"/>
              <w:rPr>
                <w:sz w:val="24"/>
              </w:rPr>
            </w:pPr>
            <w:r>
              <w:rPr>
                <w:spacing w:val="-2"/>
                <w:sz w:val="24"/>
              </w:rPr>
              <w:t>16.25</w:t>
            </w:r>
          </w:p>
        </w:tc>
        <w:tc>
          <w:tcPr>
            <w:tcW w:w="1000" w:type="dxa"/>
          </w:tcPr>
          <w:p>
            <w:pPr>
              <w:pStyle w:val="TableParagraph"/>
              <w:spacing w:before="133"/>
              <w:ind w:left="117" w:right="83"/>
              <w:jc w:val="center"/>
              <w:rPr>
                <w:sz w:val="24"/>
              </w:rPr>
            </w:pPr>
            <w:r>
              <w:rPr>
                <w:spacing w:val="-2"/>
                <w:sz w:val="24"/>
              </w:rPr>
              <w:t>169.68</w:t>
            </w:r>
          </w:p>
        </w:tc>
        <w:tc>
          <w:tcPr>
            <w:tcW w:w="1515" w:type="dxa"/>
          </w:tcPr>
          <w:p>
            <w:pPr>
              <w:pStyle w:val="TableParagraph"/>
              <w:spacing w:before="133"/>
              <w:ind w:left="102"/>
              <w:rPr>
                <w:sz w:val="24"/>
              </w:rPr>
            </w:pPr>
            <w:r>
              <w:rPr>
                <w:spacing w:val="-2"/>
                <w:sz w:val="24"/>
              </w:rPr>
              <w:t>21.40</w:t>
            </w:r>
          </w:p>
        </w:tc>
        <w:tc>
          <w:tcPr>
            <w:tcW w:w="1732" w:type="dxa"/>
          </w:tcPr>
          <w:p>
            <w:pPr>
              <w:pStyle w:val="TableParagraph"/>
              <w:spacing w:before="133"/>
              <w:ind w:left="420"/>
              <w:rPr>
                <w:sz w:val="24"/>
              </w:rPr>
            </w:pPr>
            <w:r>
              <w:rPr>
                <w:spacing w:val="-2"/>
                <w:sz w:val="24"/>
              </w:rPr>
              <w:t>191.08</w:t>
            </w:r>
          </w:p>
        </w:tc>
      </w:tr>
      <w:tr>
        <w:trPr>
          <w:trHeight w:val="551" w:hRule="atLeast"/>
        </w:trPr>
        <w:tc>
          <w:tcPr>
            <w:tcW w:w="3489" w:type="dxa"/>
            <w:gridSpan w:val="3"/>
          </w:tcPr>
          <w:p>
            <w:pPr>
              <w:pStyle w:val="TableParagraph"/>
              <w:tabs>
                <w:tab w:pos="915" w:val="left" w:leader="none"/>
                <w:tab w:pos="1832" w:val="left" w:leader="none"/>
              </w:tabs>
              <w:spacing w:before="133"/>
              <w:ind w:left="-1"/>
              <w:rPr>
                <w:sz w:val="24"/>
              </w:rPr>
            </w:pPr>
            <w:r>
              <w:rPr>
                <w:sz w:val="24"/>
              </w:rPr>
              <w:t>IX</w:t>
            </w:r>
            <w:r>
              <w:rPr>
                <w:spacing w:val="30"/>
                <w:sz w:val="24"/>
              </w:rPr>
              <w:t>  </w:t>
            </w:r>
            <w:r>
              <w:rPr>
                <w:spacing w:val="-10"/>
                <w:sz w:val="24"/>
              </w:rPr>
              <w:t>.</w:t>
            </w:r>
            <w:r>
              <w:rPr>
                <w:sz w:val="24"/>
              </w:rPr>
              <w:tab/>
            </w:r>
            <w:r>
              <w:rPr>
                <w:spacing w:val="-2"/>
                <w:sz w:val="24"/>
              </w:rPr>
              <w:t>11.15</w:t>
            </w:r>
            <w:r>
              <w:rPr>
                <w:sz w:val="24"/>
              </w:rPr>
              <w:tab/>
            </w:r>
            <w:r>
              <w:rPr>
                <w:spacing w:val="-4"/>
                <w:sz w:val="24"/>
              </w:rPr>
              <w:t>7.51</w:t>
            </w:r>
          </w:p>
        </w:tc>
        <w:tc>
          <w:tcPr>
            <w:tcW w:w="904" w:type="dxa"/>
          </w:tcPr>
          <w:p>
            <w:pPr>
              <w:pStyle w:val="TableParagraph"/>
              <w:spacing w:before="133"/>
              <w:ind w:left="121" w:right="133"/>
              <w:jc w:val="center"/>
              <w:rPr>
                <w:sz w:val="24"/>
              </w:rPr>
            </w:pPr>
            <w:r>
              <w:rPr>
                <w:spacing w:val="-2"/>
                <w:sz w:val="24"/>
              </w:rPr>
              <w:t>18.66</w:t>
            </w:r>
          </w:p>
        </w:tc>
        <w:tc>
          <w:tcPr>
            <w:tcW w:w="1000" w:type="dxa"/>
          </w:tcPr>
          <w:p>
            <w:pPr>
              <w:pStyle w:val="TableParagraph"/>
              <w:spacing w:before="133"/>
              <w:ind w:left="117" w:right="83"/>
              <w:jc w:val="center"/>
              <w:rPr>
                <w:sz w:val="24"/>
              </w:rPr>
            </w:pPr>
            <w:r>
              <w:rPr>
                <w:spacing w:val="-2"/>
                <w:sz w:val="24"/>
              </w:rPr>
              <w:t>192.55</w:t>
            </w:r>
          </w:p>
        </w:tc>
        <w:tc>
          <w:tcPr>
            <w:tcW w:w="1515" w:type="dxa"/>
          </w:tcPr>
          <w:p>
            <w:pPr>
              <w:pStyle w:val="TableParagraph"/>
              <w:spacing w:before="133"/>
              <w:ind w:left="103"/>
              <w:rPr>
                <w:sz w:val="24"/>
              </w:rPr>
            </w:pPr>
            <w:r>
              <w:rPr>
                <w:spacing w:val="-2"/>
                <w:sz w:val="24"/>
              </w:rPr>
              <w:t>70.00</w:t>
            </w:r>
          </w:p>
        </w:tc>
        <w:tc>
          <w:tcPr>
            <w:tcW w:w="1732" w:type="dxa"/>
          </w:tcPr>
          <w:p>
            <w:pPr>
              <w:pStyle w:val="TableParagraph"/>
              <w:spacing w:before="133"/>
              <w:ind w:left="420"/>
              <w:rPr>
                <w:sz w:val="24"/>
              </w:rPr>
            </w:pPr>
            <w:r>
              <w:rPr>
                <w:spacing w:val="-2"/>
                <w:sz w:val="24"/>
              </w:rPr>
              <w:t>262.55</w:t>
            </w:r>
          </w:p>
        </w:tc>
      </w:tr>
      <w:tr>
        <w:trPr>
          <w:trHeight w:val="551" w:hRule="atLeast"/>
        </w:trPr>
        <w:tc>
          <w:tcPr>
            <w:tcW w:w="3489" w:type="dxa"/>
            <w:gridSpan w:val="3"/>
          </w:tcPr>
          <w:p>
            <w:pPr>
              <w:pStyle w:val="TableParagraph"/>
              <w:tabs>
                <w:tab w:pos="413" w:val="left" w:leader="none"/>
                <w:tab w:pos="915" w:val="left" w:leader="none"/>
                <w:tab w:pos="1832" w:val="left" w:leader="none"/>
              </w:tabs>
              <w:spacing w:before="132"/>
              <w:ind w:left="-1"/>
              <w:rPr>
                <w:sz w:val="24"/>
              </w:rPr>
            </w:pPr>
            <w:r>
              <w:rPr>
                <w:spacing w:val="-10"/>
                <w:sz w:val="24"/>
              </w:rPr>
              <w:t>X</w:t>
            </w:r>
            <w:r>
              <w:rPr>
                <w:sz w:val="24"/>
              </w:rPr>
              <w:tab/>
            </w:r>
            <w:r>
              <w:rPr>
                <w:spacing w:val="-10"/>
                <w:sz w:val="24"/>
              </w:rPr>
              <w:t>.</w:t>
            </w:r>
            <w:r>
              <w:rPr>
                <w:sz w:val="24"/>
              </w:rPr>
              <w:tab/>
            </w:r>
            <w:r>
              <w:rPr>
                <w:spacing w:val="-4"/>
                <w:sz w:val="24"/>
              </w:rPr>
              <w:t>4.50</w:t>
            </w:r>
            <w:r>
              <w:rPr>
                <w:sz w:val="24"/>
              </w:rPr>
              <w:tab/>
            </w:r>
            <w:r>
              <w:rPr>
                <w:spacing w:val="-2"/>
                <w:sz w:val="24"/>
              </w:rPr>
              <w:t>14.00</w:t>
            </w:r>
          </w:p>
        </w:tc>
        <w:tc>
          <w:tcPr>
            <w:tcW w:w="904" w:type="dxa"/>
          </w:tcPr>
          <w:p>
            <w:pPr>
              <w:pStyle w:val="TableParagraph"/>
              <w:spacing w:before="132"/>
              <w:ind w:left="121" w:right="133"/>
              <w:jc w:val="center"/>
              <w:rPr>
                <w:sz w:val="24"/>
              </w:rPr>
            </w:pPr>
            <w:r>
              <w:rPr>
                <w:spacing w:val="-2"/>
                <w:sz w:val="24"/>
              </w:rPr>
              <w:t>18.50</w:t>
            </w:r>
          </w:p>
        </w:tc>
        <w:tc>
          <w:tcPr>
            <w:tcW w:w="1000" w:type="dxa"/>
          </w:tcPr>
          <w:p>
            <w:pPr>
              <w:pStyle w:val="TableParagraph"/>
              <w:spacing w:before="132"/>
              <w:ind w:left="117" w:right="83"/>
              <w:jc w:val="center"/>
              <w:rPr>
                <w:sz w:val="24"/>
              </w:rPr>
            </w:pPr>
            <w:r>
              <w:rPr>
                <w:spacing w:val="-2"/>
                <w:sz w:val="24"/>
              </w:rPr>
              <w:t>216.35</w:t>
            </w:r>
          </w:p>
        </w:tc>
        <w:tc>
          <w:tcPr>
            <w:tcW w:w="1515" w:type="dxa"/>
          </w:tcPr>
          <w:p>
            <w:pPr>
              <w:pStyle w:val="TableParagraph"/>
              <w:spacing w:before="132"/>
              <w:ind w:left="102"/>
              <w:rPr>
                <w:sz w:val="24"/>
              </w:rPr>
            </w:pPr>
            <w:r>
              <w:rPr>
                <w:spacing w:val="-2"/>
                <w:sz w:val="24"/>
              </w:rPr>
              <w:t>70.00</w:t>
            </w:r>
          </w:p>
        </w:tc>
        <w:tc>
          <w:tcPr>
            <w:tcW w:w="1732" w:type="dxa"/>
          </w:tcPr>
          <w:p>
            <w:pPr>
              <w:pStyle w:val="TableParagraph"/>
              <w:spacing w:before="132"/>
              <w:ind w:left="420"/>
              <w:rPr>
                <w:sz w:val="24"/>
              </w:rPr>
            </w:pPr>
            <w:r>
              <w:rPr>
                <w:spacing w:val="-2"/>
                <w:sz w:val="24"/>
              </w:rPr>
              <w:t>286.35</w:t>
            </w:r>
          </w:p>
        </w:tc>
      </w:tr>
      <w:tr>
        <w:trPr>
          <w:trHeight w:val="606" w:hRule="atLeast"/>
        </w:trPr>
        <w:tc>
          <w:tcPr>
            <w:tcW w:w="3489" w:type="dxa"/>
            <w:gridSpan w:val="3"/>
            <w:tcBorders>
              <w:bottom w:val="single" w:sz="12" w:space="0" w:color="808080"/>
            </w:tcBorders>
          </w:tcPr>
          <w:p>
            <w:pPr>
              <w:pStyle w:val="TableParagraph"/>
              <w:tabs>
                <w:tab w:pos="915" w:val="left" w:leader="none"/>
                <w:tab w:pos="1832" w:val="left" w:leader="none"/>
              </w:tabs>
              <w:spacing w:before="133"/>
              <w:ind w:left="-1"/>
              <w:rPr>
                <w:sz w:val="24"/>
              </w:rPr>
            </w:pPr>
            <w:r>
              <w:rPr>
                <w:sz w:val="24"/>
              </w:rPr>
              <w:t>XI</w:t>
            </w:r>
            <w:r>
              <w:rPr>
                <w:spacing w:val="30"/>
                <w:sz w:val="24"/>
              </w:rPr>
              <w:t>  </w:t>
            </w:r>
            <w:r>
              <w:rPr>
                <w:spacing w:val="-10"/>
                <w:sz w:val="24"/>
              </w:rPr>
              <w:t>.</w:t>
            </w:r>
            <w:r>
              <w:rPr>
                <w:sz w:val="24"/>
              </w:rPr>
              <w:tab/>
            </w:r>
            <w:r>
              <w:rPr>
                <w:spacing w:val="-2"/>
                <w:sz w:val="24"/>
              </w:rPr>
              <w:t>13.75</w:t>
            </w:r>
            <w:r>
              <w:rPr>
                <w:sz w:val="24"/>
              </w:rPr>
              <w:tab/>
            </w:r>
            <w:r>
              <w:rPr>
                <w:spacing w:val="-2"/>
                <w:sz w:val="24"/>
              </w:rPr>
              <w:t>11.25</w:t>
            </w:r>
          </w:p>
        </w:tc>
        <w:tc>
          <w:tcPr>
            <w:tcW w:w="904" w:type="dxa"/>
            <w:tcBorders>
              <w:bottom w:val="single" w:sz="12" w:space="0" w:color="808080"/>
            </w:tcBorders>
          </w:tcPr>
          <w:p>
            <w:pPr>
              <w:pStyle w:val="TableParagraph"/>
              <w:spacing w:before="133"/>
              <w:ind w:left="121" w:right="133"/>
              <w:jc w:val="center"/>
              <w:rPr>
                <w:sz w:val="24"/>
              </w:rPr>
            </w:pPr>
            <w:r>
              <w:rPr>
                <w:spacing w:val="-2"/>
                <w:sz w:val="24"/>
              </w:rPr>
              <w:t>25.00</w:t>
            </w:r>
          </w:p>
        </w:tc>
        <w:tc>
          <w:tcPr>
            <w:tcW w:w="1000" w:type="dxa"/>
            <w:tcBorders>
              <w:bottom w:val="single" w:sz="12" w:space="0" w:color="808080"/>
            </w:tcBorders>
          </w:tcPr>
          <w:p>
            <w:pPr>
              <w:pStyle w:val="TableParagraph"/>
              <w:spacing w:before="133"/>
              <w:ind w:left="117" w:right="83"/>
              <w:jc w:val="center"/>
              <w:rPr>
                <w:sz w:val="24"/>
              </w:rPr>
            </w:pPr>
            <w:r>
              <w:rPr>
                <w:spacing w:val="-2"/>
                <w:sz w:val="24"/>
              </w:rPr>
              <w:t>189.65</w:t>
            </w:r>
          </w:p>
        </w:tc>
        <w:tc>
          <w:tcPr>
            <w:tcW w:w="1515" w:type="dxa"/>
            <w:tcBorders>
              <w:bottom w:val="single" w:sz="12" w:space="0" w:color="808080"/>
            </w:tcBorders>
          </w:tcPr>
          <w:p>
            <w:pPr>
              <w:pStyle w:val="TableParagraph"/>
              <w:spacing w:before="133"/>
              <w:ind w:left="103"/>
              <w:rPr>
                <w:sz w:val="24"/>
              </w:rPr>
            </w:pPr>
            <w:r>
              <w:rPr>
                <w:spacing w:val="-2"/>
                <w:sz w:val="24"/>
              </w:rPr>
              <w:t>70.00</w:t>
            </w:r>
          </w:p>
        </w:tc>
        <w:tc>
          <w:tcPr>
            <w:tcW w:w="1732" w:type="dxa"/>
            <w:tcBorders>
              <w:bottom w:val="single" w:sz="12" w:space="0" w:color="808080"/>
            </w:tcBorders>
          </w:tcPr>
          <w:p>
            <w:pPr>
              <w:pStyle w:val="TableParagraph"/>
              <w:spacing w:before="133"/>
              <w:ind w:left="420"/>
              <w:rPr>
                <w:sz w:val="24"/>
              </w:rPr>
            </w:pPr>
            <w:r>
              <w:rPr>
                <w:spacing w:val="-2"/>
                <w:sz w:val="24"/>
              </w:rPr>
              <w:t>259.65</w:t>
            </w:r>
          </w:p>
        </w:tc>
      </w:tr>
      <w:tr>
        <w:trPr>
          <w:trHeight w:val="324" w:hRule="atLeast"/>
        </w:trPr>
        <w:tc>
          <w:tcPr>
            <w:tcW w:w="3489" w:type="dxa"/>
            <w:gridSpan w:val="3"/>
            <w:tcBorders>
              <w:top w:val="single" w:sz="12" w:space="0" w:color="808080"/>
            </w:tcBorders>
          </w:tcPr>
          <w:p>
            <w:pPr>
              <w:pStyle w:val="TableParagraph"/>
              <w:spacing w:line="256" w:lineRule="exact" w:before="48"/>
              <w:ind w:left="-1"/>
              <w:rPr>
                <w:sz w:val="24"/>
              </w:rPr>
            </w:pPr>
            <w:r>
              <w:rPr>
                <w:sz w:val="24"/>
              </w:rPr>
              <w:t>Source.</w:t>
            </w:r>
            <w:r>
              <w:rPr>
                <w:spacing w:val="60"/>
                <w:sz w:val="24"/>
              </w:rPr>
              <w:t> </w:t>
            </w:r>
            <w:r>
              <w:rPr>
                <w:sz w:val="24"/>
              </w:rPr>
              <w:t>Data supplied by </w:t>
            </w:r>
            <w:r>
              <w:rPr>
                <w:spacing w:val="-2"/>
                <w:sz w:val="24"/>
              </w:rPr>
              <w:t>schools.</w:t>
            </w:r>
          </w:p>
        </w:tc>
        <w:tc>
          <w:tcPr>
            <w:tcW w:w="904" w:type="dxa"/>
            <w:tcBorders>
              <w:top w:val="single" w:sz="12" w:space="0" w:color="808080"/>
            </w:tcBorders>
          </w:tcPr>
          <w:p>
            <w:pPr>
              <w:pStyle w:val="TableParagraph"/>
              <w:rPr>
                <w:sz w:val="24"/>
              </w:rPr>
            </w:pPr>
          </w:p>
        </w:tc>
        <w:tc>
          <w:tcPr>
            <w:tcW w:w="1000" w:type="dxa"/>
            <w:tcBorders>
              <w:top w:val="single" w:sz="12" w:space="0" w:color="808080"/>
            </w:tcBorders>
          </w:tcPr>
          <w:p>
            <w:pPr>
              <w:pStyle w:val="TableParagraph"/>
              <w:rPr>
                <w:sz w:val="24"/>
              </w:rPr>
            </w:pPr>
          </w:p>
        </w:tc>
        <w:tc>
          <w:tcPr>
            <w:tcW w:w="1515" w:type="dxa"/>
            <w:tcBorders>
              <w:top w:val="single" w:sz="12" w:space="0" w:color="808080"/>
            </w:tcBorders>
          </w:tcPr>
          <w:p>
            <w:pPr>
              <w:pStyle w:val="TableParagraph"/>
              <w:rPr>
                <w:sz w:val="24"/>
              </w:rPr>
            </w:pPr>
          </w:p>
        </w:tc>
        <w:tc>
          <w:tcPr>
            <w:tcW w:w="1732" w:type="dxa"/>
            <w:tcBorders>
              <w:top w:val="single" w:sz="12" w:space="0" w:color="808080"/>
            </w:tcBorders>
          </w:tcPr>
          <w:p>
            <w:pPr>
              <w:pStyle w:val="TableParagraph"/>
              <w:rPr>
                <w:sz w:val="24"/>
              </w:rPr>
            </w:pPr>
          </w:p>
        </w:tc>
      </w:tr>
    </w:tbl>
    <w:p>
      <w:pPr>
        <w:pStyle w:val="BodyText"/>
      </w:pPr>
    </w:p>
    <w:p>
      <w:pPr>
        <w:pStyle w:val="BodyText"/>
      </w:pPr>
    </w:p>
    <w:p>
      <w:pPr>
        <w:pStyle w:val="BodyText"/>
        <w:spacing w:before="9"/>
      </w:pPr>
    </w:p>
    <w:p>
      <w:pPr>
        <w:pStyle w:val="ListParagraph"/>
        <w:numPr>
          <w:ilvl w:val="1"/>
          <w:numId w:val="10"/>
        </w:numPr>
        <w:tabs>
          <w:tab w:pos="705" w:val="left" w:leader="none"/>
        </w:tabs>
        <w:spacing w:line="240" w:lineRule="auto" w:before="0" w:after="0"/>
        <w:ind w:left="159" w:right="497" w:firstLine="0"/>
        <w:jc w:val="both"/>
        <w:rPr>
          <w:sz w:val="24"/>
        </w:rPr>
      </w:pPr>
      <w:r>
        <w:rPr/>
        <mc:AlternateContent>
          <mc:Choice Requires="wps">
            <w:drawing>
              <wp:anchor distT="0" distB="0" distL="0" distR="0" allowOverlap="1" layoutInCell="1" locked="0" behindDoc="0" simplePos="0" relativeHeight="15763456">
                <wp:simplePos x="0" y="0"/>
                <wp:positionH relativeFrom="page">
                  <wp:posOffset>6626352</wp:posOffset>
                </wp:positionH>
                <wp:positionV relativeFrom="paragraph">
                  <wp:posOffset>-4608489</wp:posOffset>
                </wp:positionV>
                <wp:extent cx="3175" cy="1651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3175" cy="16510"/>
                        </a:xfrm>
                        <a:custGeom>
                          <a:avLst/>
                          <a:gdLst/>
                          <a:ahLst/>
                          <a:cxnLst/>
                          <a:rect l="l" t="t" r="r" b="b"/>
                          <a:pathLst>
                            <a:path w="3175" h="16510">
                              <a:moveTo>
                                <a:pt x="3035" y="3060"/>
                              </a:moveTo>
                              <a:lnTo>
                                <a:pt x="0" y="3060"/>
                              </a:lnTo>
                              <a:lnTo>
                                <a:pt x="0" y="16002"/>
                              </a:lnTo>
                              <a:lnTo>
                                <a:pt x="3035" y="16002"/>
                              </a:lnTo>
                              <a:lnTo>
                                <a:pt x="3035" y="3060"/>
                              </a:lnTo>
                              <a:close/>
                            </a:path>
                            <a:path w="3175" h="16510">
                              <a:moveTo>
                                <a:pt x="3035" y="0"/>
                              </a:moveTo>
                              <a:lnTo>
                                <a:pt x="0" y="0"/>
                              </a:lnTo>
                              <a:lnTo>
                                <a:pt x="0" y="3048"/>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362.873169pt;width:.25pt;height:1.3pt;mso-position-horizontal-relative:page;mso-position-vertical-relative:paragraph;z-index:15763456" id="docshape355" coordorigin="10435,-7257" coordsize="5,26" path="m10440,-7253l10435,-7253,10435,-7232,10440,-7232,10440,-7253xm10440,-7257l10435,-7257,10435,-7253,10440,-7253,10440,-7257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6626352</wp:posOffset>
                </wp:positionH>
                <wp:positionV relativeFrom="paragraph">
                  <wp:posOffset>-753518</wp:posOffset>
                </wp:positionV>
                <wp:extent cx="3175" cy="16510"/>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59.332138pt;width:.25pt;height:1.3pt;mso-position-horizontal-relative:page;mso-position-vertical-relative:paragraph;z-index:15763968" id="docshape356" coordorigin="10435,-1187" coordsize="5,26" path="m10440,-1187l10435,-1187,10435,-1182,10435,-1161,10440,-1161,10440,-1182,10440,-1187xe" filled="true" fillcolor="#f1efe2" stroked="false">
                <v:path arrowok="t"/>
                <v:fill type="solid"/>
                <w10:wrap type="none"/>
              </v:shape>
            </w:pict>
          </mc:Fallback>
        </mc:AlternateContent>
      </w:r>
      <w:r>
        <w:rPr>
          <w:sz w:val="24"/>
        </w:rPr>
        <w:t>It will be seen from the above that parents are required to incur very heavy expenditure for this purpose. Consequently, only a small proportion of children have all the books at the beginning of the school year; a much larger proportion have them, not at the beginning of the school year, but towards the middle or even the end. Not infrequently, a proportion of students have no books at all. This has a very adverse effect on standards. We, therefore, recommend that an earnest effort be made to reduce these private costs of education. They are often raised thoughtlessly or for snobbish rather than for educational reasons. Side by side a programme should immediately be developed for providing at least textbooks, if not stationery also, free of charge (or at concessional</w:t>
      </w:r>
      <w:r>
        <w:rPr>
          <w:spacing w:val="40"/>
          <w:sz w:val="24"/>
        </w:rPr>
        <w:t> </w:t>
      </w:r>
      <w:r>
        <w:rPr>
          <w:sz w:val="24"/>
        </w:rPr>
        <w:t>rates) to all students (or at least to all the needy and deserving students). This would be a crucial programme for the qualitative improvement of education. Obviously, the manner of its implementation will have to vary from one stage of education to another.</w:t>
      </w:r>
    </w:p>
    <w:p>
      <w:pPr>
        <w:spacing w:after="0" w:line="240" w:lineRule="auto"/>
        <w:jc w:val="both"/>
        <w:rPr>
          <w:sz w:val="24"/>
        </w:rPr>
        <w:sectPr>
          <w:pgSz w:w="12240" w:h="15840"/>
          <w:pgMar w:header="0" w:footer="743" w:top="1360" w:bottom="940" w:left="1640" w:right="1300"/>
        </w:sectPr>
      </w:pPr>
    </w:p>
    <w:p>
      <w:pPr>
        <w:pStyle w:val="ListParagraph"/>
        <w:numPr>
          <w:ilvl w:val="0"/>
          <w:numId w:val="107"/>
        </w:numPr>
        <w:tabs>
          <w:tab w:pos="554" w:val="left" w:leader="none"/>
        </w:tabs>
        <w:spacing w:line="240" w:lineRule="auto" w:before="76" w:after="0"/>
        <w:ind w:left="160" w:right="496" w:firstLine="0"/>
        <w:jc w:val="both"/>
        <w:rPr>
          <w:sz w:val="24"/>
        </w:rPr>
      </w:pPr>
      <w:r>
        <w:rPr>
          <w:b/>
          <w:sz w:val="24"/>
        </w:rPr>
        <w:t>Primary Stage. </w:t>
      </w:r>
      <w:r>
        <w:rPr>
          <w:sz w:val="24"/>
        </w:rPr>
        <w:t>At the primary stage, a programme of providing free textbooks should be given very high priority and introduced immediately. It should also be</w:t>
      </w:r>
      <w:r>
        <w:rPr>
          <w:spacing w:val="40"/>
          <w:sz w:val="24"/>
        </w:rPr>
        <w:t> </w:t>
      </w:r>
      <w:r>
        <w:rPr>
          <w:sz w:val="24"/>
        </w:rPr>
        <w:t>extended</w:t>
      </w:r>
      <w:r>
        <w:rPr>
          <w:spacing w:val="-2"/>
          <w:sz w:val="24"/>
        </w:rPr>
        <w:t> </w:t>
      </w:r>
      <w:r>
        <w:rPr>
          <w:sz w:val="24"/>
        </w:rPr>
        <w:t>to</w:t>
      </w:r>
      <w:r>
        <w:rPr>
          <w:spacing w:val="-2"/>
          <w:sz w:val="24"/>
        </w:rPr>
        <w:t> </w:t>
      </w:r>
      <w:r>
        <w:rPr>
          <w:sz w:val="24"/>
        </w:rPr>
        <w:t>the</w:t>
      </w:r>
      <w:r>
        <w:rPr>
          <w:spacing w:val="-2"/>
          <w:sz w:val="24"/>
        </w:rPr>
        <w:t> </w:t>
      </w:r>
      <w:r>
        <w:rPr>
          <w:sz w:val="24"/>
        </w:rPr>
        <w:t>higher</w:t>
      </w:r>
      <w:r>
        <w:rPr>
          <w:spacing w:val="-2"/>
          <w:sz w:val="24"/>
        </w:rPr>
        <w:t> </w:t>
      </w:r>
      <w:r>
        <w:rPr>
          <w:sz w:val="24"/>
        </w:rPr>
        <w:t>primary</w:t>
      </w:r>
      <w:r>
        <w:rPr>
          <w:spacing w:val="-2"/>
          <w:sz w:val="24"/>
        </w:rPr>
        <w:t> </w:t>
      </w:r>
      <w:r>
        <w:rPr>
          <w:sz w:val="24"/>
        </w:rPr>
        <w:t>stage</w:t>
      </w:r>
      <w:r>
        <w:rPr>
          <w:spacing w:val="-2"/>
          <w:sz w:val="24"/>
        </w:rPr>
        <w:t> </w:t>
      </w:r>
      <w:r>
        <w:rPr>
          <w:sz w:val="24"/>
        </w:rPr>
        <w:t>as</w:t>
      </w:r>
      <w:r>
        <w:rPr>
          <w:spacing w:val="-2"/>
          <w:sz w:val="24"/>
        </w:rPr>
        <w:t> </w:t>
      </w:r>
      <w:r>
        <w:rPr>
          <w:sz w:val="24"/>
        </w:rPr>
        <w:t>early</w:t>
      </w:r>
      <w:r>
        <w:rPr>
          <w:spacing w:val="-2"/>
          <w:sz w:val="24"/>
        </w:rPr>
        <w:t> </w:t>
      </w:r>
      <w:r>
        <w:rPr>
          <w:sz w:val="24"/>
        </w:rPr>
        <w:t>as</w:t>
      </w:r>
      <w:r>
        <w:rPr>
          <w:spacing w:val="-2"/>
          <w:sz w:val="24"/>
        </w:rPr>
        <w:t> </w:t>
      </w:r>
      <w:r>
        <w:rPr>
          <w:sz w:val="24"/>
        </w:rPr>
        <w:t>possible.</w:t>
      </w:r>
      <w:r>
        <w:rPr>
          <w:spacing w:val="-2"/>
          <w:sz w:val="24"/>
        </w:rPr>
        <w:t> </w:t>
      </w:r>
      <w:r>
        <w:rPr>
          <w:sz w:val="24"/>
        </w:rPr>
        <w:t>Children</w:t>
      </w:r>
      <w:r>
        <w:rPr>
          <w:spacing w:val="-2"/>
          <w:sz w:val="24"/>
        </w:rPr>
        <w:t> </w:t>
      </w:r>
      <w:r>
        <w:rPr>
          <w:sz w:val="24"/>
        </w:rPr>
        <w:t>freshly</w:t>
      </w:r>
      <w:r>
        <w:rPr>
          <w:spacing w:val="-2"/>
          <w:sz w:val="24"/>
        </w:rPr>
        <w:t> </w:t>
      </w:r>
      <w:r>
        <w:rPr>
          <w:sz w:val="24"/>
        </w:rPr>
        <w:t>joining</w:t>
      </w:r>
      <w:r>
        <w:rPr>
          <w:spacing w:val="-2"/>
          <w:sz w:val="24"/>
        </w:rPr>
        <w:t> </w:t>
      </w:r>
      <w:r>
        <w:rPr>
          <w:sz w:val="24"/>
        </w:rPr>
        <w:t>schools should</w:t>
      </w:r>
      <w:r>
        <w:rPr>
          <w:spacing w:val="-2"/>
          <w:sz w:val="24"/>
        </w:rPr>
        <w:t> </w:t>
      </w:r>
      <w:r>
        <w:rPr>
          <w:sz w:val="24"/>
        </w:rPr>
        <w:t>be</w:t>
      </w:r>
      <w:r>
        <w:rPr>
          <w:spacing w:val="-2"/>
          <w:sz w:val="24"/>
        </w:rPr>
        <w:t> </w:t>
      </w:r>
      <w:r>
        <w:rPr>
          <w:sz w:val="24"/>
        </w:rPr>
        <w:t>welcomed</w:t>
      </w:r>
      <w:r>
        <w:rPr>
          <w:spacing w:val="-2"/>
          <w:sz w:val="24"/>
        </w:rPr>
        <w:t> </w:t>
      </w:r>
      <w:r>
        <w:rPr>
          <w:sz w:val="24"/>
        </w:rPr>
        <w:t>at</w:t>
      </w:r>
      <w:r>
        <w:rPr>
          <w:spacing w:val="-2"/>
          <w:sz w:val="24"/>
        </w:rPr>
        <w:t> </w:t>
      </w:r>
      <w:r>
        <w:rPr>
          <w:sz w:val="24"/>
        </w:rPr>
        <w:t>a</w:t>
      </w:r>
      <w:r>
        <w:rPr>
          <w:spacing w:val="-2"/>
          <w:sz w:val="24"/>
        </w:rPr>
        <w:t> </w:t>
      </w:r>
      <w:r>
        <w:rPr>
          <w:sz w:val="24"/>
        </w:rPr>
        <w:t>school</w:t>
      </w:r>
      <w:r>
        <w:rPr>
          <w:spacing w:val="-2"/>
          <w:sz w:val="24"/>
        </w:rPr>
        <w:t> </w:t>
      </w:r>
      <w:r>
        <w:rPr>
          <w:sz w:val="24"/>
        </w:rPr>
        <w:t>function</w:t>
      </w:r>
      <w:r>
        <w:rPr>
          <w:spacing w:val="-2"/>
          <w:sz w:val="24"/>
        </w:rPr>
        <w:t> </w:t>
      </w:r>
      <w:r>
        <w:rPr>
          <w:sz w:val="24"/>
        </w:rPr>
        <w:t>and</w:t>
      </w:r>
      <w:r>
        <w:rPr>
          <w:spacing w:val="-2"/>
          <w:sz w:val="24"/>
        </w:rPr>
        <w:t> </w:t>
      </w:r>
      <w:r>
        <w:rPr>
          <w:sz w:val="24"/>
        </w:rPr>
        <w:t>presented</w:t>
      </w:r>
      <w:r>
        <w:rPr>
          <w:spacing w:val="-3"/>
          <w:sz w:val="24"/>
        </w:rPr>
        <w:t> </w:t>
      </w:r>
      <w:r>
        <w:rPr>
          <w:sz w:val="24"/>
        </w:rPr>
        <w:t>with</w:t>
      </w:r>
      <w:r>
        <w:rPr>
          <w:spacing w:val="-3"/>
          <w:sz w:val="24"/>
        </w:rPr>
        <w:t> </w:t>
      </w:r>
      <w:r>
        <w:rPr>
          <w:sz w:val="24"/>
        </w:rPr>
        <w:t>a</w:t>
      </w:r>
      <w:r>
        <w:rPr>
          <w:spacing w:val="-3"/>
          <w:sz w:val="24"/>
        </w:rPr>
        <w:t> </w:t>
      </w:r>
      <w:r>
        <w:rPr>
          <w:sz w:val="24"/>
        </w:rPr>
        <w:t>set</w:t>
      </w:r>
      <w:r>
        <w:rPr>
          <w:spacing w:val="-3"/>
          <w:sz w:val="24"/>
        </w:rPr>
        <w:t> </w:t>
      </w:r>
      <w:r>
        <w:rPr>
          <w:sz w:val="24"/>
        </w:rPr>
        <w:t>of</w:t>
      </w:r>
      <w:r>
        <w:rPr>
          <w:spacing w:val="-3"/>
          <w:sz w:val="24"/>
        </w:rPr>
        <w:t> </w:t>
      </w:r>
      <w:r>
        <w:rPr>
          <w:sz w:val="24"/>
        </w:rPr>
        <w:t>books.</w:t>
      </w:r>
      <w:r>
        <w:rPr>
          <w:spacing w:val="-3"/>
          <w:sz w:val="24"/>
        </w:rPr>
        <w:t> </w:t>
      </w:r>
      <w:r>
        <w:rPr>
          <w:sz w:val="24"/>
        </w:rPr>
        <w:t>Others</w:t>
      </w:r>
      <w:r>
        <w:rPr>
          <w:spacing w:val="-3"/>
          <w:sz w:val="24"/>
        </w:rPr>
        <w:t> </w:t>
      </w:r>
      <w:r>
        <w:rPr>
          <w:sz w:val="24"/>
        </w:rPr>
        <w:t>should be presented with a complete set of books for the succeeding year as soon as the results</w:t>
      </w:r>
      <w:r>
        <w:rPr>
          <w:spacing w:val="80"/>
          <w:sz w:val="24"/>
        </w:rPr>
        <w:t> </w:t>
      </w:r>
      <w:r>
        <w:rPr>
          <w:sz w:val="24"/>
        </w:rPr>
        <w:t>of the annual examinations are declared and before the long vacation starts, so that they can make some use of the vacations for further study.</w:t>
      </w:r>
    </w:p>
    <w:p>
      <w:pPr>
        <w:pStyle w:val="BodyText"/>
        <w:spacing w:before="4"/>
      </w:pPr>
    </w:p>
    <w:p>
      <w:pPr>
        <w:pStyle w:val="ListParagraph"/>
        <w:numPr>
          <w:ilvl w:val="0"/>
          <w:numId w:val="107"/>
        </w:numPr>
        <w:tabs>
          <w:tab w:pos="499" w:val="left" w:leader="none"/>
        </w:tabs>
        <w:spacing w:line="240" w:lineRule="auto" w:before="0" w:after="0"/>
        <w:ind w:left="160" w:right="495" w:firstLine="0"/>
        <w:jc w:val="both"/>
        <w:rPr>
          <w:sz w:val="24"/>
        </w:rPr>
      </w:pPr>
      <w:r>
        <w:rPr>
          <w:b/>
          <w:sz w:val="24"/>
        </w:rPr>
        <w:t>Secondary</w:t>
      </w:r>
      <w:r>
        <w:rPr>
          <w:b/>
          <w:spacing w:val="-4"/>
          <w:sz w:val="24"/>
        </w:rPr>
        <w:t> </w:t>
      </w:r>
      <w:r>
        <w:rPr>
          <w:b/>
          <w:sz w:val="24"/>
        </w:rPr>
        <w:t>and</w:t>
      </w:r>
      <w:r>
        <w:rPr>
          <w:b/>
          <w:spacing w:val="-4"/>
          <w:sz w:val="24"/>
        </w:rPr>
        <w:t> </w:t>
      </w:r>
      <w:r>
        <w:rPr>
          <w:b/>
          <w:sz w:val="24"/>
        </w:rPr>
        <w:t>University</w:t>
      </w:r>
      <w:r>
        <w:rPr>
          <w:b/>
          <w:spacing w:val="-4"/>
          <w:sz w:val="24"/>
        </w:rPr>
        <w:t> </w:t>
      </w:r>
      <w:r>
        <w:rPr>
          <w:b/>
          <w:sz w:val="24"/>
        </w:rPr>
        <w:t>Stages</w:t>
      </w:r>
      <w:r>
        <w:rPr>
          <w:sz w:val="24"/>
        </w:rPr>
        <w:t>.</w:t>
      </w:r>
      <w:r>
        <w:rPr>
          <w:spacing w:val="-4"/>
          <w:sz w:val="24"/>
        </w:rPr>
        <w:t> </w:t>
      </w:r>
      <w:r>
        <w:rPr>
          <w:sz w:val="24"/>
        </w:rPr>
        <w:t>A</w:t>
      </w:r>
      <w:r>
        <w:rPr>
          <w:spacing w:val="-4"/>
          <w:sz w:val="24"/>
        </w:rPr>
        <w:t> </w:t>
      </w:r>
      <w:r>
        <w:rPr>
          <w:sz w:val="24"/>
        </w:rPr>
        <w:t>programme</w:t>
      </w:r>
      <w:r>
        <w:rPr>
          <w:spacing w:val="-4"/>
          <w:sz w:val="24"/>
        </w:rPr>
        <w:t> </w:t>
      </w:r>
      <w:r>
        <w:rPr>
          <w:sz w:val="24"/>
        </w:rPr>
        <w:t>of</w:t>
      </w:r>
      <w:r>
        <w:rPr>
          <w:spacing w:val="-4"/>
          <w:sz w:val="24"/>
        </w:rPr>
        <w:t> </w:t>
      </w:r>
      <w:r>
        <w:rPr>
          <w:sz w:val="24"/>
        </w:rPr>
        <w:t>book-banks</w:t>
      </w:r>
      <w:r>
        <w:rPr>
          <w:spacing w:val="-4"/>
          <w:sz w:val="24"/>
        </w:rPr>
        <w:t> </w:t>
      </w:r>
      <w:r>
        <w:rPr>
          <w:sz w:val="24"/>
        </w:rPr>
        <w:t>should</w:t>
      </w:r>
      <w:r>
        <w:rPr>
          <w:spacing w:val="-4"/>
          <w:sz w:val="24"/>
        </w:rPr>
        <w:t> </w:t>
      </w:r>
      <w:r>
        <w:rPr>
          <w:sz w:val="24"/>
        </w:rPr>
        <w:t>be</w:t>
      </w:r>
      <w:r>
        <w:rPr>
          <w:spacing w:val="-4"/>
          <w:sz w:val="24"/>
        </w:rPr>
        <w:t> </w:t>
      </w:r>
      <w:r>
        <w:rPr>
          <w:sz w:val="24"/>
        </w:rPr>
        <w:t>developed in secondary schools and in institutions of higher education. In addition, the libraries </w:t>
      </w:r>
      <w:r>
        <w:rPr>
          <w:sz w:val="24"/>
        </w:rPr>
        <w:t>of these institutions should contain a large number of sets of textbooks so that every student can have access to them in the library or the reading-room. The State Education Departments should have a fund at their disposal from which they could encourage the establishment of book-banks in secondary schools; and a similar fund should be placed at the disposal of the UGC which could organize them in the universities and affiliated colleges. The programme should be developed on so large a scale that every needy student in a secondary school or institution of higher education will be provided with a</w:t>
      </w:r>
      <w:r>
        <w:rPr>
          <w:spacing w:val="40"/>
          <w:sz w:val="24"/>
        </w:rPr>
        <w:t> </w:t>
      </w:r>
      <w:r>
        <w:rPr>
          <w:sz w:val="24"/>
        </w:rPr>
        <w:t>set of all the textbooks needed at the beginning of the school year or have easy access to them in the library.</w:t>
      </w:r>
    </w:p>
    <w:p>
      <w:pPr>
        <w:pStyle w:val="BodyText"/>
        <w:spacing w:before="4"/>
      </w:pPr>
    </w:p>
    <w:p>
      <w:pPr>
        <w:pStyle w:val="ListParagraph"/>
        <w:numPr>
          <w:ilvl w:val="0"/>
          <w:numId w:val="107"/>
        </w:numPr>
        <w:tabs>
          <w:tab w:pos="511" w:val="left" w:leader="none"/>
        </w:tabs>
        <w:spacing w:line="240" w:lineRule="auto" w:before="0" w:after="0"/>
        <w:ind w:left="160" w:right="496" w:firstLine="0"/>
        <w:jc w:val="both"/>
        <w:rPr>
          <w:sz w:val="24"/>
        </w:rPr>
      </w:pPr>
      <w:r>
        <w:rPr>
          <w:b/>
          <w:sz w:val="24"/>
        </w:rPr>
        <w:t>Grants for Purchase of Books. </w:t>
      </w:r>
      <w:r>
        <w:rPr>
          <w:sz w:val="24"/>
        </w:rPr>
        <w:t>Grants for the purchase of books should be made to the more talented of the students. We recommend that the top 10 per cent of the students in educational institutions (subject to a means test, if necessary) should be given small grants annually for the purchase of books, which need not necessarily, be textbooks. The scheme should be begun in the universities and later extended to affiliated colleges and secondary schools.</w:t>
      </w:r>
    </w:p>
    <w:p>
      <w:pPr>
        <w:pStyle w:val="BodyText"/>
        <w:spacing w:before="7"/>
      </w:pPr>
    </w:p>
    <w:p>
      <w:pPr>
        <w:pStyle w:val="Heading1"/>
      </w:pPr>
      <w:r>
        <w:rPr>
          <w:spacing w:val="-2"/>
        </w:rPr>
        <w:t>SCHOLARSHIPS</w:t>
      </w:r>
    </w:p>
    <w:p>
      <w:pPr>
        <w:pStyle w:val="BodyText"/>
        <w:spacing w:before="3"/>
        <w:rPr>
          <w:b/>
        </w:rPr>
      </w:pPr>
    </w:p>
    <w:p>
      <w:pPr>
        <w:pStyle w:val="ListParagraph"/>
        <w:numPr>
          <w:ilvl w:val="1"/>
          <w:numId w:val="10"/>
        </w:numPr>
        <w:tabs>
          <w:tab w:pos="644" w:val="left" w:leader="none"/>
        </w:tabs>
        <w:spacing w:line="240" w:lineRule="auto" w:before="0" w:after="0"/>
        <w:ind w:left="160" w:right="497" w:firstLine="0"/>
        <w:jc w:val="both"/>
        <w:rPr>
          <w:b/>
          <w:sz w:val="24"/>
        </w:rPr>
      </w:pPr>
      <w:r>
        <w:rPr>
          <w:b/>
          <w:sz w:val="24"/>
        </w:rPr>
        <w:t>Basis of Reorganization. </w:t>
      </w:r>
      <w:r>
        <w:rPr>
          <w:sz w:val="24"/>
        </w:rPr>
        <w:t>The programme of scholarships has received considerable emphasis</w:t>
      </w:r>
      <w:r>
        <w:rPr>
          <w:spacing w:val="25"/>
          <w:sz w:val="24"/>
        </w:rPr>
        <w:t> </w:t>
      </w:r>
      <w:r>
        <w:rPr>
          <w:sz w:val="24"/>
        </w:rPr>
        <w:t>in</w:t>
      </w:r>
      <w:r>
        <w:rPr>
          <w:spacing w:val="25"/>
          <w:sz w:val="24"/>
        </w:rPr>
        <w:t> </w:t>
      </w:r>
      <w:r>
        <w:rPr>
          <w:sz w:val="24"/>
        </w:rPr>
        <w:t>recent</w:t>
      </w:r>
      <w:r>
        <w:rPr>
          <w:spacing w:val="26"/>
          <w:sz w:val="24"/>
        </w:rPr>
        <w:t> </w:t>
      </w:r>
      <w:r>
        <w:rPr>
          <w:sz w:val="24"/>
        </w:rPr>
        <w:t>years.</w:t>
      </w:r>
      <w:r>
        <w:rPr>
          <w:spacing w:val="25"/>
          <w:sz w:val="24"/>
        </w:rPr>
        <w:t> </w:t>
      </w:r>
      <w:r>
        <w:rPr>
          <w:sz w:val="24"/>
        </w:rPr>
        <w:t>The</w:t>
      </w:r>
      <w:r>
        <w:rPr>
          <w:spacing w:val="26"/>
          <w:sz w:val="24"/>
        </w:rPr>
        <w:t> </w:t>
      </w:r>
      <w:r>
        <w:rPr>
          <w:sz w:val="24"/>
        </w:rPr>
        <w:t>total</w:t>
      </w:r>
      <w:r>
        <w:rPr>
          <w:spacing w:val="25"/>
          <w:sz w:val="24"/>
        </w:rPr>
        <w:t> </w:t>
      </w:r>
      <w:r>
        <w:rPr>
          <w:sz w:val="24"/>
        </w:rPr>
        <w:t>expenditure</w:t>
      </w:r>
      <w:r>
        <w:rPr>
          <w:spacing w:val="25"/>
          <w:sz w:val="24"/>
        </w:rPr>
        <w:t> </w:t>
      </w:r>
      <w:r>
        <w:rPr>
          <w:sz w:val="24"/>
        </w:rPr>
        <w:t>on</w:t>
      </w:r>
      <w:r>
        <w:rPr>
          <w:spacing w:val="26"/>
          <w:sz w:val="24"/>
        </w:rPr>
        <w:t> </w:t>
      </w:r>
      <w:r>
        <w:rPr>
          <w:sz w:val="24"/>
        </w:rPr>
        <w:t>scholarships</w:t>
      </w:r>
      <w:r>
        <w:rPr>
          <w:spacing w:val="25"/>
          <w:sz w:val="24"/>
        </w:rPr>
        <w:t> </w:t>
      </w:r>
      <w:r>
        <w:rPr>
          <w:sz w:val="24"/>
        </w:rPr>
        <w:t>has</w:t>
      </w:r>
      <w:r>
        <w:rPr>
          <w:spacing w:val="26"/>
          <w:sz w:val="24"/>
        </w:rPr>
        <w:t> </w:t>
      </w:r>
      <w:r>
        <w:rPr>
          <w:sz w:val="24"/>
        </w:rPr>
        <w:t>increased</w:t>
      </w:r>
      <w:r>
        <w:rPr>
          <w:spacing w:val="25"/>
          <w:sz w:val="24"/>
        </w:rPr>
        <w:t> </w:t>
      </w:r>
      <w:r>
        <w:rPr>
          <w:sz w:val="24"/>
        </w:rPr>
        <w:t>from</w:t>
      </w:r>
      <w:r>
        <w:rPr>
          <w:spacing w:val="26"/>
          <w:sz w:val="24"/>
        </w:rPr>
        <w:t> </w:t>
      </w:r>
      <w:r>
        <w:rPr>
          <w:spacing w:val="-5"/>
          <w:sz w:val="24"/>
        </w:rPr>
        <w:t>Rs.</w:t>
      </w:r>
    </w:p>
    <w:p>
      <w:pPr>
        <w:pStyle w:val="BodyText"/>
        <w:ind w:left="160" w:right="498"/>
        <w:jc w:val="both"/>
      </w:pPr>
      <w:r>
        <w:rPr/>
        <w:t>34.5</w:t>
      </w:r>
      <w:r>
        <w:rPr>
          <w:spacing w:val="-2"/>
        </w:rPr>
        <w:t> </w:t>
      </w:r>
      <w:r>
        <w:rPr/>
        <w:t>million</w:t>
      </w:r>
      <w:r>
        <w:rPr>
          <w:spacing w:val="-4"/>
        </w:rPr>
        <w:t> </w:t>
      </w:r>
      <w:r>
        <w:rPr/>
        <w:t>or</w:t>
      </w:r>
      <w:r>
        <w:rPr>
          <w:spacing w:val="-2"/>
        </w:rPr>
        <w:t> </w:t>
      </w:r>
      <w:r>
        <w:rPr/>
        <w:t>3</w:t>
      </w:r>
      <w:r>
        <w:rPr>
          <w:spacing w:val="-2"/>
        </w:rPr>
        <w:t> </w:t>
      </w:r>
      <w:r>
        <w:rPr/>
        <w:t>per</w:t>
      </w:r>
      <w:r>
        <w:rPr>
          <w:spacing w:val="-2"/>
        </w:rPr>
        <w:t> </w:t>
      </w:r>
      <w:r>
        <w:rPr/>
        <w:t>cent</w:t>
      </w:r>
      <w:r>
        <w:rPr>
          <w:spacing w:val="-2"/>
        </w:rPr>
        <w:t> </w:t>
      </w:r>
      <w:r>
        <w:rPr/>
        <w:t>of</w:t>
      </w:r>
      <w:r>
        <w:rPr>
          <w:spacing w:val="-2"/>
        </w:rPr>
        <w:t> </w:t>
      </w:r>
      <w:r>
        <w:rPr/>
        <w:t>the</w:t>
      </w:r>
      <w:r>
        <w:rPr>
          <w:spacing w:val="-2"/>
        </w:rPr>
        <w:t> </w:t>
      </w:r>
      <w:r>
        <w:rPr/>
        <w:t>total</w:t>
      </w:r>
      <w:r>
        <w:rPr>
          <w:spacing w:val="-2"/>
        </w:rPr>
        <w:t> </w:t>
      </w:r>
      <w:r>
        <w:rPr/>
        <w:t>educational</w:t>
      </w:r>
      <w:r>
        <w:rPr>
          <w:spacing w:val="-3"/>
        </w:rPr>
        <w:t> </w:t>
      </w:r>
      <w:r>
        <w:rPr/>
        <w:t>expenditure</w:t>
      </w:r>
      <w:r>
        <w:rPr>
          <w:spacing w:val="-3"/>
        </w:rPr>
        <w:t> </w:t>
      </w:r>
      <w:r>
        <w:rPr/>
        <w:t>in</w:t>
      </w:r>
      <w:r>
        <w:rPr>
          <w:spacing w:val="-3"/>
        </w:rPr>
        <w:t> </w:t>
      </w:r>
      <w:r>
        <w:rPr/>
        <w:t>1950-51</w:t>
      </w:r>
      <w:r>
        <w:rPr>
          <w:spacing w:val="-3"/>
        </w:rPr>
        <w:t> </w:t>
      </w:r>
      <w:r>
        <w:rPr/>
        <w:t>to</w:t>
      </w:r>
      <w:r>
        <w:rPr>
          <w:spacing w:val="-3"/>
        </w:rPr>
        <w:t> </w:t>
      </w:r>
      <w:r>
        <w:rPr/>
        <w:t>about</w:t>
      </w:r>
      <w:r>
        <w:rPr>
          <w:spacing w:val="-3"/>
        </w:rPr>
        <w:t> </w:t>
      </w:r>
      <w:r>
        <w:rPr/>
        <w:t>Rs.</w:t>
      </w:r>
      <w:r>
        <w:rPr>
          <w:spacing w:val="-3"/>
        </w:rPr>
        <w:t> </w:t>
      </w:r>
      <w:r>
        <w:rPr/>
        <w:t>420 mil- lion or 7 per cent of the total educational expenditure in 1965-66. A careful study of the position, however, shows that an attempt will have to be made to reorient and expand the existing scholarship programmes on the following lines:</w:t>
      </w:r>
    </w:p>
    <w:p>
      <w:pPr>
        <w:pStyle w:val="BodyText"/>
        <w:spacing w:before="2"/>
      </w:pPr>
    </w:p>
    <w:p>
      <w:pPr>
        <w:pStyle w:val="BodyText"/>
        <w:ind w:left="160" w:right="495"/>
        <w:jc w:val="both"/>
      </w:pPr>
      <w:r>
        <w:rPr/>
        <w:t>-The scholarship programme is a continuous process and has to be organized at all stages of education. At present there is a fairly well-organized programme in higher education and vocational courses, although even here, much expansion is needed. But as there is </w:t>
      </w:r>
      <w:r>
        <w:rPr/>
        <w:t>no adequate</w:t>
      </w:r>
      <w:r>
        <w:rPr>
          <w:spacing w:val="-3"/>
        </w:rPr>
        <w:t> </w:t>
      </w:r>
      <w:r>
        <w:rPr/>
        <w:t>programme</w:t>
      </w:r>
      <w:r>
        <w:rPr>
          <w:spacing w:val="-3"/>
        </w:rPr>
        <w:t> </w:t>
      </w:r>
      <w:r>
        <w:rPr/>
        <w:t>at</w:t>
      </w:r>
      <w:r>
        <w:rPr>
          <w:spacing w:val="-3"/>
        </w:rPr>
        <w:t> </w:t>
      </w:r>
      <w:r>
        <w:rPr/>
        <w:t>the</w:t>
      </w:r>
      <w:r>
        <w:rPr>
          <w:spacing w:val="-3"/>
        </w:rPr>
        <w:t> </w:t>
      </w:r>
      <w:r>
        <w:rPr/>
        <w:t>school</w:t>
      </w:r>
      <w:r>
        <w:rPr>
          <w:spacing w:val="-3"/>
        </w:rPr>
        <w:t> </w:t>
      </w:r>
      <w:r>
        <w:rPr/>
        <w:t>stage,</w:t>
      </w:r>
      <w:r>
        <w:rPr>
          <w:spacing w:val="-3"/>
        </w:rPr>
        <w:t> </w:t>
      </w:r>
      <w:r>
        <w:rPr/>
        <w:t>a</w:t>
      </w:r>
      <w:r>
        <w:rPr>
          <w:spacing w:val="-3"/>
        </w:rPr>
        <w:t> </w:t>
      </w:r>
      <w:r>
        <w:rPr/>
        <w:t>good</w:t>
      </w:r>
      <w:r>
        <w:rPr>
          <w:spacing w:val="-3"/>
        </w:rPr>
        <w:t> </w:t>
      </w:r>
      <w:r>
        <w:rPr/>
        <w:t>deal</w:t>
      </w:r>
      <w:r>
        <w:rPr>
          <w:spacing w:val="-3"/>
        </w:rPr>
        <w:t> </w:t>
      </w:r>
      <w:r>
        <w:rPr/>
        <w:t>of</w:t>
      </w:r>
      <w:r>
        <w:rPr>
          <w:spacing w:val="-3"/>
        </w:rPr>
        <w:t> </w:t>
      </w:r>
      <w:r>
        <w:rPr/>
        <w:t>talent</w:t>
      </w:r>
      <w:r>
        <w:rPr>
          <w:spacing w:val="-3"/>
        </w:rPr>
        <w:t> </w:t>
      </w:r>
      <w:r>
        <w:rPr/>
        <w:t>is</w:t>
      </w:r>
      <w:r>
        <w:rPr>
          <w:spacing w:val="-3"/>
        </w:rPr>
        <w:t> </w:t>
      </w:r>
      <w:r>
        <w:rPr/>
        <w:t>already</w:t>
      </w:r>
      <w:r>
        <w:rPr>
          <w:spacing w:val="-3"/>
        </w:rPr>
        <w:t> </w:t>
      </w:r>
      <w:r>
        <w:rPr/>
        <w:t>eliminated</w:t>
      </w:r>
      <w:r>
        <w:rPr>
          <w:spacing w:val="-3"/>
        </w:rPr>
        <w:t> </w:t>
      </w:r>
      <w:r>
        <w:rPr/>
        <w:t>by</w:t>
      </w:r>
      <w:r>
        <w:rPr>
          <w:spacing w:val="-3"/>
        </w:rPr>
        <w:t> </w:t>
      </w:r>
      <w:r>
        <w:rPr/>
        <w:t>the time the threshold of university entrance is reached. The provision of scholarships in higher education does not, therefore, prove as helpful as it might otherwise have been.</w:t>
      </w:r>
    </w:p>
    <w:p>
      <w:pPr>
        <w:pStyle w:val="BodyText"/>
        <w:spacing w:before="4"/>
      </w:pPr>
    </w:p>
    <w:p>
      <w:pPr>
        <w:pStyle w:val="ListParagraph"/>
        <w:numPr>
          <w:ilvl w:val="0"/>
          <w:numId w:val="108"/>
        </w:numPr>
        <w:tabs>
          <w:tab w:pos="303" w:val="left" w:leader="none"/>
        </w:tabs>
        <w:spacing w:line="240" w:lineRule="auto" w:before="0" w:after="0"/>
        <w:ind w:left="160" w:right="497" w:firstLine="0"/>
        <w:jc w:val="both"/>
        <w:rPr>
          <w:sz w:val="24"/>
        </w:rPr>
      </w:pPr>
      <w:r>
        <w:rPr>
          <w:sz w:val="24"/>
        </w:rPr>
        <w:t>It has not been possible to evolve a good method of selecting awarders for scholarships. At present, most scholarships are awarded on the basis of marks obtained in some public examination;</w:t>
      </w:r>
      <w:r>
        <w:rPr>
          <w:spacing w:val="34"/>
          <w:sz w:val="24"/>
        </w:rPr>
        <w:t> </w:t>
      </w:r>
      <w:r>
        <w:rPr>
          <w:sz w:val="24"/>
        </w:rPr>
        <w:t>and</w:t>
      </w:r>
      <w:r>
        <w:rPr>
          <w:spacing w:val="37"/>
          <w:sz w:val="24"/>
        </w:rPr>
        <w:t> </w:t>
      </w:r>
      <w:r>
        <w:rPr>
          <w:sz w:val="24"/>
        </w:rPr>
        <w:t>as</w:t>
      </w:r>
      <w:r>
        <w:rPr>
          <w:spacing w:val="37"/>
          <w:sz w:val="24"/>
        </w:rPr>
        <w:t> </w:t>
      </w:r>
      <w:r>
        <w:rPr>
          <w:sz w:val="24"/>
        </w:rPr>
        <w:t>these</w:t>
      </w:r>
      <w:r>
        <w:rPr>
          <w:spacing w:val="36"/>
          <w:sz w:val="24"/>
        </w:rPr>
        <w:t> </w:t>
      </w:r>
      <w:r>
        <w:rPr>
          <w:sz w:val="24"/>
        </w:rPr>
        <w:t>tend</w:t>
      </w:r>
      <w:r>
        <w:rPr>
          <w:spacing w:val="37"/>
          <w:sz w:val="24"/>
        </w:rPr>
        <w:t> </w:t>
      </w:r>
      <w:r>
        <w:rPr>
          <w:sz w:val="24"/>
        </w:rPr>
        <w:t>to</w:t>
      </w:r>
      <w:r>
        <w:rPr>
          <w:spacing w:val="37"/>
          <w:sz w:val="24"/>
        </w:rPr>
        <w:t> </w:t>
      </w:r>
      <w:r>
        <w:rPr>
          <w:sz w:val="24"/>
        </w:rPr>
        <w:t>favour</w:t>
      </w:r>
      <w:r>
        <w:rPr>
          <w:spacing w:val="35"/>
          <w:sz w:val="24"/>
        </w:rPr>
        <w:t> </w:t>
      </w:r>
      <w:r>
        <w:rPr>
          <w:sz w:val="24"/>
        </w:rPr>
        <w:t>students</w:t>
      </w:r>
      <w:r>
        <w:rPr>
          <w:spacing w:val="37"/>
          <w:sz w:val="24"/>
        </w:rPr>
        <w:t> </w:t>
      </w:r>
      <w:r>
        <w:rPr>
          <w:sz w:val="24"/>
        </w:rPr>
        <w:t>from</w:t>
      </w:r>
      <w:r>
        <w:rPr>
          <w:spacing w:val="37"/>
          <w:sz w:val="24"/>
        </w:rPr>
        <w:t> </w:t>
      </w:r>
      <w:r>
        <w:rPr>
          <w:sz w:val="24"/>
        </w:rPr>
        <w:t>the</w:t>
      </w:r>
      <w:r>
        <w:rPr>
          <w:spacing w:val="36"/>
          <w:sz w:val="24"/>
        </w:rPr>
        <w:t> </w:t>
      </w:r>
      <w:r>
        <w:rPr>
          <w:sz w:val="24"/>
        </w:rPr>
        <w:t>well-to-do</w:t>
      </w:r>
      <w:r>
        <w:rPr>
          <w:spacing w:val="37"/>
          <w:sz w:val="24"/>
        </w:rPr>
        <w:t> </w:t>
      </w:r>
      <w:r>
        <w:rPr>
          <w:sz w:val="24"/>
        </w:rPr>
        <w:t>homes</w:t>
      </w:r>
      <w:r>
        <w:rPr>
          <w:spacing w:val="37"/>
          <w:sz w:val="24"/>
        </w:rPr>
        <w:t> </w:t>
      </w:r>
      <w:r>
        <w:rPr>
          <w:sz w:val="24"/>
        </w:rPr>
        <w:t>or</w:t>
      </w:r>
      <w:r>
        <w:rPr>
          <w:spacing w:val="37"/>
          <w:sz w:val="24"/>
        </w:rPr>
        <w:t> </w:t>
      </w:r>
      <w:r>
        <w:rPr>
          <w:spacing w:val="-4"/>
          <w:sz w:val="24"/>
        </w:rPr>
        <w:t>good</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urban schools, scholarships do not really help potentially talented students whose preparation has remained inadequate for no fault of theirs. A more equitable and egalitarian basis for the award of scholarships has, therefore, to be evolved.</w:t>
      </w:r>
    </w:p>
    <w:p>
      <w:pPr>
        <w:pStyle w:val="BodyText"/>
        <w:spacing w:before="4"/>
      </w:pPr>
    </w:p>
    <w:p>
      <w:pPr>
        <w:pStyle w:val="ListParagraph"/>
        <w:numPr>
          <w:ilvl w:val="0"/>
          <w:numId w:val="108"/>
        </w:numPr>
        <w:tabs>
          <w:tab w:pos="313" w:val="left" w:leader="none"/>
        </w:tabs>
        <w:spacing w:line="240" w:lineRule="auto" w:before="0" w:after="0"/>
        <w:ind w:left="159" w:right="497" w:firstLine="0"/>
        <w:jc w:val="both"/>
        <w:rPr>
          <w:sz w:val="24"/>
        </w:rPr>
      </w:pPr>
      <w:r>
        <w:rPr>
          <w:sz w:val="24"/>
        </w:rPr>
        <w:t>If the best results are to be obtained, a scholarship programme should be accompanied by a placement programme whose objective is to ensure that the scholarship holders are placed in good institutions and a further complementary programme of ensuring that an adequate number of institutions which maintain fairly high standards is available at all </w:t>
      </w:r>
      <w:r>
        <w:rPr>
          <w:spacing w:val="-2"/>
          <w:sz w:val="24"/>
        </w:rPr>
        <w:t>stages.</w:t>
      </w:r>
    </w:p>
    <w:p>
      <w:pPr>
        <w:pStyle w:val="BodyText"/>
        <w:spacing w:before="5"/>
      </w:pPr>
    </w:p>
    <w:p>
      <w:pPr>
        <w:pStyle w:val="ListParagraph"/>
        <w:numPr>
          <w:ilvl w:val="0"/>
          <w:numId w:val="108"/>
        </w:numPr>
        <w:tabs>
          <w:tab w:pos="301" w:val="left" w:leader="none"/>
        </w:tabs>
        <w:spacing w:line="240" w:lineRule="auto" w:before="0" w:after="0"/>
        <w:ind w:left="159" w:right="495" w:firstLine="0"/>
        <w:jc w:val="both"/>
        <w:rPr>
          <w:sz w:val="24"/>
        </w:rPr>
      </w:pPr>
      <w:r>
        <w:rPr>
          <w:sz w:val="24"/>
        </w:rPr>
        <w:t>A careful watch will have to be kept at all points of transfer from one stage or sub-stage of education to another to ensure that all the abler students (at least the top 5-15 per cent of the enrolment, depending upon the stage of education) do continue their studies</w:t>
      </w:r>
      <w:r>
        <w:rPr>
          <w:spacing w:val="40"/>
          <w:sz w:val="24"/>
        </w:rPr>
        <w:t> </w:t>
      </w:r>
      <w:r>
        <w:rPr>
          <w:spacing w:val="-2"/>
          <w:sz w:val="24"/>
        </w:rPr>
        <w:t>further.</w:t>
      </w:r>
    </w:p>
    <w:p>
      <w:pPr>
        <w:pStyle w:val="BodyText"/>
        <w:spacing w:before="4"/>
      </w:pPr>
    </w:p>
    <w:p>
      <w:pPr>
        <w:pStyle w:val="ListParagraph"/>
        <w:numPr>
          <w:ilvl w:val="0"/>
          <w:numId w:val="108"/>
        </w:numPr>
        <w:tabs>
          <w:tab w:pos="309" w:val="left" w:leader="none"/>
        </w:tabs>
        <w:spacing w:line="240" w:lineRule="auto" w:before="0" w:after="0"/>
        <w:ind w:left="159" w:right="497" w:firstLine="0"/>
        <w:jc w:val="both"/>
        <w:rPr>
          <w:sz w:val="24"/>
        </w:rPr>
      </w:pPr>
      <w:r>
        <w:rPr>
          <w:sz w:val="24"/>
        </w:rPr>
        <w:t>An adequate machinery to administer the programme would have to be created and the operation of the programme fully decentralized to avoid the procedural delays and other difficulties that are experienced at present.</w:t>
      </w:r>
    </w:p>
    <w:p>
      <w:pPr>
        <w:pStyle w:val="BodyText"/>
        <w:spacing w:before="3"/>
      </w:pPr>
    </w:p>
    <w:p>
      <w:pPr>
        <w:pStyle w:val="BodyText"/>
        <w:ind w:left="160" w:right="497"/>
        <w:jc w:val="both"/>
      </w:pPr>
      <w:r>
        <w:rPr/>
        <w:t>In the light of these broad principles we indicate below the manner in which scholarship programmes should be reorganized at the different stages of education.</w:t>
      </w:r>
    </w:p>
    <w:p>
      <w:pPr>
        <w:pStyle w:val="BodyText"/>
        <w:spacing w:before="4"/>
      </w:pPr>
    </w:p>
    <w:p>
      <w:pPr>
        <w:pStyle w:val="ListParagraph"/>
        <w:numPr>
          <w:ilvl w:val="1"/>
          <w:numId w:val="10"/>
        </w:numPr>
        <w:tabs>
          <w:tab w:pos="642" w:val="left" w:leader="none"/>
        </w:tabs>
        <w:spacing w:line="240" w:lineRule="auto" w:before="0" w:after="0"/>
        <w:ind w:left="159" w:right="496" w:firstLine="0"/>
        <w:jc w:val="both"/>
        <w:rPr>
          <w:b/>
          <w:sz w:val="24"/>
        </w:rPr>
      </w:pPr>
      <w:r>
        <w:rPr>
          <w:b/>
          <w:sz w:val="24"/>
        </w:rPr>
        <w:t>Scholarships at the Primary Stage. </w:t>
      </w:r>
      <w:r>
        <w:rPr>
          <w:sz w:val="24"/>
        </w:rPr>
        <w:t>Steps should be taken to ensure that, at the end of the lower primary stage (class IV or V), no `Promising' child is Prevented from continuing his studies further on account of non-availability of a school, or of socioeconomic difficulties; and to this end, scholarship of an adequate amount will have to be provided to every child that may need it. In addition, it will be desirable to evolve a placement programme and to try to place the brighter children to the extent possible in</w:t>
      </w:r>
      <w:r>
        <w:rPr>
          <w:spacing w:val="40"/>
          <w:sz w:val="24"/>
        </w:rPr>
        <w:t> </w:t>
      </w:r>
      <w:r>
        <w:rPr>
          <w:sz w:val="24"/>
        </w:rPr>
        <w:t>the good schools that may be available at this stage. We have assumed that the target should be to provide scholarships for 2.5 per cent of the enrolment at the higher primary stage by 1975-76 and to 5 per cent of the same enrolment by 1985-86.</w:t>
      </w:r>
    </w:p>
    <w:p>
      <w:pPr>
        <w:pStyle w:val="BodyText"/>
        <w:spacing w:before="4"/>
      </w:pPr>
    </w:p>
    <w:p>
      <w:pPr>
        <w:pStyle w:val="ListParagraph"/>
        <w:numPr>
          <w:ilvl w:val="1"/>
          <w:numId w:val="10"/>
        </w:numPr>
        <w:tabs>
          <w:tab w:pos="730" w:val="left" w:leader="none"/>
        </w:tabs>
        <w:spacing w:line="240" w:lineRule="auto" w:before="0" w:after="0"/>
        <w:ind w:left="159" w:right="496" w:firstLine="0"/>
        <w:jc w:val="both"/>
        <w:rPr>
          <w:b/>
          <w:sz w:val="24"/>
        </w:rPr>
      </w:pPr>
      <w:r>
        <w:rPr>
          <w:b/>
          <w:sz w:val="24"/>
        </w:rPr>
        <w:t>Scholarships at the Secondary Stage. </w:t>
      </w:r>
      <w:r>
        <w:rPr>
          <w:sz w:val="24"/>
        </w:rPr>
        <w:t>The main object of the scholarship programmes to be developed at the secondary stage would be to ensure that, under any circumstances, the top 15 per cent of the children in the age-group do get transferred to secondary schools and that their further education is not prevented by poverty. In this context, we would like to make the following concrete suggestions:</w:t>
      </w:r>
    </w:p>
    <w:p>
      <w:pPr>
        <w:pStyle w:val="BodyText"/>
        <w:spacing w:before="5"/>
      </w:pPr>
    </w:p>
    <w:p>
      <w:pPr>
        <w:pStyle w:val="ListParagraph"/>
        <w:numPr>
          <w:ilvl w:val="0"/>
          <w:numId w:val="109"/>
        </w:numPr>
        <w:tabs>
          <w:tab w:pos="514" w:val="left" w:leader="none"/>
        </w:tabs>
        <w:spacing w:line="240" w:lineRule="auto" w:before="0" w:after="0"/>
        <w:ind w:left="160" w:right="495" w:firstLine="0"/>
        <w:jc w:val="both"/>
        <w:rPr>
          <w:sz w:val="24"/>
        </w:rPr>
      </w:pPr>
      <w:r>
        <w:rPr>
          <w:sz w:val="24"/>
        </w:rPr>
        <w:t>The present system of awarding scholarships on a centralized basis such as a district or a block, tends to be unfair to students who have attended the weaker schools and who, in consequence, show an inferior level of preparation for no fault of theirs. While this system should be continued and even expanded, we recommend that as a supplement to</w:t>
      </w:r>
      <w:r>
        <w:rPr>
          <w:spacing w:val="40"/>
          <w:sz w:val="24"/>
        </w:rPr>
        <w:t> </w:t>
      </w:r>
      <w:r>
        <w:rPr>
          <w:sz w:val="24"/>
        </w:rPr>
        <w:t>it, about 10 per cent of students in class VII or VIII in each school should be assisted, to the extent necessary, to continue their studies further. Taking the system as a whole, the target should be to provide scholarships to 5 per cent of the enrolment by 1975-76 and to 10 per cent of the enrolment by 1985-86.</w:t>
      </w:r>
    </w:p>
    <w:p>
      <w:pPr>
        <w:spacing w:after="0" w:line="240" w:lineRule="auto"/>
        <w:jc w:val="both"/>
        <w:rPr>
          <w:sz w:val="24"/>
        </w:rPr>
        <w:sectPr>
          <w:pgSz w:w="12240" w:h="15840"/>
          <w:pgMar w:header="0" w:footer="743" w:top="1360" w:bottom="940" w:left="1640" w:right="1300"/>
        </w:sectPr>
      </w:pPr>
    </w:p>
    <w:p>
      <w:pPr>
        <w:pStyle w:val="ListParagraph"/>
        <w:numPr>
          <w:ilvl w:val="0"/>
          <w:numId w:val="109"/>
        </w:numPr>
        <w:tabs>
          <w:tab w:pos="513" w:val="left" w:leader="none"/>
        </w:tabs>
        <w:spacing w:line="240" w:lineRule="auto" w:before="76" w:after="0"/>
        <w:ind w:left="159" w:right="496" w:firstLine="0"/>
        <w:jc w:val="both"/>
        <w:rPr>
          <w:sz w:val="24"/>
        </w:rPr>
      </w:pPr>
      <w:r>
        <w:rPr>
          <w:sz w:val="24"/>
        </w:rPr>
        <w:t>The existing programme of scholarships would have to be considerably expanded to meet the demands of the situation. Wherever necessary, hostel facilities will also have to be provided.</w:t>
      </w:r>
    </w:p>
    <w:p>
      <w:pPr>
        <w:pStyle w:val="BodyText"/>
        <w:spacing w:before="4"/>
      </w:pPr>
    </w:p>
    <w:p>
      <w:pPr>
        <w:pStyle w:val="ListParagraph"/>
        <w:numPr>
          <w:ilvl w:val="0"/>
          <w:numId w:val="109"/>
        </w:numPr>
        <w:tabs>
          <w:tab w:pos="498" w:val="left" w:leader="none"/>
        </w:tabs>
        <w:spacing w:line="240" w:lineRule="auto" w:before="0" w:after="0"/>
        <w:ind w:left="159" w:right="496" w:firstLine="0"/>
        <w:jc w:val="both"/>
        <w:rPr>
          <w:sz w:val="24"/>
        </w:rPr>
      </w:pPr>
      <w:r>
        <w:rPr>
          <w:sz w:val="24"/>
        </w:rPr>
        <w:t>To</w:t>
      </w:r>
      <w:r>
        <w:rPr>
          <w:spacing w:val="-1"/>
          <w:sz w:val="24"/>
        </w:rPr>
        <w:t> </w:t>
      </w:r>
      <w:r>
        <w:rPr>
          <w:sz w:val="24"/>
        </w:rPr>
        <w:t>begin</w:t>
      </w:r>
      <w:r>
        <w:rPr>
          <w:spacing w:val="-1"/>
          <w:sz w:val="24"/>
        </w:rPr>
        <w:t> </w:t>
      </w:r>
      <w:r>
        <w:rPr>
          <w:sz w:val="24"/>
        </w:rPr>
        <w:t>with,</w:t>
      </w:r>
      <w:r>
        <w:rPr>
          <w:spacing w:val="-1"/>
          <w:sz w:val="24"/>
        </w:rPr>
        <w:t> </w:t>
      </w:r>
      <w:r>
        <w:rPr>
          <w:sz w:val="24"/>
        </w:rPr>
        <w:t>one</w:t>
      </w:r>
      <w:r>
        <w:rPr>
          <w:spacing w:val="-1"/>
          <w:sz w:val="24"/>
        </w:rPr>
        <w:t> </w:t>
      </w:r>
      <w:r>
        <w:rPr>
          <w:sz w:val="24"/>
        </w:rPr>
        <w:t>good</w:t>
      </w:r>
      <w:r>
        <w:rPr>
          <w:spacing w:val="-1"/>
          <w:sz w:val="24"/>
        </w:rPr>
        <w:t> </w:t>
      </w:r>
      <w:r>
        <w:rPr>
          <w:sz w:val="24"/>
        </w:rPr>
        <w:t>secondary</w:t>
      </w:r>
      <w:r>
        <w:rPr>
          <w:spacing w:val="-2"/>
          <w:sz w:val="24"/>
        </w:rPr>
        <w:t> </w:t>
      </w:r>
      <w:r>
        <w:rPr>
          <w:sz w:val="24"/>
        </w:rPr>
        <w:t>school</w:t>
      </w:r>
      <w:r>
        <w:rPr>
          <w:spacing w:val="-2"/>
          <w:sz w:val="24"/>
        </w:rPr>
        <w:t> </w:t>
      </w:r>
      <w:r>
        <w:rPr>
          <w:sz w:val="24"/>
        </w:rPr>
        <w:t>(with</w:t>
      </w:r>
      <w:r>
        <w:rPr>
          <w:spacing w:val="-2"/>
          <w:sz w:val="24"/>
        </w:rPr>
        <w:t> </w:t>
      </w:r>
      <w:r>
        <w:rPr>
          <w:sz w:val="24"/>
        </w:rPr>
        <w:t>adequate</w:t>
      </w:r>
      <w:r>
        <w:rPr>
          <w:spacing w:val="-1"/>
          <w:sz w:val="24"/>
        </w:rPr>
        <w:t> </w:t>
      </w:r>
      <w:r>
        <w:rPr>
          <w:sz w:val="24"/>
        </w:rPr>
        <w:t>residential</w:t>
      </w:r>
      <w:r>
        <w:rPr>
          <w:spacing w:val="-1"/>
          <w:sz w:val="24"/>
        </w:rPr>
        <w:t> </w:t>
      </w:r>
      <w:r>
        <w:rPr>
          <w:sz w:val="24"/>
        </w:rPr>
        <w:t>facilities)</w:t>
      </w:r>
      <w:r>
        <w:rPr>
          <w:spacing w:val="-1"/>
          <w:sz w:val="24"/>
        </w:rPr>
        <w:t> </w:t>
      </w:r>
      <w:r>
        <w:rPr>
          <w:sz w:val="24"/>
        </w:rPr>
        <w:t>should be developed in each community development block and about 10 per cent of urban schools</w:t>
      </w:r>
      <w:r>
        <w:rPr>
          <w:spacing w:val="-2"/>
          <w:sz w:val="24"/>
        </w:rPr>
        <w:t> </w:t>
      </w:r>
      <w:r>
        <w:rPr>
          <w:sz w:val="24"/>
        </w:rPr>
        <w:t>should</w:t>
      </w:r>
      <w:r>
        <w:rPr>
          <w:spacing w:val="-2"/>
          <w:sz w:val="24"/>
        </w:rPr>
        <w:t> </w:t>
      </w:r>
      <w:r>
        <w:rPr>
          <w:sz w:val="24"/>
        </w:rPr>
        <w:t>also</w:t>
      </w:r>
      <w:r>
        <w:rPr>
          <w:spacing w:val="-2"/>
          <w:sz w:val="24"/>
        </w:rPr>
        <w:t> </w:t>
      </w:r>
      <w:r>
        <w:rPr>
          <w:sz w:val="24"/>
        </w:rPr>
        <w:t>be</w:t>
      </w:r>
      <w:r>
        <w:rPr>
          <w:spacing w:val="-2"/>
          <w:sz w:val="24"/>
        </w:rPr>
        <w:t> </w:t>
      </w:r>
      <w:r>
        <w:rPr>
          <w:sz w:val="24"/>
        </w:rPr>
        <w:t>similarly</w:t>
      </w:r>
      <w:r>
        <w:rPr>
          <w:spacing w:val="-2"/>
          <w:sz w:val="24"/>
        </w:rPr>
        <w:t> </w:t>
      </w:r>
      <w:r>
        <w:rPr>
          <w:sz w:val="24"/>
        </w:rPr>
        <w:t>covered.</w:t>
      </w:r>
      <w:r>
        <w:rPr>
          <w:spacing w:val="-2"/>
          <w:sz w:val="24"/>
        </w:rPr>
        <w:t> </w:t>
      </w:r>
      <w:r>
        <w:rPr>
          <w:sz w:val="24"/>
        </w:rPr>
        <w:t>Access</w:t>
      </w:r>
      <w:r>
        <w:rPr>
          <w:spacing w:val="-2"/>
          <w:sz w:val="24"/>
        </w:rPr>
        <w:t> </w:t>
      </w:r>
      <w:r>
        <w:rPr>
          <w:sz w:val="24"/>
        </w:rPr>
        <w:t>to</w:t>
      </w:r>
      <w:r>
        <w:rPr>
          <w:spacing w:val="-2"/>
          <w:sz w:val="24"/>
        </w:rPr>
        <w:t> </w:t>
      </w:r>
      <w:r>
        <w:rPr>
          <w:sz w:val="24"/>
        </w:rPr>
        <w:t>these</w:t>
      </w:r>
      <w:r>
        <w:rPr>
          <w:spacing w:val="-2"/>
          <w:sz w:val="24"/>
        </w:rPr>
        <w:t> </w:t>
      </w:r>
      <w:r>
        <w:rPr>
          <w:sz w:val="24"/>
        </w:rPr>
        <w:t>schools</w:t>
      </w:r>
      <w:r>
        <w:rPr>
          <w:spacing w:val="-2"/>
          <w:sz w:val="24"/>
        </w:rPr>
        <w:t> </w:t>
      </w:r>
      <w:r>
        <w:rPr>
          <w:sz w:val="24"/>
        </w:rPr>
        <w:t>should</w:t>
      </w:r>
      <w:r>
        <w:rPr>
          <w:spacing w:val="-2"/>
          <w:sz w:val="24"/>
        </w:rPr>
        <w:t> </w:t>
      </w:r>
      <w:r>
        <w:rPr>
          <w:sz w:val="24"/>
        </w:rPr>
        <w:t>be</w:t>
      </w:r>
      <w:r>
        <w:rPr>
          <w:spacing w:val="-2"/>
          <w:sz w:val="24"/>
        </w:rPr>
        <w:t> </w:t>
      </w:r>
      <w:r>
        <w:rPr>
          <w:sz w:val="24"/>
        </w:rPr>
        <w:t>mainly</w:t>
      </w:r>
      <w:r>
        <w:rPr>
          <w:spacing w:val="-2"/>
          <w:sz w:val="24"/>
        </w:rPr>
        <w:t> </w:t>
      </w:r>
      <w:r>
        <w:rPr>
          <w:sz w:val="24"/>
        </w:rPr>
        <w:t>on</w:t>
      </w:r>
      <w:r>
        <w:rPr>
          <w:spacing w:val="-2"/>
          <w:sz w:val="24"/>
        </w:rPr>
        <w:t> </w:t>
      </w:r>
      <w:r>
        <w:rPr>
          <w:sz w:val="24"/>
        </w:rPr>
        <w:t>the basis of talent; and an adequate placement programme should be developed at this stage- this does not exist at all at present-to help the gifted students and the scholarship-holders to get admission to these schools.</w:t>
      </w:r>
    </w:p>
    <w:p>
      <w:pPr>
        <w:pStyle w:val="BodyText"/>
        <w:spacing w:before="4"/>
      </w:pPr>
    </w:p>
    <w:p>
      <w:pPr>
        <w:pStyle w:val="ListParagraph"/>
        <w:numPr>
          <w:ilvl w:val="1"/>
          <w:numId w:val="10"/>
        </w:numPr>
        <w:tabs>
          <w:tab w:pos="647" w:val="left" w:leader="none"/>
        </w:tabs>
        <w:spacing w:line="240" w:lineRule="auto" w:before="0" w:after="0"/>
        <w:ind w:left="159" w:right="497" w:firstLine="0"/>
        <w:jc w:val="both"/>
        <w:rPr>
          <w:sz w:val="24"/>
        </w:rPr>
      </w:pPr>
      <w:r>
        <w:rPr>
          <w:sz w:val="24"/>
        </w:rPr>
        <w:t>The responsibility for the development of this comprehensive programme should be squarely placed on the Education Departments which should work in collaboration with the universities. The secondary stage is the most crucial for discovery and development</w:t>
      </w:r>
      <w:r>
        <w:rPr>
          <w:spacing w:val="40"/>
          <w:sz w:val="24"/>
        </w:rPr>
        <w:t> </w:t>
      </w:r>
      <w:r>
        <w:rPr>
          <w:sz w:val="24"/>
        </w:rPr>
        <w:t>of talent, and unfortunately, it is precisely at this stage that the scholarship programme is now weak. Its development will, therefore, have to be accorded high priority.</w:t>
      </w:r>
    </w:p>
    <w:p>
      <w:pPr>
        <w:pStyle w:val="BodyText"/>
        <w:spacing w:before="5"/>
      </w:pPr>
    </w:p>
    <w:p>
      <w:pPr>
        <w:pStyle w:val="ListParagraph"/>
        <w:numPr>
          <w:ilvl w:val="1"/>
          <w:numId w:val="10"/>
        </w:numPr>
        <w:tabs>
          <w:tab w:pos="646" w:val="left" w:leader="none"/>
        </w:tabs>
        <w:spacing w:line="240" w:lineRule="auto" w:before="0" w:after="0"/>
        <w:ind w:left="159" w:right="496" w:firstLine="0"/>
        <w:jc w:val="both"/>
        <w:rPr>
          <w:sz w:val="24"/>
        </w:rPr>
      </w:pPr>
      <w:r>
        <w:rPr>
          <w:sz w:val="24"/>
        </w:rPr>
        <w:t>We are aware of the great difficulties and lack of reliable criteria and techniques for identifying talent. We, therefore, recommend that steps should be taken immediately to devise</w:t>
      </w:r>
      <w:r>
        <w:rPr>
          <w:spacing w:val="-3"/>
          <w:sz w:val="24"/>
        </w:rPr>
        <w:t> </w:t>
      </w:r>
      <w:r>
        <w:rPr>
          <w:sz w:val="24"/>
        </w:rPr>
        <w:t>suitable</w:t>
      </w:r>
      <w:r>
        <w:rPr>
          <w:spacing w:val="-3"/>
          <w:sz w:val="24"/>
        </w:rPr>
        <w:t> </w:t>
      </w:r>
      <w:r>
        <w:rPr>
          <w:sz w:val="24"/>
        </w:rPr>
        <w:t>techniques</w:t>
      </w:r>
      <w:r>
        <w:rPr>
          <w:spacing w:val="-3"/>
          <w:sz w:val="24"/>
        </w:rPr>
        <w:t> </w:t>
      </w:r>
      <w:r>
        <w:rPr>
          <w:sz w:val="24"/>
        </w:rPr>
        <w:t>for</w:t>
      </w:r>
      <w:r>
        <w:rPr>
          <w:spacing w:val="-3"/>
          <w:sz w:val="24"/>
        </w:rPr>
        <w:t> </w:t>
      </w:r>
      <w:r>
        <w:rPr>
          <w:sz w:val="24"/>
        </w:rPr>
        <w:t>identifying</w:t>
      </w:r>
      <w:r>
        <w:rPr>
          <w:spacing w:val="-3"/>
          <w:sz w:val="24"/>
        </w:rPr>
        <w:t> </w:t>
      </w:r>
      <w:r>
        <w:rPr>
          <w:sz w:val="24"/>
        </w:rPr>
        <w:t>talent</w:t>
      </w:r>
      <w:r>
        <w:rPr>
          <w:spacing w:val="-4"/>
          <w:sz w:val="24"/>
        </w:rPr>
        <w:t> </w:t>
      </w:r>
      <w:r>
        <w:rPr>
          <w:sz w:val="24"/>
        </w:rPr>
        <w:t>at</w:t>
      </w:r>
      <w:r>
        <w:rPr>
          <w:spacing w:val="-4"/>
          <w:sz w:val="24"/>
        </w:rPr>
        <w:t> </w:t>
      </w:r>
      <w:r>
        <w:rPr>
          <w:sz w:val="24"/>
        </w:rPr>
        <w:t>this</w:t>
      </w:r>
      <w:r>
        <w:rPr>
          <w:spacing w:val="-4"/>
          <w:sz w:val="24"/>
        </w:rPr>
        <w:t> </w:t>
      </w:r>
      <w:r>
        <w:rPr>
          <w:sz w:val="24"/>
        </w:rPr>
        <w:t>stage.</w:t>
      </w:r>
      <w:r>
        <w:rPr>
          <w:spacing w:val="-4"/>
          <w:sz w:val="24"/>
        </w:rPr>
        <w:t> </w:t>
      </w:r>
      <w:r>
        <w:rPr>
          <w:sz w:val="24"/>
        </w:rPr>
        <w:t>Each</w:t>
      </w:r>
      <w:r>
        <w:rPr>
          <w:spacing w:val="-2"/>
          <w:sz w:val="24"/>
        </w:rPr>
        <w:t> </w:t>
      </w:r>
      <w:r>
        <w:rPr>
          <w:sz w:val="24"/>
        </w:rPr>
        <w:t>State</w:t>
      </w:r>
      <w:r>
        <w:rPr>
          <w:spacing w:val="-3"/>
          <w:sz w:val="24"/>
        </w:rPr>
        <w:t> </w:t>
      </w:r>
      <w:r>
        <w:rPr>
          <w:sz w:val="24"/>
        </w:rPr>
        <w:t>should</w:t>
      </w:r>
      <w:r>
        <w:rPr>
          <w:spacing w:val="-3"/>
          <w:sz w:val="24"/>
        </w:rPr>
        <w:t> </w:t>
      </w:r>
      <w:r>
        <w:rPr>
          <w:sz w:val="24"/>
        </w:rPr>
        <w:t>organize</w:t>
      </w:r>
      <w:r>
        <w:rPr>
          <w:spacing w:val="-3"/>
          <w:sz w:val="24"/>
        </w:rPr>
        <w:t> </w:t>
      </w:r>
      <w:r>
        <w:rPr>
          <w:sz w:val="24"/>
        </w:rPr>
        <w:t>a testing</w:t>
      </w:r>
      <w:r>
        <w:rPr>
          <w:spacing w:val="-2"/>
          <w:sz w:val="24"/>
        </w:rPr>
        <w:t> </w:t>
      </w:r>
      <w:r>
        <w:rPr>
          <w:sz w:val="24"/>
        </w:rPr>
        <w:t>service</w:t>
      </w:r>
      <w:r>
        <w:rPr>
          <w:spacing w:val="-2"/>
          <w:sz w:val="24"/>
        </w:rPr>
        <w:t> </w:t>
      </w:r>
      <w:r>
        <w:rPr>
          <w:sz w:val="24"/>
        </w:rPr>
        <w:t>at</w:t>
      </w:r>
      <w:r>
        <w:rPr>
          <w:spacing w:val="-2"/>
          <w:sz w:val="24"/>
        </w:rPr>
        <w:t> </w:t>
      </w:r>
      <w:r>
        <w:rPr>
          <w:sz w:val="24"/>
        </w:rPr>
        <w:t>the</w:t>
      </w:r>
      <w:r>
        <w:rPr>
          <w:spacing w:val="-2"/>
          <w:sz w:val="24"/>
        </w:rPr>
        <w:t> </w:t>
      </w:r>
      <w:r>
        <w:rPr>
          <w:sz w:val="24"/>
        </w:rPr>
        <w:t>end</w:t>
      </w:r>
      <w:r>
        <w:rPr>
          <w:spacing w:val="-4"/>
          <w:sz w:val="24"/>
        </w:rPr>
        <w:t> </w:t>
      </w:r>
      <w:r>
        <w:rPr>
          <w:sz w:val="24"/>
        </w:rPr>
        <w:t>of</w:t>
      </w:r>
      <w:r>
        <w:rPr>
          <w:spacing w:val="-2"/>
          <w:sz w:val="24"/>
        </w:rPr>
        <w:t> </w:t>
      </w:r>
      <w:r>
        <w:rPr>
          <w:sz w:val="24"/>
        </w:rPr>
        <w:t>the</w:t>
      </w:r>
      <w:r>
        <w:rPr>
          <w:spacing w:val="-2"/>
          <w:sz w:val="24"/>
        </w:rPr>
        <w:t> </w:t>
      </w:r>
      <w:r>
        <w:rPr>
          <w:sz w:val="24"/>
        </w:rPr>
        <w:t>primary</w:t>
      </w:r>
      <w:r>
        <w:rPr>
          <w:spacing w:val="-2"/>
          <w:sz w:val="24"/>
        </w:rPr>
        <w:t> </w:t>
      </w:r>
      <w:r>
        <w:rPr>
          <w:sz w:val="24"/>
        </w:rPr>
        <w:t>stage</w:t>
      </w:r>
      <w:r>
        <w:rPr>
          <w:spacing w:val="-3"/>
          <w:sz w:val="24"/>
        </w:rPr>
        <w:t> </w:t>
      </w:r>
      <w:r>
        <w:rPr>
          <w:sz w:val="24"/>
        </w:rPr>
        <w:t>(class</w:t>
      </w:r>
      <w:r>
        <w:rPr>
          <w:spacing w:val="-2"/>
          <w:sz w:val="24"/>
        </w:rPr>
        <w:t> </w:t>
      </w:r>
      <w:r>
        <w:rPr>
          <w:sz w:val="24"/>
        </w:rPr>
        <w:t>VII</w:t>
      </w:r>
      <w:r>
        <w:rPr>
          <w:spacing w:val="-2"/>
          <w:sz w:val="24"/>
        </w:rPr>
        <w:t> </w:t>
      </w:r>
      <w:r>
        <w:rPr>
          <w:sz w:val="24"/>
        </w:rPr>
        <w:t>or</w:t>
      </w:r>
      <w:r>
        <w:rPr>
          <w:spacing w:val="-2"/>
          <w:sz w:val="24"/>
        </w:rPr>
        <w:t> </w:t>
      </w:r>
      <w:r>
        <w:rPr>
          <w:sz w:val="24"/>
        </w:rPr>
        <w:t>VIII)</w:t>
      </w:r>
      <w:r>
        <w:rPr>
          <w:spacing w:val="-2"/>
          <w:sz w:val="24"/>
        </w:rPr>
        <w:t> </w:t>
      </w:r>
      <w:r>
        <w:rPr>
          <w:sz w:val="24"/>
        </w:rPr>
        <w:t>and</w:t>
      </w:r>
      <w:r>
        <w:rPr>
          <w:spacing w:val="-2"/>
          <w:sz w:val="24"/>
        </w:rPr>
        <w:t> </w:t>
      </w:r>
      <w:r>
        <w:rPr>
          <w:sz w:val="24"/>
        </w:rPr>
        <w:t>also</w:t>
      </w:r>
      <w:r>
        <w:rPr>
          <w:spacing w:val="-2"/>
          <w:sz w:val="24"/>
        </w:rPr>
        <w:t> </w:t>
      </w:r>
      <w:r>
        <w:rPr>
          <w:sz w:val="24"/>
        </w:rPr>
        <w:t>at</w:t>
      </w:r>
      <w:r>
        <w:rPr>
          <w:spacing w:val="-2"/>
          <w:sz w:val="24"/>
        </w:rPr>
        <w:t> </w:t>
      </w:r>
      <w:r>
        <w:rPr>
          <w:sz w:val="24"/>
        </w:rPr>
        <w:t>the</w:t>
      </w:r>
      <w:r>
        <w:rPr>
          <w:spacing w:val="-2"/>
          <w:sz w:val="24"/>
        </w:rPr>
        <w:t> </w:t>
      </w:r>
      <w:r>
        <w:rPr>
          <w:sz w:val="24"/>
        </w:rPr>
        <w:t>end</w:t>
      </w:r>
      <w:r>
        <w:rPr>
          <w:spacing w:val="-2"/>
          <w:sz w:val="24"/>
        </w:rPr>
        <w:t> </w:t>
      </w:r>
      <w:r>
        <w:rPr>
          <w:sz w:val="24"/>
        </w:rPr>
        <w:t>of</w:t>
      </w:r>
      <w:r>
        <w:rPr>
          <w:spacing w:val="-2"/>
          <w:sz w:val="24"/>
        </w:rPr>
        <w:t> </w:t>
      </w:r>
      <w:r>
        <w:rPr>
          <w:sz w:val="24"/>
        </w:rPr>
        <w:t>the lower secondary stage (class X) and make its assistance available to all the schools. The details of the organization of this service, under a new body called the State Evaluation Organization, has been discussed elsewhere.</w:t>
      </w:r>
      <w:r>
        <w:rPr>
          <w:b/>
          <w:sz w:val="24"/>
          <w:vertAlign w:val="superscript"/>
        </w:rPr>
        <w:t>53</w:t>
      </w:r>
      <w:r>
        <w:rPr>
          <w:b/>
          <w:sz w:val="24"/>
          <w:vertAlign w:val="baseline"/>
        </w:rPr>
        <w:t> </w:t>
      </w:r>
      <w:r>
        <w:rPr>
          <w:sz w:val="24"/>
          <w:vertAlign w:val="baseline"/>
        </w:rPr>
        <w:t>If properly developed, this service could</w:t>
      </w:r>
      <w:r>
        <w:rPr>
          <w:spacing w:val="40"/>
          <w:sz w:val="24"/>
          <w:vertAlign w:val="baseline"/>
        </w:rPr>
        <w:t> </w:t>
      </w:r>
      <w:r>
        <w:rPr>
          <w:sz w:val="24"/>
          <w:vertAlign w:val="baseline"/>
        </w:rPr>
        <w:t>be of considerable help to students and institutions; they would obtain some useful information about their performance in relation to the district, State or even the national average level of attainment; and such information, apart from its utility to students </w:t>
      </w:r>
      <w:r>
        <w:rPr>
          <w:sz w:val="24"/>
          <w:vertAlign w:val="baseline"/>
        </w:rPr>
        <w:t>and parents, would also be of great assistance to the Education Departments in the award of </w:t>
      </w:r>
      <w:r>
        <w:rPr>
          <w:spacing w:val="-2"/>
          <w:sz w:val="24"/>
          <w:vertAlign w:val="baseline"/>
        </w:rPr>
        <w:t>scholarships.</w:t>
      </w:r>
    </w:p>
    <w:p>
      <w:pPr>
        <w:pStyle w:val="BodyText"/>
        <w:spacing w:before="4"/>
      </w:pPr>
    </w:p>
    <w:p>
      <w:pPr>
        <w:pStyle w:val="ListParagraph"/>
        <w:numPr>
          <w:ilvl w:val="1"/>
          <w:numId w:val="10"/>
        </w:numPr>
        <w:tabs>
          <w:tab w:pos="688" w:val="left" w:leader="none"/>
        </w:tabs>
        <w:spacing w:line="240" w:lineRule="auto" w:before="0" w:after="0"/>
        <w:ind w:left="159" w:right="493" w:firstLine="0"/>
        <w:jc w:val="both"/>
        <w:rPr>
          <w:sz w:val="24"/>
        </w:rPr>
      </w:pPr>
      <w:r>
        <w:rPr>
          <w:sz w:val="24"/>
        </w:rPr>
        <w:t>Two further points need mention. The first is that every educational institution should be assisted to develop a programme for identifying the brighter children attending it and for providing them with special enrichment programmes to suit their needs and to help in their growth. These programmes, the nature of which would very from stage to stage</w:t>
      </w:r>
      <w:r>
        <w:rPr>
          <w:spacing w:val="-1"/>
          <w:sz w:val="24"/>
        </w:rPr>
        <w:t> </w:t>
      </w:r>
      <w:r>
        <w:rPr>
          <w:sz w:val="24"/>
        </w:rPr>
        <w:t>and</w:t>
      </w:r>
      <w:r>
        <w:rPr>
          <w:spacing w:val="-1"/>
          <w:sz w:val="24"/>
        </w:rPr>
        <w:t> </w:t>
      </w:r>
      <w:r>
        <w:rPr>
          <w:sz w:val="24"/>
        </w:rPr>
        <w:t>from</w:t>
      </w:r>
      <w:r>
        <w:rPr>
          <w:spacing w:val="-3"/>
          <w:sz w:val="24"/>
        </w:rPr>
        <w:t> </w:t>
      </w:r>
      <w:r>
        <w:rPr>
          <w:sz w:val="24"/>
        </w:rPr>
        <w:t>one</w:t>
      </w:r>
      <w:r>
        <w:rPr>
          <w:spacing w:val="-1"/>
          <w:sz w:val="24"/>
        </w:rPr>
        <w:t> </w:t>
      </w:r>
      <w:r>
        <w:rPr>
          <w:sz w:val="24"/>
        </w:rPr>
        <w:t>type</w:t>
      </w:r>
      <w:r>
        <w:rPr>
          <w:spacing w:val="-1"/>
          <w:sz w:val="24"/>
        </w:rPr>
        <w:t> </w:t>
      </w:r>
      <w:r>
        <w:rPr>
          <w:sz w:val="24"/>
        </w:rPr>
        <w:t>of</w:t>
      </w:r>
      <w:r>
        <w:rPr>
          <w:spacing w:val="-1"/>
          <w:sz w:val="24"/>
        </w:rPr>
        <w:t> </w:t>
      </w:r>
      <w:r>
        <w:rPr>
          <w:sz w:val="24"/>
        </w:rPr>
        <w:t>institution</w:t>
      </w:r>
      <w:r>
        <w:rPr>
          <w:spacing w:val="-1"/>
          <w:sz w:val="24"/>
        </w:rPr>
        <w:t> </w:t>
      </w:r>
      <w:r>
        <w:rPr>
          <w:sz w:val="24"/>
        </w:rPr>
        <w:t>to</w:t>
      </w:r>
      <w:r>
        <w:rPr>
          <w:spacing w:val="-1"/>
          <w:sz w:val="24"/>
        </w:rPr>
        <w:t> </w:t>
      </w:r>
      <w:r>
        <w:rPr>
          <w:sz w:val="24"/>
        </w:rPr>
        <w:t>another,</w:t>
      </w:r>
      <w:r>
        <w:rPr>
          <w:spacing w:val="-1"/>
          <w:sz w:val="24"/>
        </w:rPr>
        <w:t> </w:t>
      </w:r>
      <w:r>
        <w:rPr>
          <w:sz w:val="24"/>
        </w:rPr>
        <w:t>would</w:t>
      </w:r>
      <w:r>
        <w:rPr>
          <w:spacing w:val="-1"/>
          <w:sz w:val="24"/>
        </w:rPr>
        <w:t> </w:t>
      </w:r>
      <w:r>
        <w:rPr>
          <w:sz w:val="24"/>
        </w:rPr>
        <w:t>have</w:t>
      </w:r>
      <w:r>
        <w:rPr>
          <w:spacing w:val="-1"/>
          <w:sz w:val="24"/>
        </w:rPr>
        <w:t> </w:t>
      </w:r>
      <w:r>
        <w:rPr>
          <w:sz w:val="24"/>
        </w:rPr>
        <w:t>to</w:t>
      </w:r>
      <w:r>
        <w:rPr>
          <w:spacing w:val="-1"/>
          <w:sz w:val="24"/>
        </w:rPr>
        <w:t> </w:t>
      </w:r>
      <w:r>
        <w:rPr>
          <w:sz w:val="24"/>
        </w:rPr>
        <w:t>be</w:t>
      </w:r>
      <w:r>
        <w:rPr>
          <w:spacing w:val="-1"/>
          <w:sz w:val="24"/>
        </w:rPr>
        <w:t> </w:t>
      </w:r>
      <w:r>
        <w:rPr>
          <w:sz w:val="24"/>
        </w:rPr>
        <w:t>carefully</w:t>
      </w:r>
      <w:r>
        <w:rPr>
          <w:spacing w:val="-1"/>
          <w:sz w:val="24"/>
        </w:rPr>
        <w:t> </w:t>
      </w:r>
      <w:r>
        <w:rPr>
          <w:sz w:val="24"/>
        </w:rPr>
        <w:t>designed</w:t>
      </w:r>
      <w:r>
        <w:rPr>
          <w:spacing w:val="-1"/>
          <w:sz w:val="24"/>
        </w:rPr>
        <w:t> </w:t>
      </w:r>
      <w:r>
        <w:rPr>
          <w:sz w:val="24"/>
        </w:rPr>
        <w:t>and teachers would have to be trained in putting them across. Secondly, in all these programmes, `talent' should not be understood in the traditional sense only, but should cover</w:t>
      </w:r>
      <w:r>
        <w:rPr>
          <w:spacing w:val="-1"/>
          <w:sz w:val="24"/>
        </w:rPr>
        <w:t> </w:t>
      </w:r>
      <w:r>
        <w:rPr>
          <w:sz w:val="24"/>
        </w:rPr>
        <w:t>a,</w:t>
      </w:r>
      <w:r>
        <w:rPr>
          <w:spacing w:val="-3"/>
          <w:sz w:val="24"/>
        </w:rPr>
        <w:t> </w:t>
      </w:r>
      <w:r>
        <w:rPr>
          <w:sz w:val="24"/>
        </w:rPr>
        <w:t>wide</w:t>
      </w:r>
      <w:r>
        <w:rPr>
          <w:spacing w:val="-1"/>
          <w:sz w:val="24"/>
        </w:rPr>
        <w:t> </w:t>
      </w:r>
      <w:r>
        <w:rPr>
          <w:sz w:val="24"/>
        </w:rPr>
        <w:t>range</w:t>
      </w:r>
      <w:r>
        <w:rPr>
          <w:spacing w:val="-1"/>
          <w:sz w:val="24"/>
        </w:rPr>
        <w:t> </w:t>
      </w:r>
      <w:r>
        <w:rPr>
          <w:sz w:val="24"/>
        </w:rPr>
        <w:t>of</w:t>
      </w:r>
      <w:r>
        <w:rPr>
          <w:spacing w:val="-1"/>
          <w:sz w:val="24"/>
        </w:rPr>
        <w:t> </w:t>
      </w:r>
      <w:r>
        <w:rPr>
          <w:sz w:val="24"/>
        </w:rPr>
        <w:t>mathematical,</w:t>
      </w:r>
      <w:r>
        <w:rPr>
          <w:spacing w:val="-3"/>
          <w:sz w:val="24"/>
        </w:rPr>
        <w:t> </w:t>
      </w:r>
      <w:r>
        <w:rPr>
          <w:sz w:val="24"/>
        </w:rPr>
        <w:t>verbal,</w:t>
      </w:r>
      <w:r>
        <w:rPr>
          <w:spacing w:val="-3"/>
          <w:sz w:val="24"/>
        </w:rPr>
        <w:t> </w:t>
      </w:r>
      <w:r>
        <w:rPr>
          <w:sz w:val="24"/>
        </w:rPr>
        <w:t>artistic</w:t>
      </w:r>
      <w:r>
        <w:rPr>
          <w:spacing w:val="-2"/>
          <w:sz w:val="24"/>
        </w:rPr>
        <w:t> </w:t>
      </w:r>
      <w:r>
        <w:rPr>
          <w:sz w:val="24"/>
        </w:rPr>
        <w:t>and</w:t>
      </w:r>
      <w:r>
        <w:rPr>
          <w:spacing w:val="-2"/>
          <w:sz w:val="24"/>
        </w:rPr>
        <w:t> </w:t>
      </w:r>
      <w:r>
        <w:rPr>
          <w:sz w:val="24"/>
        </w:rPr>
        <w:t>experimental</w:t>
      </w:r>
      <w:r>
        <w:rPr>
          <w:spacing w:val="-1"/>
          <w:sz w:val="24"/>
        </w:rPr>
        <w:t> </w:t>
      </w:r>
      <w:r>
        <w:rPr>
          <w:sz w:val="24"/>
        </w:rPr>
        <w:t>skills.</w:t>
      </w:r>
      <w:r>
        <w:rPr>
          <w:spacing w:val="-1"/>
          <w:sz w:val="24"/>
        </w:rPr>
        <w:t> </w:t>
      </w:r>
      <w:r>
        <w:rPr>
          <w:sz w:val="24"/>
        </w:rPr>
        <w:t>Scholarships and encouragement should be available, on a basis of equality, to all talent at all stages of </w:t>
      </w:r>
      <w:r>
        <w:rPr>
          <w:spacing w:val="-2"/>
          <w:sz w:val="24"/>
        </w:rPr>
        <w:t>education.</w:t>
      </w:r>
    </w:p>
    <w:p>
      <w:pPr>
        <w:pStyle w:val="BodyText"/>
        <w:spacing w:before="5"/>
      </w:pPr>
    </w:p>
    <w:p>
      <w:pPr>
        <w:pStyle w:val="BodyText"/>
        <w:ind w:left="160"/>
      </w:pPr>
      <w:r>
        <w:rPr>
          <w:b/>
          <w:vertAlign w:val="superscript"/>
        </w:rPr>
        <w:t>53</w:t>
      </w:r>
      <w:r>
        <w:rPr>
          <w:vertAlign w:val="baseline"/>
        </w:rPr>
        <w:t>Chapter</w:t>
      </w:r>
      <w:r>
        <w:rPr>
          <w:spacing w:val="-9"/>
          <w:vertAlign w:val="baseline"/>
        </w:rPr>
        <w:t> </w:t>
      </w:r>
      <w:r>
        <w:rPr>
          <w:spacing w:val="-5"/>
          <w:vertAlign w:val="baseline"/>
        </w:rPr>
        <w:t>X.</w:t>
      </w:r>
    </w:p>
    <w:p>
      <w:pPr>
        <w:spacing w:after="0"/>
        <w:sectPr>
          <w:pgSz w:w="12240" w:h="15840"/>
          <w:pgMar w:header="0" w:footer="743" w:top="1360" w:bottom="940" w:left="1640" w:right="1300"/>
        </w:sectPr>
      </w:pPr>
    </w:p>
    <w:p>
      <w:pPr>
        <w:pStyle w:val="ListParagraph"/>
        <w:numPr>
          <w:ilvl w:val="1"/>
          <w:numId w:val="10"/>
        </w:numPr>
        <w:tabs>
          <w:tab w:pos="674" w:val="left" w:leader="none"/>
        </w:tabs>
        <w:spacing w:line="240" w:lineRule="auto" w:before="76" w:after="0"/>
        <w:ind w:left="160" w:right="496" w:firstLine="0"/>
        <w:jc w:val="both"/>
        <w:rPr>
          <w:b/>
          <w:sz w:val="24"/>
        </w:rPr>
      </w:pPr>
      <w:r>
        <w:rPr>
          <w:b/>
          <w:sz w:val="24"/>
        </w:rPr>
        <w:t>Scholarships at the University Stage. </w:t>
      </w:r>
      <w:r>
        <w:rPr>
          <w:sz w:val="24"/>
        </w:rPr>
        <w:t>The programme of scholarships in higher education is extremely important. The bulk of the existing programme is in this sector</w:t>
      </w:r>
      <w:r>
        <w:rPr>
          <w:spacing w:val="40"/>
          <w:sz w:val="24"/>
        </w:rPr>
        <w:t> </w:t>
      </w:r>
      <w:r>
        <w:rPr>
          <w:sz w:val="24"/>
        </w:rPr>
        <w:t>and a very large part of it is provided by the Government of India. In our opinion, a further development on the following lines is needed:</w:t>
      </w:r>
    </w:p>
    <w:p>
      <w:pPr>
        <w:pStyle w:val="BodyText"/>
        <w:spacing w:before="4"/>
      </w:pPr>
    </w:p>
    <w:p>
      <w:pPr>
        <w:pStyle w:val="ListParagraph"/>
        <w:numPr>
          <w:ilvl w:val="2"/>
          <w:numId w:val="10"/>
        </w:numPr>
        <w:tabs>
          <w:tab w:pos="304" w:val="left" w:leader="none"/>
        </w:tabs>
        <w:spacing w:line="240" w:lineRule="auto" w:before="0" w:after="0"/>
        <w:ind w:left="160" w:right="497" w:firstLine="0"/>
        <w:jc w:val="both"/>
        <w:rPr>
          <w:sz w:val="24"/>
        </w:rPr>
      </w:pPr>
      <w:r>
        <w:rPr>
          <w:sz w:val="24"/>
        </w:rPr>
        <w:t>increase in the number of scholarships and other forms of student aid and in the amount of scholarships;</w:t>
      </w:r>
    </w:p>
    <w:p>
      <w:pPr>
        <w:pStyle w:val="BodyText"/>
        <w:spacing w:before="6"/>
      </w:pPr>
    </w:p>
    <w:p>
      <w:pPr>
        <w:pStyle w:val="ListParagraph"/>
        <w:numPr>
          <w:ilvl w:val="2"/>
          <w:numId w:val="10"/>
        </w:numPr>
        <w:tabs>
          <w:tab w:pos="298" w:val="left" w:leader="none"/>
        </w:tabs>
        <w:spacing w:line="240" w:lineRule="auto" w:before="0" w:after="0"/>
        <w:ind w:left="298" w:right="0" w:hanging="138"/>
        <w:jc w:val="both"/>
        <w:rPr>
          <w:sz w:val="24"/>
        </w:rPr>
      </w:pPr>
      <w:r>
        <w:rPr>
          <w:sz w:val="24"/>
        </w:rPr>
        <w:t>reduction</w:t>
      </w:r>
      <w:r>
        <w:rPr>
          <w:spacing w:val="-1"/>
          <w:sz w:val="24"/>
        </w:rPr>
        <w:t> </w:t>
      </w:r>
      <w:r>
        <w:rPr>
          <w:sz w:val="24"/>
        </w:rPr>
        <w:t>of</w:t>
      </w:r>
      <w:r>
        <w:rPr>
          <w:spacing w:val="-1"/>
          <w:sz w:val="24"/>
        </w:rPr>
        <w:t> </w:t>
      </w:r>
      <w:r>
        <w:rPr>
          <w:sz w:val="24"/>
        </w:rPr>
        <w:t>procedural</w:t>
      </w:r>
      <w:r>
        <w:rPr>
          <w:spacing w:val="-1"/>
          <w:sz w:val="24"/>
        </w:rPr>
        <w:t> </w:t>
      </w:r>
      <w:r>
        <w:rPr>
          <w:sz w:val="24"/>
        </w:rPr>
        <w:t>and</w:t>
      </w:r>
      <w:r>
        <w:rPr>
          <w:spacing w:val="-1"/>
          <w:sz w:val="24"/>
        </w:rPr>
        <w:t> </w:t>
      </w:r>
      <w:r>
        <w:rPr>
          <w:sz w:val="24"/>
        </w:rPr>
        <w:t>other</w:t>
      </w:r>
      <w:r>
        <w:rPr>
          <w:spacing w:val="-1"/>
          <w:sz w:val="24"/>
        </w:rPr>
        <w:t> </w:t>
      </w:r>
      <w:r>
        <w:rPr>
          <w:spacing w:val="-2"/>
          <w:sz w:val="24"/>
        </w:rPr>
        <w:t>delays;</w:t>
      </w:r>
    </w:p>
    <w:p>
      <w:pPr>
        <w:pStyle w:val="BodyText"/>
        <w:spacing w:before="4"/>
      </w:pPr>
    </w:p>
    <w:p>
      <w:pPr>
        <w:pStyle w:val="ListParagraph"/>
        <w:numPr>
          <w:ilvl w:val="2"/>
          <w:numId w:val="10"/>
        </w:numPr>
        <w:tabs>
          <w:tab w:pos="299" w:val="left" w:leader="none"/>
        </w:tabs>
        <w:spacing w:line="240" w:lineRule="auto" w:before="0" w:after="0"/>
        <w:ind w:left="299" w:right="0" w:hanging="139"/>
        <w:jc w:val="both"/>
        <w:rPr>
          <w:sz w:val="24"/>
        </w:rPr>
      </w:pPr>
      <w:r>
        <w:rPr>
          <w:sz w:val="24"/>
        </w:rPr>
        <w:t>improving</w:t>
      </w:r>
      <w:r>
        <w:rPr>
          <w:spacing w:val="-1"/>
          <w:sz w:val="24"/>
        </w:rPr>
        <w:t> </w:t>
      </w:r>
      <w:r>
        <w:rPr>
          <w:sz w:val="24"/>
        </w:rPr>
        <w:t>the</w:t>
      </w:r>
      <w:r>
        <w:rPr>
          <w:spacing w:val="-1"/>
          <w:sz w:val="24"/>
        </w:rPr>
        <w:t> </w:t>
      </w:r>
      <w:r>
        <w:rPr>
          <w:sz w:val="24"/>
        </w:rPr>
        <w:t>methods</w:t>
      </w:r>
      <w:r>
        <w:rPr>
          <w:spacing w:val="-1"/>
          <w:sz w:val="24"/>
        </w:rPr>
        <w:t> </w:t>
      </w:r>
      <w:r>
        <w:rPr>
          <w:sz w:val="24"/>
        </w:rPr>
        <w:t>of</w:t>
      </w:r>
      <w:r>
        <w:rPr>
          <w:spacing w:val="-3"/>
          <w:sz w:val="24"/>
        </w:rPr>
        <w:t> </w:t>
      </w:r>
      <w:r>
        <w:rPr>
          <w:sz w:val="24"/>
        </w:rPr>
        <w:t>selecting</w:t>
      </w:r>
      <w:r>
        <w:rPr>
          <w:spacing w:val="-1"/>
          <w:sz w:val="24"/>
        </w:rPr>
        <w:t> </w:t>
      </w:r>
      <w:r>
        <w:rPr>
          <w:spacing w:val="-2"/>
          <w:sz w:val="24"/>
        </w:rPr>
        <w:t>awardees;</w:t>
      </w:r>
    </w:p>
    <w:p>
      <w:pPr>
        <w:pStyle w:val="BodyText"/>
        <w:spacing w:before="3"/>
      </w:pPr>
    </w:p>
    <w:p>
      <w:pPr>
        <w:pStyle w:val="ListParagraph"/>
        <w:numPr>
          <w:ilvl w:val="2"/>
          <w:numId w:val="10"/>
        </w:numPr>
        <w:tabs>
          <w:tab w:pos="298" w:val="left" w:leader="none"/>
        </w:tabs>
        <w:spacing w:line="240" w:lineRule="auto" w:before="1" w:after="0"/>
        <w:ind w:left="298" w:right="0" w:hanging="138"/>
        <w:jc w:val="both"/>
        <w:rPr>
          <w:sz w:val="24"/>
        </w:rPr>
      </w:pPr>
      <w:r>
        <w:rPr>
          <w:sz w:val="24"/>
        </w:rPr>
        <w:t>institution</w:t>
      </w:r>
      <w:r>
        <w:rPr>
          <w:spacing w:val="-2"/>
          <w:sz w:val="24"/>
        </w:rPr>
        <w:t> </w:t>
      </w:r>
      <w:r>
        <w:rPr>
          <w:sz w:val="24"/>
        </w:rPr>
        <w:t>of</w:t>
      </w:r>
      <w:r>
        <w:rPr>
          <w:spacing w:val="-3"/>
          <w:sz w:val="24"/>
        </w:rPr>
        <w:t> </w:t>
      </w:r>
      <w:r>
        <w:rPr>
          <w:sz w:val="24"/>
        </w:rPr>
        <w:t>scholarships</w:t>
      </w:r>
      <w:r>
        <w:rPr>
          <w:spacing w:val="-1"/>
          <w:sz w:val="24"/>
        </w:rPr>
        <w:t> </w:t>
      </w:r>
      <w:r>
        <w:rPr>
          <w:sz w:val="24"/>
        </w:rPr>
        <w:t>for</w:t>
      </w:r>
      <w:r>
        <w:rPr>
          <w:spacing w:val="-2"/>
          <w:sz w:val="24"/>
        </w:rPr>
        <w:t> </w:t>
      </w:r>
      <w:r>
        <w:rPr>
          <w:sz w:val="24"/>
        </w:rPr>
        <w:t>study</w:t>
      </w:r>
      <w:r>
        <w:rPr>
          <w:spacing w:val="-3"/>
          <w:sz w:val="24"/>
        </w:rPr>
        <w:t> </w:t>
      </w:r>
      <w:r>
        <w:rPr>
          <w:sz w:val="24"/>
        </w:rPr>
        <w:t>abroad;</w:t>
      </w:r>
      <w:r>
        <w:rPr>
          <w:spacing w:val="-1"/>
          <w:sz w:val="24"/>
        </w:rPr>
        <w:t> </w:t>
      </w:r>
      <w:r>
        <w:rPr>
          <w:spacing w:val="-5"/>
          <w:sz w:val="24"/>
        </w:rPr>
        <w:t>and</w:t>
      </w:r>
    </w:p>
    <w:p>
      <w:pPr>
        <w:pStyle w:val="BodyText"/>
        <w:spacing w:before="3"/>
      </w:pPr>
    </w:p>
    <w:p>
      <w:pPr>
        <w:pStyle w:val="ListParagraph"/>
        <w:numPr>
          <w:ilvl w:val="2"/>
          <w:numId w:val="10"/>
        </w:numPr>
        <w:tabs>
          <w:tab w:pos="298" w:val="left" w:leader="none"/>
        </w:tabs>
        <w:spacing w:line="240" w:lineRule="auto" w:before="0" w:after="0"/>
        <w:ind w:left="298" w:right="0" w:hanging="138"/>
        <w:jc w:val="both"/>
        <w:rPr>
          <w:sz w:val="24"/>
        </w:rPr>
      </w:pPr>
      <w:r>
        <w:rPr>
          <w:sz w:val="24"/>
        </w:rPr>
        <w:t>institution</w:t>
      </w:r>
      <w:r>
        <w:rPr>
          <w:spacing w:val="-2"/>
          <w:sz w:val="24"/>
        </w:rPr>
        <w:t> </w:t>
      </w:r>
      <w:r>
        <w:rPr>
          <w:sz w:val="24"/>
        </w:rPr>
        <w:t>of</w:t>
      </w:r>
      <w:r>
        <w:rPr>
          <w:spacing w:val="-2"/>
          <w:sz w:val="24"/>
        </w:rPr>
        <w:t> </w:t>
      </w:r>
      <w:r>
        <w:rPr>
          <w:sz w:val="24"/>
        </w:rPr>
        <w:t>a</w:t>
      </w:r>
      <w:r>
        <w:rPr>
          <w:spacing w:val="-2"/>
          <w:sz w:val="24"/>
        </w:rPr>
        <w:t> </w:t>
      </w:r>
      <w:r>
        <w:rPr>
          <w:sz w:val="24"/>
        </w:rPr>
        <w:t>large</w:t>
      </w:r>
      <w:r>
        <w:rPr>
          <w:spacing w:val="-1"/>
          <w:sz w:val="24"/>
        </w:rPr>
        <w:t> </w:t>
      </w:r>
      <w:r>
        <w:rPr>
          <w:sz w:val="24"/>
        </w:rPr>
        <w:t>programme</w:t>
      </w:r>
      <w:r>
        <w:rPr>
          <w:spacing w:val="-1"/>
          <w:sz w:val="24"/>
        </w:rPr>
        <w:t> </w:t>
      </w:r>
      <w:r>
        <w:rPr>
          <w:sz w:val="24"/>
        </w:rPr>
        <w:t>of</w:t>
      </w:r>
      <w:r>
        <w:rPr>
          <w:spacing w:val="-1"/>
          <w:sz w:val="24"/>
        </w:rPr>
        <w:t> </w:t>
      </w:r>
      <w:r>
        <w:rPr>
          <w:sz w:val="24"/>
        </w:rPr>
        <w:t>loan </w:t>
      </w:r>
      <w:r>
        <w:rPr>
          <w:spacing w:val="-2"/>
          <w:sz w:val="24"/>
        </w:rPr>
        <w:t>scholarships.</w:t>
      </w:r>
    </w:p>
    <w:p>
      <w:pPr>
        <w:pStyle w:val="BodyText"/>
        <w:spacing w:before="5"/>
      </w:pPr>
    </w:p>
    <w:p>
      <w:pPr>
        <w:pStyle w:val="BodyText"/>
        <w:ind w:left="160"/>
        <w:jc w:val="both"/>
      </w:pPr>
      <w:r>
        <w:rPr/>
        <w:t>Our</w:t>
      </w:r>
      <w:r>
        <w:rPr>
          <w:spacing w:val="-1"/>
        </w:rPr>
        <w:t> </w:t>
      </w:r>
      <w:r>
        <w:rPr/>
        <w:t>recommendations on these and other</w:t>
      </w:r>
      <w:r>
        <w:rPr>
          <w:spacing w:val="-1"/>
        </w:rPr>
        <w:t> </w:t>
      </w:r>
      <w:r>
        <w:rPr/>
        <w:t>allied matters are given </w:t>
      </w:r>
      <w:r>
        <w:rPr>
          <w:spacing w:val="-2"/>
        </w:rPr>
        <w:t>below.</w:t>
      </w:r>
    </w:p>
    <w:p>
      <w:pPr>
        <w:pStyle w:val="BodyText"/>
        <w:spacing w:before="2"/>
      </w:pPr>
    </w:p>
    <w:p>
      <w:pPr>
        <w:pStyle w:val="ListParagraph"/>
        <w:numPr>
          <w:ilvl w:val="1"/>
          <w:numId w:val="10"/>
        </w:numPr>
        <w:tabs>
          <w:tab w:pos="680" w:val="left" w:leader="none"/>
        </w:tabs>
        <w:spacing w:line="240" w:lineRule="auto" w:before="0" w:after="0"/>
        <w:ind w:left="160" w:right="497" w:firstLine="0"/>
        <w:jc w:val="both"/>
        <w:rPr>
          <w:b/>
          <w:sz w:val="24"/>
        </w:rPr>
      </w:pPr>
      <w:r>
        <w:rPr>
          <w:b/>
          <w:sz w:val="24"/>
        </w:rPr>
        <w:t>Number of Scholarships. </w:t>
      </w:r>
      <w:r>
        <w:rPr>
          <w:sz w:val="24"/>
        </w:rPr>
        <w:t>In our opinion, the ultimate target towards which we should move in the provision of scholarships at the university stage would be the </w:t>
      </w:r>
      <w:r>
        <w:rPr>
          <w:spacing w:val="-2"/>
          <w:sz w:val="24"/>
        </w:rPr>
        <w:t>following:</w:t>
      </w:r>
    </w:p>
    <w:p>
      <w:pPr>
        <w:pStyle w:val="BodyText"/>
        <w:spacing w:before="4"/>
      </w:pPr>
    </w:p>
    <w:p>
      <w:pPr>
        <w:pStyle w:val="ListParagraph"/>
        <w:numPr>
          <w:ilvl w:val="0"/>
          <w:numId w:val="110"/>
        </w:numPr>
        <w:tabs>
          <w:tab w:pos="554" w:val="left" w:leader="none"/>
        </w:tabs>
        <w:spacing w:line="240" w:lineRule="auto" w:before="0" w:after="0"/>
        <w:ind w:left="160" w:right="496" w:firstLine="0"/>
        <w:jc w:val="both"/>
        <w:rPr>
          <w:sz w:val="24"/>
        </w:rPr>
      </w:pPr>
      <w:r>
        <w:rPr>
          <w:sz w:val="24"/>
        </w:rPr>
        <w:t>Scholarships should be available to at least 15 per cent of the enrolment at the undergraduate stage by 1976 and to 25 per cent of such enrolment by 1986; and</w:t>
      </w:r>
    </w:p>
    <w:p>
      <w:pPr>
        <w:pStyle w:val="BodyText"/>
        <w:spacing w:before="5"/>
      </w:pPr>
    </w:p>
    <w:p>
      <w:pPr>
        <w:pStyle w:val="ListParagraph"/>
        <w:numPr>
          <w:ilvl w:val="0"/>
          <w:numId w:val="110"/>
        </w:numPr>
        <w:tabs>
          <w:tab w:pos="554" w:val="left" w:leader="none"/>
        </w:tabs>
        <w:spacing w:line="240" w:lineRule="auto" w:before="0" w:after="0"/>
        <w:ind w:left="160" w:right="496" w:firstLine="0"/>
        <w:jc w:val="both"/>
        <w:rPr>
          <w:sz w:val="24"/>
        </w:rPr>
      </w:pPr>
      <w:r>
        <w:rPr>
          <w:sz w:val="24"/>
        </w:rPr>
        <w:t>Scholarships should be available to at least 25 per cent of the enrolment at the postgraduate stage by 1976 and to 50 per cent of such enrolment by 1986.</w:t>
      </w:r>
    </w:p>
    <w:p>
      <w:pPr>
        <w:pStyle w:val="BodyText"/>
        <w:spacing w:before="4"/>
      </w:pPr>
    </w:p>
    <w:p>
      <w:pPr>
        <w:pStyle w:val="BodyText"/>
        <w:ind w:left="159" w:right="496"/>
        <w:jc w:val="both"/>
      </w:pPr>
      <w:r>
        <w:rPr/>
        <w:t>These targets should be treated as national averages and it should be an objective policy</w:t>
      </w:r>
      <w:r>
        <w:rPr>
          <w:spacing w:val="40"/>
        </w:rPr>
        <w:t> </w:t>
      </w:r>
      <w:r>
        <w:rPr/>
        <w:t>to vary them from institution to institution or from faculty to faculty. For example, a</w:t>
      </w:r>
      <w:r>
        <w:rPr>
          <w:spacing w:val="40"/>
        </w:rPr>
        <w:t> </w:t>
      </w:r>
      <w:r>
        <w:rPr/>
        <w:t>much larger proportion of scholarships should be available in university departments </w:t>
      </w:r>
      <w:r>
        <w:rPr/>
        <w:t>and colleges. The proportion of scholarships available in affiliated colleges should generally be lower; but in good colleges, it may be higher than and even equal to, that in the universities. Similarly, the proportion of scholarships in courses in science could be greater than that in legal education. Even more liberal scholarships could be given to teachers under training.</w:t>
      </w:r>
    </w:p>
    <w:p>
      <w:pPr>
        <w:pStyle w:val="BodyText"/>
        <w:spacing w:before="3"/>
      </w:pPr>
    </w:p>
    <w:p>
      <w:pPr>
        <w:pStyle w:val="ListParagraph"/>
        <w:numPr>
          <w:ilvl w:val="1"/>
          <w:numId w:val="10"/>
        </w:numPr>
        <w:tabs>
          <w:tab w:pos="639" w:val="left" w:leader="none"/>
        </w:tabs>
        <w:spacing w:line="240" w:lineRule="auto" w:before="1" w:after="0"/>
        <w:ind w:left="159" w:right="497" w:firstLine="0"/>
        <w:jc w:val="both"/>
        <w:rPr>
          <w:b/>
          <w:sz w:val="24"/>
        </w:rPr>
      </w:pPr>
      <w:r>
        <w:rPr>
          <w:b/>
          <w:sz w:val="24"/>
        </w:rPr>
        <w:t>Amount</w:t>
      </w:r>
      <w:r>
        <w:rPr>
          <w:b/>
          <w:spacing w:val="-2"/>
          <w:sz w:val="24"/>
        </w:rPr>
        <w:t> </w:t>
      </w:r>
      <w:r>
        <w:rPr>
          <w:b/>
          <w:sz w:val="24"/>
        </w:rPr>
        <w:t>of</w:t>
      </w:r>
      <w:r>
        <w:rPr>
          <w:b/>
          <w:spacing w:val="-2"/>
          <w:sz w:val="24"/>
        </w:rPr>
        <w:t> </w:t>
      </w:r>
      <w:r>
        <w:rPr>
          <w:b/>
          <w:sz w:val="24"/>
        </w:rPr>
        <w:t>Scholarships.</w:t>
      </w:r>
      <w:r>
        <w:rPr>
          <w:b/>
          <w:spacing w:val="-3"/>
          <w:sz w:val="24"/>
        </w:rPr>
        <w:t> </w:t>
      </w:r>
      <w:r>
        <w:rPr>
          <w:sz w:val="24"/>
        </w:rPr>
        <w:t>At</w:t>
      </w:r>
      <w:r>
        <w:rPr>
          <w:spacing w:val="-3"/>
          <w:sz w:val="24"/>
        </w:rPr>
        <w:t> </w:t>
      </w:r>
      <w:r>
        <w:rPr>
          <w:sz w:val="24"/>
        </w:rPr>
        <w:t>present,</w:t>
      </w:r>
      <w:r>
        <w:rPr>
          <w:spacing w:val="-3"/>
          <w:sz w:val="24"/>
        </w:rPr>
        <w:t> </w:t>
      </w:r>
      <w:r>
        <w:rPr>
          <w:sz w:val="24"/>
        </w:rPr>
        <w:t>the</w:t>
      </w:r>
      <w:r>
        <w:rPr>
          <w:spacing w:val="-3"/>
          <w:sz w:val="24"/>
        </w:rPr>
        <w:t> </w:t>
      </w:r>
      <w:r>
        <w:rPr>
          <w:sz w:val="24"/>
        </w:rPr>
        <w:t>amount</w:t>
      </w:r>
      <w:r>
        <w:rPr>
          <w:spacing w:val="-3"/>
          <w:sz w:val="24"/>
        </w:rPr>
        <w:t> </w:t>
      </w:r>
      <w:r>
        <w:rPr>
          <w:sz w:val="24"/>
        </w:rPr>
        <w:t>of</w:t>
      </w:r>
      <w:r>
        <w:rPr>
          <w:spacing w:val="-3"/>
          <w:sz w:val="24"/>
        </w:rPr>
        <w:t> </w:t>
      </w:r>
      <w:r>
        <w:rPr>
          <w:sz w:val="24"/>
        </w:rPr>
        <w:t>scholar-</w:t>
      </w:r>
      <w:r>
        <w:rPr>
          <w:spacing w:val="-3"/>
          <w:sz w:val="24"/>
        </w:rPr>
        <w:t> </w:t>
      </w:r>
      <w:r>
        <w:rPr>
          <w:sz w:val="24"/>
        </w:rPr>
        <w:t>ships</w:t>
      </w:r>
      <w:r>
        <w:rPr>
          <w:spacing w:val="-3"/>
          <w:sz w:val="24"/>
        </w:rPr>
        <w:t> </w:t>
      </w:r>
      <w:r>
        <w:rPr>
          <w:sz w:val="24"/>
        </w:rPr>
        <w:t>at</w:t>
      </w:r>
      <w:r>
        <w:rPr>
          <w:spacing w:val="-3"/>
          <w:sz w:val="24"/>
        </w:rPr>
        <w:t> </w:t>
      </w:r>
      <w:r>
        <w:rPr>
          <w:sz w:val="24"/>
        </w:rPr>
        <w:t>a</w:t>
      </w:r>
      <w:r>
        <w:rPr>
          <w:spacing w:val="-3"/>
          <w:sz w:val="24"/>
        </w:rPr>
        <w:t> </w:t>
      </w:r>
      <w:r>
        <w:rPr>
          <w:sz w:val="24"/>
        </w:rPr>
        <w:t>given</w:t>
      </w:r>
      <w:r>
        <w:rPr>
          <w:spacing w:val="-3"/>
          <w:sz w:val="24"/>
        </w:rPr>
        <w:t> </w:t>
      </w:r>
      <w:r>
        <w:rPr>
          <w:sz w:val="24"/>
        </w:rPr>
        <w:t>level</w:t>
      </w:r>
      <w:r>
        <w:rPr>
          <w:spacing w:val="-3"/>
          <w:sz w:val="24"/>
        </w:rPr>
        <w:t> </w:t>
      </w:r>
      <w:r>
        <w:rPr>
          <w:sz w:val="24"/>
        </w:rPr>
        <w:t>is the</w:t>
      </w:r>
      <w:r>
        <w:rPr>
          <w:spacing w:val="35"/>
          <w:sz w:val="24"/>
        </w:rPr>
        <w:t> </w:t>
      </w:r>
      <w:r>
        <w:rPr>
          <w:sz w:val="24"/>
        </w:rPr>
        <w:t>same</w:t>
      </w:r>
      <w:r>
        <w:rPr>
          <w:spacing w:val="35"/>
          <w:sz w:val="24"/>
        </w:rPr>
        <w:t> </w:t>
      </w:r>
      <w:r>
        <w:rPr>
          <w:sz w:val="24"/>
        </w:rPr>
        <w:t>for</w:t>
      </w:r>
      <w:r>
        <w:rPr>
          <w:spacing w:val="36"/>
          <w:sz w:val="24"/>
        </w:rPr>
        <w:t> </w:t>
      </w:r>
      <w:r>
        <w:rPr>
          <w:sz w:val="24"/>
        </w:rPr>
        <w:t>all</w:t>
      </w:r>
      <w:r>
        <w:rPr>
          <w:spacing w:val="35"/>
          <w:sz w:val="24"/>
        </w:rPr>
        <w:t> </w:t>
      </w:r>
      <w:r>
        <w:rPr>
          <w:sz w:val="24"/>
        </w:rPr>
        <w:t>students.</w:t>
      </w:r>
      <w:r>
        <w:rPr>
          <w:spacing w:val="35"/>
          <w:sz w:val="24"/>
        </w:rPr>
        <w:t> </w:t>
      </w:r>
      <w:r>
        <w:rPr>
          <w:sz w:val="24"/>
        </w:rPr>
        <w:t>For</w:t>
      </w:r>
      <w:r>
        <w:rPr>
          <w:spacing w:val="36"/>
          <w:sz w:val="24"/>
        </w:rPr>
        <w:t> </w:t>
      </w:r>
      <w:r>
        <w:rPr>
          <w:sz w:val="24"/>
        </w:rPr>
        <w:t>instance,</w:t>
      </w:r>
      <w:r>
        <w:rPr>
          <w:spacing w:val="35"/>
          <w:sz w:val="24"/>
        </w:rPr>
        <w:t> </w:t>
      </w:r>
      <w:r>
        <w:rPr>
          <w:sz w:val="24"/>
        </w:rPr>
        <w:t>the</w:t>
      </w:r>
      <w:r>
        <w:rPr>
          <w:spacing w:val="35"/>
          <w:sz w:val="24"/>
        </w:rPr>
        <w:t> </w:t>
      </w:r>
      <w:r>
        <w:rPr>
          <w:sz w:val="24"/>
        </w:rPr>
        <w:t>post-matriculation</w:t>
      </w:r>
      <w:r>
        <w:rPr>
          <w:spacing w:val="35"/>
          <w:sz w:val="24"/>
        </w:rPr>
        <w:t> </w:t>
      </w:r>
      <w:r>
        <w:rPr>
          <w:sz w:val="24"/>
        </w:rPr>
        <w:t>scholarship</w:t>
      </w:r>
      <w:r>
        <w:rPr>
          <w:spacing w:val="35"/>
          <w:sz w:val="24"/>
        </w:rPr>
        <w:t> </w:t>
      </w:r>
      <w:r>
        <w:rPr>
          <w:sz w:val="24"/>
        </w:rPr>
        <w:t>is</w:t>
      </w:r>
      <w:r>
        <w:rPr>
          <w:spacing w:val="36"/>
          <w:sz w:val="24"/>
        </w:rPr>
        <w:t> </w:t>
      </w:r>
      <w:r>
        <w:rPr>
          <w:sz w:val="24"/>
        </w:rPr>
        <w:t>of</w:t>
      </w:r>
      <w:r>
        <w:rPr>
          <w:spacing w:val="35"/>
          <w:sz w:val="24"/>
        </w:rPr>
        <w:t> </w:t>
      </w:r>
      <w:r>
        <w:rPr>
          <w:sz w:val="24"/>
        </w:rPr>
        <w:t>Rs.</w:t>
      </w:r>
      <w:r>
        <w:rPr>
          <w:spacing w:val="36"/>
          <w:sz w:val="24"/>
        </w:rPr>
        <w:t> </w:t>
      </w:r>
      <w:r>
        <w:rPr>
          <w:spacing w:val="-5"/>
          <w:sz w:val="24"/>
        </w:rPr>
        <w:t>50</w:t>
      </w:r>
    </w:p>
    <w:p>
      <w:pPr>
        <w:pStyle w:val="BodyText"/>
        <w:ind w:left="159" w:right="496"/>
        <w:jc w:val="both"/>
      </w:pPr>
      <w:r>
        <w:rPr/>
        <w:t>p.m. in the first year and its amount remains the same for a student who stays with his parents and attends the college in Ms town or city as well as for another who has to leave his family and stay in a hostel to join a college or a university. Similarly, the amount of the Central scholarship is generally uniform for all parts of the country, irrespective of</w:t>
      </w:r>
      <w:r>
        <w:rPr>
          <w:spacing w:val="80"/>
        </w:rPr>
        <w:t> </w:t>
      </w:r>
      <w:r>
        <w:rPr/>
        <w:t>the fact that a place like Delhi is far costlier than a mofussil town. No studies are also conducted to find out the expenditure which a student has to incur in hostels or on items like</w:t>
      </w:r>
      <w:r>
        <w:rPr>
          <w:spacing w:val="6"/>
        </w:rPr>
        <w:t> </w:t>
      </w:r>
      <w:r>
        <w:rPr/>
        <w:t>purchase</w:t>
      </w:r>
      <w:r>
        <w:rPr>
          <w:spacing w:val="9"/>
        </w:rPr>
        <w:t> </w:t>
      </w:r>
      <w:r>
        <w:rPr/>
        <w:t>of</w:t>
      </w:r>
      <w:r>
        <w:rPr>
          <w:spacing w:val="8"/>
        </w:rPr>
        <w:t> </w:t>
      </w:r>
      <w:r>
        <w:rPr/>
        <w:t>books,</w:t>
      </w:r>
      <w:r>
        <w:rPr>
          <w:spacing w:val="9"/>
        </w:rPr>
        <w:t> </w:t>
      </w:r>
      <w:r>
        <w:rPr/>
        <w:t>equipment,</w:t>
      </w:r>
      <w:r>
        <w:rPr>
          <w:spacing w:val="8"/>
        </w:rPr>
        <w:t> </w:t>
      </w:r>
      <w:r>
        <w:rPr/>
        <w:t>etc.</w:t>
      </w:r>
      <w:r>
        <w:rPr>
          <w:spacing w:val="9"/>
        </w:rPr>
        <w:t> </w:t>
      </w:r>
      <w:r>
        <w:rPr/>
        <w:t>Hardly</w:t>
      </w:r>
      <w:r>
        <w:rPr>
          <w:spacing w:val="7"/>
        </w:rPr>
        <w:t> </w:t>
      </w:r>
      <w:r>
        <w:rPr/>
        <w:t>any</w:t>
      </w:r>
      <w:r>
        <w:rPr>
          <w:spacing w:val="8"/>
        </w:rPr>
        <w:t> </w:t>
      </w:r>
      <w:r>
        <w:rPr/>
        <w:t>serious</w:t>
      </w:r>
      <w:r>
        <w:rPr>
          <w:spacing w:val="9"/>
        </w:rPr>
        <w:t> </w:t>
      </w:r>
      <w:r>
        <w:rPr/>
        <w:t>attempt</w:t>
      </w:r>
      <w:r>
        <w:rPr>
          <w:spacing w:val="8"/>
        </w:rPr>
        <w:t> </w:t>
      </w:r>
      <w:r>
        <w:rPr/>
        <w:t>is</w:t>
      </w:r>
      <w:r>
        <w:rPr>
          <w:spacing w:val="9"/>
        </w:rPr>
        <w:t> </w:t>
      </w:r>
      <w:r>
        <w:rPr/>
        <w:t>made</w:t>
      </w:r>
      <w:r>
        <w:rPr>
          <w:spacing w:val="8"/>
        </w:rPr>
        <w:t> </w:t>
      </w:r>
      <w:r>
        <w:rPr/>
        <w:t>to</w:t>
      </w:r>
      <w:r>
        <w:rPr>
          <w:spacing w:val="9"/>
        </w:rPr>
        <w:t> </w:t>
      </w:r>
      <w:r>
        <w:rPr/>
        <w:t>keep</w:t>
      </w:r>
      <w:r>
        <w:rPr>
          <w:spacing w:val="9"/>
        </w:rPr>
        <w:t> </w:t>
      </w:r>
      <w:r>
        <w:rPr>
          <w:spacing w:val="-2"/>
        </w:rPr>
        <w:t>costs</w:t>
      </w:r>
    </w:p>
    <w:p>
      <w:pPr>
        <w:spacing w:after="0"/>
        <w:jc w:val="both"/>
        <w:sectPr>
          <w:pgSz w:w="12240" w:h="15840"/>
          <w:pgMar w:header="0" w:footer="743" w:top="1360" w:bottom="940" w:left="1640" w:right="1300"/>
        </w:sectPr>
      </w:pPr>
    </w:p>
    <w:p>
      <w:pPr>
        <w:pStyle w:val="BodyText"/>
        <w:tabs>
          <w:tab w:pos="982" w:val="left" w:leader="none"/>
          <w:tab w:pos="1544" w:val="left" w:leader="none"/>
          <w:tab w:pos="2227" w:val="left" w:leader="none"/>
          <w:tab w:pos="3309" w:val="left" w:leader="none"/>
          <w:tab w:pos="4470" w:val="left" w:leader="none"/>
          <w:tab w:pos="4992" w:val="left" w:leader="none"/>
          <w:tab w:pos="6020" w:val="left" w:leader="none"/>
          <w:tab w:pos="6596" w:val="left" w:leader="none"/>
          <w:tab w:pos="7344" w:val="left" w:leader="none"/>
          <w:tab w:pos="7866" w:val="left" w:leader="none"/>
        </w:tabs>
        <w:spacing w:before="76"/>
        <w:ind w:left="160" w:right="497"/>
      </w:pPr>
      <w:r>
        <w:rPr>
          <w:spacing w:val="-2"/>
        </w:rPr>
        <w:t>down.</w:t>
      </w:r>
      <w:r>
        <w:rPr/>
        <w:tab/>
      </w:r>
      <w:r>
        <w:rPr>
          <w:spacing w:val="-6"/>
        </w:rPr>
        <w:t>We</w:t>
      </w:r>
      <w:r>
        <w:rPr/>
        <w:tab/>
      </w:r>
      <w:r>
        <w:rPr>
          <w:spacing w:val="-4"/>
        </w:rPr>
        <w:t>have</w:t>
      </w:r>
      <w:r>
        <w:rPr/>
        <w:tab/>
      </w:r>
      <w:r>
        <w:rPr>
          <w:spacing w:val="-2"/>
        </w:rPr>
        <w:t>carefully</w:t>
      </w:r>
      <w:r>
        <w:rPr/>
        <w:tab/>
      </w:r>
      <w:r>
        <w:rPr>
          <w:spacing w:val="-2"/>
        </w:rPr>
        <w:t>examined</w:t>
      </w:r>
      <w:r>
        <w:rPr/>
        <w:tab/>
      </w:r>
      <w:r>
        <w:rPr>
          <w:spacing w:val="-4"/>
        </w:rPr>
        <w:t>the</w:t>
      </w:r>
      <w:r>
        <w:rPr/>
        <w:tab/>
      </w:r>
      <w:r>
        <w:rPr>
          <w:spacing w:val="-2"/>
        </w:rPr>
        <w:t>problem</w:t>
      </w:r>
      <w:r>
        <w:rPr/>
        <w:tab/>
      </w:r>
      <w:r>
        <w:rPr>
          <w:spacing w:val="-4"/>
        </w:rPr>
        <w:t>and</w:t>
      </w:r>
      <w:r>
        <w:rPr/>
        <w:tab/>
      </w:r>
      <w:r>
        <w:rPr>
          <w:spacing w:val="-4"/>
        </w:rPr>
        <w:t>make</w:t>
      </w:r>
      <w:r>
        <w:rPr/>
        <w:tab/>
      </w:r>
      <w:r>
        <w:rPr>
          <w:spacing w:val="-4"/>
        </w:rPr>
        <w:t>the</w:t>
      </w:r>
      <w:r>
        <w:rPr/>
        <w:tab/>
      </w:r>
      <w:r>
        <w:rPr>
          <w:spacing w:val="-2"/>
        </w:rPr>
        <w:t>following recommendations:</w:t>
      </w:r>
    </w:p>
    <w:p>
      <w:pPr>
        <w:pStyle w:val="BodyText"/>
        <w:spacing w:before="5"/>
      </w:pPr>
    </w:p>
    <w:p>
      <w:pPr>
        <w:pStyle w:val="ListParagraph"/>
        <w:numPr>
          <w:ilvl w:val="0"/>
          <w:numId w:val="111"/>
        </w:numPr>
        <w:tabs>
          <w:tab w:pos="499" w:val="left" w:leader="none"/>
        </w:tabs>
        <w:spacing w:line="240" w:lineRule="auto" w:before="0" w:after="0"/>
        <w:ind w:left="499" w:right="0" w:hanging="339"/>
        <w:jc w:val="both"/>
        <w:rPr>
          <w:sz w:val="24"/>
        </w:rPr>
      </w:pPr>
      <w:r>
        <w:rPr>
          <w:sz w:val="24"/>
        </w:rPr>
        <w:t>Two</w:t>
      </w:r>
      <w:r>
        <w:rPr>
          <w:spacing w:val="-1"/>
          <w:sz w:val="24"/>
        </w:rPr>
        <w:t> </w:t>
      </w:r>
      <w:r>
        <w:rPr>
          <w:sz w:val="24"/>
        </w:rPr>
        <w:t>kinds of scholarships would</w:t>
      </w:r>
      <w:r>
        <w:rPr>
          <w:spacing w:val="-1"/>
          <w:sz w:val="24"/>
        </w:rPr>
        <w:t> </w:t>
      </w:r>
      <w:r>
        <w:rPr>
          <w:sz w:val="24"/>
        </w:rPr>
        <w:t>ordinarily</w:t>
      </w:r>
      <w:r>
        <w:rPr>
          <w:spacing w:val="-1"/>
          <w:sz w:val="24"/>
        </w:rPr>
        <w:t> </w:t>
      </w:r>
      <w:r>
        <w:rPr>
          <w:sz w:val="24"/>
        </w:rPr>
        <w:t>be</w:t>
      </w:r>
      <w:r>
        <w:rPr>
          <w:spacing w:val="-1"/>
          <w:sz w:val="24"/>
        </w:rPr>
        <w:t> </w:t>
      </w:r>
      <w:r>
        <w:rPr>
          <w:spacing w:val="-2"/>
          <w:sz w:val="24"/>
        </w:rPr>
        <w:t>needed</w:t>
      </w:r>
    </w:p>
    <w:p>
      <w:pPr>
        <w:pStyle w:val="BodyText"/>
        <w:spacing w:before="4"/>
      </w:pPr>
    </w:p>
    <w:p>
      <w:pPr>
        <w:pStyle w:val="ListParagraph"/>
        <w:numPr>
          <w:ilvl w:val="1"/>
          <w:numId w:val="111"/>
        </w:numPr>
        <w:tabs>
          <w:tab w:pos="303" w:val="left" w:leader="none"/>
        </w:tabs>
        <w:spacing w:line="240" w:lineRule="auto" w:before="0" w:after="0"/>
        <w:ind w:left="160" w:right="497" w:firstLine="0"/>
        <w:jc w:val="left"/>
        <w:rPr>
          <w:sz w:val="24"/>
        </w:rPr>
      </w:pPr>
      <w:r>
        <w:rPr>
          <w:sz w:val="24"/>
        </w:rPr>
        <w:t>for those who have to stay in hostels: these should cover all the direct and indirect costs of education (i.e., tuition fees, books, supplies, etc.) and living costs; and</w:t>
      </w:r>
    </w:p>
    <w:p>
      <w:pPr>
        <w:pStyle w:val="BodyText"/>
        <w:spacing w:before="5"/>
      </w:pPr>
    </w:p>
    <w:p>
      <w:pPr>
        <w:pStyle w:val="ListParagraph"/>
        <w:numPr>
          <w:ilvl w:val="1"/>
          <w:numId w:val="111"/>
        </w:numPr>
        <w:tabs>
          <w:tab w:pos="299" w:val="left" w:leader="none"/>
        </w:tabs>
        <w:spacing w:line="240" w:lineRule="auto" w:before="0" w:after="0"/>
        <w:ind w:left="299" w:right="0" w:hanging="139"/>
        <w:jc w:val="left"/>
        <w:rPr>
          <w:sz w:val="24"/>
        </w:rPr>
      </w:pPr>
      <w:r>
        <w:rPr>
          <w:sz w:val="24"/>
        </w:rPr>
        <w:t>for</w:t>
      </w:r>
      <w:r>
        <w:rPr>
          <w:spacing w:val="-1"/>
          <w:sz w:val="24"/>
        </w:rPr>
        <w:t> </w:t>
      </w:r>
      <w:r>
        <w:rPr>
          <w:sz w:val="24"/>
        </w:rPr>
        <w:t>those</w:t>
      </w:r>
      <w:r>
        <w:rPr>
          <w:spacing w:val="-1"/>
          <w:sz w:val="24"/>
        </w:rPr>
        <w:t> </w:t>
      </w:r>
      <w:r>
        <w:rPr>
          <w:sz w:val="24"/>
        </w:rPr>
        <w:t>who</w:t>
      </w:r>
      <w:r>
        <w:rPr>
          <w:spacing w:val="-1"/>
          <w:sz w:val="24"/>
        </w:rPr>
        <w:t> </w:t>
      </w:r>
      <w:r>
        <w:rPr>
          <w:sz w:val="24"/>
        </w:rPr>
        <w:t>can</w:t>
      </w:r>
      <w:r>
        <w:rPr>
          <w:spacing w:val="-1"/>
          <w:sz w:val="24"/>
        </w:rPr>
        <w:t> </w:t>
      </w:r>
      <w:r>
        <w:rPr>
          <w:sz w:val="24"/>
        </w:rPr>
        <w:t>stay</w:t>
      </w:r>
      <w:r>
        <w:rPr>
          <w:spacing w:val="-1"/>
          <w:sz w:val="24"/>
        </w:rPr>
        <w:t> </w:t>
      </w:r>
      <w:r>
        <w:rPr>
          <w:sz w:val="24"/>
        </w:rPr>
        <w:t>at</w:t>
      </w:r>
      <w:r>
        <w:rPr>
          <w:spacing w:val="-1"/>
          <w:sz w:val="24"/>
        </w:rPr>
        <w:t> </w:t>
      </w:r>
      <w:r>
        <w:rPr>
          <w:sz w:val="24"/>
        </w:rPr>
        <w:t>home:</w:t>
      </w:r>
      <w:r>
        <w:rPr>
          <w:spacing w:val="-1"/>
          <w:sz w:val="24"/>
        </w:rPr>
        <w:t> </w:t>
      </w:r>
      <w:r>
        <w:rPr>
          <w:sz w:val="24"/>
        </w:rPr>
        <w:t>these</w:t>
      </w:r>
      <w:r>
        <w:rPr>
          <w:spacing w:val="-1"/>
          <w:sz w:val="24"/>
        </w:rPr>
        <w:t> </w:t>
      </w:r>
      <w:r>
        <w:rPr>
          <w:sz w:val="24"/>
        </w:rPr>
        <w:t>should mainly</w:t>
      </w:r>
      <w:r>
        <w:rPr>
          <w:spacing w:val="-2"/>
          <w:sz w:val="24"/>
        </w:rPr>
        <w:t> </w:t>
      </w:r>
      <w:r>
        <w:rPr>
          <w:sz w:val="24"/>
        </w:rPr>
        <w:t>cover</w:t>
      </w:r>
      <w:r>
        <w:rPr>
          <w:spacing w:val="-2"/>
          <w:sz w:val="24"/>
        </w:rPr>
        <w:t> </w:t>
      </w:r>
      <w:r>
        <w:rPr>
          <w:sz w:val="24"/>
        </w:rPr>
        <w:t>direct</w:t>
      </w:r>
      <w:r>
        <w:rPr>
          <w:spacing w:val="-2"/>
          <w:sz w:val="24"/>
        </w:rPr>
        <w:t> </w:t>
      </w:r>
      <w:r>
        <w:rPr>
          <w:sz w:val="24"/>
        </w:rPr>
        <w:t>and</w:t>
      </w:r>
      <w:r>
        <w:rPr>
          <w:spacing w:val="-2"/>
          <w:sz w:val="24"/>
        </w:rPr>
        <w:t> </w:t>
      </w:r>
      <w:r>
        <w:rPr>
          <w:sz w:val="24"/>
        </w:rPr>
        <w:t>indirect</w:t>
      </w:r>
      <w:r>
        <w:rPr>
          <w:spacing w:val="-1"/>
          <w:sz w:val="24"/>
        </w:rPr>
        <w:t> </w:t>
      </w:r>
      <w:r>
        <w:rPr>
          <w:spacing w:val="-2"/>
          <w:sz w:val="24"/>
        </w:rPr>
        <w:t>costs.</w:t>
      </w:r>
    </w:p>
    <w:p>
      <w:pPr>
        <w:pStyle w:val="BodyText"/>
        <w:spacing w:before="2"/>
      </w:pPr>
    </w:p>
    <w:p>
      <w:pPr>
        <w:pStyle w:val="ListParagraph"/>
        <w:numPr>
          <w:ilvl w:val="0"/>
          <w:numId w:val="111"/>
        </w:numPr>
        <w:tabs>
          <w:tab w:pos="501" w:val="left" w:leader="none"/>
        </w:tabs>
        <w:spacing w:line="240" w:lineRule="auto" w:before="0" w:after="0"/>
        <w:ind w:left="160" w:right="497" w:firstLine="0"/>
        <w:jc w:val="both"/>
        <w:rPr>
          <w:sz w:val="24"/>
        </w:rPr>
      </w:pPr>
      <w:r>
        <w:rPr>
          <w:sz w:val="24"/>
        </w:rPr>
        <w:t>Studies</w:t>
      </w:r>
      <w:r>
        <w:rPr>
          <w:spacing w:val="-1"/>
          <w:sz w:val="24"/>
        </w:rPr>
        <w:t> </w:t>
      </w:r>
      <w:r>
        <w:rPr>
          <w:sz w:val="24"/>
        </w:rPr>
        <w:t>should</w:t>
      </w:r>
      <w:r>
        <w:rPr>
          <w:spacing w:val="-1"/>
          <w:sz w:val="24"/>
        </w:rPr>
        <w:t> </w:t>
      </w:r>
      <w:r>
        <w:rPr>
          <w:sz w:val="24"/>
        </w:rPr>
        <w:t>be</w:t>
      </w:r>
      <w:r>
        <w:rPr>
          <w:spacing w:val="-1"/>
          <w:sz w:val="24"/>
        </w:rPr>
        <w:t> </w:t>
      </w:r>
      <w:r>
        <w:rPr>
          <w:sz w:val="24"/>
        </w:rPr>
        <w:t>continuously</w:t>
      </w:r>
      <w:r>
        <w:rPr>
          <w:spacing w:val="-1"/>
          <w:sz w:val="24"/>
        </w:rPr>
        <w:t> </w:t>
      </w:r>
      <w:r>
        <w:rPr>
          <w:sz w:val="24"/>
        </w:rPr>
        <w:t>carried</w:t>
      </w:r>
      <w:r>
        <w:rPr>
          <w:spacing w:val="-1"/>
          <w:sz w:val="24"/>
        </w:rPr>
        <w:t> </w:t>
      </w:r>
      <w:r>
        <w:rPr>
          <w:sz w:val="24"/>
        </w:rPr>
        <w:t>out</w:t>
      </w:r>
      <w:r>
        <w:rPr>
          <w:spacing w:val="-1"/>
          <w:sz w:val="24"/>
        </w:rPr>
        <w:t> </w:t>
      </w:r>
      <w:r>
        <w:rPr>
          <w:sz w:val="24"/>
        </w:rPr>
        <w:t>to</w:t>
      </w:r>
      <w:r>
        <w:rPr>
          <w:spacing w:val="-1"/>
          <w:sz w:val="24"/>
        </w:rPr>
        <w:t> </w:t>
      </w:r>
      <w:r>
        <w:rPr>
          <w:sz w:val="24"/>
        </w:rPr>
        <w:t>ascertain</w:t>
      </w:r>
      <w:r>
        <w:rPr>
          <w:spacing w:val="-1"/>
          <w:sz w:val="24"/>
        </w:rPr>
        <w:t> </w:t>
      </w:r>
      <w:r>
        <w:rPr>
          <w:sz w:val="24"/>
        </w:rPr>
        <w:t>the</w:t>
      </w:r>
      <w:r>
        <w:rPr>
          <w:spacing w:val="-1"/>
          <w:sz w:val="24"/>
        </w:rPr>
        <w:t> </w:t>
      </w:r>
      <w:r>
        <w:rPr>
          <w:sz w:val="24"/>
        </w:rPr>
        <w:t>direct</w:t>
      </w:r>
      <w:r>
        <w:rPr>
          <w:spacing w:val="-1"/>
          <w:sz w:val="24"/>
        </w:rPr>
        <w:t> </w:t>
      </w:r>
      <w:r>
        <w:rPr>
          <w:sz w:val="24"/>
        </w:rPr>
        <w:t>and</w:t>
      </w:r>
      <w:r>
        <w:rPr>
          <w:spacing w:val="-1"/>
          <w:sz w:val="24"/>
        </w:rPr>
        <w:t> </w:t>
      </w:r>
      <w:r>
        <w:rPr>
          <w:sz w:val="24"/>
        </w:rPr>
        <w:t>indirect</w:t>
      </w:r>
      <w:r>
        <w:rPr>
          <w:spacing w:val="-1"/>
          <w:sz w:val="24"/>
        </w:rPr>
        <w:t> </w:t>
      </w:r>
      <w:r>
        <w:rPr>
          <w:sz w:val="24"/>
        </w:rPr>
        <w:t>costs,</w:t>
      </w:r>
      <w:r>
        <w:rPr>
          <w:spacing w:val="-1"/>
          <w:sz w:val="24"/>
        </w:rPr>
        <w:t> </w:t>
      </w:r>
      <w:r>
        <w:rPr>
          <w:sz w:val="24"/>
        </w:rPr>
        <w:t>as well as the hostel charges, which students have to bear. This should be one of the studies which each university should undertake and periodically repeat. A continuous attempt should be made to keep the direct and indirect costs to the minimum. Everywhere, hostel costs are rising and very often, the increase is not justified. An attempt has to be made to keep the hostel costs down to the minimum. The number of `servants' in hostels should</w:t>
      </w:r>
      <w:r>
        <w:rPr>
          <w:spacing w:val="80"/>
          <w:sz w:val="24"/>
        </w:rPr>
        <w:t> </w:t>
      </w:r>
      <w:r>
        <w:rPr>
          <w:sz w:val="24"/>
        </w:rPr>
        <w:t>be reduced and gradually eliminated altogether. It is a part of education that students should learn to look after themselves and not be dependent on servants to serve meals, make beds, etc. Self- service should be the rule rather than the exception. This will make it possible to keep the value of scholarships down and to extend the benefit of financial assistance to a larger number of students.</w:t>
      </w:r>
    </w:p>
    <w:p>
      <w:pPr>
        <w:pStyle w:val="BodyText"/>
        <w:spacing w:before="4"/>
      </w:pPr>
    </w:p>
    <w:p>
      <w:pPr>
        <w:pStyle w:val="ListParagraph"/>
        <w:numPr>
          <w:ilvl w:val="1"/>
          <w:numId w:val="10"/>
        </w:numPr>
        <w:tabs>
          <w:tab w:pos="656" w:val="left" w:leader="none"/>
        </w:tabs>
        <w:spacing w:line="240" w:lineRule="auto" w:before="0" w:after="0"/>
        <w:ind w:left="160" w:right="496" w:firstLine="0"/>
        <w:jc w:val="both"/>
        <w:rPr>
          <w:b/>
          <w:sz w:val="24"/>
        </w:rPr>
      </w:pPr>
      <w:r>
        <w:rPr>
          <w:b/>
          <w:sz w:val="24"/>
        </w:rPr>
        <w:t>National Scholarships. </w:t>
      </w:r>
      <w:r>
        <w:rPr>
          <w:sz w:val="24"/>
        </w:rPr>
        <w:t>The national scholarships form another important category of scholarships awarded at the university stage. The entire expenditure on these scholarships which were instituted in the Third Five Year Plan and are awarded on the basis of merit, is met by the Government of India. In actual practice, the Government of India allocates a specified number of scholarships to each State Government and the award is made, under the rules framed by the Government of India, by the State Government concerned. This is a good scheme and should be continued and largely expanded. We make the following recommendations in this regard:</w:t>
      </w:r>
    </w:p>
    <w:p>
      <w:pPr>
        <w:pStyle w:val="BodyText"/>
        <w:spacing w:before="5"/>
      </w:pPr>
    </w:p>
    <w:p>
      <w:pPr>
        <w:pStyle w:val="ListParagraph"/>
        <w:numPr>
          <w:ilvl w:val="0"/>
          <w:numId w:val="112"/>
        </w:numPr>
        <w:tabs>
          <w:tab w:pos="517" w:val="left" w:leader="none"/>
        </w:tabs>
        <w:spacing w:line="240" w:lineRule="auto" w:before="0" w:after="0"/>
        <w:ind w:left="160" w:right="495" w:firstLine="0"/>
        <w:jc w:val="both"/>
        <w:rPr>
          <w:sz w:val="24"/>
        </w:rPr>
      </w:pPr>
      <w:r>
        <w:rPr>
          <w:b/>
          <w:sz w:val="24"/>
        </w:rPr>
        <w:t>Coverage</w:t>
      </w:r>
      <w:r>
        <w:rPr>
          <w:sz w:val="24"/>
        </w:rPr>
        <w:t>. At present, the scheme covers less than one per cent of the students who appear at the various exam examinations to which the scholarships are allocated. The target to be reached should be to cover five per cent of such students by 1975-76 and ten per cent of such students by 1985-86.</w:t>
      </w:r>
    </w:p>
    <w:p>
      <w:pPr>
        <w:pStyle w:val="BodyText"/>
        <w:spacing w:before="4"/>
      </w:pPr>
    </w:p>
    <w:p>
      <w:pPr>
        <w:pStyle w:val="ListParagraph"/>
        <w:numPr>
          <w:ilvl w:val="0"/>
          <w:numId w:val="112"/>
        </w:numPr>
        <w:tabs>
          <w:tab w:pos="527" w:val="left" w:leader="none"/>
        </w:tabs>
        <w:spacing w:line="240" w:lineRule="auto" w:before="0" w:after="0"/>
        <w:ind w:left="160" w:right="494" w:firstLine="0"/>
        <w:jc w:val="both"/>
        <w:rPr>
          <w:sz w:val="24"/>
        </w:rPr>
      </w:pPr>
      <w:r>
        <w:rPr>
          <w:b/>
          <w:sz w:val="24"/>
        </w:rPr>
        <w:t>Decentralization. </w:t>
      </w:r>
      <w:r>
        <w:rPr>
          <w:sz w:val="24"/>
        </w:rPr>
        <w:t>In the practice now in force, the Ministry of Education allocates</w:t>
      </w:r>
      <w:r>
        <w:rPr>
          <w:spacing w:val="40"/>
          <w:sz w:val="24"/>
        </w:rPr>
        <w:t> </w:t>
      </w:r>
      <w:r>
        <w:rPr>
          <w:sz w:val="24"/>
        </w:rPr>
        <w:t>the</w:t>
      </w:r>
      <w:r>
        <w:rPr>
          <w:spacing w:val="-3"/>
          <w:sz w:val="24"/>
        </w:rPr>
        <w:t> </w:t>
      </w:r>
      <w:r>
        <w:rPr>
          <w:sz w:val="24"/>
        </w:rPr>
        <w:t>scholarships</w:t>
      </w:r>
      <w:r>
        <w:rPr>
          <w:spacing w:val="-3"/>
          <w:sz w:val="24"/>
        </w:rPr>
        <w:t> </w:t>
      </w:r>
      <w:r>
        <w:rPr>
          <w:sz w:val="24"/>
        </w:rPr>
        <w:t>to</w:t>
      </w:r>
      <w:r>
        <w:rPr>
          <w:spacing w:val="-3"/>
          <w:sz w:val="24"/>
        </w:rPr>
        <w:t> </w:t>
      </w:r>
      <w:r>
        <w:rPr>
          <w:sz w:val="24"/>
        </w:rPr>
        <w:t>the</w:t>
      </w:r>
      <w:r>
        <w:rPr>
          <w:spacing w:val="-3"/>
          <w:sz w:val="24"/>
        </w:rPr>
        <w:t> </w:t>
      </w:r>
      <w:r>
        <w:rPr>
          <w:sz w:val="24"/>
        </w:rPr>
        <w:t>different</w:t>
      </w:r>
      <w:r>
        <w:rPr>
          <w:spacing w:val="-3"/>
          <w:sz w:val="24"/>
        </w:rPr>
        <w:t> </w:t>
      </w:r>
      <w:r>
        <w:rPr>
          <w:sz w:val="24"/>
        </w:rPr>
        <w:t>States</w:t>
      </w:r>
      <w:r>
        <w:rPr>
          <w:spacing w:val="-3"/>
          <w:sz w:val="24"/>
        </w:rPr>
        <w:t> </w:t>
      </w:r>
      <w:r>
        <w:rPr>
          <w:sz w:val="24"/>
        </w:rPr>
        <w:t>on</w:t>
      </w:r>
      <w:r>
        <w:rPr>
          <w:spacing w:val="-3"/>
          <w:sz w:val="24"/>
        </w:rPr>
        <w:t> </w:t>
      </w:r>
      <w:r>
        <w:rPr>
          <w:sz w:val="24"/>
        </w:rPr>
        <w:t>the</w:t>
      </w:r>
      <w:r>
        <w:rPr>
          <w:spacing w:val="-2"/>
          <w:sz w:val="24"/>
        </w:rPr>
        <w:t> </w:t>
      </w:r>
      <w:r>
        <w:rPr>
          <w:sz w:val="24"/>
        </w:rPr>
        <w:t>basis</w:t>
      </w:r>
      <w:r>
        <w:rPr>
          <w:spacing w:val="-2"/>
          <w:sz w:val="24"/>
        </w:rPr>
        <w:t> </w:t>
      </w:r>
      <w:r>
        <w:rPr>
          <w:sz w:val="24"/>
        </w:rPr>
        <w:t>of</w:t>
      </w:r>
      <w:r>
        <w:rPr>
          <w:spacing w:val="-2"/>
          <w:sz w:val="24"/>
        </w:rPr>
        <w:t> </w:t>
      </w:r>
      <w:r>
        <w:rPr>
          <w:sz w:val="24"/>
        </w:rPr>
        <w:t>population.</w:t>
      </w:r>
      <w:r>
        <w:rPr>
          <w:spacing w:val="-2"/>
          <w:sz w:val="24"/>
        </w:rPr>
        <w:t> </w:t>
      </w:r>
      <w:r>
        <w:rPr>
          <w:sz w:val="24"/>
        </w:rPr>
        <w:t>The</w:t>
      </w:r>
      <w:r>
        <w:rPr>
          <w:spacing w:val="-2"/>
          <w:sz w:val="24"/>
        </w:rPr>
        <w:t> </w:t>
      </w:r>
      <w:r>
        <w:rPr>
          <w:sz w:val="24"/>
        </w:rPr>
        <w:t>allocation</w:t>
      </w:r>
      <w:r>
        <w:rPr>
          <w:spacing w:val="-2"/>
          <w:sz w:val="24"/>
        </w:rPr>
        <w:t> </w:t>
      </w:r>
      <w:r>
        <w:rPr>
          <w:sz w:val="24"/>
        </w:rPr>
        <w:t>is</w:t>
      </w:r>
      <w:r>
        <w:rPr>
          <w:spacing w:val="-2"/>
          <w:sz w:val="24"/>
        </w:rPr>
        <w:t> </w:t>
      </w:r>
      <w:r>
        <w:rPr>
          <w:sz w:val="24"/>
        </w:rPr>
        <w:t>further sub- divided according to the different examinations held in the State and care is taken to see that at least one award is allocated to each examination irrespective of the number of students appearing therein. The names of the students eligible for these awards are communicated by the Director of Education of the State, in due course, to the Ministry of Education which then issues `entitlement' cards to the students concerned. On the production of these cards, the students do not find any difficulty about</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payment of fees etc., before the scholarships are actually paid to them. This is a much simpler procedure than that which was in vogue some time ago; but even now there are delays and complaints about payments, and the procedure needs still further </w:t>
      </w:r>
      <w:r>
        <w:rPr>
          <w:spacing w:val="-2"/>
        </w:rPr>
        <w:t>simplification.</w:t>
      </w:r>
    </w:p>
    <w:p>
      <w:pPr>
        <w:pStyle w:val="BodyText"/>
        <w:spacing w:before="4"/>
      </w:pPr>
    </w:p>
    <w:p>
      <w:pPr>
        <w:pStyle w:val="BodyText"/>
        <w:ind w:left="159" w:right="497"/>
        <w:jc w:val="both"/>
      </w:pPr>
      <w:r>
        <w:rPr/>
        <w:t>One concrete suggestion in this regard is that the power to issue entitlement cards should be delegated to the authorities holding examinations to which the national scholarships have been assigned. As at present, the Ministry should allocate national scholarships to the different examinations in a State. The authorities holding these examinations should be instructed to announce the names of the winners of the national scholarships (subject</w:t>
      </w:r>
      <w:r>
        <w:rPr>
          <w:spacing w:val="40"/>
        </w:rPr>
        <w:t> </w:t>
      </w:r>
      <w:r>
        <w:rPr/>
        <w:t>to verification on the basis of the means test in due course) along with the examination results. They should also be supplied with the requisite number of entitlement cards duly signed by an officer of the Ministry of Education and these should become valid as soon as they are countersigned on behalf of the authority holding the examinations. It should also be made a rule that the entitlement card should be given to a student along with his examination result.</w:t>
      </w:r>
    </w:p>
    <w:p>
      <w:pPr>
        <w:pStyle w:val="BodyText"/>
        <w:spacing w:before="4"/>
      </w:pPr>
    </w:p>
    <w:p>
      <w:pPr>
        <w:pStyle w:val="BodyText"/>
        <w:ind w:left="160" w:right="497"/>
        <w:jc w:val="both"/>
      </w:pPr>
      <w:r>
        <w:rPr/>
        <w:t>The institutions which the holders of national scholarships join should be under an obligation to pay them the amount of the scholarships direct, after verifying the means test. The payment should be made from mouth to month along with salaries of staff, and the institutions should claim reimbursement from the State Government in due course. This should not be difficult if the entitlement card has a perforated portion on the production of which the State Directors of Education are required to pay a year's scholarship in advance to the school authorities.</w:t>
      </w:r>
    </w:p>
    <w:p>
      <w:pPr>
        <w:pStyle w:val="BodyText"/>
        <w:spacing w:before="5"/>
      </w:pPr>
    </w:p>
    <w:p>
      <w:pPr>
        <w:pStyle w:val="BodyText"/>
        <w:ind w:left="159" w:right="495"/>
        <w:jc w:val="both"/>
      </w:pPr>
      <w:r>
        <w:rPr/>
        <w:t>At present the Government of India makes the payment of the scholarship amount to the institutions concerned through the State Governments or the State Departments of Education. Since the vast majority of national scholarship-holders will be studying either in the universities or in their affiliated colleges, we think that it would be a much simpler and a more convenient procedure for the Government of India to make the payments direct to the universities (which will pass on the necessary funds to their affiliated colleges). This possibility should be explored. We believe that a procedure on the above lines would overcome several of the difficulties at present experienced by the students.</w:t>
      </w:r>
    </w:p>
    <w:p>
      <w:pPr>
        <w:pStyle w:val="BodyText"/>
        <w:spacing w:before="4"/>
      </w:pPr>
    </w:p>
    <w:p>
      <w:pPr>
        <w:pStyle w:val="ListParagraph"/>
        <w:numPr>
          <w:ilvl w:val="0"/>
          <w:numId w:val="112"/>
        </w:numPr>
        <w:tabs>
          <w:tab w:pos="550" w:val="left" w:leader="none"/>
        </w:tabs>
        <w:spacing w:line="240" w:lineRule="auto" w:before="0" w:after="0"/>
        <w:ind w:left="160" w:right="494" w:firstLine="0"/>
        <w:jc w:val="both"/>
        <w:rPr>
          <w:sz w:val="24"/>
        </w:rPr>
      </w:pPr>
      <w:r>
        <w:rPr>
          <w:b/>
          <w:sz w:val="24"/>
        </w:rPr>
        <w:t>A New Basis of Award. </w:t>
      </w:r>
      <w:r>
        <w:rPr>
          <w:sz w:val="24"/>
        </w:rPr>
        <w:t>For the national scholarships to be given to university entrants, the most common practice adopted at present is to award them on the basis of marks</w:t>
      </w:r>
      <w:r>
        <w:rPr>
          <w:spacing w:val="-1"/>
          <w:sz w:val="24"/>
        </w:rPr>
        <w:t> </w:t>
      </w:r>
      <w:r>
        <w:rPr>
          <w:sz w:val="24"/>
        </w:rPr>
        <w:t>obtained</w:t>
      </w:r>
      <w:r>
        <w:rPr>
          <w:spacing w:val="-1"/>
          <w:sz w:val="24"/>
        </w:rPr>
        <w:t> </w:t>
      </w:r>
      <w:r>
        <w:rPr>
          <w:sz w:val="24"/>
        </w:rPr>
        <w:t>in</w:t>
      </w:r>
      <w:r>
        <w:rPr>
          <w:spacing w:val="-1"/>
          <w:sz w:val="24"/>
        </w:rPr>
        <w:t> </w:t>
      </w:r>
      <w:r>
        <w:rPr>
          <w:sz w:val="24"/>
        </w:rPr>
        <w:t>the</w:t>
      </w:r>
      <w:r>
        <w:rPr>
          <w:spacing w:val="-1"/>
          <w:sz w:val="24"/>
        </w:rPr>
        <w:t> </w:t>
      </w:r>
      <w:r>
        <w:rPr>
          <w:sz w:val="24"/>
        </w:rPr>
        <w:t>external</w:t>
      </w:r>
      <w:r>
        <w:rPr>
          <w:spacing w:val="-1"/>
          <w:sz w:val="24"/>
        </w:rPr>
        <w:t> </w:t>
      </w:r>
      <w:r>
        <w:rPr>
          <w:sz w:val="24"/>
        </w:rPr>
        <w:t>public</w:t>
      </w:r>
      <w:r>
        <w:rPr>
          <w:spacing w:val="-1"/>
          <w:sz w:val="24"/>
        </w:rPr>
        <w:t> </w:t>
      </w:r>
      <w:r>
        <w:rPr>
          <w:sz w:val="24"/>
        </w:rPr>
        <w:t>examination</w:t>
      </w:r>
      <w:r>
        <w:rPr>
          <w:spacing w:val="-1"/>
          <w:sz w:val="24"/>
        </w:rPr>
        <w:t> </w:t>
      </w:r>
      <w:r>
        <w:rPr>
          <w:sz w:val="24"/>
        </w:rPr>
        <w:t>at</w:t>
      </w:r>
      <w:r>
        <w:rPr>
          <w:spacing w:val="-1"/>
          <w:sz w:val="24"/>
        </w:rPr>
        <w:t> </w:t>
      </w:r>
      <w:r>
        <w:rPr>
          <w:sz w:val="24"/>
        </w:rPr>
        <w:t>the</w:t>
      </w:r>
      <w:r>
        <w:rPr>
          <w:spacing w:val="-1"/>
          <w:sz w:val="24"/>
        </w:rPr>
        <w:t> </w:t>
      </w:r>
      <w:r>
        <w:rPr>
          <w:sz w:val="24"/>
        </w:rPr>
        <w:t>end</w:t>
      </w:r>
      <w:r>
        <w:rPr>
          <w:spacing w:val="-1"/>
          <w:sz w:val="24"/>
        </w:rPr>
        <w:t> </w:t>
      </w:r>
      <w:r>
        <w:rPr>
          <w:sz w:val="24"/>
        </w:rPr>
        <w:t>of</w:t>
      </w:r>
      <w:r>
        <w:rPr>
          <w:spacing w:val="-1"/>
          <w:sz w:val="24"/>
        </w:rPr>
        <w:t> </w:t>
      </w:r>
      <w:r>
        <w:rPr>
          <w:sz w:val="24"/>
        </w:rPr>
        <w:t>the</w:t>
      </w:r>
      <w:r>
        <w:rPr>
          <w:spacing w:val="-1"/>
          <w:sz w:val="24"/>
        </w:rPr>
        <w:t> </w:t>
      </w:r>
      <w:r>
        <w:rPr>
          <w:sz w:val="24"/>
        </w:rPr>
        <w:t>secondary</w:t>
      </w:r>
      <w:r>
        <w:rPr>
          <w:spacing w:val="-1"/>
          <w:sz w:val="24"/>
        </w:rPr>
        <w:t> </w:t>
      </w:r>
      <w:r>
        <w:rPr>
          <w:sz w:val="24"/>
        </w:rPr>
        <w:t>course;</w:t>
      </w:r>
      <w:r>
        <w:rPr>
          <w:spacing w:val="-1"/>
          <w:sz w:val="24"/>
        </w:rPr>
        <w:t> </w:t>
      </w:r>
      <w:r>
        <w:rPr>
          <w:sz w:val="24"/>
        </w:rPr>
        <w:t>and for this purpose, the entire State is regarded as a unit. As was pointed out earlier, this method</w:t>
      </w:r>
      <w:r>
        <w:rPr>
          <w:spacing w:val="-3"/>
          <w:sz w:val="24"/>
        </w:rPr>
        <w:t> </w:t>
      </w:r>
      <w:r>
        <w:rPr>
          <w:sz w:val="24"/>
        </w:rPr>
        <w:t>is</w:t>
      </w:r>
      <w:r>
        <w:rPr>
          <w:spacing w:val="-3"/>
          <w:sz w:val="24"/>
        </w:rPr>
        <w:t> </w:t>
      </w:r>
      <w:r>
        <w:rPr>
          <w:sz w:val="24"/>
        </w:rPr>
        <w:t>unfair</w:t>
      </w:r>
      <w:r>
        <w:rPr>
          <w:spacing w:val="-3"/>
          <w:sz w:val="24"/>
        </w:rPr>
        <w:t> </w:t>
      </w:r>
      <w:r>
        <w:rPr>
          <w:sz w:val="24"/>
        </w:rPr>
        <w:t>to</w:t>
      </w:r>
      <w:r>
        <w:rPr>
          <w:spacing w:val="-3"/>
          <w:sz w:val="24"/>
        </w:rPr>
        <w:t> </w:t>
      </w:r>
      <w:r>
        <w:rPr>
          <w:sz w:val="24"/>
        </w:rPr>
        <w:t>the</w:t>
      </w:r>
      <w:r>
        <w:rPr>
          <w:spacing w:val="-3"/>
          <w:sz w:val="24"/>
        </w:rPr>
        <w:t> </w:t>
      </w:r>
      <w:r>
        <w:rPr>
          <w:sz w:val="24"/>
        </w:rPr>
        <w:t>brighter</w:t>
      </w:r>
      <w:r>
        <w:rPr>
          <w:spacing w:val="-3"/>
          <w:sz w:val="24"/>
        </w:rPr>
        <w:t> </w:t>
      </w:r>
      <w:r>
        <w:rPr>
          <w:sz w:val="24"/>
        </w:rPr>
        <w:t>students</w:t>
      </w:r>
      <w:r>
        <w:rPr>
          <w:spacing w:val="-3"/>
          <w:sz w:val="24"/>
        </w:rPr>
        <w:t> </w:t>
      </w:r>
      <w:r>
        <w:rPr>
          <w:sz w:val="24"/>
        </w:rPr>
        <w:t>who</w:t>
      </w:r>
      <w:r>
        <w:rPr>
          <w:spacing w:val="-3"/>
          <w:sz w:val="24"/>
        </w:rPr>
        <w:t> </w:t>
      </w:r>
      <w:r>
        <w:rPr>
          <w:sz w:val="24"/>
        </w:rPr>
        <w:t>happen</w:t>
      </w:r>
      <w:r>
        <w:rPr>
          <w:spacing w:val="-3"/>
          <w:sz w:val="24"/>
        </w:rPr>
        <w:t> </w:t>
      </w:r>
      <w:r>
        <w:rPr>
          <w:sz w:val="24"/>
        </w:rPr>
        <w:t>to</w:t>
      </w:r>
      <w:r>
        <w:rPr>
          <w:spacing w:val="-3"/>
          <w:sz w:val="24"/>
        </w:rPr>
        <w:t> </w:t>
      </w:r>
      <w:r>
        <w:rPr>
          <w:sz w:val="24"/>
        </w:rPr>
        <w:t>have</w:t>
      </w:r>
      <w:r>
        <w:rPr>
          <w:spacing w:val="-3"/>
          <w:sz w:val="24"/>
        </w:rPr>
        <w:t> </w:t>
      </w:r>
      <w:r>
        <w:rPr>
          <w:sz w:val="24"/>
        </w:rPr>
        <w:t>attended</w:t>
      </w:r>
      <w:r>
        <w:rPr>
          <w:spacing w:val="-3"/>
          <w:sz w:val="24"/>
        </w:rPr>
        <w:t> </w:t>
      </w:r>
      <w:r>
        <w:rPr>
          <w:sz w:val="24"/>
        </w:rPr>
        <w:t>weaker</w:t>
      </w:r>
      <w:r>
        <w:rPr>
          <w:spacing w:val="-3"/>
          <w:sz w:val="24"/>
        </w:rPr>
        <w:t> </w:t>
      </w:r>
      <w:r>
        <w:rPr>
          <w:sz w:val="24"/>
        </w:rPr>
        <w:t>schools</w:t>
      </w:r>
      <w:r>
        <w:rPr>
          <w:spacing w:val="-3"/>
          <w:sz w:val="24"/>
        </w:rPr>
        <w:t> </w:t>
      </w:r>
      <w:r>
        <w:rPr>
          <w:sz w:val="24"/>
        </w:rPr>
        <w:t>and whose preparation, therefore, leaves much to be desired. What is needed, therefore, is the adoption of a more egalitarian basis for the award of scholarships in such cases.</w:t>
      </w:r>
    </w:p>
    <w:p>
      <w:pPr>
        <w:pStyle w:val="BodyText"/>
        <w:spacing w:before="3"/>
      </w:pPr>
    </w:p>
    <w:p>
      <w:pPr>
        <w:pStyle w:val="BodyText"/>
        <w:spacing w:before="1"/>
        <w:ind w:left="160" w:right="497"/>
        <w:jc w:val="both"/>
      </w:pPr>
      <w:r>
        <w:rPr/>
        <w:t>From this point of view, we suggest that it would be desirable to group schools in small clusters', on the basis of their enrolments and socio-economic backgrounds, and to select the top 'few' students in each duster for the award of scholarships, the actual number of students</w:t>
      </w:r>
      <w:r>
        <w:rPr>
          <w:spacing w:val="42"/>
        </w:rPr>
        <w:t> </w:t>
      </w:r>
      <w:r>
        <w:rPr/>
        <w:t>to</w:t>
      </w:r>
      <w:r>
        <w:rPr>
          <w:spacing w:val="43"/>
        </w:rPr>
        <w:t> </w:t>
      </w:r>
      <w:r>
        <w:rPr/>
        <w:t>be</w:t>
      </w:r>
      <w:r>
        <w:rPr>
          <w:spacing w:val="43"/>
        </w:rPr>
        <w:t> </w:t>
      </w:r>
      <w:r>
        <w:rPr/>
        <w:t>selected</w:t>
      </w:r>
      <w:r>
        <w:rPr>
          <w:spacing w:val="43"/>
        </w:rPr>
        <w:t> </w:t>
      </w:r>
      <w:r>
        <w:rPr/>
        <w:t>depending</w:t>
      </w:r>
      <w:r>
        <w:rPr>
          <w:spacing w:val="43"/>
        </w:rPr>
        <w:t> </w:t>
      </w:r>
      <w:r>
        <w:rPr/>
        <w:t>upon</w:t>
      </w:r>
      <w:r>
        <w:rPr>
          <w:spacing w:val="43"/>
        </w:rPr>
        <w:t> </w:t>
      </w:r>
      <w:r>
        <w:rPr/>
        <w:t>the</w:t>
      </w:r>
      <w:r>
        <w:rPr>
          <w:spacing w:val="42"/>
        </w:rPr>
        <w:t> </w:t>
      </w:r>
      <w:r>
        <w:rPr/>
        <w:t>funds</w:t>
      </w:r>
      <w:r>
        <w:rPr>
          <w:spacing w:val="43"/>
        </w:rPr>
        <w:t> </w:t>
      </w:r>
      <w:r>
        <w:rPr/>
        <w:t>available.</w:t>
      </w:r>
      <w:r>
        <w:rPr>
          <w:spacing w:val="43"/>
        </w:rPr>
        <w:t> </w:t>
      </w:r>
      <w:r>
        <w:rPr/>
        <w:t>The</w:t>
      </w:r>
      <w:r>
        <w:rPr>
          <w:spacing w:val="43"/>
        </w:rPr>
        <w:t> </w:t>
      </w:r>
      <w:r>
        <w:rPr/>
        <w:t>'top'</w:t>
      </w:r>
      <w:r>
        <w:rPr>
          <w:spacing w:val="43"/>
        </w:rPr>
        <w:t> </w:t>
      </w:r>
      <w:r>
        <w:rPr/>
        <w:t>students</w:t>
      </w:r>
      <w:r>
        <w:rPr>
          <w:spacing w:val="43"/>
        </w:rPr>
        <w:t> </w:t>
      </w:r>
      <w:r>
        <w:rPr/>
        <w:t>in</w:t>
      </w:r>
      <w:r>
        <w:rPr>
          <w:spacing w:val="43"/>
        </w:rPr>
        <w:t> </w:t>
      </w:r>
      <w:r>
        <w:rPr>
          <w:spacing w:val="-5"/>
        </w:rPr>
        <w:t>one</w:t>
      </w:r>
    </w:p>
    <w:p>
      <w:pPr>
        <w:spacing w:after="0"/>
        <w:jc w:val="both"/>
        <w:sectPr>
          <w:pgSz w:w="12240" w:h="15840"/>
          <w:pgMar w:header="0" w:footer="743" w:top="1360" w:bottom="940" w:left="1640" w:right="1300"/>
        </w:sectPr>
      </w:pPr>
    </w:p>
    <w:p>
      <w:pPr>
        <w:pStyle w:val="BodyText"/>
        <w:spacing w:before="76"/>
        <w:ind w:left="159" w:right="496"/>
        <w:jc w:val="both"/>
      </w:pPr>
      <w:r>
        <w:rPr/>
        <w:t>group may not come up to the top students in other groups. But they represent good potential talent and would make good if special arrangements were made in the universities or colleges to which they are admitted, to give them some special attention and help them to make up for the shortcomings in their attainments. The general policy should</w:t>
      </w:r>
      <w:r>
        <w:rPr>
          <w:spacing w:val="-1"/>
        </w:rPr>
        <w:t> </w:t>
      </w:r>
      <w:r>
        <w:rPr/>
        <w:t>be</w:t>
      </w:r>
      <w:r>
        <w:rPr>
          <w:spacing w:val="-1"/>
        </w:rPr>
        <w:t> </w:t>
      </w:r>
      <w:r>
        <w:rPr/>
        <w:t>to</w:t>
      </w:r>
      <w:r>
        <w:rPr>
          <w:spacing w:val="-1"/>
        </w:rPr>
        <w:t> </w:t>
      </w:r>
      <w:r>
        <w:rPr/>
        <w:t>award</w:t>
      </w:r>
      <w:r>
        <w:rPr>
          <w:spacing w:val="-1"/>
        </w:rPr>
        <w:t> </w:t>
      </w:r>
      <w:r>
        <w:rPr/>
        <w:t>fifty</w:t>
      </w:r>
      <w:r>
        <w:rPr>
          <w:spacing w:val="-1"/>
        </w:rPr>
        <w:t> </w:t>
      </w:r>
      <w:r>
        <w:rPr/>
        <w:t>per</w:t>
      </w:r>
      <w:r>
        <w:rPr>
          <w:spacing w:val="-1"/>
        </w:rPr>
        <w:t> </w:t>
      </w:r>
      <w:r>
        <w:rPr/>
        <w:t>cent</w:t>
      </w:r>
      <w:r>
        <w:rPr>
          <w:spacing w:val="-1"/>
        </w:rPr>
        <w:t> </w:t>
      </w:r>
      <w:r>
        <w:rPr/>
        <w:t>of</w:t>
      </w:r>
      <w:r>
        <w:rPr>
          <w:spacing w:val="-1"/>
        </w:rPr>
        <w:t> </w:t>
      </w:r>
      <w:r>
        <w:rPr/>
        <w:t>the</w:t>
      </w:r>
      <w:r>
        <w:rPr>
          <w:spacing w:val="-1"/>
        </w:rPr>
        <w:t> </w:t>
      </w:r>
      <w:r>
        <w:rPr/>
        <w:t>scholarships</w:t>
      </w:r>
      <w:r>
        <w:rPr>
          <w:spacing w:val="-1"/>
        </w:rPr>
        <w:t> </w:t>
      </w:r>
      <w:r>
        <w:rPr/>
        <w:t>on</w:t>
      </w:r>
      <w:r>
        <w:rPr>
          <w:spacing w:val="-1"/>
        </w:rPr>
        <w:t> </w:t>
      </w:r>
      <w:r>
        <w:rPr/>
        <w:t>the</w:t>
      </w:r>
      <w:r>
        <w:rPr>
          <w:spacing w:val="-1"/>
        </w:rPr>
        <w:t> </w:t>
      </w:r>
      <w:r>
        <w:rPr/>
        <w:t>basis</w:t>
      </w:r>
      <w:r>
        <w:rPr>
          <w:spacing w:val="-1"/>
        </w:rPr>
        <w:t> </w:t>
      </w:r>
      <w:r>
        <w:rPr/>
        <w:t>of</w:t>
      </w:r>
      <w:r>
        <w:rPr>
          <w:spacing w:val="-3"/>
        </w:rPr>
        <w:t> </w:t>
      </w:r>
      <w:r>
        <w:rPr/>
        <w:t>school</w:t>
      </w:r>
      <w:r>
        <w:rPr>
          <w:spacing w:val="-2"/>
        </w:rPr>
        <w:t> </w:t>
      </w:r>
      <w:r>
        <w:rPr/>
        <w:t>dusters</w:t>
      </w:r>
      <w:r>
        <w:rPr>
          <w:spacing w:val="-2"/>
        </w:rPr>
        <w:t> </w:t>
      </w:r>
      <w:r>
        <w:rPr/>
        <w:t>and</w:t>
      </w:r>
      <w:r>
        <w:rPr>
          <w:spacing w:val="-2"/>
        </w:rPr>
        <w:t> </w:t>
      </w:r>
      <w:r>
        <w:rPr/>
        <w:t>the remaining fifty per cent, as at present, on the basis of the State as a unit.</w:t>
      </w:r>
    </w:p>
    <w:p>
      <w:pPr>
        <w:pStyle w:val="BodyText"/>
        <w:spacing w:before="4"/>
      </w:pPr>
    </w:p>
    <w:p>
      <w:pPr>
        <w:pStyle w:val="BodyText"/>
        <w:ind w:left="159" w:right="496"/>
        <w:jc w:val="both"/>
      </w:pPr>
      <w:r>
        <w:rPr/>
        <w:t>We strongly recommend this new method of awarding scholarships, especially at a time when the provision of higher education will be made only on a selective basis. This egalitarian approach will secure social justice and net a much greater amount of talent than is done at present. With the expansion of secondary education to rural areas, the establishment of a large number of new secondary schools every year, and the entry of young persons from the unprivileged sections of the society into secondary and </w:t>
      </w:r>
      <w:r>
        <w:rPr/>
        <w:t>higher education , students will now begin to arrive at the threshold of higher education with widely varying levels of preparation which reflect, not much the variation in native capacity, as in their socioeconomic backgrounds and in the standards of the secondary schools which they attended. Unless due allowance is made for them, the stratification of Indian society will tend to increase rather than decrease.</w:t>
      </w:r>
    </w:p>
    <w:p>
      <w:pPr>
        <w:pStyle w:val="BodyText"/>
        <w:spacing w:before="4"/>
      </w:pPr>
    </w:p>
    <w:p>
      <w:pPr>
        <w:pStyle w:val="ListParagraph"/>
        <w:numPr>
          <w:ilvl w:val="1"/>
          <w:numId w:val="10"/>
        </w:numPr>
        <w:tabs>
          <w:tab w:pos="658" w:val="left" w:leader="none"/>
        </w:tabs>
        <w:spacing w:line="240" w:lineRule="auto" w:before="0" w:after="0"/>
        <w:ind w:left="159" w:right="496" w:firstLine="0"/>
        <w:jc w:val="both"/>
        <w:rPr>
          <w:b/>
          <w:sz w:val="24"/>
        </w:rPr>
      </w:pPr>
      <w:r>
        <w:rPr>
          <w:b/>
          <w:sz w:val="24"/>
        </w:rPr>
        <w:t>University Scholarships. </w:t>
      </w:r>
      <w:r>
        <w:rPr>
          <w:sz w:val="24"/>
        </w:rPr>
        <w:t>At present, the number of scholar- ships awarded by the universities is extremely small both at the undergraduate and at the postgraduate stages. This is not a happy position. We recommend that a scheme of university scholarships should be developed in the Fourth Plan itself and the funds required for it should be placed at the disposal of the UGC which should make them available to the universities (and which in their turn should make them available to colleges). The award of the scholarships should be made in accordance with the rules framed by the universities with the approval of the UGC; and the authority to select students for the award in accordance with the rules should be delegated to the heads of the institutions.</w:t>
      </w:r>
    </w:p>
    <w:p>
      <w:pPr>
        <w:pStyle w:val="BodyText"/>
        <w:spacing w:before="4"/>
      </w:pPr>
    </w:p>
    <w:p>
      <w:pPr>
        <w:pStyle w:val="BodyText"/>
        <w:ind w:left="159" w:right="498"/>
        <w:jc w:val="both"/>
      </w:pPr>
      <w:r>
        <w:rPr/>
        <w:t>The target to be reached should be to cover about 10 per cent of the enrolment at the undergraduate stage and 20 per cent of such enrolment at the postgraduate stage by 1976.</w:t>
      </w:r>
    </w:p>
    <w:p>
      <w:pPr>
        <w:pStyle w:val="BodyText"/>
        <w:spacing w:before="5"/>
      </w:pPr>
    </w:p>
    <w:p>
      <w:pPr>
        <w:pStyle w:val="BodyText"/>
        <w:ind w:left="159" w:right="496"/>
        <w:jc w:val="both"/>
      </w:pPr>
      <w:r>
        <w:rPr/>
        <w:t>These scholarships should be in the Central sector and the grants-in-aid on account of them should be borne by the Government of India, through the UGC, on a permanent </w:t>
      </w:r>
      <w:r>
        <w:rPr>
          <w:spacing w:val="-2"/>
        </w:rPr>
        <w:t>basis.</w:t>
      </w:r>
    </w:p>
    <w:p>
      <w:pPr>
        <w:pStyle w:val="BodyText"/>
        <w:spacing w:before="3"/>
      </w:pPr>
    </w:p>
    <w:p>
      <w:pPr>
        <w:pStyle w:val="ListParagraph"/>
        <w:numPr>
          <w:ilvl w:val="1"/>
          <w:numId w:val="10"/>
        </w:numPr>
        <w:tabs>
          <w:tab w:pos="642" w:val="left" w:leader="none"/>
        </w:tabs>
        <w:spacing w:line="240" w:lineRule="auto" w:before="0" w:after="0"/>
        <w:ind w:left="159" w:right="497" w:firstLine="0"/>
        <w:jc w:val="both"/>
        <w:rPr>
          <w:sz w:val="24"/>
        </w:rPr>
      </w:pPr>
      <w:r>
        <w:rPr>
          <w:sz w:val="24"/>
        </w:rPr>
        <w:t>There is a large Central scheme of post-matriculation scholarships for the Scheduled Castes and Scheduled Tribes. This will be discussed in a later section.</w:t>
      </w:r>
    </w:p>
    <w:p>
      <w:pPr>
        <w:pStyle w:val="BodyText"/>
        <w:spacing w:before="4"/>
      </w:pPr>
    </w:p>
    <w:p>
      <w:pPr>
        <w:pStyle w:val="ListParagraph"/>
        <w:numPr>
          <w:ilvl w:val="1"/>
          <w:numId w:val="10"/>
        </w:numPr>
        <w:tabs>
          <w:tab w:pos="657" w:val="left" w:leader="none"/>
        </w:tabs>
        <w:spacing w:line="240" w:lineRule="auto" w:before="0" w:after="0"/>
        <w:ind w:left="159" w:right="497" w:firstLine="0"/>
        <w:jc w:val="both"/>
        <w:rPr>
          <w:sz w:val="24"/>
        </w:rPr>
      </w:pPr>
      <w:r>
        <w:rPr>
          <w:sz w:val="24"/>
        </w:rPr>
        <w:t>At the postgraduate stage, it is necessary to secure better coordination between the different agencies which award scholarships, e.g., the University Grants Commission, the Indian Council for Agricultural Research, the Atomic Energy Commission, etc. This multiplicity is welcome because it augments the resources available for scholarships. But it often leads to anomalies in the conditions for the award of scholarship (e.g., in matters like the amount of scholarships, qualifications needed, etc.). We think that the necessary coordination</w:t>
      </w:r>
      <w:r>
        <w:rPr>
          <w:spacing w:val="29"/>
          <w:sz w:val="24"/>
        </w:rPr>
        <w:t> </w:t>
      </w:r>
      <w:r>
        <w:rPr>
          <w:sz w:val="24"/>
        </w:rPr>
        <w:t>would</w:t>
      </w:r>
      <w:r>
        <w:rPr>
          <w:spacing w:val="29"/>
          <w:sz w:val="24"/>
        </w:rPr>
        <w:t> </w:t>
      </w:r>
      <w:r>
        <w:rPr>
          <w:sz w:val="24"/>
        </w:rPr>
        <w:t>be</w:t>
      </w:r>
      <w:r>
        <w:rPr>
          <w:spacing w:val="29"/>
          <w:sz w:val="24"/>
        </w:rPr>
        <w:t> </w:t>
      </w:r>
      <w:r>
        <w:rPr>
          <w:sz w:val="24"/>
        </w:rPr>
        <w:t>secured</w:t>
      </w:r>
      <w:r>
        <w:rPr>
          <w:spacing w:val="29"/>
          <w:sz w:val="24"/>
        </w:rPr>
        <w:t> </w:t>
      </w:r>
      <w:r>
        <w:rPr>
          <w:sz w:val="24"/>
        </w:rPr>
        <w:t>if</w:t>
      </w:r>
      <w:r>
        <w:rPr>
          <w:spacing w:val="29"/>
          <w:sz w:val="24"/>
        </w:rPr>
        <w:t> </w:t>
      </w:r>
      <w:r>
        <w:rPr>
          <w:sz w:val="24"/>
        </w:rPr>
        <w:t>a</w:t>
      </w:r>
      <w:r>
        <w:rPr>
          <w:spacing w:val="29"/>
          <w:sz w:val="24"/>
        </w:rPr>
        <w:t> </w:t>
      </w:r>
      <w:r>
        <w:rPr>
          <w:sz w:val="24"/>
        </w:rPr>
        <w:t>Standing</w:t>
      </w:r>
      <w:r>
        <w:rPr>
          <w:spacing w:val="29"/>
          <w:sz w:val="24"/>
        </w:rPr>
        <w:t> </w:t>
      </w:r>
      <w:r>
        <w:rPr>
          <w:sz w:val="24"/>
        </w:rPr>
        <w:t>Committee</w:t>
      </w:r>
      <w:r>
        <w:rPr>
          <w:spacing w:val="29"/>
          <w:sz w:val="24"/>
        </w:rPr>
        <w:t> </w:t>
      </w:r>
      <w:r>
        <w:rPr>
          <w:sz w:val="24"/>
        </w:rPr>
        <w:t>on</w:t>
      </w:r>
      <w:r>
        <w:rPr>
          <w:spacing w:val="29"/>
          <w:sz w:val="24"/>
        </w:rPr>
        <w:t> </w:t>
      </w:r>
      <w:r>
        <w:rPr>
          <w:sz w:val="24"/>
        </w:rPr>
        <w:t>Postgraduate</w:t>
      </w:r>
      <w:r>
        <w:rPr>
          <w:spacing w:val="29"/>
          <w:sz w:val="24"/>
        </w:rPr>
        <w:t> </w:t>
      </w:r>
      <w:r>
        <w:rPr>
          <w:sz w:val="24"/>
        </w:rPr>
        <w:t>and</w:t>
      </w:r>
      <w:r>
        <w:rPr>
          <w:spacing w:val="30"/>
          <w:sz w:val="24"/>
        </w:rPr>
        <w:t> </w:t>
      </w:r>
      <w:r>
        <w:rPr>
          <w:spacing w:val="-2"/>
          <w:sz w:val="24"/>
        </w:rPr>
        <w:t>Research</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Scholarships is set up at the national level in the Ministry of Education consisting of the representatives of the Ministries concerned and other organizations that award scholarships</w:t>
      </w:r>
      <w:r>
        <w:rPr>
          <w:spacing w:val="-4"/>
        </w:rPr>
        <w:t> </w:t>
      </w:r>
      <w:r>
        <w:rPr/>
        <w:t>in</w:t>
      </w:r>
      <w:r>
        <w:rPr>
          <w:spacing w:val="-3"/>
        </w:rPr>
        <w:t> </w:t>
      </w:r>
      <w:r>
        <w:rPr/>
        <w:t>the</w:t>
      </w:r>
      <w:r>
        <w:rPr>
          <w:spacing w:val="-3"/>
        </w:rPr>
        <w:t> </w:t>
      </w:r>
      <w:r>
        <w:rPr/>
        <w:t>universities</w:t>
      </w:r>
      <w:r>
        <w:rPr>
          <w:spacing w:val="-3"/>
        </w:rPr>
        <w:t> </w:t>
      </w:r>
      <w:r>
        <w:rPr/>
        <w:t>for</w:t>
      </w:r>
      <w:r>
        <w:rPr>
          <w:spacing w:val="-4"/>
        </w:rPr>
        <w:t> </w:t>
      </w:r>
      <w:r>
        <w:rPr/>
        <w:t>postgraduate</w:t>
      </w:r>
      <w:r>
        <w:rPr>
          <w:spacing w:val="-4"/>
        </w:rPr>
        <w:t> </w:t>
      </w:r>
      <w:r>
        <w:rPr/>
        <w:t>and</w:t>
      </w:r>
      <w:r>
        <w:rPr>
          <w:spacing w:val="-4"/>
        </w:rPr>
        <w:t> </w:t>
      </w:r>
      <w:r>
        <w:rPr/>
        <w:t>research</w:t>
      </w:r>
      <w:r>
        <w:rPr>
          <w:spacing w:val="-4"/>
        </w:rPr>
        <w:t> </w:t>
      </w:r>
      <w:r>
        <w:rPr/>
        <w:t>work</w:t>
      </w:r>
      <w:r>
        <w:rPr>
          <w:spacing w:val="-3"/>
        </w:rPr>
        <w:t> </w:t>
      </w:r>
      <w:r>
        <w:rPr/>
        <w:t>and</w:t>
      </w:r>
      <w:r>
        <w:rPr>
          <w:spacing w:val="-3"/>
        </w:rPr>
        <w:t> </w:t>
      </w:r>
      <w:r>
        <w:rPr/>
        <w:t>a</w:t>
      </w:r>
      <w:r>
        <w:rPr>
          <w:spacing w:val="-3"/>
        </w:rPr>
        <w:t> </w:t>
      </w:r>
      <w:r>
        <w:rPr/>
        <w:t>representative</w:t>
      </w:r>
      <w:r>
        <w:rPr>
          <w:spacing w:val="-3"/>
        </w:rPr>
        <w:t> </w:t>
      </w:r>
      <w:r>
        <w:rPr/>
        <w:t>of the Eater University Board. The Committee could meet about twice a year, review the programmes in operation and see that they are properly coordinated.</w:t>
      </w:r>
    </w:p>
    <w:p>
      <w:pPr>
        <w:pStyle w:val="BodyText"/>
        <w:spacing w:before="4"/>
      </w:pPr>
    </w:p>
    <w:p>
      <w:pPr>
        <w:pStyle w:val="ListParagraph"/>
        <w:numPr>
          <w:ilvl w:val="1"/>
          <w:numId w:val="10"/>
        </w:numPr>
        <w:tabs>
          <w:tab w:pos="640" w:val="left" w:leader="none"/>
        </w:tabs>
        <w:spacing w:line="240" w:lineRule="auto" w:before="0" w:after="0"/>
        <w:ind w:left="160" w:right="495" w:firstLine="0"/>
        <w:jc w:val="both"/>
        <w:rPr>
          <w:b/>
          <w:sz w:val="24"/>
        </w:rPr>
      </w:pPr>
      <w:r>
        <w:rPr>
          <w:b/>
          <w:sz w:val="24"/>
        </w:rPr>
        <w:t>Scholarships</w:t>
      </w:r>
      <w:r>
        <w:rPr>
          <w:b/>
          <w:spacing w:val="-4"/>
          <w:sz w:val="24"/>
        </w:rPr>
        <w:t> </w:t>
      </w:r>
      <w:r>
        <w:rPr>
          <w:b/>
          <w:sz w:val="24"/>
        </w:rPr>
        <w:t>in</w:t>
      </w:r>
      <w:r>
        <w:rPr>
          <w:b/>
          <w:spacing w:val="-4"/>
          <w:sz w:val="24"/>
        </w:rPr>
        <w:t> </w:t>
      </w:r>
      <w:r>
        <w:rPr>
          <w:b/>
          <w:sz w:val="24"/>
        </w:rPr>
        <w:t>Vocational</w:t>
      </w:r>
      <w:r>
        <w:rPr>
          <w:b/>
          <w:spacing w:val="-4"/>
          <w:sz w:val="24"/>
        </w:rPr>
        <w:t> </w:t>
      </w:r>
      <w:r>
        <w:rPr>
          <w:b/>
          <w:sz w:val="24"/>
        </w:rPr>
        <w:t>Education.</w:t>
      </w:r>
      <w:r>
        <w:rPr>
          <w:b/>
          <w:spacing w:val="-4"/>
          <w:sz w:val="24"/>
        </w:rPr>
        <w:t> </w:t>
      </w:r>
      <w:r>
        <w:rPr>
          <w:sz w:val="24"/>
        </w:rPr>
        <w:t>At</w:t>
      </w:r>
      <w:r>
        <w:rPr>
          <w:spacing w:val="-4"/>
          <w:sz w:val="24"/>
        </w:rPr>
        <w:t> </w:t>
      </w:r>
      <w:r>
        <w:rPr>
          <w:sz w:val="24"/>
        </w:rPr>
        <w:t>present</w:t>
      </w:r>
      <w:r>
        <w:rPr>
          <w:spacing w:val="-4"/>
          <w:sz w:val="24"/>
        </w:rPr>
        <w:t> </w:t>
      </w:r>
      <w:r>
        <w:rPr>
          <w:sz w:val="24"/>
        </w:rPr>
        <w:t>there</w:t>
      </w:r>
      <w:r>
        <w:rPr>
          <w:spacing w:val="-4"/>
          <w:sz w:val="24"/>
        </w:rPr>
        <w:t> </w:t>
      </w:r>
      <w:r>
        <w:rPr>
          <w:sz w:val="24"/>
        </w:rPr>
        <w:t>is</w:t>
      </w:r>
      <w:r>
        <w:rPr>
          <w:spacing w:val="-4"/>
          <w:sz w:val="24"/>
        </w:rPr>
        <w:t> </w:t>
      </w:r>
      <w:r>
        <w:rPr>
          <w:sz w:val="24"/>
        </w:rPr>
        <w:t>much</w:t>
      </w:r>
      <w:r>
        <w:rPr>
          <w:spacing w:val="-4"/>
          <w:sz w:val="24"/>
        </w:rPr>
        <w:t> </w:t>
      </w:r>
      <w:r>
        <w:rPr>
          <w:sz w:val="24"/>
        </w:rPr>
        <w:t>larger</w:t>
      </w:r>
      <w:r>
        <w:rPr>
          <w:spacing w:val="-4"/>
          <w:sz w:val="24"/>
        </w:rPr>
        <w:t> </w:t>
      </w:r>
      <w:r>
        <w:rPr>
          <w:sz w:val="24"/>
        </w:rPr>
        <w:t>provision</w:t>
      </w:r>
      <w:r>
        <w:rPr>
          <w:spacing w:val="-4"/>
          <w:sz w:val="24"/>
        </w:rPr>
        <w:t> </w:t>
      </w:r>
      <w:r>
        <w:rPr>
          <w:sz w:val="24"/>
        </w:rPr>
        <w:t>of scholarships in vocational schools and professional colleges than in schools and colleges of general education. But further improvements are needed on two lines: (a) a more egalitarian policy in admissions; and (b) a still further increase in the number of scholarships as well as in their amount.</w:t>
      </w:r>
    </w:p>
    <w:p>
      <w:pPr>
        <w:pStyle w:val="BodyText"/>
        <w:spacing w:before="4"/>
      </w:pPr>
    </w:p>
    <w:p>
      <w:pPr>
        <w:pStyle w:val="ListParagraph"/>
        <w:numPr>
          <w:ilvl w:val="1"/>
          <w:numId w:val="10"/>
        </w:numPr>
        <w:tabs>
          <w:tab w:pos="767" w:val="left" w:leader="none"/>
        </w:tabs>
        <w:spacing w:line="240" w:lineRule="auto" w:before="0" w:after="0"/>
        <w:ind w:left="160" w:right="495" w:firstLine="0"/>
        <w:jc w:val="both"/>
        <w:rPr>
          <w:b/>
          <w:sz w:val="24"/>
        </w:rPr>
      </w:pPr>
      <w:r>
        <w:rPr>
          <w:b/>
          <w:sz w:val="24"/>
        </w:rPr>
        <w:t>Admissions. </w:t>
      </w:r>
      <w:r>
        <w:rPr>
          <w:sz w:val="24"/>
        </w:rPr>
        <w:t>The Commission carried out a study of the socioeconomic backgrounds of the students who generally go to vocational schools and their</w:t>
      </w:r>
      <w:r>
        <w:rPr>
          <w:spacing w:val="40"/>
          <w:sz w:val="24"/>
        </w:rPr>
        <w:t> </w:t>
      </w:r>
      <w:r>
        <w:rPr>
          <w:sz w:val="24"/>
        </w:rPr>
        <w:t>implications for policies relating to admissions and scholarships. At present, most of</w:t>
      </w:r>
      <w:r>
        <w:rPr>
          <w:spacing w:val="40"/>
          <w:sz w:val="24"/>
        </w:rPr>
        <w:t> </w:t>
      </w:r>
      <w:r>
        <w:rPr>
          <w:sz w:val="24"/>
        </w:rPr>
        <w:t>these institutions make their own admissions and award scholarships according to rules framed for the purpose. The pressure for admissions to institution like the engineering</w:t>
      </w:r>
      <w:r>
        <w:rPr>
          <w:spacing w:val="40"/>
          <w:sz w:val="24"/>
        </w:rPr>
        <w:t> </w:t>
      </w:r>
      <w:r>
        <w:rPr>
          <w:sz w:val="24"/>
        </w:rPr>
        <w:t>and medical colleges has, however, led to the creation of centralized agencies for selection and placement of students. The Indian Institutes of Technology, which draw their students practically from all parts of the country, hold a common competitive examination</w:t>
      </w:r>
      <w:r>
        <w:rPr>
          <w:spacing w:val="-3"/>
          <w:sz w:val="24"/>
        </w:rPr>
        <w:t> </w:t>
      </w:r>
      <w:r>
        <w:rPr>
          <w:sz w:val="24"/>
        </w:rPr>
        <w:t>for</w:t>
      </w:r>
      <w:r>
        <w:rPr>
          <w:spacing w:val="-3"/>
          <w:sz w:val="24"/>
        </w:rPr>
        <w:t> </w:t>
      </w:r>
      <w:r>
        <w:rPr>
          <w:sz w:val="24"/>
        </w:rPr>
        <w:t>admission</w:t>
      </w:r>
      <w:r>
        <w:rPr>
          <w:spacing w:val="-3"/>
          <w:sz w:val="24"/>
        </w:rPr>
        <w:t> </w:t>
      </w:r>
      <w:r>
        <w:rPr>
          <w:sz w:val="24"/>
        </w:rPr>
        <w:t>on</w:t>
      </w:r>
      <w:r>
        <w:rPr>
          <w:spacing w:val="-3"/>
          <w:sz w:val="24"/>
        </w:rPr>
        <w:t> </w:t>
      </w:r>
      <w:r>
        <w:rPr>
          <w:sz w:val="24"/>
        </w:rPr>
        <w:t>a</w:t>
      </w:r>
      <w:r>
        <w:rPr>
          <w:spacing w:val="-3"/>
          <w:sz w:val="24"/>
        </w:rPr>
        <w:t> </w:t>
      </w:r>
      <w:r>
        <w:rPr>
          <w:sz w:val="24"/>
        </w:rPr>
        <w:t>national</w:t>
      </w:r>
      <w:r>
        <w:rPr>
          <w:spacing w:val="-3"/>
          <w:sz w:val="24"/>
        </w:rPr>
        <w:t> </w:t>
      </w:r>
      <w:r>
        <w:rPr>
          <w:sz w:val="24"/>
        </w:rPr>
        <w:t>basis.</w:t>
      </w:r>
      <w:r>
        <w:rPr>
          <w:spacing w:val="-4"/>
          <w:sz w:val="24"/>
        </w:rPr>
        <w:t> </w:t>
      </w:r>
      <w:r>
        <w:rPr>
          <w:sz w:val="24"/>
        </w:rPr>
        <w:t>But</w:t>
      </w:r>
      <w:r>
        <w:rPr>
          <w:spacing w:val="-3"/>
          <w:sz w:val="24"/>
        </w:rPr>
        <w:t> </w:t>
      </w:r>
      <w:r>
        <w:rPr>
          <w:sz w:val="24"/>
        </w:rPr>
        <w:t>as</w:t>
      </w:r>
      <w:r>
        <w:rPr>
          <w:spacing w:val="-3"/>
          <w:sz w:val="24"/>
        </w:rPr>
        <w:t> </w:t>
      </w:r>
      <w:r>
        <w:rPr>
          <w:sz w:val="24"/>
        </w:rPr>
        <w:t>examination</w:t>
      </w:r>
      <w:r>
        <w:rPr>
          <w:spacing w:val="-3"/>
          <w:sz w:val="24"/>
        </w:rPr>
        <w:t> </w:t>
      </w:r>
      <w:r>
        <w:rPr>
          <w:sz w:val="24"/>
        </w:rPr>
        <w:t>marks</w:t>
      </w:r>
      <w:r>
        <w:rPr>
          <w:spacing w:val="-3"/>
          <w:sz w:val="24"/>
        </w:rPr>
        <w:t> </w:t>
      </w:r>
      <w:r>
        <w:rPr>
          <w:sz w:val="24"/>
        </w:rPr>
        <w:t>figure</w:t>
      </w:r>
      <w:r>
        <w:rPr>
          <w:spacing w:val="-3"/>
          <w:sz w:val="24"/>
        </w:rPr>
        <w:t> </w:t>
      </w:r>
      <w:r>
        <w:rPr>
          <w:sz w:val="24"/>
        </w:rPr>
        <w:t>largely</w:t>
      </w:r>
      <w:r>
        <w:rPr>
          <w:spacing w:val="-3"/>
          <w:sz w:val="24"/>
        </w:rPr>
        <w:t> </w:t>
      </w:r>
      <w:r>
        <w:rPr>
          <w:sz w:val="24"/>
        </w:rPr>
        <w:t>as a basis of selection, in most cases, the students admitted to the more important of these institutions generally tend to come from urban areas from good schools or from well-to- do homes. This will be seen from Table 6.4.</w:t>
      </w:r>
    </w:p>
    <w:p>
      <w:pPr>
        <w:pStyle w:val="BodyText"/>
        <w:spacing w:before="6"/>
      </w:pPr>
    </w:p>
    <w:p>
      <w:pPr>
        <w:pStyle w:val="BodyText"/>
        <w:ind w:left="160"/>
        <w:jc w:val="both"/>
      </w:pPr>
      <w:r>
        <w:rPr/>
        <w:t>The</w:t>
      </w:r>
      <w:r>
        <w:rPr>
          <w:spacing w:val="-2"/>
        </w:rPr>
        <w:t> </w:t>
      </w:r>
      <w:r>
        <w:rPr/>
        <w:t>following</w:t>
      </w:r>
      <w:r>
        <w:rPr>
          <w:spacing w:val="-1"/>
        </w:rPr>
        <w:t> </w:t>
      </w:r>
      <w:r>
        <w:rPr/>
        <w:t>broad</w:t>
      </w:r>
      <w:r>
        <w:rPr>
          <w:spacing w:val="-1"/>
        </w:rPr>
        <w:t> </w:t>
      </w:r>
      <w:r>
        <w:rPr/>
        <w:t>conclusions</w:t>
      </w:r>
      <w:r>
        <w:rPr>
          <w:spacing w:val="-1"/>
        </w:rPr>
        <w:t> </w:t>
      </w:r>
      <w:r>
        <w:rPr/>
        <w:t>can be drawn from</w:t>
      </w:r>
      <w:r>
        <w:rPr>
          <w:spacing w:val="-2"/>
        </w:rPr>
        <w:t> </w:t>
      </w:r>
      <w:r>
        <w:rPr/>
        <w:t>Table </w:t>
      </w:r>
      <w:r>
        <w:rPr>
          <w:spacing w:val="-4"/>
        </w:rPr>
        <w:t>6.4:</w:t>
      </w:r>
    </w:p>
    <w:p>
      <w:pPr>
        <w:pStyle w:val="BodyText"/>
        <w:spacing w:before="2"/>
      </w:pPr>
    </w:p>
    <w:p>
      <w:pPr>
        <w:pStyle w:val="ListParagraph"/>
        <w:numPr>
          <w:ilvl w:val="0"/>
          <w:numId w:val="113"/>
        </w:numPr>
        <w:tabs>
          <w:tab w:pos="517" w:val="left" w:leader="none"/>
        </w:tabs>
        <w:spacing w:line="240" w:lineRule="auto" w:before="1" w:after="0"/>
        <w:ind w:left="160" w:right="497" w:firstLine="0"/>
        <w:jc w:val="both"/>
        <w:rPr>
          <w:sz w:val="24"/>
        </w:rPr>
      </w:pPr>
      <w:r>
        <w:rPr>
          <w:b/>
          <w:sz w:val="24"/>
        </w:rPr>
        <w:t>Institutes of Technology</w:t>
      </w:r>
      <w:r>
        <w:rPr>
          <w:sz w:val="24"/>
        </w:rPr>
        <w:t>. In the highest of these institutions-the Indian Institutes of Technology-87.2 percent of the students come from urban areas and most of them also from</w:t>
      </w:r>
      <w:r>
        <w:rPr>
          <w:spacing w:val="-6"/>
          <w:sz w:val="24"/>
        </w:rPr>
        <w:t> </w:t>
      </w:r>
      <w:r>
        <w:rPr>
          <w:sz w:val="24"/>
        </w:rPr>
        <w:t>well-to-do families</w:t>
      </w:r>
      <w:r>
        <w:rPr>
          <w:spacing w:val="-1"/>
          <w:sz w:val="24"/>
        </w:rPr>
        <w:t> </w:t>
      </w:r>
      <w:r>
        <w:rPr>
          <w:sz w:val="24"/>
        </w:rPr>
        <w:t>(58.7 per</w:t>
      </w:r>
      <w:r>
        <w:rPr>
          <w:spacing w:val="-1"/>
          <w:sz w:val="24"/>
        </w:rPr>
        <w:t> </w:t>
      </w:r>
      <w:r>
        <w:rPr>
          <w:sz w:val="24"/>
        </w:rPr>
        <w:t>cent from</w:t>
      </w:r>
      <w:r>
        <w:rPr>
          <w:spacing w:val="-3"/>
          <w:sz w:val="24"/>
        </w:rPr>
        <w:t> </w:t>
      </w:r>
      <w:r>
        <w:rPr>
          <w:sz w:val="24"/>
        </w:rPr>
        <w:t>those</w:t>
      </w:r>
      <w:r>
        <w:rPr>
          <w:spacing w:val="-1"/>
          <w:sz w:val="24"/>
        </w:rPr>
        <w:t> </w:t>
      </w:r>
      <w:r>
        <w:rPr>
          <w:sz w:val="24"/>
        </w:rPr>
        <w:t>earning more</w:t>
      </w:r>
      <w:r>
        <w:rPr>
          <w:spacing w:val="-1"/>
          <w:sz w:val="24"/>
        </w:rPr>
        <w:t> </w:t>
      </w:r>
      <w:r>
        <w:rPr>
          <w:sz w:val="24"/>
        </w:rPr>
        <w:t>than Rs.</w:t>
      </w:r>
      <w:r>
        <w:rPr>
          <w:spacing w:val="-1"/>
          <w:sz w:val="24"/>
        </w:rPr>
        <w:t> </w:t>
      </w:r>
      <w:r>
        <w:rPr>
          <w:sz w:val="24"/>
        </w:rPr>
        <w:t>500 per </w:t>
      </w:r>
      <w:r>
        <w:rPr>
          <w:spacing w:val="-2"/>
          <w:sz w:val="24"/>
        </w:rPr>
        <w:t>month).</w:t>
      </w:r>
    </w:p>
    <w:p>
      <w:pPr>
        <w:pStyle w:val="BodyText"/>
        <w:spacing w:before="3"/>
      </w:pPr>
    </w:p>
    <w:p>
      <w:pPr>
        <w:pStyle w:val="ListParagraph"/>
        <w:numPr>
          <w:ilvl w:val="0"/>
          <w:numId w:val="113"/>
        </w:numPr>
        <w:tabs>
          <w:tab w:pos="607" w:val="left" w:leader="none"/>
        </w:tabs>
        <w:spacing w:line="240" w:lineRule="auto" w:before="0" w:after="0"/>
        <w:ind w:left="160" w:right="495" w:firstLine="0"/>
        <w:jc w:val="both"/>
        <w:rPr>
          <w:sz w:val="24"/>
        </w:rPr>
      </w:pPr>
      <w:r>
        <w:rPr>
          <w:b/>
          <w:sz w:val="24"/>
        </w:rPr>
        <w:t>Regional Engineering Colleges and Engineering Colleges</w:t>
      </w:r>
      <w:r>
        <w:rPr>
          <w:sz w:val="24"/>
        </w:rPr>
        <w:t>. In the regional engineering colleges, the under-privileged groups get a little more representation than in the Institutes of Technology. For instance, in comparison with the IITs, the proportion of rural students in regional colleges rises from 12.8 per cent to 41.2 per cent, that of agriculturists</w:t>
      </w:r>
      <w:r>
        <w:rPr>
          <w:spacing w:val="-1"/>
          <w:sz w:val="24"/>
        </w:rPr>
        <w:t> </w:t>
      </w:r>
      <w:r>
        <w:rPr>
          <w:sz w:val="24"/>
        </w:rPr>
        <w:t>from</w:t>
      </w:r>
      <w:r>
        <w:rPr>
          <w:spacing w:val="-3"/>
          <w:sz w:val="24"/>
        </w:rPr>
        <w:t> </w:t>
      </w:r>
      <w:r>
        <w:rPr>
          <w:sz w:val="24"/>
        </w:rPr>
        <w:t>4.3</w:t>
      </w:r>
      <w:r>
        <w:rPr>
          <w:spacing w:val="-1"/>
          <w:sz w:val="24"/>
        </w:rPr>
        <w:t> </w:t>
      </w:r>
      <w:r>
        <w:rPr>
          <w:sz w:val="24"/>
        </w:rPr>
        <w:t>per</w:t>
      </w:r>
      <w:r>
        <w:rPr>
          <w:spacing w:val="-2"/>
          <w:sz w:val="24"/>
        </w:rPr>
        <w:t> </w:t>
      </w:r>
      <w:r>
        <w:rPr>
          <w:sz w:val="24"/>
        </w:rPr>
        <w:t>cent</w:t>
      </w:r>
      <w:r>
        <w:rPr>
          <w:spacing w:val="-2"/>
          <w:sz w:val="24"/>
        </w:rPr>
        <w:t> </w:t>
      </w:r>
      <w:r>
        <w:rPr>
          <w:sz w:val="24"/>
        </w:rPr>
        <w:t>to</w:t>
      </w:r>
      <w:r>
        <w:rPr>
          <w:spacing w:val="-2"/>
          <w:sz w:val="24"/>
        </w:rPr>
        <w:t> </w:t>
      </w:r>
      <w:r>
        <w:rPr>
          <w:sz w:val="24"/>
        </w:rPr>
        <w:t>23.9</w:t>
      </w:r>
      <w:r>
        <w:rPr>
          <w:spacing w:val="-2"/>
          <w:sz w:val="24"/>
        </w:rPr>
        <w:t> </w:t>
      </w:r>
      <w:r>
        <w:rPr>
          <w:sz w:val="24"/>
        </w:rPr>
        <w:t>per</w:t>
      </w:r>
      <w:r>
        <w:rPr>
          <w:spacing w:val="-2"/>
          <w:sz w:val="24"/>
        </w:rPr>
        <w:t> </w:t>
      </w:r>
      <w:r>
        <w:rPr>
          <w:sz w:val="24"/>
        </w:rPr>
        <w:t>cent</w:t>
      </w:r>
      <w:r>
        <w:rPr>
          <w:spacing w:val="-2"/>
          <w:sz w:val="24"/>
        </w:rPr>
        <w:t> </w:t>
      </w:r>
      <w:r>
        <w:rPr>
          <w:sz w:val="24"/>
        </w:rPr>
        <w:t>and</w:t>
      </w:r>
      <w:r>
        <w:rPr>
          <w:spacing w:val="-1"/>
          <w:sz w:val="24"/>
        </w:rPr>
        <w:t> </w:t>
      </w:r>
      <w:r>
        <w:rPr>
          <w:sz w:val="24"/>
        </w:rPr>
        <w:t>that</w:t>
      </w:r>
      <w:r>
        <w:rPr>
          <w:spacing w:val="-1"/>
          <w:sz w:val="24"/>
        </w:rPr>
        <w:t> </w:t>
      </w:r>
      <w:r>
        <w:rPr>
          <w:sz w:val="24"/>
        </w:rPr>
        <w:t>of</w:t>
      </w:r>
      <w:r>
        <w:rPr>
          <w:spacing w:val="-1"/>
          <w:sz w:val="24"/>
        </w:rPr>
        <w:t> </w:t>
      </w:r>
      <w:r>
        <w:rPr>
          <w:sz w:val="24"/>
        </w:rPr>
        <w:t>persons</w:t>
      </w:r>
      <w:r>
        <w:rPr>
          <w:spacing w:val="-1"/>
          <w:sz w:val="24"/>
        </w:rPr>
        <w:t> </w:t>
      </w:r>
      <w:r>
        <w:rPr>
          <w:sz w:val="24"/>
        </w:rPr>
        <w:t>with</w:t>
      </w:r>
      <w:r>
        <w:rPr>
          <w:spacing w:val="-4"/>
          <w:sz w:val="24"/>
        </w:rPr>
        <w:t> </w:t>
      </w:r>
      <w:r>
        <w:rPr>
          <w:sz w:val="24"/>
        </w:rPr>
        <w:t>an</w:t>
      </w:r>
      <w:r>
        <w:rPr>
          <w:spacing w:val="-1"/>
          <w:sz w:val="24"/>
        </w:rPr>
        <w:t> </w:t>
      </w:r>
      <w:r>
        <w:rPr>
          <w:sz w:val="24"/>
        </w:rPr>
        <w:t>income</w:t>
      </w:r>
      <w:r>
        <w:rPr>
          <w:spacing w:val="-1"/>
          <w:sz w:val="24"/>
        </w:rPr>
        <w:t> </w:t>
      </w:r>
      <w:r>
        <w:rPr>
          <w:sz w:val="24"/>
        </w:rPr>
        <w:t>of</w:t>
      </w:r>
      <w:r>
        <w:rPr>
          <w:spacing w:val="-1"/>
          <w:sz w:val="24"/>
        </w:rPr>
        <w:t> </w:t>
      </w:r>
      <w:r>
        <w:rPr>
          <w:sz w:val="24"/>
        </w:rPr>
        <w:t>less than Rs. 150 per month from 6.9 per cent to 32.9 per cent. The same trends are continued even further in the engineering colleges.</w:t>
      </w:r>
    </w:p>
    <w:p>
      <w:pPr>
        <w:pStyle w:val="BodyText"/>
        <w:spacing w:before="4"/>
      </w:pPr>
    </w:p>
    <w:p>
      <w:pPr>
        <w:pStyle w:val="ListParagraph"/>
        <w:numPr>
          <w:ilvl w:val="0"/>
          <w:numId w:val="113"/>
        </w:numPr>
        <w:tabs>
          <w:tab w:pos="520" w:val="left" w:leader="none"/>
        </w:tabs>
        <w:spacing w:line="240" w:lineRule="auto" w:before="0" w:after="0"/>
        <w:ind w:left="160" w:right="495" w:firstLine="0"/>
        <w:jc w:val="both"/>
        <w:rPr>
          <w:sz w:val="24"/>
        </w:rPr>
      </w:pPr>
      <w:r>
        <w:rPr>
          <w:b/>
          <w:sz w:val="24"/>
        </w:rPr>
        <w:t>Medical Colleges. </w:t>
      </w:r>
      <w:r>
        <w:rPr>
          <w:sz w:val="24"/>
        </w:rPr>
        <w:t>Here also, the overall position is the same as that in engineering institutions; but in so far as admissions of the under-privileged groups are concerned, the medical colleges may be said to stand between the regional engineering colleges on the one hand and the engineering colleges on the other.</w:t>
      </w:r>
    </w:p>
    <w:p>
      <w:pPr>
        <w:spacing w:after="0" w:line="240" w:lineRule="auto"/>
        <w:jc w:val="both"/>
        <w:rPr>
          <w:sz w:val="24"/>
        </w:rPr>
        <w:sectPr>
          <w:pgSz w:w="12240" w:h="15840"/>
          <w:pgMar w:header="0" w:footer="743" w:top="1360" w:bottom="940" w:left="1640" w:right="1300"/>
        </w:sectPr>
      </w:pPr>
    </w:p>
    <w:p>
      <w:pPr>
        <w:pStyle w:val="ListParagraph"/>
        <w:numPr>
          <w:ilvl w:val="0"/>
          <w:numId w:val="113"/>
        </w:numPr>
        <w:tabs>
          <w:tab w:pos="548" w:val="left" w:leader="none"/>
        </w:tabs>
        <w:spacing w:line="240" w:lineRule="auto" w:before="76" w:after="0"/>
        <w:ind w:left="160" w:right="497" w:firstLine="0"/>
        <w:jc w:val="both"/>
        <w:rPr>
          <w:sz w:val="24"/>
        </w:rPr>
      </w:pPr>
      <w:r>
        <w:rPr>
          <w:b/>
          <w:sz w:val="24"/>
        </w:rPr>
        <w:t>Agricultural Colleges. </w:t>
      </w:r>
      <w:r>
        <w:rPr>
          <w:sz w:val="24"/>
        </w:rPr>
        <w:t>Here the rural students are in a majority (59.0 per cent). Similarly, the agriculturists form 58.3 per cent and the children from the poorer families (with an income of less than Rs. 150 per month) are 58.7 per cent.</w:t>
      </w:r>
    </w:p>
    <w:p>
      <w:pPr>
        <w:pStyle w:val="BodyText"/>
        <w:spacing w:before="4"/>
      </w:pPr>
    </w:p>
    <w:p>
      <w:pPr>
        <w:pStyle w:val="ListParagraph"/>
        <w:numPr>
          <w:ilvl w:val="0"/>
          <w:numId w:val="113"/>
        </w:numPr>
        <w:tabs>
          <w:tab w:pos="503" w:val="left" w:leader="none"/>
        </w:tabs>
        <w:spacing w:line="240" w:lineRule="auto" w:before="0" w:after="0"/>
        <w:ind w:left="160" w:right="496" w:firstLine="0"/>
        <w:jc w:val="both"/>
        <w:rPr>
          <w:sz w:val="24"/>
        </w:rPr>
      </w:pPr>
      <w:r>
        <w:rPr>
          <w:b/>
          <w:sz w:val="24"/>
        </w:rPr>
        <w:t>Polytechnics. </w:t>
      </w:r>
      <w:r>
        <w:rPr>
          <w:sz w:val="24"/>
        </w:rPr>
        <w:t>Here the rural areas, the agriculturists and the poorer families get much better representation than in other types of engineering institutions. It is to be particularly noted that children of parents whose income is in the lowest group ( Rs. 150 per month ) form as large a proportion as 55.8 per cent.</w:t>
      </w:r>
    </w:p>
    <w:p>
      <w:pPr>
        <w:pStyle w:val="BodyText"/>
        <w:spacing w:before="5"/>
      </w:pPr>
    </w:p>
    <w:p>
      <w:pPr>
        <w:pStyle w:val="ListParagraph"/>
        <w:numPr>
          <w:ilvl w:val="0"/>
          <w:numId w:val="113"/>
        </w:numPr>
        <w:tabs>
          <w:tab w:pos="539" w:val="left" w:leader="none"/>
        </w:tabs>
        <w:spacing w:line="240" w:lineRule="auto" w:before="0" w:after="0"/>
        <w:ind w:left="160" w:right="496" w:firstLine="0"/>
        <w:jc w:val="both"/>
        <w:rPr>
          <w:sz w:val="24"/>
        </w:rPr>
      </w:pPr>
      <w:r>
        <w:rPr>
          <w:b/>
          <w:sz w:val="24"/>
        </w:rPr>
        <w:t>Industrial Training Institutions. </w:t>
      </w:r>
      <w:r>
        <w:rPr>
          <w:sz w:val="24"/>
        </w:rPr>
        <w:t>These are definitely the institutions of the poor man and of the rural community. The rural areas account for 58.8 per cent of their enrolment and the families in the lowest income bracket 83.0 per cent.</w:t>
      </w:r>
    </w:p>
    <w:p>
      <w:pPr>
        <w:pStyle w:val="BodyText"/>
        <w:spacing w:before="4"/>
      </w:pPr>
    </w:p>
    <w:p>
      <w:pPr>
        <w:pStyle w:val="BodyText"/>
        <w:ind w:left="160" w:right="497"/>
        <w:jc w:val="both"/>
      </w:pPr>
      <w:r>
        <w:rPr/>
        <w:t>On</w:t>
      </w:r>
      <w:r>
        <w:rPr>
          <w:spacing w:val="-2"/>
        </w:rPr>
        <w:t> </w:t>
      </w:r>
      <w:r>
        <w:rPr/>
        <w:t>the</w:t>
      </w:r>
      <w:r>
        <w:rPr>
          <w:spacing w:val="-2"/>
        </w:rPr>
        <w:t> </w:t>
      </w:r>
      <w:r>
        <w:rPr/>
        <w:t>whole,</w:t>
      </w:r>
      <w:r>
        <w:rPr>
          <w:spacing w:val="-2"/>
        </w:rPr>
        <w:t> </w:t>
      </w:r>
      <w:r>
        <w:rPr/>
        <w:t>the</w:t>
      </w:r>
      <w:r>
        <w:rPr>
          <w:spacing w:val="-2"/>
        </w:rPr>
        <w:t> </w:t>
      </w:r>
      <w:r>
        <w:rPr/>
        <w:t>rural</w:t>
      </w:r>
      <w:r>
        <w:rPr>
          <w:spacing w:val="-2"/>
        </w:rPr>
        <w:t> </w:t>
      </w:r>
      <w:r>
        <w:rPr/>
        <w:t>areas</w:t>
      </w:r>
      <w:r>
        <w:rPr>
          <w:spacing w:val="-2"/>
        </w:rPr>
        <w:t> </w:t>
      </w:r>
      <w:r>
        <w:rPr/>
        <w:t>which</w:t>
      </w:r>
      <w:r>
        <w:rPr>
          <w:spacing w:val="-2"/>
        </w:rPr>
        <w:t> </w:t>
      </w:r>
      <w:r>
        <w:rPr/>
        <w:t>form</w:t>
      </w:r>
      <w:r>
        <w:rPr>
          <w:spacing w:val="-4"/>
        </w:rPr>
        <w:t> </w:t>
      </w:r>
      <w:r>
        <w:rPr/>
        <w:t>80</w:t>
      </w:r>
      <w:r>
        <w:rPr>
          <w:spacing w:val="-3"/>
        </w:rPr>
        <w:t> </w:t>
      </w:r>
      <w:r>
        <w:rPr/>
        <w:t>per</w:t>
      </w:r>
      <w:r>
        <w:rPr>
          <w:spacing w:val="-2"/>
        </w:rPr>
        <w:t> </w:t>
      </w:r>
      <w:r>
        <w:rPr/>
        <w:t>cent</w:t>
      </w:r>
      <w:r>
        <w:rPr>
          <w:spacing w:val="-2"/>
        </w:rPr>
        <w:t> </w:t>
      </w:r>
      <w:r>
        <w:rPr/>
        <w:t>of</w:t>
      </w:r>
      <w:r>
        <w:rPr>
          <w:spacing w:val="-2"/>
        </w:rPr>
        <w:t> </w:t>
      </w:r>
      <w:r>
        <w:rPr/>
        <w:t>the</w:t>
      </w:r>
      <w:r>
        <w:rPr>
          <w:spacing w:val="-2"/>
        </w:rPr>
        <w:t> </w:t>
      </w:r>
      <w:r>
        <w:rPr/>
        <w:t>total</w:t>
      </w:r>
      <w:r>
        <w:rPr>
          <w:spacing w:val="-3"/>
        </w:rPr>
        <w:t> </w:t>
      </w:r>
      <w:r>
        <w:rPr/>
        <w:t>population,</w:t>
      </w:r>
      <w:r>
        <w:rPr>
          <w:spacing w:val="-3"/>
        </w:rPr>
        <w:t> </w:t>
      </w:r>
      <w:r>
        <w:rPr/>
        <w:t>get</w:t>
      </w:r>
      <w:r>
        <w:rPr>
          <w:spacing w:val="-3"/>
        </w:rPr>
        <w:t> </w:t>
      </w:r>
      <w:r>
        <w:rPr/>
        <w:t>only</w:t>
      </w:r>
      <w:r>
        <w:rPr>
          <w:spacing w:val="-3"/>
        </w:rPr>
        <w:t> </w:t>
      </w:r>
      <w:r>
        <w:rPr/>
        <w:t>41.4 per</w:t>
      </w:r>
      <w:r>
        <w:rPr>
          <w:spacing w:val="-2"/>
        </w:rPr>
        <w:t> </w:t>
      </w:r>
      <w:r>
        <w:rPr/>
        <w:t>cent</w:t>
      </w:r>
      <w:r>
        <w:rPr>
          <w:spacing w:val="-2"/>
        </w:rPr>
        <w:t> </w:t>
      </w:r>
      <w:r>
        <w:rPr/>
        <w:t>of</w:t>
      </w:r>
      <w:r>
        <w:rPr>
          <w:spacing w:val="-2"/>
        </w:rPr>
        <w:t> </w:t>
      </w:r>
      <w:r>
        <w:rPr/>
        <w:t>the</w:t>
      </w:r>
      <w:r>
        <w:rPr>
          <w:spacing w:val="-2"/>
        </w:rPr>
        <w:t> </w:t>
      </w:r>
      <w:r>
        <w:rPr/>
        <w:t>seats</w:t>
      </w:r>
      <w:r>
        <w:rPr>
          <w:spacing w:val="-2"/>
        </w:rPr>
        <w:t> </w:t>
      </w:r>
      <w:r>
        <w:rPr/>
        <w:t>in</w:t>
      </w:r>
      <w:r>
        <w:rPr>
          <w:spacing w:val="-2"/>
        </w:rPr>
        <w:t> </w:t>
      </w:r>
      <w:r>
        <w:rPr/>
        <w:t>these</w:t>
      </w:r>
      <w:r>
        <w:rPr>
          <w:spacing w:val="-2"/>
        </w:rPr>
        <w:t> </w:t>
      </w:r>
      <w:r>
        <w:rPr/>
        <w:t>institutions.</w:t>
      </w:r>
      <w:r>
        <w:rPr>
          <w:spacing w:val="-2"/>
        </w:rPr>
        <w:t> </w:t>
      </w:r>
      <w:r>
        <w:rPr/>
        <w:t>Families</w:t>
      </w:r>
      <w:r>
        <w:rPr>
          <w:spacing w:val="-2"/>
        </w:rPr>
        <w:t> </w:t>
      </w:r>
      <w:r>
        <w:rPr/>
        <w:t>with</w:t>
      </w:r>
      <w:r>
        <w:rPr>
          <w:spacing w:val="-2"/>
        </w:rPr>
        <w:t> </w:t>
      </w:r>
      <w:r>
        <w:rPr/>
        <w:t>an</w:t>
      </w:r>
      <w:r>
        <w:rPr>
          <w:spacing w:val="-2"/>
        </w:rPr>
        <w:t> </w:t>
      </w:r>
      <w:r>
        <w:rPr/>
        <w:t>income</w:t>
      </w:r>
      <w:r>
        <w:rPr>
          <w:spacing w:val="-2"/>
        </w:rPr>
        <w:t> </w:t>
      </w:r>
      <w:r>
        <w:rPr/>
        <w:t>of</w:t>
      </w:r>
      <w:r>
        <w:rPr>
          <w:spacing w:val="-2"/>
        </w:rPr>
        <w:t> </w:t>
      </w:r>
      <w:r>
        <w:rPr/>
        <w:t>less</w:t>
      </w:r>
      <w:r>
        <w:rPr>
          <w:spacing w:val="-2"/>
        </w:rPr>
        <w:t> </w:t>
      </w:r>
      <w:r>
        <w:rPr/>
        <w:t>than</w:t>
      </w:r>
      <w:r>
        <w:rPr>
          <w:spacing w:val="-2"/>
        </w:rPr>
        <w:t> </w:t>
      </w:r>
      <w:r>
        <w:rPr/>
        <w:t>Rs.</w:t>
      </w:r>
      <w:r>
        <w:rPr>
          <w:spacing w:val="-2"/>
        </w:rPr>
        <w:t> </w:t>
      </w:r>
      <w:r>
        <w:rPr/>
        <w:t>150</w:t>
      </w:r>
      <w:r>
        <w:rPr>
          <w:spacing w:val="-2"/>
        </w:rPr>
        <w:t> </w:t>
      </w:r>
      <w:r>
        <w:rPr/>
        <w:t>per month, who again form about 80 per cent of the total population, get 50.5 per cent of the total seats available.</w:t>
      </w:r>
    </w:p>
    <w:p>
      <w:pPr>
        <w:spacing w:after="0"/>
        <w:jc w:val="both"/>
        <w:sectPr>
          <w:pgSz w:w="12240" w:h="15840"/>
          <w:pgMar w:header="0" w:footer="743" w:top="1360" w:bottom="940" w:left="1640" w:right="1300"/>
        </w:sectPr>
      </w:pPr>
    </w:p>
    <w:p>
      <w:pPr>
        <w:pStyle w:val="BodyText"/>
        <w:ind w:left="160"/>
        <w:rPr>
          <w:sz w:val="20"/>
        </w:rPr>
      </w:pPr>
      <w:r>
        <w:rPr>
          <w:sz w:val="20"/>
        </w:rPr>
        <w:drawing>
          <wp:inline distT="0" distB="0" distL="0" distR="0">
            <wp:extent cx="5622946" cy="6972300"/>
            <wp:effectExtent l="0" t="0" r="0" b="0"/>
            <wp:docPr id="369" name="Image 369"/>
            <wp:cNvGraphicFramePr>
              <a:graphicFrameLocks/>
            </wp:cNvGraphicFramePr>
            <a:graphic>
              <a:graphicData uri="http://schemas.openxmlformats.org/drawingml/2006/picture">
                <pic:pic>
                  <pic:nvPicPr>
                    <pic:cNvPr id="369" name="Image 369"/>
                    <pic:cNvPicPr/>
                  </pic:nvPicPr>
                  <pic:blipFill>
                    <a:blip r:embed="rId19" cstate="print"/>
                    <a:stretch>
                      <a:fillRect/>
                    </a:stretch>
                  </pic:blipFill>
                  <pic:spPr>
                    <a:xfrm>
                      <a:off x="0" y="0"/>
                      <a:ext cx="5622946" cy="697230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160" w:right="498"/>
        <w:jc w:val="both"/>
      </w:pPr>
      <w:r>
        <w:rPr/>
        <w:t>6.33. With regard to the scholarships programme in vocational education, therefore, we make the following recommendations:</w:t>
      </w:r>
    </w:p>
    <w:p>
      <w:pPr>
        <w:pStyle w:val="BodyText"/>
        <w:spacing w:before="4"/>
      </w:pPr>
    </w:p>
    <w:p>
      <w:pPr>
        <w:pStyle w:val="ListParagraph"/>
        <w:numPr>
          <w:ilvl w:val="0"/>
          <w:numId w:val="114"/>
        </w:numPr>
        <w:tabs>
          <w:tab w:pos="534" w:val="left" w:leader="none"/>
        </w:tabs>
        <w:spacing w:line="240" w:lineRule="auto" w:before="0" w:after="0"/>
        <w:ind w:left="160" w:right="497" w:firstLine="0"/>
        <w:jc w:val="both"/>
        <w:rPr>
          <w:sz w:val="24"/>
        </w:rPr>
      </w:pPr>
      <w:r>
        <w:rPr>
          <w:sz w:val="24"/>
        </w:rPr>
        <w:t>It is necessary to make more intensive efforts in future to introduce an egalitarian element in admissions to institutions of vocational education and particularly to institutions like the institutes of technology and colleges of engineering and medicine.</w:t>
      </w:r>
    </w:p>
    <w:p>
      <w:pPr>
        <w:pStyle w:val="BodyText"/>
        <w:spacing w:before="5"/>
      </w:pPr>
    </w:p>
    <w:p>
      <w:pPr>
        <w:pStyle w:val="ListParagraph"/>
        <w:numPr>
          <w:ilvl w:val="0"/>
          <w:numId w:val="114"/>
        </w:numPr>
        <w:tabs>
          <w:tab w:pos="515" w:val="left" w:leader="none"/>
        </w:tabs>
        <w:spacing w:line="240" w:lineRule="auto" w:before="0" w:after="0"/>
        <w:ind w:left="159" w:right="496" w:firstLine="0"/>
        <w:jc w:val="both"/>
        <w:rPr>
          <w:sz w:val="24"/>
        </w:rPr>
      </w:pPr>
      <w:r>
        <w:rPr>
          <w:sz w:val="24"/>
        </w:rPr>
        <w:t>The admission examinations to the institutes of technology are held in English. This gives an undue weightage to students from English medium schools to which the rich send their children. We recommend that these admission examinations should be held in English and also in the regional languages and the best students from each linguistic group</w:t>
      </w:r>
      <w:r>
        <w:rPr>
          <w:spacing w:val="-1"/>
          <w:sz w:val="24"/>
        </w:rPr>
        <w:t> </w:t>
      </w:r>
      <w:r>
        <w:rPr>
          <w:sz w:val="24"/>
        </w:rPr>
        <w:t>should</w:t>
      </w:r>
      <w:r>
        <w:rPr>
          <w:spacing w:val="-1"/>
          <w:sz w:val="24"/>
        </w:rPr>
        <w:t> </w:t>
      </w:r>
      <w:r>
        <w:rPr>
          <w:sz w:val="24"/>
        </w:rPr>
        <w:t>be</w:t>
      </w:r>
      <w:r>
        <w:rPr>
          <w:spacing w:val="-1"/>
          <w:sz w:val="24"/>
        </w:rPr>
        <w:t> </w:t>
      </w:r>
      <w:r>
        <w:rPr>
          <w:sz w:val="24"/>
        </w:rPr>
        <w:t>selected,</w:t>
      </w:r>
      <w:r>
        <w:rPr>
          <w:spacing w:val="-1"/>
          <w:sz w:val="24"/>
        </w:rPr>
        <w:t> </w:t>
      </w:r>
      <w:r>
        <w:rPr>
          <w:sz w:val="24"/>
        </w:rPr>
        <w:t>if</w:t>
      </w:r>
      <w:r>
        <w:rPr>
          <w:spacing w:val="-1"/>
          <w:sz w:val="24"/>
        </w:rPr>
        <w:t> </w:t>
      </w:r>
      <w:r>
        <w:rPr>
          <w:sz w:val="24"/>
        </w:rPr>
        <w:t>necessary,</w:t>
      </w:r>
      <w:r>
        <w:rPr>
          <w:spacing w:val="-1"/>
          <w:sz w:val="24"/>
        </w:rPr>
        <w:t> </w:t>
      </w:r>
      <w:r>
        <w:rPr>
          <w:sz w:val="24"/>
        </w:rPr>
        <w:t>on</w:t>
      </w:r>
      <w:r>
        <w:rPr>
          <w:spacing w:val="-1"/>
          <w:sz w:val="24"/>
        </w:rPr>
        <w:t> </w:t>
      </w:r>
      <w:r>
        <w:rPr>
          <w:sz w:val="24"/>
        </w:rPr>
        <w:t>the</w:t>
      </w:r>
      <w:r>
        <w:rPr>
          <w:spacing w:val="-3"/>
          <w:sz w:val="24"/>
        </w:rPr>
        <w:t> </w:t>
      </w:r>
      <w:r>
        <w:rPr>
          <w:sz w:val="24"/>
        </w:rPr>
        <w:t>basis</w:t>
      </w:r>
      <w:r>
        <w:rPr>
          <w:spacing w:val="-2"/>
          <w:sz w:val="24"/>
        </w:rPr>
        <w:t> </w:t>
      </w:r>
      <w:r>
        <w:rPr>
          <w:sz w:val="24"/>
        </w:rPr>
        <w:t>of</w:t>
      </w:r>
      <w:r>
        <w:rPr>
          <w:spacing w:val="-2"/>
          <w:sz w:val="24"/>
        </w:rPr>
        <w:t> </w:t>
      </w:r>
      <w:r>
        <w:rPr>
          <w:sz w:val="24"/>
        </w:rPr>
        <w:t>a</w:t>
      </w:r>
      <w:r>
        <w:rPr>
          <w:spacing w:val="-2"/>
          <w:sz w:val="24"/>
        </w:rPr>
        <w:t> </w:t>
      </w:r>
      <w:r>
        <w:rPr>
          <w:sz w:val="24"/>
        </w:rPr>
        <w:t>quota</w:t>
      </w:r>
      <w:r>
        <w:rPr>
          <w:spacing w:val="-2"/>
          <w:sz w:val="24"/>
        </w:rPr>
        <w:t> </w:t>
      </w:r>
      <w:r>
        <w:rPr>
          <w:sz w:val="24"/>
        </w:rPr>
        <w:t>related</w:t>
      </w:r>
      <w:r>
        <w:rPr>
          <w:spacing w:val="-2"/>
          <w:sz w:val="24"/>
        </w:rPr>
        <w:t> </w:t>
      </w:r>
      <w:r>
        <w:rPr>
          <w:sz w:val="24"/>
        </w:rPr>
        <w:t>to</w:t>
      </w:r>
      <w:r>
        <w:rPr>
          <w:spacing w:val="-2"/>
          <w:sz w:val="24"/>
        </w:rPr>
        <w:t> </w:t>
      </w:r>
      <w:r>
        <w:rPr>
          <w:sz w:val="24"/>
        </w:rPr>
        <w:t>population.</w:t>
      </w:r>
      <w:r>
        <w:rPr>
          <w:spacing w:val="-2"/>
          <w:sz w:val="24"/>
        </w:rPr>
        <w:t> </w:t>
      </w:r>
      <w:r>
        <w:rPr>
          <w:sz w:val="24"/>
        </w:rPr>
        <w:t>Some of the students so selected may not be quite up to the standard in English. But this deficiency should be overcome by giving an intensive training in English to the selected students in their first year at the institutes.</w:t>
      </w:r>
    </w:p>
    <w:p>
      <w:pPr>
        <w:pStyle w:val="BodyText"/>
        <w:spacing w:before="4"/>
      </w:pPr>
    </w:p>
    <w:p>
      <w:pPr>
        <w:pStyle w:val="ListParagraph"/>
        <w:numPr>
          <w:ilvl w:val="0"/>
          <w:numId w:val="114"/>
        </w:numPr>
        <w:tabs>
          <w:tab w:pos="504" w:val="left" w:leader="none"/>
        </w:tabs>
        <w:spacing w:line="240" w:lineRule="auto" w:before="0" w:after="0"/>
        <w:ind w:left="160" w:right="497" w:firstLine="0"/>
        <w:jc w:val="both"/>
        <w:rPr>
          <w:sz w:val="24"/>
        </w:rPr>
      </w:pPr>
      <w:r>
        <w:rPr>
          <w:sz w:val="24"/>
        </w:rPr>
        <w:t>The proportion of scholarships in institutions of vocational education should be much larger than in those of general education. At the school stage, about 30 per cent of the students should be covered by scholarships of one type or another; and at the collegiate stage, this proportion should be raised to 50 Per cent.</w:t>
      </w:r>
    </w:p>
    <w:p>
      <w:pPr>
        <w:pStyle w:val="BodyText"/>
        <w:spacing w:before="3"/>
      </w:pPr>
    </w:p>
    <w:p>
      <w:pPr>
        <w:pStyle w:val="ListParagraph"/>
        <w:numPr>
          <w:ilvl w:val="1"/>
          <w:numId w:val="115"/>
        </w:numPr>
        <w:tabs>
          <w:tab w:pos="654" w:val="left" w:leader="none"/>
        </w:tabs>
        <w:spacing w:line="240" w:lineRule="auto" w:before="1" w:after="0"/>
        <w:ind w:left="160" w:right="496" w:firstLine="0"/>
        <w:jc w:val="both"/>
        <w:rPr>
          <w:b/>
          <w:sz w:val="24"/>
        </w:rPr>
      </w:pPr>
      <w:r>
        <w:rPr>
          <w:b/>
          <w:sz w:val="24"/>
        </w:rPr>
        <w:t>Scholarships for Study Abroad. </w:t>
      </w:r>
      <w:r>
        <w:rPr>
          <w:sz w:val="24"/>
        </w:rPr>
        <w:t>A national programme for award of scholarships to enable some of our best talented persons to go abroad for further education or training in research is also needed. Young persons so trained would be of very great use for the development of agriculture, industry, universities and research centres. We, therefore, recommend that a national programme of about 500 awards a year should be set up for this purpose.</w:t>
      </w:r>
    </w:p>
    <w:p>
      <w:pPr>
        <w:pStyle w:val="BodyText"/>
        <w:spacing w:before="3"/>
      </w:pPr>
    </w:p>
    <w:p>
      <w:pPr>
        <w:pStyle w:val="ListParagraph"/>
        <w:numPr>
          <w:ilvl w:val="1"/>
          <w:numId w:val="115"/>
        </w:numPr>
        <w:tabs>
          <w:tab w:pos="661" w:val="left" w:leader="none"/>
        </w:tabs>
        <w:spacing w:line="240" w:lineRule="auto" w:before="0" w:after="0"/>
        <w:ind w:left="159" w:right="496" w:firstLine="0"/>
        <w:jc w:val="both"/>
        <w:rPr>
          <w:b/>
          <w:sz w:val="24"/>
        </w:rPr>
      </w:pPr>
      <w:r>
        <w:rPr>
          <w:b/>
          <w:sz w:val="24"/>
        </w:rPr>
        <w:t>Loan Scholarships. </w:t>
      </w:r>
      <w:r>
        <w:rPr>
          <w:sz w:val="24"/>
        </w:rPr>
        <w:t>An important issue raised in the evidence before us relates to the general use of loan scholarships. One view was that all scholarships in higher education should be given in the form of loans only. Three arguments were put forward</w:t>
      </w:r>
      <w:r>
        <w:rPr>
          <w:spacing w:val="40"/>
          <w:sz w:val="24"/>
        </w:rPr>
        <w:t> </w:t>
      </w:r>
      <w:r>
        <w:rPr>
          <w:sz w:val="24"/>
        </w:rPr>
        <w:t>in support of the proposal:</w:t>
      </w:r>
    </w:p>
    <w:p>
      <w:pPr>
        <w:pStyle w:val="BodyText"/>
        <w:spacing w:before="4"/>
      </w:pPr>
    </w:p>
    <w:p>
      <w:pPr>
        <w:pStyle w:val="ListParagraph"/>
        <w:numPr>
          <w:ilvl w:val="2"/>
          <w:numId w:val="115"/>
        </w:numPr>
        <w:tabs>
          <w:tab w:pos="313" w:val="left" w:leader="none"/>
        </w:tabs>
        <w:spacing w:line="240" w:lineRule="auto" w:before="0" w:after="0"/>
        <w:ind w:left="160" w:right="497" w:firstLine="0"/>
        <w:jc w:val="both"/>
        <w:rPr>
          <w:sz w:val="24"/>
        </w:rPr>
      </w:pPr>
      <w:r>
        <w:rPr>
          <w:sz w:val="24"/>
        </w:rPr>
        <w:t>it would set up a revolving fund in 5-10 years that would greatly reduce the burden on the State revenue;</w:t>
      </w:r>
    </w:p>
    <w:p>
      <w:pPr>
        <w:pStyle w:val="BodyText"/>
        <w:spacing w:before="5"/>
      </w:pPr>
    </w:p>
    <w:p>
      <w:pPr>
        <w:pStyle w:val="ListParagraph"/>
        <w:numPr>
          <w:ilvl w:val="2"/>
          <w:numId w:val="115"/>
        </w:numPr>
        <w:tabs>
          <w:tab w:pos="358" w:val="left" w:leader="none"/>
        </w:tabs>
        <w:spacing w:line="240" w:lineRule="auto" w:before="0" w:after="0"/>
        <w:ind w:left="160" w:right="498" w:firstLine="0"/>
        <w:jc w:val="both"/>
        <w:rPr>
          <w:sz w:val="24"/>
        </w:rPr>
      </w:pPr>
      <w:r>
        <w:rPr>
          <w:sz w:val="24"/>
        </w:rPr>
        <w:t>it would prevent wasteful expenditure as students would draw only the minimum amount required for their maintenance; and</w:t>
      </w:r>
    </w:p>
    <w:p>
      <w:pPr>
        <w:pStyle w:val="BodyText"/>
        <w:spacing w:before="3"/>
      </w:pPr>
    </w:p>
    <w:p>
      <w:pPr>
        <w:pStyle w:val="ListParagraph"/>
        <w:numPr>
          <w:ilvl w:val="2"/>
          <w:numId w:val="115"/>
        </w:numPr>
        <w:tabs>
          <w:tab w:pos="313" w:val="left" w:leader="none"/>
        </w:tabs>
        <w:spacing w:line="240" w:lineRule="auto" w:before="1" w:after="0"/>
        <w:ind w:left="160" w:right="498" w:firstLine="0"/>
        <w:jc w:val="both"/>
        <w:rPr>
          <w:sz w:val="24"/>
        </w:rPr>
      </w:pPr>
      <w:r>
        <w:rPr>
          <w:sz w:val="24"/>
        </w:rPr>
        <w:t>it would help to build up character and create a sense of responsibility and self-respect in the rising generation.</w:t>
      </w:r>
    </w:p>
    <w:p>
      <w:pPr>
        <w:pStyle w:val="BodyText"/>
        <w:spacing w:before="3"/>
      </w:pPr>
    </w:p>
    <w:p>
      <w:pPr>
        <w:pStyle w:val="BodyText"/>
        <w:ind w:left="160" w:right="496"/>
        <w:jc w:val="both"/>
      </w:pPr>
      <w:r>
        <w:rPr/>
        <w:t>The counter-argument was that a programme of loan scholarships involves innumerable administrative problems about recoveries and causes hardship to young persons who would have to begin life with a heavy load of debt. To meet this, an elaborate proposal</w:t>
      </w:r>
      <w:r>
        <w:rPr>
          <w:spacing w:val="40"/>
        </w:rPr>
        <w:t> </w:t>
      </w:r>
      <w:r>
        <w:rPr/>
        <w:t>for</w:t>
      </w:r>
      <w:r>
        <w:rPr>
          <w:spacing w:val="55"/>
          <w:w w:val="150"/>
        </w:rPr>
        <w:t> </w:t>
      </w:r>
      <w:r>
        <w:rPr/>
        <w:t>the</w:t>
      </w:r>
      <w:r>
        <w:rPr>
          <w:spacing w:val="56"/>
          <w:w w:val="150"/>
        </w:rPr>
        <w:t> </w:t>
      </w:r>
      <w:r>
        <w:rPr/>
        <w:t>establishment</w:t>
      </w:r>
      <w:r>
        <w:rPr>
          <w:spacing w:val="56"/>
          <w:w w:val="150"/>
        </w:rPr>
        <w:t> </w:t>
      </w:r>
      <w:r>
        <w:rPr/>
        <w:t>of</w:t>
      </w:r>
      <w:r>
        <w:rPr>
          <w:spacing w:val="56"/>
          <w:w w:val="150"/>
        </w:rPr>
        <w:t> </w:t>
      </w:r>
      <w:r>
        <w:rPr/>
        <w:t>a</w:t>
      </w:r>
      <w:r>
        <w:rPr>
          <w:spacing w:val="56"/>
          <w:w w:val="150"/>
        </w:rPr>
        <w:t> </w:t>
      </w:r>
      <w:r>
        <w:rPr/>
        <w:t>National</w:t>
      </w:r>
      <w:r>
        <w:rPr>
          <w:spacing w:val="56"/>
          <w:w w:val="150"/>
        </w:rPr>
        <w:t> </w:t>
      </w:r>
      <w:r>
        <w:rPr/>
        <w:t>Scholarships</w:t>
      </w:r>
      <w:r>
        <w:rPr>
          <w:spacing w:val="55"/>
          <w:w w:val="150"/>
        </w:rPr>
        <w:t> </w:t>
      </w:r>
      <w:r>
        <w:rPr/>
        <w:t>Foundation</w:t>
      </w:r>
      <w:r>
        <w:rPr>
          <w:spacing w:val="56"/>
          <w:w w:val="150"/>
        </w:rPr>
        <w:t> </w:t>
      </w:r>
      <w:r>
        <w:rPr/>
        <w:t>to</w:t>
      </w:r>
      <w:r>
        <w:rPr>
          <w:spacing w:val="56"/>
          <w:w w:val="150"/>
        </w:rPr>
        <w:t> </w:t>
      </w:r>
      <w:r>
        <w:rPr/>
        <w:t>be-set</w:t>
      </w:r>
      <w:r>
        <w:rPr>
          <w:spacing w:val="56"/>
          <w:w w:val="150"/>
        </w:rPr>
        <w:t> </w:t>
      </w:r>
      <w:r>
        <w:rPr/>
        <w:t>up</w:t>
      </w:r>
      <w:r>
        <w:rPr>
          <w:spacing w:val="56"/>
          <w:w w:val="150"/>
        </w:rPr>
        <w:t> </w:t>
      </w:r>
      <w:r>
        <w:rPr/>
        <w:t>by</w:t>
      </w:r>
      <w:r>
        <w:rPr>
          <w:spacing w:val="56"/>
          <w:w w:val="150"/>
        </w:rPr>
        <w:t> </w:t>
      </w:r>
      <w:r>
        <w:rPr>
          <w:spacing w:val="-5"/>
        </w:rPr>
        <w:t>the</w:t>
      </w:r>
    </w:p>
    <w:p>
      <w:pPr>
        <w:spacing w:after="0"/>
        <w:jc w:val="both"/>
        <w:sectPr>
          <w:pgSz w:w="12240" w:h="15840"/>
          <w:pgMar w:header="0" w:footer="743" w:top="1360" w:bottom="940" w:left="1640" w:right="1300"/>
        </w:sectPr>
      </w:pPr>
    </w:p>
    <w:p>
      <w:pPr>
        <w:pStyle w:val="BodyText"/>
        <w:spacing w:before="76"/>
        <w:ind w:left="159" w:right="494"/>
        <w:jc w:val="both"/>
      </w:pPr>
      <w:r>
        <w:rPr/>
        <w:t>Government of India under an Act of Parliament was advocated. This proposal visualizes that the Corporation would start functioning with a fairly big capital fund, say of Rs. 500 million or more. The interest to be charged on scholarships would be kept to the minimum, to cover only bad debts and administrative expenditure. The necessary loans would be advanced to young persons on their personal security only. Recovery would begin one year after the person begins to earn; and there would be no recovery if the earnings fall below a prescribed level. The installments to be paid would be related to the total earnings of the Person in a graduated manner. There would also be a suitable provision for bonuses or discounts for prompt payments; and to facilitate recovery, every employer would be under an obligation to deduct the loan-repayment installments from the salary at source, on the analogy of the Income-Tax Act.</w:t>
      </w:r>
    </w:p>
    <w:p>
      <w:pPr>
        <w:pStyle w:val="BodyText"/>
        <w:spacing w:before="4"/>
      </w:pPr>
    </w:p>
    <w:p>
      <w:pPr>
        <w:pStyle w:val="ListParagraph"/>
        <w:numPr>
          <w:ilvl w:val="1"/>
          <w:numId w:val="115"/>
        </w:numPr>
        <w:tabs>
          <w:tab w:pos="665" w:val="left" w:leader="none"/>
        </w:tabs>
        <w:spacing w:line="240" w:lineRule="auto" w:before="0" w:after="0"/>
        <w:ind w:left="160" w:right="496" w:firstLine="0"/>
        <w:jc w:val="both"/>
        <w:rPr>
          <w:sz w:val="24"/>
        </w:rPr>
      </w:pPr>
      <w:r>
        <w:rPr>
          <w:sz w:val="24"/>
        </w:rPr>
        <w:t>While we are attracted by several features of a scheme of this type, we are not in favour of restricting all scholarships inn higher education to loans only; For the next </w:t>
      </w:r>
      <w:r>
        <w:rPr>
          <w:sz w:val="24"/>
        </w:rPr>
        <w:t>ten years, the proposal of loan scholarships does not have any advantage over that of outright scholarships-the needed funds would have to be raised through taxation in either case.</w:t>
      </w:r>
      <w:r>
        <w:rPr>
          <w:spacing w:val="40"/>
          <w:sz w:val="24"/>
        </w:rPr>
        <w:t> </w:t>
      </w:r>
      <w:r>
        <w:rPr>
          <w:sz w:val="24"/>
        </w:rPr>
        <w:t>We</w:t>
      </w:r>
      <w:r>
        <w:rPr>
          <w:spacing w:val="-2"/>
          <w:sz w:val="24"/>
        </w:rPr>
        <w:t> </w:t>
      </w:r>
      <w:r>
        <w:rPr>
          <w:sz w:val="24"/>
        </w:rPr>
        <w:t>also</w:t>
      </w:r>
      <w:r>
        <w:rPr>
          <w:spacing w:val="-2"/>
          <w:sz w:val="24"/>
        </w:rPr>
        <w:t> </w:t>
      </w:r>
      <w:r>
        <w:rPr>
          <w:sz w:val="24"/>
        </w:rPr>
        <w:t>think</w:t>
      </w:r>
      <w:r>
        <w:rPr>
          <w:spacing w:val="-2"/>
          <w:sz w:val="24"/>
        </w:rPr>
        <w:t> </w:t>
      </w:r>
      <w:r>
        <w:rPr>
          <w:sz w:val="24"/>
        </w:rPr>
        <w:t>that</w:t>
      </w:r>
      <w:r>
        <w:rPr>
          <w:spacing w:val="-2"/>
          <w:sz w:val="24"/>
        </w:rPr>
        <w:t> </w:t>
      </w:r>
      <w:r>
        <w:rPr>
          <w:sz w:val="24"/>
        </w:rPr>
        <w:t>an</w:t>
      </w:r>
      <w:r>
        <w:rPr>
          <w:spacing w:val="-2"/>
          <w:sz w:val="24"/>
        </w:rPr>
        <w:t> </w:t>
      </w:r>
      <w:r>
        <w:rPr>
          <w:sz w:val="24"/>
        </w:rPr>
        <w:t>exclusive</w:t>
      </w:r>
      <w:r>
        <w:rPr>
          <w:spacing w:val="-2"/>
          <w:sz w:val="24"/>
        </w:rPr>
        <w:t> </w:t>
      </w:r>
      <w:r>
        <w:rPr>
          <w:sz w:val="24"/>
        </w:rPr>
        <w:t>programme</w:t>
      </w:r>
      <w:r>
        <w:rPr>
          <w:spacing w:val="-2"/>
          <w:sz w:val="24"/>
        </w:rPr>
        <w:t> </w:t>
      </w:r>
      <w:r>
        <w:rPr>
          <w:sz w:val="24"/>
        </w:rPr>
        <w:t>of</w:t>
      </w:r>
      <w:r>
        <w:rPr>
          <w:spacing w:val="-7"/>
          <w:sz w:val="24"/>
        </w:rPr>
        <w:t> </w:t>
      </w:r>
      <w:r>
        <w:rPr>
          <w:sz w:val="24"/>
        </w:rPr>
        <w:t>loan</w:t>
      </w:r>
      <w:r>
        <w:rPr>
          <w:spacing w:val="-2"/>
          <w:sz w:val="24"/>
        </w:rPr>
        <w:t> </w:t>
      </w:r>
      <w:r>
        <w:rPr>
          <w:sz w:val="24"/>
        </w:rPr>
        <w:t>scholarships</w:t>
      </w:r>
      <w:r>
        <w:rPr>
          <w:spacing w:val="-2"/>
          <w:sz w:val="24"/>
        </w:rPr>
        <w:t> </w:t>
      </w:r>
      <w:r>
        <w:rPr>
          <w:sz w:val="24"/>
        </w:rPr>
        <w:t>is</w:t>
      </w:r>
      <w:r>
        <w:rPr>
          <w:spacing w:val="-5"/>
          <w:sz w:val="24"/>
        </w:rPr>
        <w:t> </w:t>
      </w:r>
      <w:r>
        <w:rPr>
          <w:sz w:val="24"/>
        </w:rPr>
        <w:t>non-egalitarian</w:t>
      </w:r>
      <w:r>
        <w:rPr>
          <w:spacing w:val="-2"/>
          <w:sz w:val="24"/>
        </w:rPr>
        <w:t> </w:t>
      </w:r>
      <w:r>
        <w:rPr>
          <w:sz w:val="24"/>
        </w:rPr>
        <w:t>since</w:t>
      </w:r>
      <w:r>
        <w:rPr>
          <w:spacing w:val="-2"/>
          <w:sz w:val="24"/>
        </w:rPr>
        <w:t> </w:t>
      </w:r>
      <w:r>
        <w:rPr>
          <w:sz w:val="24"/>
        </w:rPr>
        <w:t>it creates a disadvantage only for the economically handicapped students. It will also not be workable-unless a fair element of subsidy is provided-for students of humanities whose chances of employment and level of earning leave much to be desired. We would, therefore, prefer a proposal in which a programme of outright scholarships is combined with one of loan scholarships.</w:t>
      </w:r>
    </w:p>
    <w:p>
      <w:pPr>
        <w:pStyle w:val="BodyText"/>
        <w:spacing w:before="4"/>
      </w:pPr>
    </w:p>
    <w:p>
      <w:pPr>
        <w:pStyle w:val="ListParagraph"/>
        <w:numPr>
          <w:ilvl w:val="1"/>
          <w:numId w:val="115"/>
        </w:numPr>
        <w:tabs>
          <w:tab w:pos="661" w:val="left" w:leader="none"/>
        </w:tabs>
        <w:spacing w:line="240" w:lineRule="auto" w:before="0" w:after="0"/>
        <w:ind w:left="160" w:right="499" w:firstLine="0"/>
        <w:jc w:val="both"/>
        <w:rPr>
          <w:sz w:val="24"/>
        </w:rPr>
      </w:pPr>
      <w:r>
        <w:rPr>
          <w:sz w:val="24"/>
        </w:rPr>
        <w:t>As we visualize it, the programme of loan scholarships in higher education should</w:t>
      </w:r>
      <w:r>
        <w:rPr>
          <w:spacing w:val="40"/>
          <w:sz w:val="24"/>
        </w:rPr>
        <w:t> </w:t>
      </w:r>
      <w:r>
        <w:rPr>
          <w:sz w:val="24"/>
        </w:rPr>
        <w:t>be organized on the following lines:</w:t>
      </w:r>
    </w:p>
    <w:p>
      <w:pPr>
        <w:pStyle w:val="BodyText"/>
        <w:spacing w:before="5"/>
      </w:pPr>
    </w:p>
    <w:p>
      <w:pPr>
        <w:pStyle w:val="ListParagraph"/>
        <w:numPr>
          <w:ilvl w:val="0"/>
          <w:numId w:val="116"/>
        </w:numPr>
        <w:tabs>
          <w:tab w:pos="510" w:val="left" w:leader="none"/>
        </w:tabs>
        <w:spacing w:line="240" w:lineRule="auto" w:before="0" w:after="0"/>
        <w:ind w:left="160" w:right="497" w:firstLine="0"/>
        <w:jc w:val="both"/>
        <w:rPr>
          <w:sz w:val="24"/>
        </w:rPr>
      </w:pPr>
      <w:r>
        <w:rPr>
          <w:sz w:val="24"/>
        </w:rPr>
        <w:t>The programme would be a supplement to that of outright scholarships which should be provided on the scale we have suggested.</w:t>
      </w:r>
    </w:p>
    <w:p>
      <w:pPr>
        <w:pStyle w:val="BodyText"/>
        <w:spacing w:before="4"/>
      </w:pPr>
    </w:p>
    <w:p>
      <w:pPr>
        <w:pStyle w:val="ListParagraph"/>
        <w:numPr>
          <w:ilvl w:val="0"/>
          <w:numId w:val="116"/>
        </w:numPr>
        <w:tabs>
          <w:tab w:pos="504" w:val="left" w:leader="none"/>
        </w:tabs>
        <w:spacing w:line="240" w:lineRule="auto" w:before="0" w:after="0"/>
        <w:ind w:left="160" w:right="497" w:firstLine="0"/>
        <w:jc w:val="both"/>
        <w:rPr>
          <w:sz w:val="24"/>
        </w:rPr>
      </w:pPr>
      <w:r>
        <w:rPr>
          <w:sz w:val="24"/>
        </w:rPr>
        <w:t>It would be essentially meant for students</w:t>
      </w:r>
      <w:r>
        <w:rPr>
          <w:spacing w:val="-1"/>
          <w:sz w:val="24"/>
        </w:rPr>
        <w:t> </w:t>
      </w:r>
      <w:r>
        <w:rPr>
          <w:sz w:val="24"/>
        </w:rPr>
        <w:t>in the sciences and the professional courses where the chances of employment and levels of earnings are comparatively better and are more likely to make the scheme successful. There should be no upper limit to the number of such loan scholarships in this sector and an attempt should be made to </w:t>
      </w:r>
      <w:r>
        <w:rPr>
          <w:sz w:val="24"/>
        </w:rPr>
        <w:t>provide financial assistance to every needy student. To a limited extent and in deserving cases,</w:t>
      </w:r>
      <w:r>
        <w:rPr>
          <w:spacing w:val="40"/>
          <w:sz w:val="24"/>
        </w:rPr>
        <w:t> </w:t>
      </w:r>
      <w:r>
        <w:rPr>
          <w:sz w:val="24"/>
        </w:rPr>
        <w:t>the programme should be extended to cover arts students also.</w:t>
      </w:r>
    </w:p>
    <w:p>
      <w:pPr>
        <w:pStyle w:val="BodyText"/>
        <w:spacing w:before="3"/>
      </w:pPr>
    </w:p>
    <w:p>
      <w:pPr>
        <w:pStyle w:val="ListParagraph"/>
        <w:numPr>
          <w:ilvl w:val="0"/>
          <w:numId w:val="116"/>
        </w:numPr>
        <w:tabs>
          <w:tab w:pos="522" w:val="left" w:leader="none"/>
        </w:tabs>
        <w:spacing w:line="240" w:lineRule="auto" w:before="0" w:after="0"/>
        <w:ind w:left="160" w:right="497" w:firstLine="0"/>
        <w:jc w:val="both"/>
        <w:rPr>
          <w:sz w:val="24"/>
        </w:rPr>
      </w:pPr>
      <w:r>
        <w:rPr>
          <w:sz w:val="24"/>
        </w:rPr>
        <w:t>If a person who holds a loan scholarship joins the teaching profession, one-tenth of the loan should be written off for each year of service. This will encourage good students to join this profession.</w:t>
      </w:r>
    </w:p>
    <w:p>
      <w:pPr>
        <w:pStyle w:val="BodyText"/>
        <w:spacing w:before="4"/>
      </w:pPr>
    </w:p>
    <w:p>
      <w:pPr>
        <w:pStyle w:val="ListParagraph"/>
        <w:numPr>
          <w:ilvl w:val="0"/>
          <w:numId w:val="116"/>
        </w:numPr>
        <w:tabs>
          <w:tab w:pos="575" w:val="left" w:leader="none"/>
        </w:tabs>
        <w:spacing w:line="240" w:lineRule="auto" w:before="0" w:after="0"/>
        <w:ind w:left="160" w:right="497" w:firstLine="60"/>
        <w:jc w:val="both"/>
        <w:rPr>
          <w:sz w:val="24"/>
        </w:rPr>
      </w:pPr>
      <w:r>
        <w:rPr>
          <w:sz w:val="24"/>
        </w:rPr>
        <w:t>For convenient administration of the loan scholarships programme, a National Loan Scholarships Board may be set up as outlined above.</w:t>
      </w:r>
    </w:p>
    <w:p>
      <w:pPr>
        <w:pStyle w:val="BodyText"/>
        <w:spacing w:before="5"/>
      </w:pPr>
    </w:p>
    <w:p>
      <w:pPr>
        <w:pStyle w:val="ListParagraph"/>
        <w:numPr>
          <w:ilvl w:val="1"/>
          <w:numId w:val="115"/>
        </w:numPr>
        <w:tabs>
          <w:tab w:pos="641" w:val="left" w:leader="none"/>
        </w:tabs>
        <w:spacing w:line="240" w:lineRule="auto" w:before="0" w:after="0"/>
        <w:ind w:left="160" w:right="493" w:firstLine="0"/>
        <w:jc w:val="both"/>
        <w:rPr>
          <w:sz w:val="24"/>
        </w:rPr>
      </w:pPr>
      <w:r>
        <w:rPr>
          <w:sz w:val="24"/>
        </w:rPr>
        <w:t>The</w:t>
      </w:r>
      <w:r>
        <w:rPr>
          <w:spacing w:val="-1"/>
          <w:sz w:val="24"/>
        </w:rPr>
        <w:t> </w:t>
      </w:r>
      <w:r>
        <w:rPr>
          <w:sz w:val="24"/>
        </w:rPr>
        <w:t>programme of</w:t>
      </w:r>
      <w:r>
        <w:rPr>
          <w:spacing w:val="-1"/>
          <w:sz w:val="24"/>
        </w:rPr>
        <w:t> </w:t>
      </w:r>
      <w:r>
        <w:rPr>
          <w:sz w:val="24"/>
        </w:rPr>
        <w:t>scholarships</w:t>
      </w:r>
      <w:r>
        <w:rPr>
          <w:spacing w:val="-1"/>
          <w:sz w:val="24"/>
        </w:rPr>
        <w:t> </w:t>
      </w:r>
      <w:r>
        <w:rPr>
          <w:sz w:val="24"/>
        </w:rPr>
        <w:t>and</w:t>
      </w:r>
      <w:r>
        <w:rPr>
          <w:spacing w:val="-1"/>
          <w:sz w:val="24"/>
        </w:rPr>
        <w:t> </w:t>
      </w:r>
      <w:r>
        <w:rPr>
          <w:sz w:val="24"/>
        </w:rPr>
        <w:t>placement</w:t>
      </w:r>
      <w:r>
        <w:rPr>
          <w:spacing w:val="-3"/>
          <w:sz w:val="24"/>
        </w:rPr>
        <w:t> </w:t>
      </w:r>
      <w:r>
        <w:rPr>
          <w:sz w:val="24"/>
        </w:rPr>
        <w:t>at</w:t>
      </w:r>
      <w:r>
        <w:rPr>
          <w:spacing w:val="-1"/>
          <w:sz w:val="24"/>
        </w:rPr>
        <w:t> </w:t>
      </w:r>
      <w:r>
        <w:rPr>
          <w:sz w:val="24"/>
        </w:rPr>
        <w:t>the</w:t>
      </w:r>
      <w:r>
        <w:rPr>
          <w:spacing w:val="-1"/>
          <w:sz w:val="24"/>
        </w:rPr>
        <w:t> </w:t>
      </w:r>
      <w:r>
        <w:rPr>
          <w:sz w:val="24"/>
        </w:rPr>
        <w:t>university</w:t>
      </w:r>
      <w:r>
        <w:rPr>
          <w:spacing w:val="-1"/>
          <w:sz w:val="24"/>
        </w:rPr>
        <w:t> </w:t>
      </w:r>
      <w:r>
        <w:rPr>
          <w:sz w:val="24"/>
        </w:rPr>
        <w:t>stage</w:t>
      </w:r>
      <w:r>
        <w:rPr>
          <w:spacing w:val="-1"/>
          <w:sz w:val="24"/>
        </w:rPr>
        <w:t> </w:t>
      </w:r>
      <w:r>
        <w:rPr>
          <w:sz w:val="24"/>
        </w:rPr>
        <w:t>will</w:t>
      </w:r>
      <w:r>
        <w:rPr>
          <w:spacing w:val="-1"/>
          <w:sz w:val="24"/>
        </w:rPr>
        <w:t> </w:t>
      </w:r>
      <w:r>
        <w:rPr>
          <w:sz w:val="24"/>
        </w:rPr>
        <w:t>have</w:t>
      </w:r>
      <w:r>
        <w:rPr>
          <w:spacing w:val="-1"/>
          <w:sz w:val="24"/>
        </w:rPr>
        <w:t> </w:t>
      </w:r>
      <w:r>
        <w:rPr>
          <w:sz w:val="24"/>
        </w:rPr>
        <w:t>to</w:t>
      </w:r>
      <w:r>
        <w:rPr>
          <w:spacing w:val="-1"/>
          <w:sz w:val="24"/>
        </w:rPr>
        <w:t> </w:t>
      </w:r>
      <w:r>
        <w:rPr>
          <w:sz w:val="24"/>
        </w:rPr>
        <w:t>be accompanied by a complementary programme of developing quality institutions. This need</w:t>
      </w:r>
      <w:r>
        <w:rPr>
          <w:spacing w:val="27"/>
          <w:sz w:val="24"/>
        </w:rPr>
        <w:t> </w:t>
      </w:r>
      <w:r>
        <w:rPr>
          <w:sz w:val="24"/>
        </w:rPr>
        <w:t>will</w:t>
      </w:r>
      <w:r>
        <w:rPr>
          <w:spacing w:val="29"/>
          <w:sz w:val="24"/>
        </w:rPr>
        <w:t> </w:t>
      </w:r>
      <w:r>
        <w:rPr>
          <w:sz w:val="24"/>
        </w:rPr>
        <w:t>be</w:t>
      </w:r>
      <w:r>
        <w:rPr>
          <w:spacing w:val="28"/>
          <w:sz w:val="24"/>
        </w:rPr>
        <w:t> </w:t>
      </w:r>
      <w:r>
        <w:rPr>
          <w:sz w:val="24"/>
        </w:rPr>
        <w:t>met</w:t>
      </w:r>
      <w:r>
        <w:rPr>
          <w:spacing w:val="29"/>
          <w:sz w:val="24"/>
        </w:rPr>
        <w:t> </w:t>
      </w:r>
      <w:r>
        <w:rPr>
          <w:sz w:val="24"/>
        </w:rPr>
        <w:t>by</w:t>
      </w:r>
      <w:r>
        <w:rPr>
          <w:spacing w:val="29"/>
          <w:sz w:val="24"/>
        </w:rPr>
        <w:t> </w:t>
      </w:r>
      <w:r>
        <w:rPr>
          <w:sz w:val="24"/>
        </w:rPr>
        <w:t>the</w:t>
      </w:r>
      <w:r>
        <w:rPr>
          <w:spacing w:val="29"/>
          <w:sz w:val="24"/>
        </w:rPr>
        <w:t> </w:t>
      </w:r>
      <w:r>
        <w:rPr>
          <w:sz w:val="24"/>
        </w:rPr>
        <w:t>development</w:t>
      </w:r>
      <w:r>
        <w:rPr>
          <w:spacing w:val="29"/>
          <w:sz w:val="24"/>
        </w:rPr>
        <w:t> </w:t>
      </w:r>
      <w:r>
        <w:rPr>
          <w:sz w:val="24"/>
        </w:rPr>
        <w:t>of</w:t>
      </w:r>
      <w:r>
        <w:rPr>
          <w:spacing w:val="29"/>
          <w:sz w:val="24"/>
        </w:rPr>
        <w:t> </w:t>
      </w:r>
      <w:r>
        <w:rPr>
          <w:sz w:val="24"/>
        </w:rPr>
        <w:t>major</w:t>
      </w:r>
      <w:r>
        <w:rPr>
          <w:spacing w:val="29"/>
          <w:sz w:val="24"/>
        </w:rPr>
        <w:t> </w:t>
      </w:r>
      <w:r>
        <w:rPr>
          <w:sz w:val="24"/>
        </w:rPr>
        <w:t>universities,</w:t>
      </w:r>
      <w:r>
        <w:rPr>
          <w:spacing w:val="29"/>
          <w:sz w:val="24"/>
        </w:rPr>
        <w:t> </w:t>
      </w:r>
      <w:r>
        <w:rPr>
          <w:sz w:val="24"/>
        </w:rPr>
        <w:t>centers</w:t>
      </w:r>
      <w:r>
        <w:rPr>
          <w:spacing w:val="27"/>
          <w:sz w:val="24"/>
        </w:rPr>
        <w:t> </w:t>
      </w:r>
      <w:r>
        <w:rPr>
          <w:sz w:val="24"/>
        </w:rPr>
        <w:t>of</w:t>
      </w:r>
      <w:r>
        <w:rPr>
          <w:spacing w:val="29"/>
          <w:sz w:val="24"/>
        </w:rPr>
        <w:t> </w:t>
      </w:r>
      <w:r>
        <w:rPr>
          <w:sz w:val="24"/>
        </w:rPr>
        <w:t>advanced</w:t>
      </w:r>
      <w:r>
        <w:rPr>
          <w:spacing w:val="28"/>
          <w:sz w:val="24"/>
        </w:rPr>
        <w:t> </w:t>
      </w:r>
      <w:r>
        <w:rPr>
          <w:spacing w:val="-2"/>
          <w:sz w:val="24"/>
        </w:rPr>
        <w:t>study,</w:t>
      </w:r>
    </w:p>
    <w:p>
      <w:pPr>
        <w:spacing w:after="0" w:line="240" w:lineRule="auto"/>
        <w:jc w:val="both"/>
        <w:rPr>
          <w:sz w:val="24"/>
        </w:rPr>
        <w:sectPr>
          <w:pgSz w:w="12240" w:h="15840"/>
          <w:pgMar w:header="0" w:footer="743" w:top="1360" w:bottom="940" w:left="1640" w:right="1300"/>
        </w:sectPr>
      </w:pPr>
    </w:p>
    <w:p>
      <w:pPr>
        <w:pStyle w:val="BodyText"/>
        <w:spacing w:before="76"/>
        <w:ind w:left="160"/>
        <w:rPr>
          <w:b/>
        </w:rPr>
      </w:pPr>
      <w:r>
        <w:rPr/>
        <w:t>and</w:t>
      </w:r>
      <w:r>
        <w:rPr>
          <w:spacing w:val="32"/>
        </w:rPr>
        <w:t> </w:t>
      </w:r>
      <w:r>
        <w:rPr/>
        <w:t>of</w:t>
      </w:r>
      <w:r>
        <w:rPr>
          <w:spacing w:val="32"/>
        </w:rPr>
        <w:t> </w:t>
      </w:r>
      <w:r>
        <w:rPr/>
        <w:t>at</w:t>
      </w:r>
      <w:r>
        <w:rPr>
          <w:spacing w:val="32"/>
        </w:rPr>
        <w:t> </w:t>
      </w:r>
      <w:r>
        <w:rPr/>
        <w:t>least</w:t>
      </w:r>
      <w:r>
        <w:rPr>
          <w:spacing w:val="32"/>
        </w:rPr>
        <w:t> </w:t>
      </w:r>
      <w:r>
        <w:rPr/>
        <w:t>one</w:t>
      </w:r>
      <w:r>
        <w:rPr>
          <w:spacing w:val="32"/>
        </w:rPr>
        <w:t> </w:t>
      </w:r>
      <w:r>
        <w:rPr/>
        <w:t>good</w:t>
      </w:r>
      <w:r>
        <w:rPr>
          <w:spacing w:val="32"/>
        </w:rPr>
        <w:t> </w:t>
      </w:r>
      <w:r>
        <w:rPr/>
        <w:t>college</w:t>
      </w:r>
      <w:r>
        <w:rPr>
          <w:spacing w:val="33"/>
        </w:rPr>
        <w:t> </w:t>
      </w:r>
      <w:r>
        <w:rPr/>
        <w:t>in</w:t>
      </w:r>
      <w:r>
        <w:rPr>
          <w:spacing w:val="31"/>
        </w:rPr>
        <w:t> </w:t>
      </w:r>
      <w:r>
        <w:rPr/>
        <w:t>each</w:t>
      </w:r>
      <w:r>
        <w:rPr>
          <w:spacing w:val="32"/>
        </w:rPr>
        <w:t> </w:t>
      </w:r>
      <w:r>
        <w:rPr/>
        <w:t>district.</w:t>
      </w:r>
      <w:r>
        <w:rPr>
          <w:spacing w:val="32"/>
        </w:rPr>
        <w:t> </w:t>
      </w:r>
      <w:r>
        <w:rPr/>
        <w:t>The</w:t>
      </w:r>
      <w:r>
        <w:rPr>
          <w:spacing w:val="32"/>
        </w:rPr>
        <w:t> </w:t>
      </w:r>
      <w:r>
        <w:rPr/>
        <w:t>details</w:t>
      </w:r>
      <w:r>
        <w:rPr>
          <w:spacing w:val="32"/>
        </w:rPr>
        <w:t> </w:t>
      </w:r>
      <w:r>
        <w:rPr/>
        <w:t>of</w:t>
      </w:r>
      <w:r>
        <w:rPr>
          <w:spacing w:val="32"/>
        </w:rPr>
        <w:t> </w:t>
      </w:r>
      <w:r>
        <w:rPr/>
        <w:t>these</w:t>
      </w:r>
      <w:r>
        <w:rPr>
          <w:spacing w:val="32"/>
        </w:rPr>
        <w:t> </w:t>
      </w:r>
      <w:r>
        <w:rPr/>
        <w:t>programmes</w:t>
      </w:r>
      <w:r>
        <w:rPr>
          <w:spacing w:val="32"/>
        </w:rPr>
        <w:t> </w:t>
      </w:r>
      <w:r>
        <w:rPr/>
        <w:t>are discussed elsewhere.</w:t>
      </w:r>
      <w:r>
        <w:rPr>
          <w:b/>
          <w:vertAlign w:val="superscript"/>
        </w:rPr>
        <w:t>54</w:t>
      </w:r>
    </w:p>
    <w:p>
      <w:pPr>
        <w:pStyle w:val="BodyText"/>
        <w:spacing w:before="4"/>
        <w:rPr>
          <w:b/>
        </w:rPr>
      </w:pPr>
    </w:p>
    <w:p>
      <w:pPr>
        <w:pStyle w:val="ListParagraph"/>
        <w:numPr>
          <w:ilvl w:val="1"/>
          <w:numId w:val="115"/>
        </w:numPr>
        <w:tabs>
          <w:tab w:pos="655" w:val="left" w:leader="none"/>
        </w:tabs>
        <w:spacing w:line="240" w:lineRule="auto" w:before="0" w:after="0"/>
        <w:ind w:left="160" w:right="498" w:firstLine="0"/>
        <w:jc w:val="both"/>
        <w:rPr>
          <w:b/>
          <w:sz w:val="24"/>
        </w:rPr>
      </w:pPr>
      <w:r>
        <w:rPr>
          <w:b/>
          <w:sz w:val="24"/>
        </w:rPr>
        <w:t>Some General Problems relating to Student Aid. </w:t>
      </w:r>
      <w:r>
        <w:rPr>
          <w:sz w:val="24"/>
        </w:rPr>
        <w:t>We shall now briefly discuss a few other related issues. These relate to all stages of education.</w:t>
      </w:r>
    </w:p>
    <w:p>
      <w:pPr>
        <w:pStyle w:val="BodyText"/>
        <w:spacing w:before="5"/>
      </w:pPr>
    </w:p>
    <w:p>
      <w:pPr>
        <w:pStyle w:val="ListParagraph"/>
        <w:numPr>
          <w:ilvl w:val="0"/>
          <w:numId w:val="117"/>
        </w:numPr>
        <w:tabs>
          <w:tab w:pos="505" w:val="left" w:leader="none"/>
        </w:tabs>
        <w:spacing w:line="240" w:lineRule="auto" w:before="0" w:after="0"/>
        <w:ind w:left="160" w:right="497" w:firstLine="0"/>
        <w:jc w:val="both"/>
        <w:rPr>
          <w:sz w:val="24"/>
        </w:rPr>
      </w:pPr>
      <w:r>
        <w:rPr>
          <w:b/>
          <w:sz w:val="24"/>
        </w:rPr>
        <w:t>Transport. </w:t>
      </w:r>
      <w:r>
        <w:rPr>
          <w:sz w:val="24"/>
        </w:rPr>
        <w:t>The provision of transport facilities can help to reduce the cost on </w:t>
      </w:r>
      <w:r>
        <w:rPr>
          <w:sz w:val="24"/>
        </w:rPr>
        <w:t>hostels and scholarships. We have seen schools in rural areas which provide bicycles to the students who have to come from a distance. An arrangement of this type should be encouraged, as it makes the secondary school accessible to students in outlying villages. Wherever possible, the same arrangement could also be extended to other categories of </w:t>
      </w:r>
      <w:r>
        <w:rPr>
          <w:spacing w:val="-2"/>
          <w:sz w:val="24"/>
        </w:rPr>
        <w:t>institutions.</w:t>
      </w:r>
    </w:p>
    <w:p>
      <w:pPr>
        <w:pStyle w:val="BodyText"/>
        <w:spacing w:before="4"/>
      </w:pPr>
    </w:p>
    <w:p>
      <w:pPr>
        <w:pStyle w:val="ListParagraph"/>
        <w:numPr>
          <w:ilvl w:val="0"/>
          <w:numId w:val="117"/>
        </w:numPr>
        <w:tabs>
          <w:tab w:pos="531" w:val="left" w:leader="none"/>
        </w:tabs>
        <w:spacing w:line="240" w:lineRule="auto" w:before="0" w:after="0"/>
        <w:ind w:left="160" w:right="497" w:firstLine="0"/>
        <w:jc w:val="both"/>
        <w:rPr>
          <w:sz w:val="24"/>
        </w:rPr>
      </w:pPr>
      <w:r>
        <w:rPr>
          <w:b/>
          <w:sz w:val="24"/>
        </w:rPr>
        <w:t>Day-Study centres and Lodging Houses</w:t>
      </w:r>
      <w:r>
        <w:rPr>
          <w:sz w:val="24"/>
        </w:rPr>
        <w:t>. For students who do not have adequate facilities for study at home, it is necessary to provide a large number of day-study centres at the secondary and university stages. It would also be desirable to provide lodging houses, i.e., places where they can stay throughout the day, and even at night, but go home for food. Some institutions have tried to provide this facility by adopting an unorthodox approach i.e., by using classrooms for residential and study purposes before and after school hours and at night. Experiments of this type should be encouraged.</w:t>
      </w:r>
    </w:p>
    <w:p>
      <w:pPr>
        <w:pStyle w:val="BodyText"/>
        <w:spacing w:before="3"/>
      </w:pPr>
    </w:p>
    <w:p>
      <w:pPr>
        <w:pStyle w:val="ListParagraph"/>
        <w:numPr>
          <w:ilvl w:val="0"/>
          <w:numId w:val="117"/>
        </w:numPr>
        <w:tabs>
          <w:tab w:pos="536" w:val="left" w:leader="none"/>
        </w:tabs>
        <w:spacing w:line="240" w:lineRule="auto" w:before="1" w:after="0"/>
        <w:ind w:left="160" w:right="497" w:firstLine="0"/>
        <w:jc w:val="both"/>
        <w:rPr>
          <w:sz w:val="24"/>
        </w:rPr>
      </w:pPr>
      <w:r>
        <w:rPr>
          <w:b/>
          <w:sz w:val="24"/>
        </w:rPr>
        <w:t>Earn and Learn. </w:t>
      </w:r>
      <w:r>
        <w:rPr>
          <w:sz w:val="24"/>
        </w:rPr>
        <w:t>Facilities for Students to earn and pay a part of their expenses should be developed on as large a scale as possible as a supplement to the programme of </w:t>
      </w:r>
      <w:r>
        <w:rPr>
          <w:spacing w:val="-2"/>
          <w:sz w:val="24"/>
        </w:rPr>
        <w:t>scholarships.</w:t>
      </w:r>
    </w:p>
    <w:p>
      <w:pPr>
        <w:pStyle w:val="BodyText"/>
        <w:spacing w:before="3"/>
      </w:pPr>
    </w:p>
    <w:p>
      <w:pPr>
        <w:pStyle w:val="ListParagraph"/>
        <w:numPr>
          <w:ilvl w:val="0"/>
          <w:numId w:val="117"/>
        </w:numPr>
        <w:tabs>
          <w:tab w:pos="524" w:val="left" w:leader="none"/>
        </w:tabs>
        <w:spacing w:line="240" w:lineRule="auto" w:before="0" w:after="0"/>
        <w:ind w:left="160" w:right="497" w:firstLine="0"/>
        <w:jc w:val="both"/>
        <w:rPr>
          <w:sz w:val="24"/>
        </w:rPr>
      </w:pPr>
      <w:r>
        <w:rPr>
          <w:b/>
          <w:sz w:val="24"/>
        </w:rPr>
        <w:t>Scholarships for Girls. </w:t>
      </w:r>
      <w:r>
        <w:rPr>
          <w:sz w:val="24"/>
        </w:rPr>
        <w:t>In scholarships and other forms of student aid, preferential consideration should be given to the needs of girls.</w:t>
      </w:r>
    </w:p>
    <w:p>
      <w:pPr>
        <w:pStyle w:val="BodyText"/>
      </w:pPr>
    </w:p>
    <w:p>
      <w:pPr>
        <w:pStyle w:val="BodyText"/>
      </w:pPr>
    </w:p>
    <w:p>
      <w:pPr>
        <w:pStyle w:val="BodyText"/>
      </w:pPr>
    </w:p>
    <w:p>
      <w:pPr>
        <w:pStyle w:val="BodyText"/>
      </w:pPr>
    </w:p>
    <w:p>
      <w:pPr>
        <w:pStyle w:val="BodyText"/>
      </w:pPr>
    </w:p>
    <w:p>
      <w:pPr>
        <w:pStyle w:val="BodyText"/>
      </w:pPr>
    </w:p>
    <w:p>
      <w:pPr>
        <w:pStyle w:val="BodyText"/>
        <w:spacing w:before="18"/>
      </w:pPr>
    </w:p>
    <w:p>
      <w:pPr>
        <w:pStyle w:val="BodyText"/>
        <w:ind w:left="160"/>
      </w:pPr>
      <w:r>
        <w:rPr>
          <w:b/>
          <w:vertAlign w:val="superscript"/>
        </w:rPr>
        <w:t>54</w:t>
      </w:r>
      <w:r>
        <w:rPr>
          <w:vertAlign w:val="baseline"/>
        </w:rPr>
        <w:t>Chapters</w:t>
      </w:r>
      <w:r>
        <w:rPr>
          <w:spacing w:val="-4"/>
          <w:vertAlign w:val="baseline"/>
        </w:rPr>
        <w:t> </w:t>
      </w:r>
      <w:r>
        <w:rPr>
          <w:vertAlign w:val="baseline"/>
        </w:rPr>
        <w:t>XI-</w:t>
      </w:r>
      <w:r>
        <w:rPr>
          <w:spacing w:val="-2"/>
          <w:vertAlign w:val="baseline"/>
        </w:rPr>
        <w:t>XIII.</w:t>
      </w:r>
    </w:p>
    <w:p>
      <w:pPr>
        <w:spacing w:after="0"/>
        <w:sectPr>
          <w:pgSz w:w="12240" w:h="15840"/>
          <w:pgMar w:header="0" w:footer="743" w:top="1360" w:bottom="940" w:left="1640" w:right="1300"/>
        </w:sectPr>
      </w:pPr>
    </w:p>
    <w:p>
      <w:pPr>
        <w:pStyle w:val="BodyText"/>
        <w:ind w:left="160"/>
        <w:rPr>
          <w:sz w:val="20"/>
        </w:rPr>
      </w:pPr>
      <w:r>
        <w:rPr>
          <w:sz w:val="20"/>
        </w:rPr>
        <w:drawing>
          <wp:inline distT="0" distB="0" distL="0" distR="0">
            <wp:extent cx="5293554" cy="7616952"/>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20" cstate="print"/>
                    <a:stretch>
                      <a:fillRect/>
                    </a:stretch>
                  </pic:blipFill>
                  <pic:spPr>
                    <a:xfrm>
                      <a:off x="0" y="0"/>
                      <a:ext cx="5293554" cy="761695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ListParagraph"/>
        <w:numPr>
          <w:ilvl w:val="1"/>
          <w:numId w:val="115"/>
        </w:numPr>
        <w:tabs>
          <w:tab w:pos="690" w:val="left" w:leader="none"/>
        </w:tabs>
        <w:spacing w:line="240" w:lineRule="auto" w:before="78" w:after="0"/>
        <w:ind w:left="159" w:right="495" w:firstLine="0"/>
        <w:jc w:val="both"/>
        <w:rPr>
          <w:b/>
          <w:sz w:val="24"/>
        </w:rPr>
      </w:pPr>
      <w:r>
        <w:rPr>
          <w:b/>
          <w:sz w:val="24"/>
        </w:rPr>
        <w:t>Financial Responsibility about Scholarships. </w:t>
      </w:r>
      <w:r>
        <w:rPr>
          <w:sz w:val="24"/>
        </w:rPr>
        <w:t>The data given in Table 6.5 for 1960-61 (the latest year for which they are available) show how the expenditure on scholarships at different stages and indifferent sectors of education were financed. The position in 1965-66 is expected to be similar.</w:t>
      </w:r>
    </w:p>
    <w:p>
      <w:pPr>
        <w:pStyle w:val="BodyText"/>
        <w:spacing w:before="2"/>
      </w:pPr>
    </w:p>
    <w:p>
      <w:pPr>
        <w:pStyle w:val="BodyText"/>
        <w:ind w:left="159" w:right="495"/>
        <w:jc w:val="both"/>
      </w:pPr>
      <w:r>
        <w:rPr/>
        <w:t>It will be seen that about 92 per cent of the expenditure on scholarships comes from Central and State Government funds. The Central funds account for nearly one-fourth of the total expenditure. More than seventy per cent of the Central expenditure on scholarships is incurred on higher education only. 6.41 Our recommendations in this regard are as follows:</w:t>
      </w:r>
    </w:p>
    <w:p>
      <w:pPr>
        <w:pStyle w:val="BodyText"/>
        <w:spacing w:before="4"/>
      </w:pPr>
    </w:p>
    <w:p>
      <w:pPr>
        <w:pStyle w:val="ListParagraph"/>
        <w:numPr>
          <w:ilvl w:val="0"/>
          <w:numId w:val="118"/>
        </w:numPr>
        <w:tabs>
          <w:tab w:pos="525" w:val="left" w:leader="none"/>
        </w:tabs>
        <w:spacing w:line="240" w:lineRule="auto" w:before="0" w:after="0"/>
        <w:ind w:left="159" w:right="497" w:firstLine="0"/>
        <w:jc w:val="both"/>
        <w:rPr>
          <w:sz w:val="24"/>
        </w:rPr>
      </w:pPr>
      <w:r>
        <w:rPr>
          <w:sz w:val="24"/>
        </w:rPr>
        <w:t>The responsibility for developing an adequate scholarship programme at the school stage should rest with the State Governments. In higher education, it should be regarded as a responsibility of the Government of India to make adequate provision for scholarships in all institutions of higher education-general and vocational-and also for scholarships for study abroad. We also trust that State Governments and other voluntary organizations which now provide some scholarships in higher education would continue to do so and even expand their effort.</w:t>
      </w:r>
    </w:p>
    <w:p>
      <w:pPr>
        <w:pStyle w:val="BodyText"/>
        <w:spacing w:before="5"/>
      </w:pPr>
    </w:p>
    <w:p>
      <w:pPr>
        <w:pStyle w:val="ListParagraph"/>
        <w:numPr>
          <w:ilvl w:val="0"/>
          <w:numId w:val="118"/>
        </w:numPr>
        <w:tabs>
          <w:tab w:pos="516" w:val="left" w:leader="none"/>
        </w:tabs>
        <w:spacing w:line="240" w:lineRule="auto" w:before="0" w:after="0"/>
        <w:ind w:left="160" w:right="498" w:firstLine="0"/>
        <w:jc w:val="both"/>
        <w:rPr>
          <w:sz w:val="24"/>
        </w:rPr>
      </w:pPr>
      <w:r>
        <w:rPr>
          <w:sz w:val="24"/>
        </w:rPr>
        <w:t>To develop a good programme of scholarships at the school stage, the funds needed for</w:t>
      </w:r>
      <w:r>
        <w:rPr>
          <w:spacing w:val="-2"/>
          <w:sz w:val="24"/>
        </w:rPr>
        <w:t> </w:t>
      </w:r>
      <w:r>
        <w:rPr>
          <w:sz w:val="24"/>
        </w:rPr>
        <w:t>it</w:t>
      </w:r>
      <w:r>
        <w:rPr>
          <w:spacing w:val="-2"/>
          <w:sz w:val="24"/>
        </w:rPr>
        <w:t> </w:t>
      </w:r>
      <w:r>
        <w:rPr>
          <w:sz w:val="24"/>
        </w:rPr>
        <w:t>should</w:t>
      </w:r>
      <w:r>
        <w:rPr>
          <w:spacing w:val="-2"/>
          <w:sz w:val="24"/>
        </w:rPr>
        <w:t> </w:t>
      </w:r>
      <w:r>
        <w:rPr>
          <w:sz w:val="24"/>
        </w:rPr>
        <w:t>be</w:t>
      </w:r>
      <w:r>
        <w:rPr>
          <w:spacing w:val="-2"/>
          <w:sz w:val="24"/>
        </w:rPr>
        <w:t> </w:t>
      </w:r>
      <w:r>
        <w:rPr>
          <w:sz w:val="24"/>
        </w:rPr>
        <w:t>provided</w:t>
      </w:r>
      <w:r>
        <w:rPr>
          <w:spacing w:val="-2"/>
          <w:sz w:val="24"/>
        </w:rPr>
        <w:t> </w:t>
      </w:r>
      <w:r>
        <w:rPr>
          <w:sz w:val="24"/>
        </w:rPr>
        <w:t>in</w:t>
      </w:r>
      <w:r>
        <w:rPr>
          <w:spacing w:val="-2"/>
          <w:sz w:val="24"/>
        </w:rPr>
        <w:t> </w:t>
      </w:r>
      <w:r>
        <w:rPr>
          <w:sz w:val="24"/>
        </w:rPr>
        <w:t>the</w:t>
      </w:r>
      <w:r>
        <w:rPr>
          <w:spacing w:val="-2"/>
          <w:sz w:val="24"/>
        </w:rPr>
        <w:t> </w:t>
      </w:r>
      <w:r>
        <w:rPr>
          <w:sz w:val="24"/>
        </w:rPr>
        <w:t>centrally</w:t>
      </w:r>
      <w:r>
        <w:rPr>
          <w:spacing w:val="-2"/>
          <w:sz w:val="24"/>
        </w:rPr>
        <w:t> </w:t>
      </w:r>
      <w:r>
        <w:rPr>
          <w:sz w:val="24"/>
        </w:rPr>
        <w:t>sponsored</w:t>
      </w:r>
      <w:r>
        <w:rPr>
          <w:spacing w:val="-3"/>
          <w:sz w:val="24"/>
        </w:rPr>
        <w:t> </w:t>
      </w:r>
      <w:r>
        <w:rPr>
          <w:sz w:val="24"/>
        </w:rPr>
        <w:t>sector</w:t>
      </w:r>
      <w:r>
        <w:rPr>
          <w:spacing w:val="-3"/>
          <w:sz w:val="24"/>
        </w:rPr>
        <w:t> </w:t>
      </w:r>
      <w:r>
        <w:rPr>
          <w:sz w:val="24"/>
        </w:rPr>
        <w:t>in</w:t>
      </w:r>
      <w:r>
        <w:rPr>
          <w:spacing w:val="-3"/>
          <w:sz w:val="24"/>
        </w:rPr>
        <w:t> </w:t>
      </w:r>
      <w:r>
        <w:rPr>
          <w:sz w:val="24"/>
        </w:rPr>
        <w:t>the</w:t>
      </w:r>
      <w:r>
        <w:rPr>
          <w:spacing w:val="-3"/>
          <w:sz w:val="24"/>
        </w:rPr>
        <w:t> </w:t>
      </w:r>
      <w:r>
        <w:rPr>
          <w:sz w:val="24"/>
        </w:rPr>
        <w:t>Fourth</w:t>
      </w:r>
      <w:r>
        <w:rPr>
          <w:spacing w:val="-3"/>
          <w:sz w:val="24"/>
        </w:rPr>
        <w:t> </w:t>
      </w:r>
      <w:r>
        <w:rPr>
          <w:sz w:val="24"/>
        </w:rPr>
        <w:t>Plan</w:t>
      </w:r>
      <w:r>
        <w:rPr>
          <w:spacing w:val="-3"/>
          <w:sz w:val="24"/>
        </w:rPr>
        <w:t> </w:t>
      </w:r>
      <w:r>
        <w:rPr>
          <w:sz w:val="24"/>
        </w:rPr>
        <w:t>and</w:t>
      </w:r>
      <w:r>
        <w:rPr>
          <w:spacing w:val="-3"/>
          <w:sz w:val="24"/>
        </w:rPr>
        <w:t> </w:t>
      </w:r>
      <w:r>
        <w:rPr>
          <w:sz w:val="24"/>
        </w:rPr>
        <w:t>the</w:t>
      </w:r>
      <w:r>
        <w:rPr>
          <w:spacing w:val="-3"/>
          <w:sz w:val="24"/>
        </w:rPr>
        <w:t> </w:t>
      </w:r>
      <w:r>
        <w:rPr>
          <w:sz w:val="24"/>
        </w:rPr>
        <w:t>same basis may be continued in the Fifth Plan. The State Governments would then be able to carry it on their own.</w:t>
      </w:r>
    </w:p>
    <w:p>
      <w:pPr>
        <w:pStyle w:val="BodyText"/>
        <w:spacing w:before="6"/>
      </w:pPr>
    </w:p>
    <w:p>
      <w:pPr>
        <w:pStyle w:val="Heading1"/>
      </w:pPr>
      <w:r>
        <w:rPr/>
        <w:t>HANDICAPPED</w:t>
      </w:r>
      <w:r>
        <w:rPr>
          <w:spacing w:val="-9"/>
        </w:rPr>
        <w:t> </w:t>
      </w:r>
      <w:r>
        <w:rPr>
          <w:spacing w:val="-2"/>
        </w:rPr>
        <w:t>CHILDREN</w:t>
      </w:r>
    </w:p>
    <w:p>
      <w:pPr>
        <w:pStyle w:val="BodyText"/>
        <w:spacing w:before="2"/>
        <w:rPr>
          <w:b/>
        </w:rPr>
      </w:pPr>
    </w:p>
    <w:p>
      <w:pPr>
        <w:pStyle w:val="ListParagraph"/>
        <w:numPr>
          <w:ilvl w:val="1"/>
          <w:numId w:val="119"/>
        </w:numPr>
        <w:tabs>
          <w:tab w:pos="666" w:val="left" w:leader="none"/>
        </w:tabs>
        <w:spacing w:line="240" w:lineRule="auto" w:before="0" w:after="0"/>
        <w:ind w:left="159" w:right="494" w:firstLine="0"/>
        <w:jc w:val="both"/>
        <w:rPr>
          <w:sz w:val="24"/>
        </w:rPr>
      </w:pPr>
      <w:r>
        <w:rPr>
          <w:sz w:val="24"/>
        </w:rPr>
        <w:t>We now turn to the education of handicapped children. Their education has to be organized not merely on humanitarian grounds, but also on grounds of utility. Proper education generally enables a handicapped child to overcome largely his (or her) handicap, and makes him a useful citizen. Social justice also demands it; it has to be remembered that the Constitutional Directive on compulsory education includes handicapped children as well. Very little has been done in this field so far; and on</w:t>
      </w:r>
      <w:r>
        <w:rPr>
          <w:spacing w:val="80"/>
          <w:sz w:val="24"/>
        </w:rPr>
        <w:t> </w:t>
      </w:r>
      <w:r>
        <w:rPr>
          <w:sz w:val="24"/>
        </w:rPr>
        <w:t>account</w:t>
      </w:r>
      <w:r>
        <w:rPr>
          <w:spacing w:val="-2"/>
          <w:sz w:val="24"/>
        </w:rPr>
        <w:t> </w:t>
      </w:r>
      <w:r>
        <w:rPr>
          <w:sz w:val="24"/>
        </w:rPr>
        <w:t>of</w:t>
      </w:r>
      <w:r>
        <w:rPr>
          <w:spacing w:val="-2"/>
          <w:sz w:val="24"/>
        </w:rPr>
        <w:t> </w:t>
      </w:r>
      <w:r>
        <w:rPr>
          <w:sz w:val="24"/>
        </w:rPr>
        <w:t>several</w:t>
      </w:r>
      <w:r>
        <w:rPr>
          <w:spacing w:val="-2"/>
          <w:sz w:val="24"/>
        </w:rPr>
        <w:t> </w:t>
      </w:r>
      <w:r>
        <w:rPr>
          <w:sz w:val="24"/>
        </w:rPr>
        <w:t>difficulties,</w:t>
      </w:r>
      <w:r>
        <w:rPr>
          <w:spacing w:val="-2"/>
          <w:sz w:val="24"/>
        </w:rPr>
        <w:t> </w:t>
      </w:r>
      <w:r>
        <w:rPr>
          <w:sz w:val="24"/>
        </w:rPr>
        <w:t>any</w:t>
      </w:r>
      <w:r>
        <w:rPr>
          <w:spacing w:val="-2"/>
          <w:sz w:val="24"/>
        </w:rPr>
        <w:t> </w:t>
      </w:r>
      <w:r>
        <w:rPr>
          <w:sz w:val="24"/>
        </w:rPr>
        <w:t>great</w:t>
      </w:r>
      <w:r>
        <w:rPr>
          <w:spacing w:val="-2"/>
          <w:sz w:val="24"/>
        </w:rPr>
        <w:t> </w:t>
      </w:r>
      <w:r>
        <w:rPr>
          <w:sz w:val="24"/>
        </w:rPr>
        <w:t>improvement</w:t>
      </w:r>
      <w:r>
        <w:rPr>
          <w:spacing w:val="-3"/>
          <w:sz w:val="24"/>
        </w:rPr>
        <w:t> </w:t>
      </w:r>
      <w:r>
        <w:rPr>
          <w:sz w:val="24"/>
        </w:rPr>
        <w:t>in</w:t>
      </w:r>
      <w:r>
        <w:rPr>
          <w:spacing w:val="-3"/>
          <w:sz w:val="24"/>
        </w:rPr>
        <w:t> </w:t>
      </w:r>
      <w:r>
        <w:rPr>
          <w:sz w:val="24"/>
        </w:rPr>
        <w:t>the</w:t>
      </w:r>
      <w:r>
        <w:rPr>
          <w:spacing w:val="-3"/>
          <w:sz w:val="24"/>
        </w:rPr>
        <w:t> </w:t>
      </w:r>
      <w:r>
        <w:rPr>
          <w:sz w:val="24"/>
        </w:rPr>
        <w:t>situation</w:t>
      </w:r>
      <w:r>
        <w:rPr>
          <w:spacing w:val="-3"/>
          <w:sz w:val="24"/>
        </w:rPr>
        <w:t> </w:t>
      </w:r>
      <w:r>
        <w:rPr>
          <w:sz w:val="24"/>
        </w:rPr>
        <w:t>does</w:t>
      </w:r>
      <w:r>
        <w:rPr>
          <w:spacing w:val="-2"/>
          <w:sz w:val="24"/>
        </w:rPr>
        <w:t> </w:t>
      </w:r>
      <w:r>
        <w:rPr>
          <w:sz w:val="24"/>
        </w:rPr>
        <w:t>not</w:t>
      </w:r>
      <w:r>
        <w:rPr>
          <w:spacing w:val="-2"/>
          <w:sz w:val="24"/>
        </w:rPr>
        <w:t> </w:t>
      </w:r>
      <w:r>
        <w:rPr>
          <w:sz w:val="24"/>
        </w:rPr>
        <w:t>seem</w:t>
      </w:r>
      <w:r>
        <w:rPr>
          <w:spacing w:val="-4"/>
          <w:sz w:val="24"/>
        </w:rPr>
        <w:t> </w:t>
      </w:r>
      <w:r>
        <w:rPr>
          <w:sz w:val="24"/>
        </w:rPr>
        <w:t>to</w:t>
      </w:r>
      <w:r>
        <w:rPr>
          <w:spacing w:val="-2"/>
          <w:sz w:val="24"/>
        </w:rPr>
        <w:t> </w:t>
      </w:r>
      <w:r>
        <w:rPr>
          <w:sz w:val="24"/>
        </w:rPr>
        <w:t>be practicable in the near future. All the same, it is important that a serious beginning is made immediately. Our proposals attempt to indicate a feasible programme of action which may well lay the foundation for a more massive attack on the problem to be made in later years. There is much in the field that we could learn from the educationally advanced countries which in recent years have developed new methods and techniques, based on advances in science and medicine.</w:t>
      </w:r>
    </w:p>
    <w:p>
      <w:pPr>
        <w:pStyle w:val="BodyText"/>
        <w:spacing w:before="3"/>
      </w:pPr>
    </w:p>
    <w:p>
      <w:pPr>
        <w:pStyle w:val="ListParagraph"/>
        <w:numPr>
          <w:ilvl w:val="1"/>
          <w:numId w:val="119"/>
        </w:numPr>
        <w:tabs>
          <w:tab w:pos="732" w:val="left" w:leader="none"/>
        </w:tabs>
        <w:spacing w:line="240" w:lineRule="auto" w:before="0" w:after="0"/>
        <w:ind w:left="160" w:right="496" w:firstLine="0"/>
        <w:jc w:val="both"/>
        <w:rPr>
          <w:b/>
          <w:sz w:val="24"/>
        </w:rPr>
      </w:pPr>
      <w:r>
        <w:rPr>
          <w:b/>
          <w:sz w:val="24"/>
        </w:rPr>
        <w:t>Scope and Size of the Programme. </w:t>
      </w:r>
      <w:r>
        <w:rPr>
          <w:sz w:val="24"/>
        </w:rPr>
        <w:t>The primary task of education for a handicapped child is to prepare him for adjustment to a socio-cultural environment designed to meet the needs of the normal. It is essential, therefore, that the education of handicapped children should be an inseparable part of the general educational system.</w:t>
      </w:r>
      <w:r>
        <w:rPr>
          <w:spacing w:val="40"/>
          <w:sz w:val="24"/>
        </w:rPr>
        <w:t> </w:t>
      </w:r>
      <w:r>
        <w:rPr>
          <w:sz w:val="24"/>
        </w:rPr>
        <w:t>The differences lie in the methods employed to teach the child and the means the child uses</w:t>
      </w:r>
      <w:r>
        <w:rPr>
          <w:spacing w:val="40"/>
          <w:sz w:val="24"/>
        </w:rPr>
        <w:t> </w:t>
      </w:r>
      <w:r>
        <w:rPr>
          <w:sz w:val="24"/>
        </w:rPr>
        <w:t>to</w:t>
      </w:r>
      <w:r>
        <w:rPr>
          <w:spacing w:val="40"/>
          <w:sz w:val="24"/>
        </w:rPr>
        <w:t> </w:t>
      </w:r>
      <w:r>
        <w:rPr>
          <w:sz w:val="24"/>
        </w:rPr>
        <w:t>acquire</w:t>
      </w:r>
      <w:r>
        <w:rPr>
          <w:spacing w:val="40"/>
          <w:sz w:val="24"/>
        </w:rPr>
        <w:t> </w:t>
      </w:r>
      <w:r>
        <w:rPr>
          <w:sz w:val="24"/>
        </w:rPr>
        <w:t>information.</w:t>
      </w:r>
      <w:r>
        <w:rPr>
          <w:spacing w:val="40"/>
          <w:sz w:val="24"/>
        </w:rPr>
        <w:t> </w:t>
      </w:r>
      <w:r>
        <w:rPr>
          <w:sz w:val="24"/>
        </w:rPr>
        <w:t>These</w:t>
      </w:r>
      <w:r>
        <w:rPr>
          <w:spacing w:val="40"/>
          <w:sz w:val="24"/>
        </w:rPr>
        <w:t> </w:t>
      </w:r>
      <w:r>
        <w:rPr>
          <w:sz w:val="24"/>
        </w:rPr>
        <w:t>differences</w:t>
      </w:r>
      <w:r>
        <w:rPr>
          <w:spacing w:val="40"/>
          <w:sz w:val="24"/>
        </w:rPr>
        <w:t> </w:t>
      </w:r>
      <w:r>
        <w:rPr>
          <w:sz w:val="24"/>
        </w:rPr>
        <w:t>in</w:t>
      </w:r>
      <w:r>
        <w:rPr>
          <w:spacing w:val="40"/>
          <w:sz w:val="24"/>
        </w:rPr>
        <w:t> </w:t>
      </w:r>
      <w:r>
        <w:rPr>
          <w:sz w:val="24"/>
        </w:rPr>
        <w:t>methodology</w:t>
      </w:r>
      <w:r>
        <w:rPr>
          <w:spacing w:val="40"/>
          <w:sz w:val="24"/>
        </w:rPr>
        <w:t> </w:t>
      </w:r>
      <w:r>
        <w:rPr>
          <w:sz w:val="24"/>
        </w:rPr>
        <w:t>do</w:t>
      </w:r>
      <w:r>
        <w:rPr>
          <w:spacing w:val="40"/>
          <w:sz w:val="24"/>
        </w:rPr>
        <w:t> </w:t>
      </w:r>
      <w:r>
        <w:rPr>
          <w:sz w:val="24"/>
        </w:rPr>
        <w:t>not</w:t>
      </w:r>
      <w:r>
        <w:rPr>
          <w:spacing w:val="40"/>
          <w:sz w:val="24"/>
        </w:rPr>
        <w:t> </w:t>
      </w:r>
      <w:r>
        <w:rPr>
          <w:sz w:val="24"/>
        </w:rPr>
        <w:t>influence</w:t>
      </w:r>
      <w:r>
        <w:rPr>
          <w:spacing w:val="40"/>
          <w:sz w:val="24"/>
        </w:rPr>
        <w:t> </w:t>
      </w:r>
      <w:r>
        <w:rPr>
          <w:sz w:val="24"/>
        </w:rPr>
        <w:t>the</w:t>
      </w:r>
    </w:p>
    <w:p>
      <w:pPr>
        <w:spacing w:after="0" w:line="240" w:lineRule="auto"/>
        <w:jc w:val="both"/>
        <w:rPr>
          <w:sz w:val="24"/>
        </w:rPr>
        <w:sectPr>
          <w:pgSz w:w="12240" w:h="15840"/>
          <w:pgMar w:header="0" w:footer="743" w:top="1360" w:bottom="940" w:left="1640" w:right="1300"/>
        </w:sectPr>
      </w:pPr>
    </w:p>
    <w:p>
      <w:pPr>
        <w:pStyle w:val="BodyText"/>
        <w:spacing w:before="76"/>
        <w:ind w:left="159"/>
      </w:pPr>
      <w:r>
        <w:rPr/>
        <w:t>content</w:t>
      </w:r>
      <w:r>
        <w:rPr>
          <w:spacing w:val="40"/>
        </w:rPr>
        <w:t> </w:t>
      </w:r>
      <w:r>
        <w:rPr/>
        <w:t>or</w:t>
      </w:r>
      <w:r>
        <w:rPr>
          <w:spacing w:val="40"/>
        </w:rPr>
        <w:t> </w:t>
      </w:r>
      <w:r>
        <w:rPr/>
        <w:t>the</w:t>
      </w:r>
      <w:r>
        <w:rPr>
          <w:spacing w:val="40"/>
        </w:rPr>
        <w:t> </w:t>
      </w:r>
      <w:r>
        <w:rPr/>
        <w:t>goals</w:t>
      </w:r>
      <w:r>
        <w:rPr>
          <w:spacing w:val="40"/>
        </w:rPr>
        <w:t> </w:t>
      </w:r>
      <w:r>
        <w:rPr/>
        <w:t>of</w:t>
      </w:r>
      <w:r>
        <w:rPr>
          <w:spacing w:val="40"/>
        </w:rPr>
        <w:t> </w:t>
      </w:r>
      <w:r>
        <w:rPr/>
        <w:t>education.</w:t>
      </w:r>
      <w:r>
        <w:rPr>
          <w:spacing w:val="40"/>
        </w:rPr>
        <w:t> </w:t>
      </w:r>
      <w:r>
        <w:rPr/>
        <w:t>This</w:t>
      </w:r>
      <w:r>
        <w:rPr>
          <w:spacing w:val="40"/>
        </w:rPr>
        <w:t> </w:t>
      </w:r>
      <w:r>
        <w:rPr/>
        <w:t>form</w:t>
      </w:r>
      <w:r>
        <w:rPr>
          <w:spacing w:val="40"/>
        </w:rPr>
        <w:t> </w:t>
      </w:r>
      <w:r>
        <w:rPr/>
        <w:t>of</w:t>
      </w:r>
      <w:r>
        <w:rPr>
          <w:spacing w:val="40"/>
        </w:rPr>
        <w:t> </w:t>
      </w:r>
      <w:r>
        <w:rPr/>
        <w:t>education</w:t>
      </w:r>
      <w:r>
        <w:rPr>
          <w:spacing w:val="40"/>
        </w:rPr>
        <w:t> </w:t>
      </w:r>
      <w:r>
        <w:rPr/>
        <w:t>is,</w:t>
      </w:r>
      <w:r>
        <w:rPr>
          <w:spacing w:val="40"/>
        </w:rPr>
        <w:t> </w:t>
      </w:r>
      <w:r>
        <w:rPr/>
        <w:t>therefore,</w:t>
      </w:r>
      <w:r>
        <w:rPr>
          <w:spacing w:val="40"/>
        </w:rPr>
        <w:t> </w:t>
      </w:r>
      <w:r>
        <w:rPr/>
        <w:t>conveniently referred to as `special education'.</w:t>
      </w:r>
    </w:p>
    <w:p>
      <w:pPr>
        <w:pStyle w:val="BodyText"/>
        <w:spacing w:before="4"/>
      </w:pPr>
    </w:p>
    <w:p>
      <w:pPr>
        <w:pStyle w:val="ListParagraph"/>
        <w:numPr>
          <w:ilvl w:val="1"/>
          <w:numId w:val="119"/>
        </w:numPr>
        <w:tabs>
          <w:tab w:pos="696" w:val="left" w:leader="none"/>
        </w:tabs>
        <w:spacing w:line="240" w:lineRule="auto" w:before="0" w:after="0"/>
        <w:ind w:left="159" w:right="494" w:firstLine="0"/>
        <w:jc w:val="both"/>
        <w:rPr>
          <w:sz w:val="24"/>
        </w:rPr>
      </w:pPr>
      <w:r>
        <w:rPr>
          <w:sz w:val="24"/>
        </w:rPr>
        <w:t>Determination of the size of the handicapped population has eluded educators, planners and social workers not only in this country but also in many of the economically advanced countries. For instance, even the United States does not have a reliable estimate of</w:t>
      </w:r>
      <w:r>
        <w:rPr>
          <w:spacing w:val="-1"/>
          <w:sz w:val="24"/>
        </w:rPr>
        <w:t> </w:t>
      </w:r>
      <w:r>
        <w:rPr>
          <w:sz w:val="24"/>
        </w:rPr>
        <w:t>the</w:t>
      </w:r>
      <w:r>
        <w:rPr>
          <w:spacing w:val="-1"/>
          <w:sz w:val="24"/>
        </w:rPr>
        <w:t> </w:t>
      </w:r>
      <w:r>
        <w:rPr>
          <w:sz w:val="24"/>
        </w:rPr>
        <w:t>number</w:t>
      </w:r>
      <w:r>
        <w:rPr>
          <w:spacing w:val="-1"/>
          <w:sz w:val="24"/>
        </w:rPr>
        <w:t> </w:t>
      </w:r>
      <w:r>
        <w:rPr>
          <w:sz w:val="24"/>
        </w:rPr>
        <w:t>of</w:t>
      </w:r>
      <w:r>
        <w:rPr>
          <w:spacing w:val="-1"/>
          <w:sz w:val="24"/>
        </w:rPr>
        <w:t> </w:t>
      </w:r>
      <w:r>
        <w:rPr>
          <w:sz w:val="24"/>
        </w:rPr>
        <w:t>handicapped</w:t>
      </w:r>
      <w:r>
        <w:rPr>
          <w:spacing w:val="-1"/>
          <w:sz w:val="24"/>
        </w:rPr>
        <w:t> </w:t>
      </w:r>
      <w:r>
        <w:rPr>
          <w:sz w:val="24"/>
        </w:rPr>
        <w:t>children.</w:t>
      </w:r>
      <w:r>
        <w:rPr>
          <w:spacing w:val="-1"/>
          <w:sz w:val="24"/>
        </w:rPr>
        <w:t> </w:t>
      </w:r>
      <w:r>
        <w:rPr>
          <w:sz w:val="24"/>
        </w:rPr>
        <w:t>From</w:t>
      </w:r>
      <w:r>
        <w:rPr>
          <w:spacing w:val="-3"/>
          <w:sz w:val="24"/>
        </w:rPr>
        <w:t> </w:t>
      </w:r>
      <w:r>
        <w:rPr>
          <w:sz w:val="24"/>
        </w:rPr>
        <w:t>the</w:t>
      </w:r>
      <w:r>
        <w:rPr>
          <w:spacing w:val="-1"/>
          <w:sz w:val="24"/>
        </w:rPr>
        <w:t> </w:t>
      </w:r>
      <w:r>
        <w:rPr>
          <w:sz w:val="24"/>
        </w:rPr>
        <w:t>available</w:t>
      </w:r>
      <w:r>
        <w:rPr>
          <w:spacing w:val="-1"/>
          <w:sz w:val="24"/>
        </w:rPr>
        <w:t> </w:t>
      </w:r>
      <w:r>
        <w:rPr>
          <w:sz w:val="24"/>
        </w:rPr>
        <w:t>evidence,</w:t>
      </w:r>
      <w:r>
        <w:rPr>
          <w:spacing w:val="-1"/>
          <w:sz w:val="24"/>
        </w:rPr>
        <w:t> </w:t>
      </w:r>
      <w:r>
        <w:rPr>
          <w:sz w:val="24"/>
        </w:rPr>
        <w:t>it</w:t>
      </w:r>
      <w:r>
        <w:rPr>
          <w:spacing w:val="-1"/>
          <w:sz w:val="24"/>
        </w:rPr>
        <w:t> </w:t>
      </w:r>
      <w:r>
        <w:rPr>
          <w:sz w:val="24"/>
        </w:rPr>
        <w:t>appears,</w:t>
      </w:r>
      <w:r>
        <w:rPr>
          <w:spacing w:val="-1"/>
          <w:sz w:val="24"/>
        </w:rPr>
        <w:t> </w:t>
      </w:r>
      <w:r>
        <w:rPr>
          <w:sz w:val="24"/>
        </w:rPr>
        <w:t>however, that the total population in the following categories is about 2.5 million in our country.</w:t>
      </w:r>
    </w:p>
    <w:p>
      <w:pPr>
        <w:pStyle w:val="BodyText"/>
        <w:spacing w:before="5"/>
      </w:pPr>
    </w:p>
    <w:p>
      <w:pPr>
        <w:pStyle w:val="ListParagraph"/>
        <w:numPr>
          <w:ilvl w:val="0"/>
          <w:numId w:val="120"/>
        </w:numPr>
        <w:tabs>
          <w:tab w:pos="514" w:val="left" w:leader="none"/>
        </w:tabs>
        <w:spacing w:line="240" w:lineRule="auto" w:before="0" w:after="0"/>
        <w:ind w:left="160" w:right="496" w:firstLine="0"/>
        <w:jc w:val="both"/>
        <w:rPr>
          <w:sz w:val="24"/>
        </w:rPr>
      </w:pPr>
      <w:r>
        <w:rPr>
          <w:b/>
          <w:sz w:val="24"/>
        </w:rPr>
        <w:t>The Blind. </w:t>
      </w:r>
      <w:r>
        <w:rPr>
          <w:sz w:val="24"/>
        </w:rPr>
        <w:t>A recent survey undertaken under the auspices of the Ministry of Health has, however, suggested that the number of blind persons might be of the order of four million. This is also the estimate of the Royal Commonwealth Society for the Blind, London. The number of children of school age is estimated at 400,000.</w:t>
      </w:r>
    </w:p>
    <w:p>
      <w:pPr>
        <w:pStyle w:val="BodyText"/>
        <w:spacing w:before="4"/>
      </w:pPr>
    </w:p>
    <w:p>
      <w:pPr>
        <w:pStyle w:val="ListParagraph"/>
        <w:numPr>
          <w:ilvl w:val="0"/>
          <w:numId w:val="120"/>
        </w:numPr>
        <w:tabs>
          <w:tab w:pos="544" w:val="left" w:leader="none"/>
        </w:tabs>
        <w:spacing w:line="240" w:lineRule="auto" w:before="0" w:after="0"/>
        <w:ind w:left="160" w:right="497" w:firstLine="0"/>
        <w:jc w:val="both"/>
        <w:rPr>
          <w:sz w:val="24"/>
        </w:rPr>
      </w:pPr>
      <w:r>
        <w:rPr>
          <w:b/>
          <w:sz w:val="24"/>
        </w:rPr>
        <w:t>The Deaf. </w:t>
      </w:r>
      <w:r>
        <w:rPr>
          <w:sz w:val="24"/>
        </w:rPr>
        <w:t>No national survey of the incidence of deafness has been undertaken. Estimates based on a few sample surveys would seem to indicate that the number of deaf persons in the country maybe anywhere between 1 million and 1.5 Million. The number of children of school-going age is believed to be about 300,000.</w:t>
      </w:r>
    </w:p>
    <w:p>
      <w:pPr>
        <w:pStyle w:val="BodyText"/>
        <w:spacing w:before="3"/>
      </w:pPr>
    </w:p>
    <w:p>
      <w:pPr>
        <w:pStyle w:val="ListParagraph"/>
        <w:numPr>
          <w:ilvl w:val="0"/>
          <w:numId w:val="120"/>
        </w:numPr>
        <w:tabs>
          <w:tab w:pos="597" w:val="left" w:leader="none"/>
        </w:tabs>
        <w:spacing w:line="240" w:lineRule="auto" w:before="0" w:after="0"/>
        <w:ind w:left="160" w:right="497" w:firstLine="0"/>
        <w:jc w:val="both"/>
        <w:rPr>
          <w:sz w:val="24"/>
        </w:rPr>
      </w:pPr>
      <w:r>
        <w:rPr>
          <w:b/>
          <w:sz w:val="24"/>
        </w:rPr>
        <w:t>The Orthopaedically Handicapped. </w:t>
      </w:r>
      <w:r>
        <w:rPr>
          <w:sz w:val="24"/>
        </w:rPr>
        <w:t>No national survey of this category </w:t>
      </w:r>
      <w:r>
        <w:rPr>
          <w:sz w:val="24"/>
        </w:rPr>
        <w:t>of handicapped persons has yet been undertaken. Again, based on a few sample surveys, it would appear that the number of orthopaedically handicapped children in the country is about the same as that of the blind.</w:t>
      </w:r>
    </w:p>
    <w:p>
      <w:pPr>
        <w:pStyle w:val="BodyText"/>
        <w:spacing w:before="4"/>
      </w:pPr>
    </w:p>
    <w:p>
      <w:pPr>
        <w:pStyle w:val="ListParagraph"/>
        <w:numPr>
          <w:ilvl w:val="0"/>
          <w:numId w:val="120"/>
        </w:numPr>
        <w:tabs>
          <w:tab w:pos="535" w:val="left" w:leader="none"/>
        </w:tabs>
        <w:spacing w:line="240" w:lineRule="auto" w:before="0" w:after="0"/>
        <w:ind w:left="160" w:right="496" w:firstLine="0"/>
        <w:jc w:val="both"/>
        <w:rPr>
          <w:sz w:val="24"/>
        </w:rPr>
      </w:pPr>
      <w:r>
        <w:rPr>
          <w:b/>
          <w:sz w:val="24"/>
        </w:rPr>
        <w:t>The Mentally Retarded. </w:t>
      </w:r>
      <w:r>
        <w:rPr>
          <w:sz w:val="24"/>
        </w:rPr>
        <w:t>Mental retardation is a complex concept influenced to a large extent by cultural factors and its determination involves the administration of sophisticated psychological tests. It is, therefore, difficult to estimate the number of such children in the country. Here again, estimates based on somewhat inadequate sample surveys seem to suggest that the country may have between 1.4 million and 1.8 million mentally retarded children.</w:t>
      </w:r>
    </w:p>
    <w:p>
      <w:pPr>
        <w:pStyle w:val="BodyText"/>
        <w:spacing w:before="5"/>
      </w:pPr>
    </w:p>
    <w:p>
      <w:pPr>
        <w:pStyle w:val="BodyText"/>
        <w:spacing w:line="275" w:lineRule="exact"/>
        <w:ind w:left="290" w:right="630"/>
        <w:jc w:val="center"/>
      </w:pPr>
      <w:r>
        <w:rPr/>
        <w:t>Briefly,</w:t>
      </w:r>
      <w:r>
        <w:rPr>
          <w:spacing w:val="-2"/>
        </w:rPr>
        <w:t> </w:t>
      </w:r>
      <w:r>
        <w:rPr/>
        <w:t>the</w:t>
      </w:r>
      <w:r>
        <w:rPr>
          <w:spacing w:val="-1"/>
        </w:rPr>
        <w:t> </w:t>
      </w:r>
      <w:r>
        <w:rPr/>
        <w:t>position</w:t>
      </w:r>
      <w:r>
        <w:rPr>
          <w:spacing w:val="-1"/>
        </w:rPr>
        <w:t> </w:t>
      </w:r>
      <w:r>
        <w:rPr/>
        <w:t>is</w:t>
      </w:r>
      <w:r>
        <w:rPr>
          <w:spacing w:val="-1"/>
        </w:rPr>
        <w:t> </w:t>
      </w:r>
      <w:r>
        <w:rPr/>
        <w:t>summed</w:t>
      </w:r>
      <w:r>
        <w:rPr>
          <w:spacing w:val="-2"/>
        </w:rPr>
        <w:t> </w:t>
      </w:r>
      <w:r>
        <w:rPr/>
        <w:t>is</w:t>
      </w:r>
      <w:r>
        <w:rPr>
          <w:spacing w:val="-1"/>
        </w:rPr>
        <w:t> </w:t>
      </w:r>
      <w:r>
        <w:rPr/>
        <w:t>up</w:t>
      </w:r>
      <w:r>
        <w:rPr>
          <w:spacing w:val="-1"/>
        </w:rPr>
        <w:t> </w:t>
      </w:r>
      <w:r>
        <w:rPr/>
        <w:t>below</w:t>
      </w:r>
      <w:r>
        <w:rPr>
          <w:spacing w:val="-1"/>
        </w:rPr>
        <w:t> </w:t>
      </w:r>
      <w:r>
        <w:rPr>
          <w:spacing w:val="-10"/>
        </w:rPr>
        <w:t>:</w:t>
      </w:r>
    </w:p>
    <w:p>
      <w:pPr>
        <w:pStyle w:val="BodyText"/>
        <w:spacing w:line="275" w:lineRule="exact"/>
        <w:ind w:left="291" w:right="629"/>
        <w:jc w:val="center"/>
      </w:pPr>
      <w:r>
        <w:rPr/>
        <mc:AlternateContent>
          <mc:Choice Requires="wps">
            <w:drawing>
              <wp:anchor distT="0" distB="0" distL="0" distR="0" allowOverlap="1" layoutInCell="1" locked="0" behindDoc="0" simplePos="0" relativeHeight="15764992">
                <wp:simplePos x="0" y="0"/>
                <wp:positionH relativeFrom="page">
                  <wp:posOffset>6626352</wp:posOffset>
                </wp:positionH>
                <wp:positionV relativeFrom="paragraph">
                  <wp:posOffset>300696</wp:posOffset>
                </wp:positionV>
                <wp:extent cx="3175" cy="1651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23.676907pt;width:.25pt;height:1.3pt;mso-position-horizontal-relative:page;mso-position-vertical-relative:paragraph;z-index:15764992" id="docshape357" coordorigin="10435,474" coordsize="5,26" path="m10440,474l10435,474,10435,478,10435,499,10440,499,10440,478,10440,474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6626352</wp:posOffset>
                </wp:positionH>
                <wp:positionV relativeFrom="paragraph">
                  <wp:posOffset>826476</wp:posOffset>
                </wp:positionV>
                <wp:extent cx="3175" cy="16510"/>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65.076912pt;width:.25pt;height:1.3pt;mso-position-horizontal-relative:page;mso-position-vertical-relative:paragraph;z-index:15765504" id="docshape358" coordorigin="10435,1302" coordsize="5,26" path="m10440,1302l10435,1302,10435,1306,10435,1327,10440,1327,10440,1306,10440,1302xe" filled="true" fillcolor="#f1efe2" stroked="false">
                <v:path arrowok="t"/>
                <v:fill type="solid"/>
                <w10:wrap type="none"/>
              </v:shape>
            </w:pict>
          </mc:Fallback>
        </mc:AlternateContent>
      </w:r>
      <w:r>
        <w:rPr/>
        <w:t>TABLE</w:t>
      </w:r>
      <w:r>
        <w:rPr>
          <w:spacing w:val="-6"/>
        </w:rPr>
        <w:t> </w:t>
      </w:r>
      <w:r>
        <w:rPr/>
        <w:t>6.6.</w:t>
      </w:r>
      <w:r>
        <w:rPr>
          <w:spacing w:val="-6"/>
        </w:rPr>
        <w:t> </w:t>
      </w:r>
      <w:r>
        <w:rPr/>
        <w:t>ESTIMATED</w:t>
      </w:r>
      <w:r>
        <w:rPr>
          <w:spacing w:val="-6"/>
        </w:rPr>
        <w:t> </w:t>
      </w:r>
      <w:r>
        <w:rPr/>
        <w:t>NUMBER</w:t>
      </w:r>
      <w:r>
        <w:rPr>
          <w:spacing w:val="-4"/>
        </w:rPr>
        <w:t> </w:t>
      </w:r>
      <w:r>
        <w:rPr/>
        <w:t>OF</w:t>
      </w:r>
      <w:r>
        <w:rPr>
          <w:spacing w:val="-5"/>
        </w:rPr>
        <w:t> </w:t>
      </w:r>
      <w:r>
        <w:rPr/>
        <w:t>HANDICAPPED</w:t>
      </w:r>
      <w:r>
        <w:rPr>
          <w:spacing w:val="-4"/>
        </w:rPr>
        <w:t> </w:t>
      </w:r>
      <w:r>
        <w:rPr>
          <w:spacing w:val="-2"/>
        </w:rPr>
        <w:t>CHILDREN</w:t>
      </w:r>
    </w:p>
    <w:p>
      <w:pPr>
        <w:pStyle w:val="BodyText"/>
        <w:spacing w:before="6"/>
        <w:rPr>
          <w:sz w:val="18"/>
        </w:rPr>
      </w:pP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4"/>
        <w:gridCol w:w="5154"/>
      </w:tblGrid>
      <w:tr>
        <w:trPr>
          <w:trHeight w:val="798" w:hRule="atLeast"/>
        </w:trPr>
        <w:tc>
          <w:tcPr>
            <w:tcW w:w="3484" w:type="dxa"/>
            <w:tcBorders>
              <w:top w:val="single" w:sz="12" w:space="0" w:color="808080"/>
              <w:bottom w:val="single" w:sz="12" w:space="0" w:color="808080"/>
            </w:tcBorders>
          </w:tcPr>
          <w:p>
            <w:pPr>
              <w:pStyle w:val="TableParagraph"/>
              <w:spacing w:before="48"/>
              <w:ind w:left="-1"/>
              <w:rPr>
                <w:sz w:val="24"/>
              </w:rPr>
            </w:pPr>
            <w:r>
              <w:rPr>
                <w:spacing w:val="-2"/>
                <w:sz w:val="24"/>
              </w:rPr>
              <w:t>Category</w:t>
            </w:r>
          </w:p>
        </w:tc>
        <w:tc>
          <w:tcPr>
            <w:tcW w:w="5154" w:type="dxa"/>
            <w:tcBorders>
              <w:top w:val="single" w:sz="12" w:space="0" w:color="808080"/>
              <w:bottom w:val="single" w:sz="12" w:space="0" w:color="808080"/>
            </w:tcBorders>
          </w:tcPr>
          <w:p>
            <w:pPr>
              <w:pStyle w:val="TableParagraph"/>
              <w:spacing w:before="48"/>
              <w:ind w:left="179" w:right="3218" w:hanging="1"/>
              <w:rPr>
                <w:sz w:val="24"/>
              </w:rPr>
            </w:pPr>
            <w:r>
              <w:rPr>
                <w:sz w:val="24"/>
              </w:rPr>
              <w:t>Estimated</w:t>
            </w:r>
            <w:r>
              <w:rPr>
                <w:spacing w:val="-15"/>
                <w:sz w:val="24"/>
              </w:rPr>
              <w:t> </w:t>
            </w:r>
            <w:r>
              <w:rPr>
                <w:sz w:val="24"/>
              </w:rPr>
              <w:t>number of children</w:t>
            </w:r>
          </w:p>
        </w:tc>
      </w:tr>
      <w:tr>
        <w:trPr>
          <w:trHeight w:val="329" w:hRule="atLeast"/>
        </w:trPr>
        <w:tc>
          <w:tcPr>
            <w:tcW w:w="3484" w:type="dxa"/>
            <w:tcBorders>
              <w:top w:val="single" w:sz="12" w:space="0" w:color="808080"/>
            </w:tcBorders>
          </w:tcPr>
          <w:p>
            <w:pPr>
              <w:pStyle w:val="TableParagraph"/>
              <w:spacing w:line="261" w:lineRule="exact" w:before="48"/>
              <w:ind w:left="-1"/>
              <w:rPr>
                <w:sz w:val="24"/>
              </w:rPr>
            </w:pPr>
            <w:r>
              <w:rPr>
                <w:sz w:val="24"/>
              </w:rPr>
              <w:t>The</w:t>
            </w:r>
            <w:r>
              <w:rPr>
                <w:spacing w:val="-1"/>
                <w:sz w:val="24"/>
              </w:rPr>
              <w:t> </w:t>
            </w:r>
            <w:r>
              <w:rPr>
                <w:spacing w:val="-2"/>
                <w:sz w:val="24"/>
              </w:rPr>
              <w:t>Blind</w:t>
            </w:r>
          </w:p>
        </w:tc>
        <w:tc>
          <w:tcPr>
            <w:tcW w:w="5154" w:type="dxa"/>
            <w:tcBorders>
              <w:top w:val="single" w:sz="12" w:space="0" w:color="808080"/>
            </w:tcBorders>
          </w:tcPr>
          <w:p>
            <w:pPr>
              <w:pStyle w:val="TableParagraph"/>
              <w:spacing w:line="261" w:lineRule="exact" w:before="48"/>
              <w:ind w:left="179"/>
              <w:rPr>
                <w:sz w:val="24"/>
              </w:rPr>
            </w:pPr>
            <w:r>
              <w:rPr>
                <w:spacing w:val="-2"/>
                <w:sz w:val="24"/>
              </w:rPr>
              <w:t>400,000</w:t>
            </w:r>
          </w:p>
        </w:tc>
      </w:tr>
      <w:tr>
        <w:trPr>
          <w:trHeight w:val="276" w:hRule="atLeast"/>
        </w:trPr>
        <w:tc>
          <w:tcPr>
            <w:tcW w:w="3484" w:type="dxa"/>
          </w:tcPr>
          <w:p>
            <w:pPr>
              <w:pStyle w:val="TableParagraph"/>
              <w:spacing w:line="256" w:lineRule="exact"/>
              <w:ind w:left="-1"/>
              <w:rPr>
                <w:sz w:val="24"/>
              </w:rPr>
            </w:pPr>
            <w:r>
              <w:rPr>
                <w:sz w:val="24"/>
              </w:rPr>
              <w:t>The </w:t>
            </w:r>
            <w:r>
              <w:rPr>
                <w:spacing w:val="-4"/>
                <w:sz w:val="24"/>
              </w:rPr>
              <w:t>Deaf</w:t>
            </w:r>
          </w:p>
        </w:tc>
        <w:tc>
          <w:tcPr>
            <w:tcW w:w="5154" w:type="dxa"/>
          </w:tcPr>
          <w:p>
            <w:pPr>
              <w:pStyle w:val="TableParagraph"/>
              <w:spacing w:line="256" w:lineRule="exact"/>
              <w:ind w:left="180"/>
              <w:rPr>
                <w:sz w:val="24"/>
              </w:rPr>
            </w:pPr>
            <w:r>
              <w:rPr>
                <w:spacing w:val="-2"/>
                <w:sz w:val="24"/>
              </w:rPr>
              <w:t>300,000</w:t>
            </w:r>
          </w:p>
        </w:tc>
      </w:tr>
      <w:tr>
        <w:trPr>
          <w:trHeight w:val="276" w:hRule="atLeast"/>
        </w:trPr>
        <w:tc>
          <w:tcPr>
            <w:tcW w:w="3484" w:type="dxa"/>
          </w:tcPr>
          <w:p>
            <w:pPr>
              <w:pStyle w:val="TableParagraph"/>
              <w:spacing w:line="256" w:lineRule="exact"/>
              <w:ind w:left="-1"/>
              <w:rPr>
                <w:sz w:val="24"/>
              </w:rPr>
            </w:pPr>
            <w:r>
              <w:rPr>
                <w:sz w:val="24"/>
              </w:rPr>
              <w:t>The</w:t>
            </w:r>
            <w:r>
              <w:rPr>
                <w:spacing w:val="-3"/>
                <w:sz w:val="24"/>
              </w:rPr>
              <w:t> </w:t>
            </w:r>
            <w:r>
              <w:rPr>
                <w:sz w:val="24"/>
              </w:rPr>
              <w:t>Orthopaedically</w:t>
            </w:r>
            <w:r>
              <w:rPr>
                <w:spacing w:val="-1"/>
                <w:sz w:val="24"/>
              </w:rPr>
              <w:t> </w:t>
            </w:r>
            <w:r>
              <w:rPr>
                <w:spacing w:val="-2"/>
                <w:sz w:val="24"/>
              </w:rPr>
              <w:t>Handicapped</w:t>
            </w:r>
          </w:p>
        </w:tc>
        <w:tc>
          <w:tcPr>
            <w:tcW w:w="5154" w:type="dxa"/>
          </w:tcPr>
          <w:p>
            <w:pPr>
              <w:pStyle w:val="TableParagraph"/>
              <w:spacing w:line="256" w:lineRule="exact"/>
              <w:ind w:left="180"/>
              <w:rPr>
                <w:sz w:val="24"/>
              </w:rPr>
            </w:pPr>
            <w:r>
              <w:rPr>
                <w:spacing w:val="-2"/>
                <w:sz w:val="24"/>
              </w:rPr>
              <w:t>400,000</w:t>
            </w:r>
          </w:p>
        </w:tc>
      </w:tr>
      <w:tr>
        <w:trPr>
          <w:trHeight w:val="276" w:hRule="atLeast"/>
        </w:trPr>
        <w:tc>
          <w:tcPr>
            <w:tcW w:w="3484" w:type="dxa"/>
          </w:tcPr>
          <w:p>
            <w:pPr>
              <w:pStyle w:val="TableParagraph"/>
              <w:spacing w:line="256" w:lineRule="exact"/>
              <w:ind w:left="-1"/>
              <w:rPr>
                <w:sz w:val="24"/>
              </w:rPr>
            </w:pPr>
            <w:r>
              <w:rPr>
                <w:sz w:val="24"/>
              </w:rPr>
              <w:t>The</w:t>
            </w:r>
            <w:r>
              <w:rPr>
                <w:spacing w:val="-1"/>
                <w:sz w:val="24"/>
              </w:rPr>
              <w:t> </w:t>
            </w:r>
            <w:r>
              <w:rPr>
                <w:sz w:val="24"/>
              </w:rPr>
              <w:t>Mentally</w:t>
            </w:r>
            <w:r>
              <w:rPr>
                <w:spacing w:val="-1"/>
                <w:sz w:val="24"/>
              </w:rPr>
              <w:t> </w:t>
            </w:r>
            <w:r>
              <w:rPr>
                <w:spacing w:val="-2"/>
                <w:sz w:val="24"/>
              </w:rPr>
              <w:t>Retarded</w:t>
            </w:r>
          </w:p>
        </w:tc>
        <w:tc>
          <w:tcPr>
            <w:tcW w:w="5154" w:type="dxa"/>
          </w:tcPr>
          <w:p>
            <w:pPr>
              <w:pStyle w:val="TableParagraph"/>
              <w:spacing w:line="256" w:lineRule="exact"/>
              <w:ind w:left="178"/>
              <w:rPr>
                <w:sz w:val="24"/>
              </w:rPr>
            </w:pPr>
            <w:r>
              <w:rPr>
                <w:spacing w:val="-2"/>
                <w:sz w:val="24"/>
              </w:rPr>
              <w:t>1,400,000</w:t>
            </w:r>
          </w:p>
        </w:tc>
      </w:tr>
      <w:tr>
        <w:trPr>
          <w:trHeight w:val="270" w:hRule="atLeast"/>
        </w:trPr>
        <w:tc>
          <w:tcPr>
            <w:tcW w:w="3484" w:type="dxa"/>
          </w:tcPr>
          <w:p>
            <w:pPr>
              <w:pStyle w:val="TableParagraph"/>
              <w:spacing w:line="251" w:lineRule="exact"/>
              <w:ind w:left="-1"/>
              <w:rPr>
                <w:sz w:val="24"/>
              </w:rPr>
            </w:pPr>
            <w:r>
              <w:rPr>
                <w:spacing w:val="-2"/>
                <w:sz w:val="24"/>
              </w:rPr>
              <w:t>TOTAL</w:t>
            </w:r>
          </w:p>
        </w:tc>
        <w:tc>
          <w:tcPr>
            <w:tcW w:w="5154" w:type="dxa"/>
          </w:tcPr>
          <w:p>
            <w:pPr>
              <w:pStyle w:val="TableParagraph"/>
              <w:spacing w:line="251" w:lineRule="exact"/>
              <w:ind w:left="180"/>
              <w:rPr>
                <w:sz w:val="24"/>
              </w:rPr>
            </w:pPr>
            <w:r>
              <w:rPr>
                <w:spacing w:val="-2"/>
                <w:sz w:val="24"/>
              </w:rPr>
              <w:t>2,500,000</w:t>
            </w:r>
          </w:p>
        </w:tc>
      </w:tr>
    </w:tbl>
    <w:p>
      <w:pPr>
        <w:pStyle w:val="BodyText"/>
        <w:spacing w:before="10"/>
        <w:rPr>
          <w:sz w:val="13"/>
        </w:rPr>
      </w:pPr>
      <w:r>
        <w:rPr/>
        <mc:AlternateContent>
          <mc:Choice Requires="wps">
            <w:drawing>
              <wp:anchor distT="0" distB="0" distL="0" distR="0" allowOverlap="1" layoutInCell="1" locked="0" behindDoc="1" simplePos="0" relativeHeight="487623680">
                <wp:simplePos x="0" y="0"/>
                <wp:positionH relativeFrom="page">
                  <wp:posOffset>1143000</wp:posOffset>
                </wp:positionH>
                <wp:positionV relativeFrom="paragraph">
                  <wp:posOffset>116514</wp:posOffset>
                </wp:positionV>
                <wp:extent cx="5486400" cy="19050"/>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5486400" cy="19050"/>
                          <a:chExt cx="5486400" cy="19050"/>
                        </a:xfrm>
                      </wpg:grpSpPr>
                      <wps:wsp>
                        <wps:cNvPr id="374" name="Graphic 374"/>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375" name="Graphic 375"/>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76" name="Graphic 376"/>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77" name="Graphic 377"/>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78" name="Graphic 378"/>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79" name="Graphic 379"/>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380" name="Graphic 380"/>
                        <wps:cNvSpPr/>
                        <wps:spPr>
                          <a:xfrm>
                            <a:off x="0" y="16001"/>
                            <a:ext cx="5486400" cy="3175"/>
                          </a:xfrm>
                          <a:custGeom>
                            <a:avLst/>
                            <a:gdLst/>
                            <a:ahLst/>
                            <a:cxnLst/>
                            <a:rect l="l" t="t" r="r" b="b"/>
                            <a:pathLst>
                              <a:path w="5486400" h="3175">
                                <a:moveTo>
                                  <a:pt x="5486400" y="0"/>
                                </a:moveTo>
                                <a:lnTo>
                                  <a:pt x="5483352" y="0"/>
                                </a:lnTo>
                                <a:lnTo>
                                  <a:pt x="0" y="0"/>
                                </a:lnTo>
                                <a:lnTo>
                                  <a:pt x="0" y="3060"/>
                                </a:lnTo>
                                <a:lnTo>
                                  <a:pt x="5483352" y="3060"/>
                                </a:lnTo>
                                <a:lnTo>
                                  <a:pt x="5486387" y="3060"/>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174365pt;width:432pt;height:1.5pt;mso-position-horizontal-relative:page;mso-position-vertical-relative:paragraph;z-index:-15692800;mso-wrap-distance-left:0;mso-wrap-distance-right:0" id="docshapegroup359" coordorigin="1800,183" coordsize="8640,30">
                <v:rect style="position:absolute;left:1800;top:183;width:8640;height:30" id="docshape360" filled="true" fillcolor="#808080" stroked="false">
                  <v:fill type="solid"/>
                </v:rect>
                <v:shape style="position:absolute;left:1800;top:183;width:8636;height:5" id="docshape361" coordorigin="1800,184" coordsize="8636,5" path="m10435,184l1805,184,1800,184,1800,188,1805,188,10435,188,10435,184xe" filled="true" fillcolor="#aca89a" stroked="false">
                  <v:path arrowok="t"/>
                  <v:fill type="solid"/>
                </v:shape>
                <v:rect style="position:absolute;left:10435;top:183;width:5;height:5" id="docshape362" filled="true" fillcolor="#f1efe2" stroked="false">
                  <v:fill type="solid"/>
                </v:rect>
                <v:shape style="position:absolute;left:1800;top:183;width:8640;height:26" id="docshape363" coordorigin="1800,184" coordsize="8640,26" path="m1805,188l1800,188,1800,209,1805,209,1805,188xm10440,184l10435,184,10435,188,10440,188,10440,184xe" filled="true" fillcolor="#aca89a" stroked="false">
                  <v:path arrowok="t"/>
                  <v:fill type="solid"/>
                </v:shape>
                <v:rect style="position:absolute;left:10435;top:188;width:5;height:21" id="docshape364" filled="true" fillcolor="#f1efe2" stroked="false">
                  <v:fill type="solid"/>
                </v:rect>
                <v:rect style="position:absolute;left:1800;top:208;width:5;height:5" id="docshape365" filled="true" fillcolor="#aca89a" stroked="false">
                  <v:fill type="solid"/>
                </v:rect>
                <v:shape style="position:absolute;left:1800;top:208;width:8640;height:5" id="docshape366" coordorigin="1800,209" coordsize="8640,5" path="m10440,209l10435,209,1800,209,1800,214,10435,214,10440,214,10440,209xe" filled="true" fillcolor="#f1efe2" stroked="false">
                  <v:path arrowok="t"/>
                  <v:fill type="solid"/>
                </v:shape>
                <w10:wrap type="topAndBottom"/>
              </v:group>
            </w:pict>
          </mc:Fallback>
        </mc:AlternateContent>
      </w:r>
    </w:p>
    <w:p>
      <w:pPr>
        <w:spacing w:after="0"/>
        <w:rPr>
          <w:sz w:val="13"/>
        </w:rPr>
        <w:sectPr>
          <w:pgSz w:w="12240" w:h="15840"/>
          <w:pgMar w:header="0" w:footer="743" w:top="1360" w:bottom="940" w:left="1640" w:right="1300"/>
        </w:sectPr>
      </w:pPr>
    </w:p>
    <w:p>
      <w:pPr>
        <w:pStyle w:val="ListParagraph"/>
        <w:numPr>
          <w:ilvl w:val="1"/>
          <w:numId w:val="119"/>
        </w:numPr>
        <w:tabs>
          <w:tab w:pos="671" w:val="left" w:leader="none"/>
        </w:tabs>
        <w:spacing w:line="240" w:lineRule="auto" w:before="78" w:after="0"/>
        <w:ind w:left="160" w:right="498" w:firstLine="0"/>
        <w:jc w:val="both"/>
        <w:rPr>
          <w:b/>
          <w:sz w:val="24"/>
        </w:rPr>
      </w:pPr>
      <w:r>
        <w:rPr>
          <w:b/>
          <w:sz w:val="24"/>
        </w:rPr>
        <w:t>Existing Educational Facilities</w:t>
      </w:r>
      <w:r>
        <w:rPr>
          <w:sz w:val="24"/>
        </w:rPr>
        <w:t>. The present position of educational facilities for these children is as follows:</w:t>
      </w:r>
    </w:p>
    <w:p>
      <w:pPr>
        <w:pStyle w:val="BodyText"/>
        <w:spacing w:before="2"/>
      </w:pPr>
    </w:p>
    <w:p>
      <w:pPr>
        <w:pStyle w:val="ListParagraph"/>
        <w:numPr>
          <w:ilvl w:val="0"/>
          <w:numId w:val="121"/>
        </w:numPr>
        <w:tabs>
          <w:tab w:pos="517" w:val="left" w:leader="none"/>
        </w:tabs>
        <w:spacing w:line="240" w:lineRule="auto" w:before="0" w:after="0"/>
        <w:ind w:left="159" w:right="496" w:firstLine="0"/>
        <w:jc w:val="both"/>
        <w:rPr>
          <w:sz w:val="24"/>
        </w:rPr>
      </w:pPr>
      <w:r>
        <w:rPr>
          <w:b/>
          <w:sz w:val="24"/>
        </w:rPr>
        <w:t>The Blind. </w:t>
      </w:r>
      <w:r>
        <w:rPr>
          <w:sz w:val="24"/>
        </w:rPr>
        <w:t>At present, there are about 115 schools and other establishments for the blind with an enrolment of 5,000 or a little over 1 per cent of the total number of blind children in the country. Most of these institutions impart primary education coupled with training in a few simple handicrafts. Music forms an integral part of the curriculum. The great</w:t>
      </w:r>
      <w:r>
        <w:rPr>
          <w:spacing w:val="-3"/>
          <w:sz w:val="24"/>
        </w:rPr>
        <w:t> </w:t>
      </w:r>
      <w:r>
        <w:rPr>
          <w:sz w:val="24"/>
        </w:rPr>
        <w:t>majority</w:t>
      </w:r>
      <w:r>
        <w:rPr>
          <w:spacing w:val="-3"/>
          <w:sz w:val="24"/>
        </w:rPr>
        <w:t> </w:t>
      </w:r>
      <w:r>
        <w:rPr>
          <w:sz w:val="24"/>
        </w:rPr>
        <w:t>of</w:t>
      </w:r>
      <w:r>
        <w:rPr>
          <w:spacing w:val="-3"/>
          <w:sz w:val="24"/>
        </w:rPr>
        <w:t> </w:t>
      </w:r>
      <w:r>
        <w:rPr>
          <w:sz w:val="24"/>
        </w:rPr>
        <w:t>the</w:t>
      </w:r>
      <w:r>
        <w:rPr>
          <w:spacing w:val="-3"/>
          <w:sz w:val="24"/>
        </w:rPr>
        <w:t> </w:t>
      </w:r>
      <w:r>
        <w:rPr>
          <w:sz w:val="24"/>
        </w:rPr>
        <w:t>existing</w:t>
      </w:r>
      <w:r>
        <w:rPr>
          <w:spacing w:val="-3"/>
          <w:sz w:val="24"/>
        </w:rPr>
        <w:t> </w:t>
      </w:r>
      <w:r>
        <w:rPr>
          <w:sz w:val="24"/>
        </w:rPr>
        <w:t>institutions</w:t>
      </w:r>
      <w:r>
        <w:rPr>
          <w:spacing w:val="-3"/>
          <w:sz w:val="24"/>
        </w:rPr>
        <w:t> </w:t>
      </w:r>
      <w:r>
        <w:rPr>
          <w:sz w:val="24"/>
        </w:rPr>
        <w:t>are</w:t>
      </w:r>
      <w:r>
        <w:rPr>
          <w:spacing w:val="-4"/>
          <w:sz w:val="24"/>
        </w:rPr>
        <w:t> </w:t>
      </w:r>
      <w:r>
        <w:rPr>
          <w:sz w:val="24"/>
        </w:rPr>
        <w:t>run</w:t>
      </w:r>
      <w:r>
        <w:rPr>
          <w:spacing w:val="-4"/>
          <w:sz w:val="24"/>
        </w:rPr>
        <w:t> </w:t>
      </w:r>
      <w:r>
        <w:rPr>
          <w:sz w:val="24"/>
        </w:rPr>
        <w:t>by</w:t>
      </w:r>
      <w:r>
        <w:rPr>
          <w:spacing w:val="-4"/>
          <w:sz w:val="24"/>
        </w:rPr>
        <w:t> </w:t>
      </w:r>
      <w:r>
        <w:rPr>
          <w:sz w:val="24"/>
        </w:rPr>
        <w:t>voluntary</w:t>
      </w:r>
      <w:r>
        <w:rPr>
          <w:spacing w:val="-4"/>
          <w:sz w:val="24"/>
        </w:rPr>
        <w:t> </w:t>
      </w:r>
      <w:r>
        <w:rPr>
          <w:sz w:val="24"/>
        </w:rPr>
        <w:t>agencies</w:t>
      </w:r>
      <w:r>
        <w:rPr>
          <w:spacing w:val="-2"/>
          <w:sz w:val="24"/>
        </w:rPr>
        <w:t> </w:t>
      </w:r>
      <w:r>
        <w:rPr>
          <w:sz w:val="24"/>
        </w:rPr>
        <w:t>but</w:t>
      </w:r>
      <w:r>
        <w:rPr>
          <w:spacing w:val="-3"/>
          <w:sz w:val="24"/>
        </w:rPr>
        <w:t> </w:t>
      </w:r>
      <w:r>
        <w:rPr>
          <w:sz w:val="24"/>
        </w:rPr>
        <w:t>are</w:t>
      </w:r>
      <w:r>
        <w:rPr>
          <w:spacing w:val="-3"/>
          <w:sz w:val="24"/>
        </w:rPr>
        <w:t> </w:t>
      </w:r>
      <w:r>
        <w:rPr>
          <w:sz w:val="24"/>
        </w:rPr>
        <w:t>assisted</w:t>
      </w:r>
      <w:r>
        <w:rPr>
          <w:spacing w:val="-3"/>
          <w:sz w:val="24"/>
        </w:rPr>
        <w:t> </w:t>
      </w:r>
      <w:r>
        <w:rPr>
          <w:sz w:val="24"/>
        </w:rPr>
        <w:t>by State</w:t>
      </w:r>
      <w:r>
        <w:rPr>
          <w:spacing w:val="-2"/>
          <w:sz w:val="24"/>
        </w:rPr>
        <w:t> </w:t>
      </w:r>
      <w:r>
        <w:rPr>
          <w:sz w:val="24"/>
        </w:rPr>
        <w:t>Governments.</w:t>
      </w:r>
      <w:r>
        <w:rPr>
          <w:spacing w:val="-2"/>
          <w:sz w:val="24"/>
        </w:rPr>
        <w:t> </w:t>
      </w:r>
      <w:r>
        <w:rPr>
          <w:sz w:val="24"/>
        </w:rPr>
        <w:t>The</w:t>
      </w:r>
      <w:r>
        <w:rPr>
          <w:spacing w:val="-2"/>
          <w:sz w:val="24"/>
        </w:rPr>
        <w:t> </w:t>
      </w:r>
      <w:r>
        <w:rPr>
          <w:sz w:val="24"/>
        </w:rPr>
        <w:t>Central</w:t>
      </w:r>
      <w:r>
        <w:rPr>
          <w:spacing w:val="-2"/>
          <w:sz w:val="24"/>
        </w:rPr>
        <w:t> </w:t>
      </w:r>
      <w:r>
        <w:rPr>
          <w:sz w:val="24"/>
        </w:rPr>
        <w:t>Government</w:t>
      </w:r>
      <w:r>
        <w:rPr>
          <w:spacing w:val="-5"/>
          <w:sz w:val="24"/>
        </w:rPr>
        <w:t> </w:t>
      </w:r>
      <w:r>
        <w:rPr>
          <w:sz w:val="24"/>
        </w:rPr>
        <w:t>has</w:t>
      </w:r>
      <w:r>
        <w:rPr>
          <w:spacing w:val="-2"/>
          <w:sz w:val="24"/>
        </w:rPr>
        <w:t> </w:t>
      </w:r>
      <w:r>
        <w:rPr>
          <w:sz w:val="24"/>
        </w:rPr>
        <w:t>set</w:t>
      </w:r>
      <w:r>
        <w:rPr>
          <w:spacing w:val="-2"/>
          <w:sz w:val="24"/>
        </w:rPr>
        <w:t> </w:t>
      </w:r>
      <w:r>
        <w:rPr>
          <w:sz w:val="24"/>
        </w:rPr>
        <w:t>up</w:t>
      </w:r>
      <w:r>
        <w:rPr>
          <w:spacing w:val="-2"/>
          <w:sz w:val="24"/>
        </w:rPr>
        <w:t> </w:t>
      </w:r>
      <w:r>
        <w:rPr>
          <w:sz w:val="24"/>
        </w:rPr>
        <w:t>a</w:t>
      </w:r>
      <w:r>
        <w:rPr>
          <w:spacing w:val="-2"/>
          <w:sz w:val="24"/>
        </w:rPr>
        <w:t> </w:t>
      </w:r>
      <w:r>
        <w:rPr>
          <w:sz w:val="24"/>
        </w:rPr>
        <w:t>comprehensive</w:t>
      </w:r>
      <w:r>
        <w:rPr>
          <w:spacing w:val="-2"/>
          <w:sz w:val="24"/>
        </w:rPr>
        <w:t> </w:t>
      </w:r>
      <w:r>
        <w:rPr>
          <w:sz w:val="24"/>
        </w:rPr>
        <w:t>National</w:t>
      </w:r>
      <w:r>
        <w:rPr>
          <w:spacing w:val="-2"/>
          <w:sz w:val="24"/>
        </w:rPr>
        <w:t> </w:t>
      </w:r>
      <w:r>
        <w:rPr>
          <w:sz w:val="24"/>
        </w:rPr>
        <w:t>Centre for the Blind at Dehra Dun. This Centre includes a Central Braille Press which publishes textbooks and other reading material in Braille. The Centre also has a workshop for the manufacture of Braille appliances, which produces the basic equipment needed for the education of the blind. There are three centres for the training of teachers of the blind sponsored by the Government of India and they can train between 30 and 40 teachers annually. In addition, the Governments of Madras and Andhra Pradesh conduct courses for training teachers when needed.</w:t>
      </w:r>
    </w:p>
    <w:p>
      <w:pPr>
        <w:pStyle w:val="BodyText"/>
        <w:spacing w:before="4"/>
      </w:pPr>
    </w:p>
    <w:p>
      <w:pPr>
        <w:pStyle w:val="ListParagraph"/>
        <w:numPr>
          <w:ilvl w:val="0"/>
          <w:numId w:val="121"/>
        </w:numPr>
        <w:tabs>
          <w:tab w:pos="505" w:val="left" w:leader="none"/>
        </w:tabs>
        <w:spacing w:line="240" w:lineRule="auto" w:before="0" w:after="0"/>
        <w:ind w:left="159" w:right="497" w:firstLine="0"/>
        <w:jc w:val="both"/>
        <w:rPr>
          <w:sz w:val="24"/>
        </w:rPr>
      </w:pPr>
      <w:r>
        <w:rPr>
          <w:b/>
          <w:sz w:val="24"/>
        </w:rPr>
        <w:t>The Deaf </w:t>
      </w:r>
      <w:r>
        <w:rPr>
          <w:sz w:val="24"/>
        </w:rPr>
        <w:t>The number of schools for deaf children is about 70. Most of these schools provide primary education coupled with some pre-vocational training in engineering and non-engineering occupations. The majority are privately managed but are aided by the State Governments. The total enrolment is about 4,000 or a little over one per cent of the total population of such children. About half a dozen centres for the training of teachers</w:t>
      </w:r>
      <w:r>
        <w:rPr>
          <w:spacing w:val="40"/>
          <w:sz w:val="24"/>
        </w:rPr>
        <w:t> </w:t>
      </w:r>
      <w:r>
        <w:rPr>
          <w:sz w:val="24"/>
        </w:rPr>
        <w:t>of the deaf are functioning at present and can train 50 to 60 teachers per annum.</w:t>
      </w:r>
    </w:p>
    <w:p>
      <w:pPr>
        <w:pStyle w:val="BodyText"/>
        <w:spacing w:before="5"/>
      </w:pPr>
    </w:p>
    <w:p>
      <w:pPr>
        <w:pStyle w:val="ListParagraph"/>
        <w:numPr>
          <w:ilvl w:val="0"/>
          <w:numId w:val="121"/>
        </w:numPr>
        <w:tabs>
          <w:tab w:pos="507" w:val="left" w:leader="none"/>
        </w:tabs>
        <w:spacing w:line="240" w:lineRule="auto" w:before="0" w:after="0"/>
        <w:ind w:left="159" w:right="496" w:firstLine="0"/>
        <w:jc w:val="both"/>
        <w:rPr>
          <w:sz w:val="24"/>
        </w:rPr>
      </w:pPr>
      <w:r>
        <w:rPr>
          <w:b/>
          <w:sz w:val="24"/>
        </w:rPr>
        <w:t>The Orthopaedically Handicapped. </w:t>
      </w:r>
      <w:r>
        <w:rPr>
          <w:sz w:val="24"/>
        </w:rPr>
        <w:t>The major problem of this category of children is locomotor in character and they often attend ordinary schools. At present, there are about 25 institutions for such children with a total enrolment not exceeding about 1,000. Since most orthopaedically handicapped children do not present special educational problems, it is not considered necessary to have specially trained teachers for this category of children.</w:t>
      </w:r>
    </w:p>
    <w:p>
      <w:pPr>
        <w:pStyle w:val="BodyText"/>
        <w:spacing w:before="4"/>
      </w:pPr>
    </w:p>
    <w:p>
      <w:pPr>
        <w:pStyle w:val="ListParagraph"/>
        <w:numPr>
          <w:ilvl w:val="0"/>
          <w:numId w:val="121"/>
        </w:numPr>
        <w:tabs>
          <w:tab w:pos="571" w:val="left" w:leader="none"/>
        </w:tabs>
        <w:spacing w:line="240" w:lineRule="auto" w:before="0" w:after="0"/>
        <w:ind w:left="159" w:right="497" w:firstLine="0"/>
        <w:jc w:val="both"/>
        <w:rPr>
          <w:sz w:val="24"/>
        </w:rPr>
      </w:pPr>
      <w:r>
        <w:rPr>
          <w:b/>
          <w:sz w:val="24"/>
        </w:rPr>
        <w:t>The Mentally Retarded. </w:t>
      </w:r>
      <w:r>
        <w:rPr>
          <w:sz w:val="24"/>
        </w:rPr>
        <w:t>On account of its complexity, this aspect of special education has received very little attention. There are only about 27 schools for mentally retarded children with a total enrolment not exceeding 2,000. One of these schools is run by the Government of India. Two centres for the training of teachers of mentally retarded children are functioning at present and they can train about 20 teachers annually.</w:t>
      </w:r>
    </w:p>
    <w:p>
      <w:pPr>
        <w:pStyle w:val="BodyText"/>
        <w:spacing w:before="3"/>
      </w:pPr>
    </w:p>
    <w:p>
      <w:pPr>
        <w:pStyle w:val="BodyText"/>
        <w:spacing w:before="1"/>
        <w:ind w:left="159" w:right="496"/>
        <w:jc w:val="both"/>
      </w:pPr>
      <w:r>
        <w:rPr/>
        <w:t>At present, there are practically no facilities for the education of other categories of handicapped children. Some of the emotionally disturbed children are cared for in children's</w:t>
      </w:r>
      <w:r>
        <w:rPr>
          <w:spacing w:val="-2"/>
        </w:rPr>
        <w:t> </w:t>
      </w:r>
      <w:r>
        <w:rPr/>
        <w:t>homes</w:t>
      </w:r>
      <w:r>
        <w:rPr>
          <w:spacing w:val="-1"/>
        </w:rPr>
        <w:t> </w:t>
      </w:r>
      <w:r>
        <w:rPr/>
        <w:t>and</w:t>
      </w:r>
      <w:r>
        <w:rPr>
          <w:spacing w:val="-2"/>
        </w:rPr>
        <w:t> </w:t>
      </w:r>
      <w:r>
        <w:rPr/>
        <w:t>other</w:t>
      </w:r>
      <w:r>
        <w:rPr>
          <w:spacing w:val="-2"/>
        </w:rPr>
        <w:t> </w:t>
      </w:r>
      <w:r>
        <w:rPr/>
        <w:t>institutions</w:t>
      </w:r>
      <w:r>
        <w:rPr>
          <w:spacing w:val="-2"/>
        </w:rPr>
        <w:t> </w:t>
      </w:r>
      <w:r>
        <w:rPr/>
        <w:t>set</w:t>
      </w:r>
      <w:r>
        <w:rPr>
          <w:spacing w:val="-2"/>
        </w:rPr>
        <w:t> </w:t>
      </w:r>
      <w:r>
        <w:rPr/>
        <w:t>up</w:t>
      </w:r>
      <w:r>
        <w:rPr>
          <w:spacing w:val="-3"/>
        </w:rPr>
        <w:t> </w:t>
      </w:r>
      <w:r>
        <w:rPr/>
        <w:t>under</w:t>
      </w:r>
      <w:r>
        <w:rPr>
          <w:spacing w:val="-2"/>
        </w:rPr>
        <w:t> </w:t>
      </w:r>
      <w:r>
        <w:rPr/>
        <w:t>the</w:t>
      </w:r>
      <w:r>
        <w:rPr>
          <w:spacing w:val="-2"/>
        </w:rPr>
        <w:t> </w:t>
      </w:r>
      <w:r>
        <w:rPr/>
        <w:t>various</w:t>
      </w:r>
      <w:r>
        <w:rPr>
          <w:spacing w:val="-2"/>
        </w:rPr>
        <w:t> </w:t>
      </w:r>
      <w:r>
        <w:rPr/>
        <w:t>Children's</w:t>
      </w:r>
      <w:r>
        <w:rPr>
          <w:spacing w:val="-2"/>
        </w:rPr>
        <w:t> </w:t>
      </w:r>
      <w:r>
        <w:rPr/>
        <w:t>Acts.</w:t>
      </w:r>
      <w:r>
        <w:rPr>
          <w:spacing w:val="-2"/>
        </w:rPr>
        <w:t> </w:t>
      </w:r>
      <w:r>
        <w:rPr/>
        <w:t>As</w:t>
      </w:r>
      <w:r>
        <w:rPr>
          <w:spacing w:val="-2"/>
        </w:rPr>
        <w:t> </w:t>
      </w:r>
      <w:r>
        <w:rPr/>
        <w:t>a</w:t>
      </w:r>
      <w:r>
        <w:rPr>
          <w:spacing w:val="-2"/>
        </w:rPr>
        <w:t> </w:t>
      </w:r>
      <w:r>
        <w:rPr/>
        <w:t>rule, however, such homes are not intended primarily for the educational treatment of emotionally disturbed children.</w:t>
      </w:r>
    </w:p>
    <w:p>
      <w:pPr>
        <w:pStyle w:val="BodyText"/>
        <w:spacing w:before="3"/>
      </w:pPr>
    </w:p>
    <w:p>
      <w:pPr>
        <w:pStyle w:val="BodyText"/>
        <w:ind w:left="159" w:right="497"/>
        <w:jc w:val="both"/>
      </w:pPr>
      <w:r>
        <w:rPr/>
        <w:t>It is evident from the brief review given in the preceding paragraphs that the existing facilities are extremely inadequate. In certain cases, the foundation has been laid while in others we have to begin at the beginning. The importance of a carefully thought-out plan</w:t>
      </w:r>
    </w:p>
    <w:p>
      <w:pPr>
        <w:spacing w:after="0"/>
        <w:jc w:val="both"/>
        <w:sectPr>
          <w:pgSz w:w="12240" w:h="15840"/>
          <w:pgMar w:header="0" w:footer="743" w:top="1360" w:bottom="940" w:left="1640" w:right="1300"/>
        </w:sectPr>
      </w:pPr>
    </w:p>
    <w:p>
      <w:pPr>
        <w:pStyle w:val="BodyText"/>
        <w:spacing w:before="76"/>
        <w:ind w:left="160" w:right="499"/>
      </w:pPr>
      <w:r>
        <w:rPr/>
        <w:t>for</w:t>
      </w:r>
      <w:r>
        <w:rPr>
          <w:spacing w:val="37"/>
        </w:rPr>
        <w:t> </w:t>
      </w:r>
      <w:r>
        <w:rPr/>
        <w:t>the</w:t>
      </w:r>
      <w:r>
        <w:rPr>
          <w:spacing w:val="37"/>
        </w:rPr>
        <w:t> </w:t>
      </w:r>
      <w:r>
        <w:rPr/>
        <w:t>development</w:t>
      </w:r>
      <w:r>
        <w:rPr>
          <w:spacing w:val="37"/>
        </w:rPr>
        <w:t> </w:t>
      </w:r>
      <w:r>
        <w:rPr/>
        <w:t>of</w:t>
      </w:r>
      <w:r>
        <w:rPr>
          <w:spacing w:val="37"/>
        </w:rPr>
        <w:t> </w:t>
      </w:r>
      <w:r>
        <w:rPr/>
        <w:t>educational</w:t>
      </w:r>
      <w:r>
        <w:rPr>
          <w:spacing w:val="37"/>
        </w:rPr>
        <w:t> </w:t>
      </w:r>
      <w:r>
        <w:rPr/>
        <w:t>services</w:t>
      </w:r>
      <w:r>
        <w:rPr>
          <w:spacing w:val="37"/>
        </w:rPr>
        <w:t> </w:t>
      </w:r>
      <w:r>
        <w:rPr/>
        <w:t>for</w:t>
      </w:r>
      <w:r>
        <w:rPr>
          <w:spacing w:val="37"/>
        </w:rPr>
        <w:t> </w:t>
      </w:r>
      <w:r>
        <w:rPr/>
        <w:t>the</w:t>
      </w:r>
      <w:r>
        <w:rPr>
          <w:spacing w:val="37"/>
        </w:rPr>
        <w:t> </w:t>
      </w:r>
      <w:r>
        <w:rPr/>
        <w:t>handicapped</w:t>
      </w:r>
      <w:r>
        <w:rPr>
          <w:spacing w:val="37"/>
        </w:rPr>
        <w:t> </w:t>
      </w:r>
      <w:r>
        <w:rPr/>
        <w:t>cannot,</w:t>
      </w:r>
      <w:r>
        <w:rPr>
          <w:spacing w:val="37"/>
        </w:rPr>
        <w:t> </w:t>
      </w:r>
      <w:r>
        <w:rPr/>
        <w:t>therefore,</w:t>
      </w:r>
      <w:r>
        <w:rPr>
          <w:spacing w:val="37"/>
        </w:rPr>
        <w:t> </w:t>
      </w:r>
      <w:r>
        <w:rPr/>
        <w:t>be </w:t>
      </w:r>
      <w:r>
        <w:rPr>
          <w:spacing w:val="-2"/>
        </w:rPr>
        <w:t>over-emphasized.</w:t>
      </w:r>
    </w:p>
    <w:p>
      <w:pPr>
        <w:pStyle w:val="BodyText"/>
        <w:spacing w:before="4"/>
      </w:pPr>
    </w:p>
    <w:p>
      <w:pPr>
        <w:pStyle w:val="ListParagraph"/>
        <w:numPr>
          <w:ilvl w:val="1"/>
          <w:numId w:val="119"/>
        </w:numPr>
        <w:tabs>
          <w:tab w:pos="654" w:val="left" w:leader="none"/>
        </w:tabs>
        <w:spacing w:line="240" w:lineRule="auto" w:before="0" w:after="0"/>
        <w:ind w:left="160" w:right="495" w:firstLine="0"/>
        <w:jc w:val="both"/>
        <w:rPr>
          <w:b/>
          <w:sz w:val="24"/>
        </w:rPr>
      </w:pPr>
      <w:r>
        <w:rPr>
          <w:b/>
          <w:sz w:val="24"/>
        </w:rPr>
        <w:t>A Plan for Action. </w:t>
      </w:r>
      <w:r>
        <w:rPr>
          <w:sz w:val="24"/>
        </w:rPr>
        <w:t>The progress in providing educational facilities to handicapped children will be limited by two main considerations; teachers and financial resources. A reasonable target will. therefore, be to provide, by 1986, education for about 15 per cent of the blind, deaf and orthopaedically handicapped children and to about 5 per cent of</w:t>
      </w:r>
      <w:r>
        <w:rPr>
          <w:spacing w:val="-1"/>
          <w:sz w:val="24"/>
        </w:rPr>
        <w:t> </w:t>
      </w:r>
      <w:r>
        <w:rPr>
          <w:sz w:val="24"/>
        </w:rPr>
        <w:t>the mentally retarded ones-this will mean the provision of educational facilities for about 10 per cent of the total number of handicapped children. As a part of the programme, it should be possible to have at least one good institution for the education of handicapped children in each district.</w:t>
      </w:r>
    </w:p>
    <w:p>
      <w:pPr>
        <w:pStyle w:val="BodyText"/>
        <w:spacing w:before="4"/>
      </w:pPr>
    </w:p>
    <w:p>
      <w:pPr>
        <w:pStyle w:val="ListParagraph"/>
        <w:numPr>
          <w:ilvl w:val="1"/>
          <w:numId w:val="119"/>
        </w:numPr>
        <w:tabs>
          <w:tab w:pos="660" w:val="left" w:leader="none"/>
        </w:tabs>
        <w:spacing w:line="240" w:lineRule="auto" w:before="0" w:after="0"/>
        <w:ind w:left="160" w:right="495" w:firstLine="0"/>
        <w:jc w:val="both"/>
        <w:rPr>
          <w:sz w:val="24"/>
        </w:rPr>
      </w:pPr>
      <w:r>
        <w:rPr>
          <w:sz w:val="24"/>
        </w:rPr>
        <w:t>This goal can be reached through the adoption of two programmes-the special and the integrated. In the special programmes which alone have been developed so far in our country,</w:t>
      </w:r>
      <w:r>
        <w:rPr>
          <w:spacing w:val="-1"/>
          <w:sz w:val="24"/>
        </w:rPr>
        <w:t> </w:t>
      </w:r>
      <w:r>
        <w:rPr>
          <w:sz w:val="24"/>
        </w:rPr>
        <w:t>the</w:t>
      </w:r>
      <w:r>
        <w:rPr>
          <w:spacing w:val="-1"/>
          <w:sz w:val="24"/>
        </w:rPr>
        <w:t> </w:t>
      </w:r>
      <w:r>
        <w:rPr>
          <w:sz w:val="24"/>
        </w:rPr>
        <w:t>handicapped</w:t>
      </w:r>
      <w:r>
        <w:rPr>
          <w:spacing w:val="-3"/>
          <w:sz w:val="24"/>
        </w:rPr>
        <w:t> </w:t>
      </w:r>
      <w:r>
        <w:rPr>
          <w:sz w:val="24"/>
        </w:rPr>
        <w:t>children</w:t>
      </w:r>
      <w:r>
        <w:rPr>
          <w:spacing w:val="-1"/>
          <w:sz w:val="24"/>
        </w:rPr>
        <w:t> </w:t>
      </w:r>
      <w:r>
        <w:rPr>
          <w:sz w:val="24"/>
        </w:rPr>
        <w:t>are</w:t>
      </w:r>
      <w:r>
        <w:rPr>
          <w:spacing w:val="-1"/>
          <w:sz w:val="24"/>
        </w:rPr>
        <w:t> </w:t>
      </w:r>
      <w:r>
        <w:rPr>
          <w:sz w:val="24"/>
        </w:rPr>
        <w:t>isolated from</w:t>
      </w:r>
      <w:r>
        <w:rPr>
          <w:spacing w:val="-3"/>
          <w:sz w:val="24"/>
        </w:rPr>
        <w:t> </w:t>
      </w:r>
      <w:r>
        <w:rPr>
          <w:sz w:val="24"/>
        </w:rPr>
        <w:t>the</w:t>
      </w:r>
      <w:r>
        <w:rPr>
          <w:spacing w:val="-1"/>
          <w:sz w:val="24"/>
        </w:rPr>
        <w:t> </w:t>
      </w:r>
      <w:r>
        <w:rPr>
          <w:sz w:val="24"/>
        </w:rPr>
        <w:t>normal</w:t>
      </w:r>
      <w:r>
        <w:rPr>
          <w:spacing w:val="-1"/>
          <w:sz w:val="24"/>
        </w:rPr>
        <w:t> </w:t>
      </w:r>
      <w:r>
        <w:rPr>
          <w:sz w:val="24"/>
        </w:rPr>
        <w:t>ones</w:t>
      </w:r>
      <w:r>
        <w:rPr>
          <w:spacing w:val="-1"/>
          <w:sz w:val="24"/>
        </w:rPr>
        <w:t> </w:t>
      </w:r>
      <w:r>
        <w:rPr>
          <w:sz w:val="24"/>
        </w:rPr>
        <w:t>and</w:t>
      </w:r>
      <w:r>
        <w:rPr>
          <w:spacing w:val="-1"/>
          <w:sz w:val="24"/>
        </w:rPr>
        <w:t> </w:t>
      </w:r>
      <w:r>
        <w:rPr>
          <w:sz w:val="24"/>
        </w:rPr>
        <w:t>placed</w:t>
      </w:r>
      <w:r>
        <w:rPr>
          <w:spacing w:val="-1"/>
          <w:sz w:val="24"/>
        </w:rPr>
        <w:t> </w:t>
      </w:r>
      <w:r>
        <w:rPr>
          <w:sz w:val="24"/>
        </w:rPr>
        <w:t>in</w:t>
      </w:r>
      <w:r>
        <w:rPr>
          <w:spacing w:val="-1"/>
          <w:sz w:val="24"/>
        </w:rPr>
        <w:t> </w:t>
      </w:r>
      <w:r>
        <w:rPr>
          <w:sz w:val="24"/>
        </w:rPr>
        <w:t>special institutions. In the educationally advanced countries, however, a great deal of stress is now being laid on the integration of handicapped children into the regular </w:t>
      </w:r>
      <w:r>
        <w:rPr>
          <w:sz w:val="24"/>
        </w:rPr>
        <w:t>school programmes. This has several advantages of which two are important; reduction of costs and promoting mutual understanding between handicapped and the non-handicapped children. This has also its disadvantages. For instance, many handicapped children find it psychologically disturbing to be placed in an ordinary school. On an overall view of the problem, however, we feel that experimentation with the integrated programmes is urgently required and every attempt should be made to bring in as many children into integrated programmes as possible.</w:t>
      </w:r>
    </w:p>
    <w:p>
      <w:pPr>
        <w:pStyle w:val="BodyText"/>
        <w:spacing w:before="5"/>
      </w:pPr>
    </w:p>
    <w:p>
      <w:pPr>
        <w:pStyle w:val="ListParagraph"/>
        <w:numPr>
          <w:ilvl w:val="1"/>
          <w:numId w:val="119"/>
        </w:numPr>
        <w:tabs>
          <w:tab w:pos="699" w:val="left" w:leader="none"/>
        </w:tabs>
        <w:spacing w:line="240" w:lineRule="auto" w:before="0" w:after="0"/>
        <w:ind w:left="160" w:right="495" w:firstLine="0"/>
        <w:jc w:val="both"/>
        <w:rPr>
          <w:sz w:val="24"/>
        </w:rPr>
      </w:pPr>
      <w:r>
        <w:rPr>
          <w:sz w:val="24"/>
        </w:rPr>
        <w:t>In addition, it will be desirable to develop services on a pilot basis for some additional categories of children who have peculiar educational needs, viz., the partially- sighted, the speech- handicapped, the aphasic, the brain-injured and the emotionally disturbed. As pointed out earlier, hardly any attempts have been made in this field-so far. It is impossible to state at this stage what the number of such children will be. Even the facilities for training teachers are very inadequate. The Ministry of Health is already in</w:t>
      </w:r>
      <w:r>
        <w:rPr>
          <w:spacing w:val="40"/>
          <w:sz w:val="24"/>
        </w:rPr>
        <w:t> </w:t>
      </w:r>
      <w:r>
        <w:rPr>
          <w:sz w:val="24"/>
        </w:rPr>
        <w:t>the process of setting up an institute for the training of speech- therapists at Bangalore. These speech-therapists could deal with speech-handicapped and aphasic children. There are hardly any facilities for the training of teachers for the partially-sighted or the emotionally disturbed and brain-injured children. We, therefore, suggest that an attempt should be made in the next two Plans, to set up a few centres as a pilot project to assist these categories of children. The whole problem may be reviewed again after 10 years.</w:t>
      </w:r>
    </w:p>
    <w:p>
      <w:pPr>
        <w:pStyle w:val="BodyText"/>
        <w:spacing w:before="4"/>
      </w:pPr>
    </w:p>
    <w:p>
      <w:pPr>
        <w:pStyle w:val="ListParagraph"/>
        <w:numPr>
          <w:ilvl w:val="1"/>
          <w:numId w:val="119"/>
        </w:numPr>
        <w:tabs>
          <w:tab w:pos="690" w:val="left" w:leader="none"/>
        </w:tabs>
        <w:spacing w:line="240" w:lineRule="auto" w:before="0" w:after="0"/>
        <w:ind w:left="160" w:right="498" w:firstLine="0"/>
        <w:jc w:val="both"/>
        <w:rPr>
          <w:sz w:val="24"/>
        </w:rPr>
      </w:pPr>
      <w:r>
        <w:rPr>
          <w:sz w:val="24"/>
        </w:rPr>
        <w:t>To develop these programmes adequately, attention will have to be paid to the following matters:</w:t>
      </w:r>
    </w:p>
    <w:p>
      <w:pPr>
        <w:pStyle w:val="BodyText"/>
        <w:spacing w:before="3"/>
      </w:pPr>
    </w:p>
    <w:p>
      <w:pPr>
        <w:pStyle w:val="ListParagraph"/>
        <w:numPr>
          <w:ilvl w:val="0"/>
          <w:numId w:val="122"/>
        </w:numPr>
        <w:tabs>
          <w:tab w:pos="546" w:val="left" w:leader="none"/>
        </w:tabs>
        <w:spacing w:line="240" w:lineRule="auto" w:before="1" w:after="0"/>
        <w:ind w:left="160" w:right="496" w:firstLine="0"/>
        <w:jc w:val="both"/>
        <w:rPr>
          <w:sz w:val="24"/>
        </w:rPr>
      </w:pPr>
      <w:r>
        <w:rPr>
          <w:sz w:val="24"/>
        </w:rPr>
        <w:t>The preparation of teachers will need emphasis and attention. Assuming a pupil- teacher ratio of 10:1, about 16,500 teachers will be needed for the blind, deaf and mentally retarded children only. This will necessitate a considerable increase in the capacity of the existing training institutions and the establishment of new ones.</w:t>
      </w:r>
    </w:p>
    <w:p>
      <w:pPr>
        <w:spacing w:after="0" w:line="240" w:lineRule="auto"/>
        <w:jc w:val="both"/>
        <w:rPr>
          <w:sz w:val="24"/>
        </w:rPr>
        <w:sectPr>
          <w:pgSz w:w="12240" w:h="15840"/>
          <w:pgMar w:header="0" w:footer="743" w:top="1360" w:bottom="940" w:left="1640" w:right="1300"/>
        </w:sectPr>
      </w:pPr>
    </w:p>
    <w:p>
      <w:pPr>
        <w:pStyle w:val="ListParagraph"/>
        <w:numPr>
          <w:ilvl w:val="0"/>
          <w:numId w:val="122"/>
        </w:numPr>
        <w:tabs>
          <w:tab w:pos="504" w:val="left" w:leader="none"/>
        </w:tabs>
        <w:spacing w:line="240" w:lineRule="auto" w:before="76" w:after="0"/>
        <w:ind w:left="160" w:right="496" w:firstLine="0"/>
        <w:jc w:val="both"/>
        <w:rPr>
          <w:sz w:val="24"/>
        </w:rPr>
      </w:pPr>
      <w:r>
        <w:rPr>
          <w:sz w:val="24"/>
        </w:rPr>
        <w:t>It is necessary to coordinate the efforts of different agencies working in the field such as the Ministry of Education, the Central Social Welfare Board, voluntary organizations interested in the problem and the Ministry of Health. Similar coordination will also be needed at the State levels.</w:t>
      </w:r>
    </w:p>
    <w:p>
      <w:pPr>
        <w:pStyle w:val="BodyText"/>
        <w:spacing w:before="4"/>
      </w:pPr>
    </w:p>
    <w:p>
      <w:pPr>
        <w:pStyle w:val="ListParagraph"/>
        <w:numPr>
          <w:ilvl w:val="0"/>
          <w:numId w:val="122"/>
        </w:numPr>
        <w:tabs>
          <w:tab w:pos="508" w:val="left" w:leader="none"/>
        </w:tabs>
        <w:spacing w:line="240" w:lineRule="auto" w:before="0" w:after="0"/>
        <w:ind w:left="160" w:right="496" w:firstLine="0"/>
        <w:jc w:val="both"/>
        <w:rPr>
          <w:sz w:val="24"/>
        </w:rPr>
      </w:pPr>
      <w:r>
        <w:rPr>
          <w:sz w:val="24"/>
        </w:rPr>
        <w:t>It is also necessary to develop adequate research in the problem. We recommend that the</w:t>
      </w:r>
      <w:r>
        <w:rPr>
          <w:spacing w:val="-2"/>
          <w:sz w:val="24"/>
        </w:rPr>
        <w:t> </w:t>
      </w:r>
      <w:r>
        <w:rPr>
          <w:sz w:val="24"/>
        </w:rPr>
        <w:t>Ministry</w:t>
      </w:r>
      <w:r>
        <w:rPr>
          <w:spacing w:val="-2"/>
          <w:sz w:val="24"/>
        </w:rPr>
        <w:t> </w:t>
      </w:r>
      <w:r>
        <w:rPr>
          <w:sz w:val="24"/>
        </w:rPr>
        <w:t>of</w:t>
      </w:r>
      <w:r>
        <w:rPr>
          <w:spacing w:val="-2"/>
          <w:sz w:val="24"/>
        </w:rPr>
        <w:t> </w:t>
      </w:r>
      <w:r>
        <w:rPr>
          <w:sz w:val="24"/>
        </w:rPr>
        <w:t>Education</w:t>
      </w:r>
      <w:r>
        <w:rPr>
          <w:spacing w:val="-2"/>
          <w:sz w:val="24"/>
        </w:rPr>
        <w:t> </w:t>
      </w:r>
      <w:r>
        <w:rPr>
          <w:sz w:val="24"/>
        </w:rPr>
        <w:t>should</w:t>
      </w:r>
      <w:r>
        <w:rPr>
          <w:spacing w:val="-2"/>
          <w:sz w:val="24"/>
        </w:rPr>
        <w:t> </w:t>
      </w:r>
      <w:r>
        <w:rPr>
          <w:sz w:val="24"/>
        </w:rPr>
        <w:t>develop</w:t>
      </w:r>
      <w:r>
        <w:rPr>
          <w:spacing w:val="-2"/>
          <w:sz w:val="24"/>
        </w:rPr>
        <w:t> </w:t>
      </w:r>
      <w:r>
        <w:rPr>
          <w:sz w:val="24"/>
        </w:rPr>
        <w:t>a</w:t>
      </w:r>
      <w:r>
        <w:rPr>
          <w:spacing w:val="-2"/>
          <w:sz w:val="24"/>
        </w:rPr>
        <w:t> </w:t>
      </w:r>
      <w:r>
        <w:rPr>
          <w:sz w:val="24"/>
        </w:rPr>
        <w:t>programme</w:t>
      </w:r>
      <w:r>
        <w:rPr>
          <w:spacing w:val="-2"/>
          <w:sz w:val="24"/>
        </w:rPr>
        <w:t> </w:t>
      </w:r>
      <w:r>
        <w:rPr>
          <w:sz w:val="24"/>
        </w:rPr>
        <w:t>for</w:t>
      </w:r>
      <w:r>
        <w:rPr>
          <w:spacing w:val="-2"/>
          <w:sz w:val="24"/>
        </w:rPr>
        <w:t> </w:t>
      </w:r>
      <w:r>
        <w:rPr>
          <w:sz w:val="24"/>
        </w:rPr>
        <w:t>this</w:t>
      </w:r>
      <w:r>
        <w:rPr>
          <w:spacing w:val="-2"/>
          <w:sz w:val="24"/>
        </w:rPr>
        <w:t> </w:t>
      </w:r>
      <w:r>
        <w:rPr>
          <w:sz w:val="24"/>
        </w:rPr>
        <w:t>and</w:t>
      </w:r>
      <w:r>
        <w:rPr>
          <w:spacing w:val="-2"/>
          <w:sz w:val="24"/>
        </w:rPr>
        <w:t> </w:t>
      </w:r>
      <w:r>
        <w:rPr>
          <w:sz w:val="24"/>
        </w:rPr>
        <w:t>allocate</w:t>
      </w:r>
      <w:r>
        <w:rPr>
          <w:spacing w:val="-3"/>
          <w:sz w:val="24"/>
        </w:rPr>
        <w:t> </w:t>
      </w:r>
      <w:r>
        <w:rPr>
          <w:sz w:val="24"/>
        </w:rPr>
        <w:t>the</w:t>
      </w:r>
      <w:r>
        <w:rPr>
          <w:spacing w:val="-3"/>
          <w:sz w:val="24"/>
        </w:rPr>
        <w:t> </w:t>
      </w:r>
      <w:r>
        <w:rPr>
          <w:sz w:val="24"/>
        </w:rPr>
        <w:t>necessary funds. The NCERT should have a cell for the study of handicapped children. The principal function of this cell would be to keep in touch with the research that is being done in the country and outside and to prepare materials for the use of teachers. 15</w:t>
      </w:r>
    </w:p>
    <w:p>
      <w:pPr>
        <w:pStyle w:val="BodyText"/>
      </w:pPr>
    </w:p>
    <w:p>
      <w:pPr>
        <w:pStyle w:val="BodyText"/>
        <w:spacing w:before="6"/>
      </w:pPr>
    </w:p>
    <w:p>
      <w:pPr>
        <w:pStyle w:val="Heading1"/>
        <w:ind w:left="292"/>
      </w:pPr>
      <w:r>
        <w:rPr/>
        <w:t>REGIONAL</w:t>
      </w:r>
      <w:r>
        <w:rPr>
          <w:spacing w:val="-8"/>
        </w:rPr>
        <w:t> </w:t>
      </w:r>
      <w:r>
        <w:rPr>
          <w:spacing w:val="-2"/>
        </w:rPr>
        <w:t>IMBALANCES</w:t>
      </w:r>
    </w:p>
    <w:p>
      <w:pPr>
        <w:pStyle w:val="BodyText"/>
        <w:spacing w:before="3"/>
        <w:rPr>
          <w:b/>
        </w:rPr>
      </w:pPr>
    </w:p>
    <w:p>
      <w:pPr>
        <w:pStyle w:val="ListParagraph"/>
        <w:numPr>
          <w:ilvl w:val="1"/>
          <w:numId w:val="119"/>
        </w:numPr>
        <w:tabs>
          <w:tab w:pos="705" w:val="left" w:leader="none"/>
        </w:tabs>
        <w:spacing w:line="240" w:lineRule="auto" w:before="0" w:after="0"/>
        <w:ind w:left="159" w:right="492" w:firstLine="0"/>
        <w:jc w:val="both"/>
        <w:rPr>
          <w:b/>
          <w:sz w:val="24"/>
        </w:rPr>
      </w:pPr>
      <w:r>
        <w:rPr>
          <w:b/>
          <w:sz w:val="24"/>
        </w:rPr>
        <w:t>Imbalances of Educational Development in the States. </w:t>
      </w:r>
      <w:r>
        <w:rPr>
          <w:sz w:val="24"/>
        </w:rPr>
        <w:t>The development of educational</w:t>
      </w:r>
      <w:r>
        <w:rPr>
          <w:spacing w:val="-2"/>
          <w:sz w:val="24"/>
        </w:rPr>
        <w:t> </w:t>
      </w:r>
      <w:r>
        <w:rPr>
          <w:sz w:val="24"/>
        </w:rPr>
        <w:t>facilities</w:t>
      </w:r>
      <w:r>
        <w:rPr>
          <w:spacing w:val="-2"/>
          <w:sz w:val="24"/>
        </w:rPr>
        <w:t> </w:t>
      </w:r>
      <w:r>
        <w:rPr>
          <w:sz w:val="24"/>
        </w:rPr>
        <w:t>in</w:t>
      </w:r>
      <w:r>
        <w:rPr>
          <w:spacing w:val="-2"/>
          <w:sz w:val="24"/>
        </w:rPr>
        <w:t> </w:t>
      </w:r>
      <w:r>
        <w:rPr>
          <w:sz w:val="24"/>
        </w:rPr>
        <w:t>the</w:t>
      </w:r>
      <w:r>
        <w:rPr>
          <w:spacing w:val="-2"/>
          <w:sz w:val="24"/>
        </w:rPr>
        <w:t> </w:t>
      </w:r>
      <w:r>
        <w:rPr>
          <w:sz w:val="24"/>
        </w:rPr>
        <w:t>different</w:t>
      </w:r>
      <w:r>
        <w:rPr>
          <w:spacing w:val="-1"/>
          <w:sz w:val="24"/>
        </w:rPr>
        <w:t> </w:t>
      </w:r>
      <w:r>
        <w:rPr>
          <w:sz w:val="24"/>
        </w:rPr>
        <w:t>parts</w:t>
      </w:r>
      <w:r>
        <w:rPr>
          <w:spacing w:val="-1"/>
          <w:sz w:val="24"/>
        </w:rPr>
        <w:t> </w:t>
      </w:r>
      <w:r>
        <w:rPr>
          <w:sz w:val="24"/>
        </w:rPr>
        <w:t>of</w:t>
      </w:r>
      <w:r>
        <w:rPr>
          <w:spacing w:val="-1"/>
          <w:sz w:val="24"/>
        </w:rPr>
        <w:t> </w:t>
      </w:r>
      <w:r>
        <w:rPr>
          <w:sz w:val="24"/>
        </w:rPr>
        <w:t>the</w:t>
      </w:r>
      <w:r>
        <w:rPr>
          <w:spacing w:val="-1"/>
          <w:sz w:val="24"/>
        </w:rPr>
        <w:t> </w:t>
      </w:r>
      <w:r>
        <w:rPr>
          <w:sz w:val="24"/>
        </w:rPr>
        <w:t>country</w:t>
      </w:r>
      <w:r>
        <w:rPr>
          <w:spacing w:val="-1"/>
          <w:sz w:val="24"/>
        </w:rPr>
        <w:t> </w:t>
      </w:r>
      <w:r>
        <w:rPr>
          <w:sz w:val="24"/>
        </w:rPr>
        <w:t>has</w:t>
      </w:r>
      <w:r>
        <w:rPr>
          <w:spacing w:val="-1"/>
          <w:sz w:val="24"/>
        </w:rPr>
        <w:t> </w:t>
      </w:r>
      <w:r>
        <w:rPr>
          <w:sz w:val="24"/>
        </w:rPr>
        <w:t>been</w:t>
      </w:r>
      <w:r>
        <w:rPr>
          <w:spacing w:val="-1"/>
          <w:sz w:val="24"/>
        </w:rPr>
        <w:t> </w:t>
      </w:r>
      <w:r>
        <w:rPr>
          <w:sz w:val="24"/>
        </w:rPr>
        <w:t>very</w:t>
      </w:r>
      <w:r>
        <w:rPr>
          <w:spacing w:val="-1"/>
          <w:sz w:val="24"/>
        </w:rPr>
        <w:t> </w:t>
      </w:r>
      <w:r>
        <w:rPr>
          <w:sz w:val="24"/>
        </w:rPr>
        <w:t>uneven</w:t>
      </w:r>
      <w:r>
        <w:rPr>
          <w:spacing w:val="-1"/>
          <w:sz w:val="24"/>
        </w:rPr>
        <w:t> </w:t>
      </w:r>
      <w:r>
        <w:rPr>
          <w:sz w:val="24"/>
        </w:rPr>
        <w:t>and</w:t>
      </w:r>
      <w:r>
        <w:rPr>
          <w:spacing w:val="-1"/>
          <w:sz w:val="24"/>
        </w:rPr>
        <w:t> </w:t>
      </w:r>
      <w:r>
        <w:rPr>
          <w:sz w:val="24"/>
        </w:rPr>
        <w:t>one</w:t>
      </w:r>
      <w:r>
        <w:rPr>
          <w:spacing w:val="-1"/>
          <w:sz w:val="24"/>
        </w:rPr>
        <w:t> </w:t>
      </w:r>
      <w:r>
        <w:rPr>
          <w:sz w:val="24"/>
        </w:rPr>
        <w:t>of the important objectives of educational policy should be to strive to reduce the existing im- balances to the minimum. With a view to highlighting the problem, we made a</w:t>
      </w:r>
      <w:r>
        <w:rPr>
          <w:spacing w:val="40"/>
          <w:sz w:val="24"/>
        </w:rPr>
        <w:t> </w:t>
      </w:r>
      <w:r>
        <w:rPr>
          <w:sz w:val="24"/>
        </w:rPr>
        <w:t>special study of some of the regional imbalances as they exist between the different</w:t>
      </w:r>
      <w:r>
        <w:rPr>
          <w:spacing w:val="40"/>
          <w:sz w:val="24"/>
        </w:rPr>
        <w:t> </w:t>
      </w:r>
      <w:r>
        <w:rPr>
          <w:sz w:val="24"/>
        </w:rPr>
        <w:t>States and districts for the year 1960-61, the latest year for which the data are available. Table 6.7 shows some of the variations in the level of educational development in the </w:t>
      </w:r>
      <w:r>
        <w:rPr>
          <w:spacing w:val="-2"/>
          <w:sz w:val="24"/>
        </w:rPr>
        <w:t>States.</w:t>
      </w:r>
    </w:p>
    <w:p>
      <w:pPr>
        <w:pStyle w:val="BodyText"/>
        <w:spacing w:before="3"/>
      </w:pPr>
    </w:p>
    <w:p>
      <w:pPr>
        <w:pStyle w:val="BodyText"/>
        <w:spacing w:before="1"/>
        <w:ind w:left="159" w:right="495"/>
        <w:jc w:val="both"/>
      </w:pPr>
      <w:r>
        <w:rPr/>
        <w:t>It will be seen that the State income per head is lowest in Bihar (Rs. 220.7) and the highest in Maharashtra (Rs. 468.5). The percentage of State income devoted to education is lowest in Orissa (1.5) and highest in Kerala (3.6). Illiteracy, both among men and women, is lowest in Kerala (450 and 611 respectively per 1,000 of population), and highest in Jammu and Kashmir (830 and 957 respectively). At the lower primary stage, the enrolment of boys and girls is highest in Kerala (115.4 per cent and 100 per cent respectively of the corresponding age-group) and lowest in Rajasthan (64.0 per cent and 16.3 per cent respectively).At the higher primary stage, Kerala again stands first (67.7</w:t>
      </w:r>
      <w:r>
        <w:rPr>
          <w:spacing w:val="40"/>
        </w:rPr>
        <w:t> </w:t>
      </w:r>
      <w:r>
        <w:rPr/>
        <w:t>and 49.1 per cent respectively for boys and girls).while Orissa comes last (16.1 percent for boys and 2.0 per cent for girls). At the secondary stage, Assam is first for the enrolment of boys (25.5 per cent) and Kerala first for the enrolment of girls (12.6 per cent).But in both respects, Orissa stands last (7.5 per cent for boys and 0.7 per cent for girls).In higher education, West Bengal stands first with an enrolment of 40 per 10,000 of population and Orissa comes last, with an enrolment of 8 only.(See also chart on page </w:t>
      </w:r>
      <w:r>
        <w:rPr>
          <w:spacing w:val="-2"/>
        </w:rPr>
        <w:t>228.)</w:t>
      </w:r>
    </w:p>
    <w:p>
      <w:pPr>
        <w:pStyle w:val="BodyText"/>
        <w:spacing w:before="3"/>
      </w:pPr>
    </w:p>
    <w:p>
      <w:pPr>
        <w:spacing w:before="1"/>
        <w:ind w:left="159" w:right="496" w:firstLine="0"/>
        <w:jc w:val="both"/>
        <w:rPr>
          <w:sz w:val="24"/>
        </w:rPr>
      </w:pPr>
      <w:r>
        <w:rPr>
          <w:b/>
          <w:sz w:val="24"/>
        </w:rPr>
        <w:t>6.51. Imbalances in Educational Development in the Districts</w:t>
      </w:r>
      <w:r>
        <w:rPr>
          <w:sz w:val="24"/>
        </w:rPr>
        <w:t>. The differences at the district level are much greater than those at the State level. Some of the most striking conclusions that emerged from our study in this regard are given below:</w:t>
      </w:r>
    </w:p>
    <w:p>
      <w:pPr>
        <w:pStyle w:val="BodyText"/>
        <w:spacing w:before="3"/>
      </w:pPr>
    </w:p>
    <w:p>
      <w:pPr>
        <w:pStyle w:val="ListParagraph"/>
        <w:numPr>
          <w:ilvl w:val="0"/>
          <w:numId w:val="123"/>
        </w:numPr>
        <w:tabs>
          <w:tab w:pos="531" w:val="left" w:leader="none"/>
        </w:tabs>
        <w:spacing w:line="240" w:lineRule="auto" w:before="0" w:after="0"/>
        <w:ind w:left="159" w:right="497" w:firstLine="0"/>
        <w:jc w:val="both"/>
        <w:rPr>
          <w:sz w:val="24"/>
        </w:rPr>
      </w:pPr>
      <w:r>
        <w:rPr>
          <w:b/>
          <w:sz w:val="24"/>
        </w:rPr>
        <w:t>Lower Primary Stage (Classes I-V). </w:t>
      </w:r>
      <w:r>
        <w:rPr>
          <w:sz w:val="24"/>
        </w:rPr>
        <w:t>At the lower primary stage, the target to be reached</w:t>
      </w:r>
      <w:r>
        <w:rPr>
          <w:spacing w:val="-2"/>
          <w:sz w:val="24"/>
        </w:rPr>
        <w:t> </w:t>
      </w:r>
      <w:r>
        <w:rPr>
          <w:sz w:val="24"/>
        </w:rPr>
        <w:t>is an enrolment of 142 per thousand (at 110 per cent of the total population in the age</w:t>
      </w:r>
      <w:r>
        <w:rPr>
          <w:spacing w:val="19"/>
          <w:sz w:val="24"/>
        </w:rPr>
        <w:t> </w:t>
      </w:r>
      <w:r>
        <w:rPr>
          <w:sz w:val="24"/>
        </w:rPr>
        <w:t>group</w:t>
      </w:r>
      <w:r>
        <w:rPr>
          <w:spacing w:val="22"/>
          <w:sz w:val="24"/>
        </w:rPr>
        <w:t> </w:t>
      </w:r>
      <w:r>
        <w:rPr>
          <w:sz w:val="24"/>
        </w:rPr>
        <w:t>6-10).</w:t>
      </w:r>
      <w:r>
        <w:rPr>
          <w:spacing w:val="22"/>
          <w:sz w:val="24"/>
        </w:rPr>
        <w:t> </w:t>
      </w:r>
      <w:r>
        <w:rPr>
          <w:sz w:val="24"/>
        </w:rPr>
        <w:t>As</w:t>
      </w:r>
      <w:r>
        <w:rPr>
          <w:spacing w:val="21"/>
          <w:sz w:val="24"/>
        </w:rPr>
        <w:t> </w:t>
      </w:r>
      <w:r>
        <w:rPr>
          <w:sz w:val="24"/>
        </w:rPr>
        <w:t>against</w:t>
      </w:r>
      <w:r>
        <w:rPr>
          <w:spacing w:val="22"/>
          <w:sz w:val="24"/>
        </w:rPr>
        <w:t> </w:t>
      </w:r>
      <w:r>
        <w:rPr>
          <w:sz w:val="24"/>
        </w:rPr>
        <w:t>this,</w:t>
      </w:r>
      <w:r>
        <w:rPr>
          <w:spacing w:val="21"/>
          <w:sz w:val="24"/>
        </w:rPr>
        <w:t> </w:t>
      </w:r>
      <w:r>
        <w:rPr>
          <w:sz w:val="24"/>
        </w:rPr>
        <w:t>there</w:t>
      </w:r>
      <w:r>
        <w:rPr>
          <w:spacing w:val="22"/>
          <w:sz w:val="24"/>
        </w:rPr>
        <w:t> </w:t>
      </w:r>
      <w:r>
        <w:rPr>
          <w:sz w:val="24"/>
        </w:rPr>
        <w:t>is</w:t>
      </w:r>
      <w:r>
        <w:rPr>
          <w:spacing w:val="21"/>
          <w:sz w:val="24"/>
        </w:rPr>
        <w:t> </w:t>
      </w:r>
      <w:r>
        <w:rPr>
          <w:sz w:val="24"/>
        </w:rPr>
        <w:t>a</w:t>
      </w:r>
      <w:r>
        <w:rPr>
          <w:spacing w:val="22"/>
          <w:sz w:val="24"/>
        </w:rPr>
        <w:t> </w:t>
      </w:r>
      <w:r>
        <w:rPr>
          <w:sz w:val="24"/>
        </w:rPr>
        <w:t>wide</w:t>
      </w:r>
      <w:r>
        <w:rPr>
          <w:spacing w:val="22"/>
          <w:sz w:val="24"/>
        </w:rPr>
        <w:t> </w:t>
      </w:r>
      <w:r>
        <w:rPr>
          <w:sz w:val="24"/>
        </w:rPr>
        <w:t>spectrum</w:t>
      </w:r>
      <w:r>
        <w:rPr>
          <w:spacing w:val="20"/>
          <w:sz w:val="24"/>
        </w:rPr>
        <w:t> </w:t>
      </w:r>
      <w:r>
        <w:rPr>
          <w:sz w:val="24"/>
        </w:rPr>
        <w:t>of</w:t>
      </w:r>
      <w:r>
        <w:rPr>
          <w:spacing w:val="21"/>
          <w:sz w:val="24"/>
        </w:rPr>
        <w:t> </w:t>
      </w:r>
      <w:r>
        <w:rPr>
          <w:sz w:val="24"/>
        </w:rPr>
        <w:t>achievement.</w:t>
      </w:r>
      <w:r>
        <w:rPr>
          <w:spacing w:val="22"/>
          <w:sz w:val="24"/>
        </w:rPr>
        <w:t> </w:t>
      </w:r>
      <w:r>
        <w:rPr>
          <w:sz w:val="24"/>
        </w:rPr>
        <w:t>At</w:t>
      </w:r>
      <w:r>
        <w:rPr>
          <w:spacing w:val="22"/>
          <w:sz w:val="24"/>
        </w:rPr>
        <w:t> </w:t>
      </w:r>
      <w:r>
        <w:rPr>
          <w:sz w:val="24"/>
        </w:rPr>
        <w:t>the</w:t>
      </w:r>
      <w:r>
        <w:rPr>
          <w:spacing w:val="22"/>
          <w:sz w:val="24"/>
        </w:rPr>
        <w:t> </w:t>
      </w:r>
      <w:r>
        <w:rPr>
          <w:spacing w:val="-2"/>
          <w:sz w:val="24"/>
        </w:rPr>
        <w:t>State</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level, in case of total enrolment it ranges from 55 in Rajasthan to 140 in Kerala while in the case of girls it ranges from 23 in Rajasthan to 130 in Kerala. The mean enrolment of all children for all States was 74 with a standard deviation of 24.6. The mean for girls</w:t>
      </w:r>
      <w:r>
        <w:rPr>
          <w:spacing w:val="40"/>
        </w:rPr>
        <w:t> </w:t>
      </w:r>
      <w:r>
        <w:rPr/>
        <w:t>was 46.7 with a standard deviation of 23.8.</w:t>
      </w:r>
    </w:p>
    <w:p>
      <w:pPr>
        <w:pStyle w:val="BodyText"/>
        <w:spacing w:before="29"/>
        <w:rPr>
          <w:sz w:val="20"/>
        </w:rPr>
      </w:pPr>
      <w:r>
        <w:rPr/>
        <w:drawing>
          <wp:anchor distT="0" distB="0" distL="0" distR="0" allowOverlap="1" layoutInCell="1" locked="0" behindDoc="1" simplePos="0" relativeHeight="487625216">
            <wp:simplePos x="0" y="0"/>
            <wp:positionH relativeFrom="page">
              <wp:posOffset>1142999</wp:posOffset>
            </wp:positionH>
            <wp:positionV relativeFrom="paragraph">
              <wp:posOffset>180144</wp:posOffset>
            </wp:positionV>
            <wp:extent cx="5519655" cy="6482810"/>
            <wp:effectExtent l="0" t="0" r="0" b="0"/>
            <wp:wrapTopAndBottom/>
            <wp:docPr id="381" name="Image 381"/>
            <wp:cNvGraphicFramePr>
              <a:graphicFrameLocks/>
            </wp:cNvGraphicFramePr>
            <a:graphic>
              <a:graphicData uri="http://schemas.openxmlformats.org/drawingml/2006/picture">
                <pic:pic>
                  <pic:nvPicPr>
                    <pic:cNvPr id="381" name="Image 381"/>
                    <pic:cNvPicPr/>
                  </pic:nvPicPr>
                  <pic:blipFill>
                    <a:blip r:embed="rId21" cstate="print"/>
                    <a:stretch>
                      <a:fillRect/>
                    </a:stretch>
                  </pic:blipFill>
                  <pic:spPr>
                    <a:xfrm>
                      <a:off x="0" y="0"/>
                      <a:ext cx="5519655" cy="6482810"/>
                    </a:xfrm>
                    <a:prstGeom prst="rect">
                      <a:avLst/>
                    </a:prstGeom>
                  </pic:spPr>
                </pic:pic>
              </a:graphicData>
            </a:graphic>
          </wp:anchor>
        </w:drawing>
      </w:r>
    </w:p>
    <w:p>
      <w:pPr>
        <w:spacing w:after="0"/>
        <w:rPr>
          <w:sz w:val="20"/>
        </w:rPr>
        <w:sectPr>
          <w:pgSz w:w="12240" w:h="15840"/>
          <w:pgMar w:header="0" w:footer="743" w:top="1360" w:bottom="940" w:left="1640" w:right="1300"/>
        </w:sectPr>
      </w:pPr>
    </w:p>
    <w:p>
      <w:pPr>
        <w:pStyle w:val="BodyText"/>
        <w:spacing w:before="1"/>
        <w:rPr>
          <w:sz w:val="19"/>
        </w:rPr>
      </w:pPr>
    </w:p>
    <w:p>
      <w:pPr>
        <w:pStyle w:val="BodyText"/>
        <w:ind w:left="1150"/>
        <w:rPr>
          <w:sz w:val="20"/>
        </w:rPr>
      </w:pPr>
      <w:r>
        <w:rPr>
          <w:sz w:val="20"/>
        </w:rPr>
        <w:drawing>
          <wp:inline distT="0" distB="0" distL="0" distR="0">
            <wp:extent cx="4286127" cy="6981825"/>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22" cstate="print"/>
                    <a:stretch>
                      <a:fillRect/>
                    </a:stretch>
                  </pic:blipFill>
                  <pic:spPr>
                    <a:xfrm>
                      <a:off x="0" y="0"/>
                      <a:ext cx="4286127" cy="6981825"/>
                    </a:xfrm>
                    <a:prstGeom prst="rect">
                      <a:avLst/>
                    </a:prstGeom>
                  </pic:spPr>
                </pic:pic>
              </a:graphicData>
            </a:graphic>
          </wp:inline>
        </w:drawing>
      </w:r>
      <w:r>
        <w:rPr>
          <w:sz w:val="20"/>
        </w:rPr>
      </w:r>
    </w:p>
    <w:p>
      <w:pPr>
        <w:spacing w:after="0"/>
        <w:rPr>
          <w:sz w:val="20"/>
        </w:rPr>
        <w:sectPr>
          <w:pgSz w:w="12240" w:h="15840"/>
          <w:pgMar w:header="0" w:footer="743" w:top="1820" w:bottom="940" w:left="1640" w:right="1300"/>
        </w:sectPr>
      </w:pPr>
    </w:p>
    <w:p>
      <w:pPr>
        <w:pStyle w:val="BodyText"/>
        <w:ind w:left="715"/>
        <w:rPr>
          <w:sz w:val="20"/>
        </w:rPr>
      </w:pPr>
      <w:r>
        <w:rPr>
          <w:sz w:val="20"/>
        </w:rPr>
        <w:drawing>
          <wp:inline distT="0" distB="0" distL="0" distR="0">
            <wp:extent cx="4476622" cy="7419975"/>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23" cstate="print"/>
                    <a:stretch>
                      <a:fillRect/>
                    </a:stretch>
                  </pic:blipFill>
                  <pic:spPr>
                    <a:xfrm>
                      <a:off x="0" y="0"/>
                      <a:ext cx="4476622" cy="7419975"/>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8"/>
        <w:ind w:left="159" w:right="497"/>
        <w:jc w:val="both"/>
      </w:pPr>
      <w:r>
        <w:rPr/>
        <w:t>The variations between districts are even larger-from 21 in Barmer (Rajasthan) to 158 in Quilon (Kerala) for total enrolment and from 5 in Barmer to 151 in Quilon for girls. The districts with lowest and highest enrolments per 1,000 of population are given below (see also charts on pages 232 and 233):</w:t>
      </w:r>
    </w:p>
    <w:p>
      <w:pPr>
        <w:pStyle w:val="BodyText"/>
      </w:pPr>
    </w:p>
    <w:p>
      <w:pPr>
        <w:pStyle w:val="BodyText"/>
        <w:spacing w:before="2"/>
      </w:pPr>
    </w:p>
    <w:p>
      <w:pPr>
        <w:pStyle w:val="BodyText"/>
        <w:ind w:left="2560" w:right="510" w:hanging="2200"/>
      </w:pPr>
      <w:r>
        <w:rPr/>
        <w:t>TABLE</w:t>
      </w:r>
      <w:r>
        <w:rPr>
          <w:spacing w:val="-5"/>
        </w:rPr>
        <w:t> </w:t>
      </w:r>
      <w:r>
        <w:rPr/>
        <w:t>6.8.</w:t>
      </w:r>
      <w:r>
        <w:rPr>
          <w:spacing w:val="-5"/>
        </w:rPr>
        <w:t> </w:t>
      </w:r>
      <w:r>
        <w:rPr/>
        <w:t>DISTRICTS</w:t>
      </w:r>
      <w:r>
        <w:rPr>
          <w:spacing w:val="-5"/>
        </w:rPr>
        <w:t> </w:t>
      </w:r>
      <w:r>
        <w:rPr/>
        <w:t>WITH</w:t>
      </w:r>
      <w:r>
        <w:rPr>
          <w:spacing w:val="-5"/>
        </w:rPr>
        <w:t> </w:t>
      </w:r>
      <w:r>
        <w:rPr/>
        <w:t>LOWEST</w:t>
      </w:r>
      <w:r>
        <w:rPr>
          <w:spacing w:val="-5"/>
        </w:rPr>
        <w:t> </w:t>
      </w:r>
      <w:r>
        <w:rPr/>
        <w:t>AND</w:t>
      </w:r>
      <w:r>
        <w:rPr>
          <w:spacing w:val="-5"/>
        </w:rPr>
        <w:t> </w:t>
      </w:r>
      <w:r>
        <w:rPr/>
        <w:t>HIGHEST</w:t>
      </w:r>
      <w:r>
        <w:rPr>
          <w:spacing w:val="-5"/>
        </w:rPr>
        <w:t> </w:t>
      </w:r>
      <w:r>
        <w:rPr/>
        <w:t>TOTAL</w:t>
      </w:r>
      <w:r>
        <w:rPr>
          <w:spacing w:val="-5"/>
        </w:rPr>
        <w:t> </w:t>
      </w:r>
      <w:r>
        <w:rPr/>
        <w:t>ENROLMENT AT LOWER PRIMARY STAGE</w:t>
      </w:r>
    </w:p>
    <w:p>
      <w:pPr>
        <w:pStyle w:val="BodyText"/>
        <w:spacing w:before="1"/>
        <w:rPr>
          <w:sz w:val="15"/>
        </w:rPr>
      </w:pPr>
      <w:r>
        <w:rPr/>
        <mc:AlternateContent>
          <mc:Choice Requires="wps">
            <w:drawing>
              <wp:anchor distT="0" distB="0" distL="0" distR="0" allowOverlap="1" layoutInCell="1" locked="0" behindDoc="1" simplePos="0" relativeHeight="487625728">
                <wp:simplePos x="0" y="0"/>
                <wp:positionH relativeFrom="page">
                  <wp:posOffset>1143000</wp:posOffset>
                </wp:positionH>
                <wp:positionV relativeFrom="paragraph">
                  <wp:posOffset>125849</wp:posOffset>
                </wp:positionV>
                <wp:extent cx="5486400" cy="19050"/>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5486400" cy="19050"/>
                          <a:chExt cx="5486400" cy="19050"/>
                        </a:xfrm>
                      </wpg:grpSpPr>
                      <wps:wsp>
                        <wps:cNvPr id="385" name="Graphic 38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86" name="Graphic 386"/>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87" name="Graphic 387"/>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88" name="Graphic 388"/>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89" name="Graphic 389"/>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90" name="Graphic 390"/>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91" name="Graphic 391"/>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9375pt;width:432pt;height:1.5pt;mso-position-horizontal-relative:page;mso-position-vertical-relative:paragraph;z-index:-15690752;mso-wrap-distance-left:0;mso-wrap-distance-right:0" id="docshapegroup367" coordorigin="1800,198" coordsize="8640,30">
                <v:rect style="position:absolute;left:1800;top:198;width:8640;height:30" id="docshape368" filled="true" fillcolor="#808080" stroked="false">
                  <v:fill type="solid"/>
                </v:rect>
                <v:shape style="position:absolute;left:1800;top:198;width:8636;height:5" id="docshape369" coordorigin="1800,198" coordsize="8636,5" path="m10435,198l1805,198,1800,198,1800,203,1805,203,10435,203,10435,198xe" filled="true" fillcolor="#aca89a" stroked="false">
                  <v:path arrowok="t"/>
                  <v:fill type="solid"/>
                </v:shape>
                <v:rect style="position:absolute;left:10435;top:198;width:5;height:5" id="docshape370" filled="true" fillcolor="#f1efe2" stroked="false">
                  <v:fill type="solid"/>
                </v:rect>
                <v:shape style="position:absolute;left:1800;top:198;width:8640;height:26" id="docshape371" coordorigin="1800,198" coordsize="8640,26" path="m1805,203l1800,203,1800,223,1805,223,1805,203xm10440,198l10435,198,10435,203,10440,203,10440,198xe" filled="true" fillcolor="#aca89a" stroked="false">
                  <v:path arrowok="t"/>
                  <v:fill type="solid"/>
                </v:shape>
                <v:rect style="position:absolute;left:10435;top:202;width:5;height:21" id="docshape372" filled="true" fillcolor="#f1efe2" stroked="false">
                  <v:fill type="solid"/>
                </v:rect>
                <v:rect style="position:absolute;left:1800;top:223;width:5;height:5" id="docshape373" filled="true" fillcolor="#aca89a" stroked="false">
                  <v:fill type="solid"/>
                </v:rect>
                <v:shape style="position:absolute;left:1800;top:223;width:8640;height:5" id="docshape374"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4740" w:val="left" w:leader="none"/>
        </w:tabs>
        <w:spacing w:before="48" w:after="11"/>
        <w:ind w:left="159"/>
      </w:pPr>
      <w:r>
        <w:rPr/>
        <w:t>Districts with Lowest Total </w:t>
      </w:r>
      <w:r>
        <w:rPr>
          <w:spacing w:val="-2"/>
        </w:rPr>
        <w:t>Enrolment</w:t>
      </w:r>
      <w:r>
        <w:rPr/>
        <w:tab/>
        <w:t>Districts</w:t>
      </w:r>
      <w:r>
        <w:rPr>
          <w:spacing w:val="-3"/>
        </w:rPr>
        <w:t> </w:t>
      </w:r>
      <w:r>
        <w:rPr/>
        <w:t>with Highest</w:t>
      </w:r>
      <w:r>
        <w:rPr>
          <w:spacing w:val="-1"/>
        </w:rPr>
        <w:t> </w:t>
      </w:r>
      <w:r>
        <w:rPr/>
        <w:t>Total</w:t>
      </w:r>
      <w:r>
        <w:rPr>
          <w:spacing w:val="60"/>
        </w:rPr>
        <w:t> </w:t>
      </w:r>
      <w:r>
        <w:rPr>
          <w:spacing w:val="-2"/>
        </w:rPr>
        <w:t>Enrolment</w:t>
      </w:r>
    </w:p>
    <w:tbl>
      <w:tblPr>
        <w:tblW w:w="0" w:type="auto"/>
        <w:jc w:val="left"/>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9"/>
        <w:gridCol w:w="1668"/>
        <w:gridCol w:w="2998"/>
        <w:gridCol w:w="1442"/>
      </w:tblGrid>
      <w:tr>
        <w:trPr>
          <w:trHeight w:val="270" w:hRule="atLeast"/>
        </w:trPr>
        <w:tc>
          <w:tcPr>
            <w:tcW w:w="2529" w:type="dxa"/>
          </w:tcPr>
          <w:p>
            <w:pPr>
              <w:pStyle w:val="TableParagraph"/>
              <w:spacing w:line="251" w:lineRule="exact"/>
              <w:ind w:left="-1"/>
              <w:rPr>
                <w:sz w:val="24"/>
              </w:rPr>
            </w:pPr>
            <w:r>
              <w:rPr>
                <w:spacing w:val="-2"/>
                <w:sz w:val="24"/>
              </w:rPr>
              <w:t>District</w:t>
            </w:r>
          </w:p>
        </w:tc>
        <w:tc>
          <w:tcPr>
            <w:tcW w:w="1668" w:type="dxa"/>
          </w:tcPr>
          <w:p>
            <w:pPr>
              <w:pStyle w:val="TableParagraph"/>
              <w:spacing w:line="251" w:lineRule="exact"/>
              <w:ind w:left="219"/>
              <w:rPr>
                <w:sz w:val="24"/>
              </w:rPr>
            </w:pPr>
            <w:r>
              <w:rPr>
                <w:spacing w:val="-2"/>
                <w:sz w:val="24"/>
              </w:rPr>
              <w:t>Enrolment</w:t>
            </w:r>
          </w:p>
        </w:tc>
        <w:tc>
          <w:tcPr>
            <w:tcW w:w="2998" w:type="dxa"/>
          </w:tcPr>
          <w:p>
            <w:pPr>
              <w:pStyle w:val="TableParagraph"/>
              <w:spacing w:line="251" w:lineRule="exact"/>
              <w:ind w:left="382"/>
              <w:rPr>
                <w:sz w:val="24"/>
              </w:rPr>
            </w:pPr>
            <w:r>
              <w:rPr>
                <w:spacing w:val="-2"/>
                <w:sz w:val="24"/>
              </w:rPr>
              <w:t>District</w:t>
            </w:r>
          </w:p>
        </w:tc>
        <w:tc>
          <w:tcPr>
            <w:tcW w:w="1442" w:type="dxa"/>
          </w:tcPr>
          <w:p>
            <w:pPr>
              <w:pStyle w:val="TableParagraph"/>
              <w:spacing w:line="251" w:lineRule="exact"/>
              <w:ind w:right="294"/>
              <w:jc w:val="right"/>
              <w:rPr>
                <w:sz w:val="24"/>
              </w:rPr>
            </w:pPr>
            <w:r>
              <w:rPr>
                <w:spacing w:val="-2"/>
                <w:sz w:val="24"/>
              </w:rPr>
              <w:t>Enrolment</w:t>
            </w:r>
          </w:p>
        </w:tc>
      </w:tr>
      <w:tr>
        <w:trPr>
          <w:trHeight w:val="468" w:hRule="atLeast"/>
        </w:trPr>
        <w:tc>
          <w:tcPr>
            <w:tcW w:w="2529" w:type="dxa"/>
            <w:tcBorders>
              <w:bottom w:val="single" w:sz="12" w:space="0" w:color="808080"/>
            </w:tcBorders>
          </w:tcPr>
          <w:p>
            <w:pPr>
              <w:pStyle w:val="TableParagraph"/>
              <w:rPr>
                <w:sz w:val="22"/>
              </w:rPr>
            </w:pPr>
          </w:p>
        </w:tc>
        <w:tc>
          <w:tcPr>
            <w:tcW w:w="1668" w:type="dxa"/>
            <w:tcBorders>
              <w:bottom w:val="single" w:sz="12" w:space="0" w:color="808080"/>
            </w:tcBorders>
          </w:tcPr>
          <w:p>
            <w:pPr>
              <w:pStyle w:val="TableParagraph"/>
              <w:spacing w:line="271" w:lineRule="exact"/>
              <w:ind w:left="218"/>
              <w:rPr>
                <w:sz w:val="24"/>
              </w:rPr>
            </w:pPr>
            <w:r>
              <w:rPr>
                <w:sz w:val="24"/>
              </w:rPr>
              <w:t>(per </w:t>
            </w:r>
            <w:r>
              <w:rPr>
                <w:spacing w:val="-2"/>
                <w:sz w:val="24"/>
              </w:rPr>
              <w:t>1,000)</w:t>
            </w:r>
          </w:p>
        </w:tc>
        <w:tc>
          <w:tcPr>
            <w:tcW w:w="2998" w:type="dxa"/>
            <w:tcBorders>
              <w:bottom w:val="single" w:sz="12" w:space="0" w:color="808080"/>
            </w:tcBorders>
          </w:tcPr>
          <w:p>
            <w:pPr>
              <w:pStyle w:val="TableParagraph"/>
              <w:rPr>
                <w:sz w:val="22"/>
              </w:rPr>
            </w:pPr>
          </w:p>
        </w:tc>
        <w:tc>
          <w:tcPr>
            <w:tcW w:w="1442" w:type="dxa"/>
            <w:tcBorders>
              <w:bottom w:val="single" w:sz="12" w:space="0" w:color="808080"/>
            </w:tcBorders>
          </w:tcPr>
          <w:p>
            <w:pPr>
              <w:pStyle w:val="TableParagraph"/>
              <w:spacing w:line="271" w:lineRule="exact"/>
              <w:ind w:right="239"/>
              <w:jc w:val="right"/>
              <w:rPr>
                <w:sz w:val="24"/>
              </w:rPr>
            </w:pPr>
            <w:r>
              <w:rPr>
                <w:sz w:val="24"/>
              </w:rPr>
              <w:t>(per </w:t>
            </w:r>
            <w:r>
              <w:rPr>
                <w:spacing w:val="-2"/>
                <w:sz w:val="24"/>
              </w:rPr>
              <w:t>1,000)</w:t>
            </w:r>
          </w:p>
        </w:tc>
      </w:tr>
      <w:tr>
        <w:trPr>
          <w:trHeight w:val="467" w:hRule="atLeast"/>
        </w:trPr>
        <w:tc>
          <w:tcPr>
            <w:tcW w:w="2529" w:type="dxa"/>
            <w:tcBorders>
              <w:top w:val="single" w:sz="12" w:space="0" w:color="808080"/>
            </w:tcBorders>
          </w:tcPr>
          <w:p>
            <w:pPr>
              <w:pStyle w:val="TableParagraph"/>
              <w:spacing w:before="48"/>
              <w:ind w:left="-1"/>
              <w:rPr>
                <w:sz w:val="24"/>
              </w:rPr>
            </w:pPr>
            <w:r>
              <w:rPr>
                <w:sz w:val="24"/>
              </w:rPr>
              <w:t>1.</w:t>
            </w:r>
            <w:r>
              <w:rPr>
                <w:spacing w:val="-3"/>
                <w:sz w:val="24"/>
              </w:rPr>
              <w:t> </w:t>
            </w:r>
            <w:r>
              <w:rPr>
                <w:sz w:val="24"/>
              </w:rPr>
              <w:t>Barmer</w:t>
            </w:r>
            <w:r>
              <w:rPr>
                <w:spacing w:val="-1"/>
                <w:sz w:val="24"/>
              </w:rPr>
              <w:t> </w:t>
            </w:r>
            <w:r>
              <w:rPr>
                <w:spacing w:val="-2"/>
                <w:sz w:val="24"/>
              </w:rPr>
              <w:t>(Rajasthan)</w:t>
            </w:r>
          </w:p>
        </w:tc>
        <w:tc>
          <w:tcPr>
            <w:tcW w:w="1668" w:type="dxa"/>
            <w:tcBorders>
              <w:top w:val="single" w:sz="12" w:space="0" w:color="808080"/>
            </w:tcBorders>
          </w:tcPr>
          <w:p>
            <w:pPr>
              <w:pStyle w:val="TableParagraph"/>
              <w:spacing w:before="48"/>
              <w:ind w:left="218"/>
              <w:rPr>
                <w:sz w:val="24"/>
              </w:rPr>
            </w:pPr>
            <w:r>
              <w:rPr>
                <w:spacing w:val="-5"/>
                <w:sz w:val="24"/>
              </w:rPr>
              <w:t>21</w:t>
            </w:r>
          </w:p>
        </w:tc>
        <w:tc>
          <w:tcPr>
            <w:tcW w:w="2998" w:type="dxa"/>
            <w:tcBorders>
              <w:top w:val="single" w:sz="12" w:space="0" w:color="808080"/>
            </w:tcBorders>
          </w:tcPr>
          <w:p>
            <w:pPr>
              <w:pStyle w:val="TableParagraph"/>
              <w:spacing w:before="48"/>
              <w:ind w:left="383"/>
              <w:rPr>
                <w:sz w:val="24"/>
              </w:rPr>
            </w:pPr>
            <w:r>
              <w:rPr>
                <w:sz w:val="24"/>
              </w:rPr>
              <w:t>1.</w:t>
            </w:r>
            <w:r>
              <w:rPr>
                <w:spacing w:val="-1"/>
                <w:sz w:val="24"/>
              </w:rPr>
              <w:t> </w:t>
            </w:r>
            <w:r>
              <w:rPr>
                <w:sz w:val="24"/>
              </w:rPr>
              <w:t>Quilon</w:t>
            </w:r>
            <w:r>
              <w:rPr>
                <w:spacing w:val="-1"/>
                <w:sz w:val="24"/>
              </w:rPr>
              <w:t> </w:t>
            </w:r>
            <w:r>
              <w:rPr>
                <w:spacing w:val="-2"/>
                <w:sz w:val="24"/>
              </w:rPr>
              <w:t>(Kerala)</w:t>
            </w:r>
          </w:p>
        </w:tc>
        <w:tc>
          <w:tcPr>
            <w:tcW w:w="1442" w:type="dxa"/>
            <w:tcBorders>
              <w:top w:val="single" w:sz="12" w:space="0" w:color="808080"/>
            </w:tcBorders>
          </w:tcPr>
          <w:p>
            <w:pPr>
              <w:pStyle w:val="TableParagraph"/>
              <w:spacing w:before="48"/>
              <w:ind w:left="132"/>
              <w:rPr>
                <w:sz w:val="24"/>
              </w:rPr>
            </w:pPr>
            <w:r>
              <w:rPr>
                <w:spacing w:val="-5"/>
                <w:sz w:val="24"/>
              </w:rPr>
              <w:t>158</w:t>
            </w:r>
          </w:p>
        </w:tc>
      </w:tr>
      <w:tr>
        <w:trPr>
          <w:trHeight w:val="551" w:hRule="atLeast"/>
        </w:trPr>
        <w:tc>
          <w:tcPr>
            <w:tcW w:w="2529" w:type="dxa"/>
          </w:tcPr>
          <w:p>
            <w:pPr>
              <w:pStyle w:val="TableParagraph"/>
              <w:spacing w:before="133"/>
              <w:ind w:left="-1"/>
              <w:rPr>
                <w:sz w:val="24"/>
              </w:rPr>
            </w:pPr>
            <w:r>
              <w:rPr>
                <w:sz w:val="24"/>
              </w:rPr>
              <w:t>2.</w:t>
            </w:r>
            <w:r>
              <w:rPr>
                <w:spacing w:val="-1"/>
                <w:sz w:val="24"/>
              </w:rPr>
              <w:t> </w:t>
            </w:r>
            <w:r>
              <w:rPr>
                <w:sz w:val="24"/>
              </w:rPr>
              <w:t>Coorg</w:t>
            </w:r>
            <w:r>
              <w:rPr>
                <w:spacing w:val="-1"/>
                <w:sz w:val="24"/>
              </w:rPr>
              <w:t> </w:t>
            </w:r>
            <w:r>
              <w:rPr>
                <w:spacing w:val="-2"/>
                <w:sz w:val="24"/>
              </w:rPr>
              <w:t>(Mysore)</w:t>
            </w:r>
          </w:p>
        </w:tc>
        <w:tc>
          <w:tcPr>
            <w:tcW w:w="1668" w:type="dxa"/>
          </w:tcPr>
          <w:p>
            <w:pPr>
              <w:pStyle w:val="TableParagraph"/>
              <w:spacing w:before="133"/>
              <w:ind w:left="218"/>
              <w:rPr>
                <w:sz w:val="24"/>
              </w:rPr>
            </w:pPr>
            <w:r>
              <w:rPr>
                <w:spacing w:val="-5"/>
                <w:sz w:val="24"/>
              </w:rPr>
              <w:t>32</w:t>
            </w:r>
          </w:p>
        </w:tc>
        <w:tc>
          <w:tcPr>
            <w:tcW w:w="2998" w:type="dxa"/>
          </w:tcPr>
          <w:p>
            <w:pPr>
              <w:pStyle w:val="TableParagraph"/>
              <w:spacing w:before="133"/>
              <w:ind w:left="383"/>
              <w:rPr>
                <w:sz w:val="24"/>
              </w:rPr>
            </w:pPr>
            <w:r>
              <w:rPr>
                <w:sz w:val="24"/>
              </w:rPr>
              <w:t>2.</w:t>
            </w:r>
            <w:r>
              <w:rPr>
                <w:spacing w:val="-1"/>
                <w:sz w:val="24"/>
              </w:rPr>
              <w:t> </w:t>
            </w:r>
            <w:r>
              <w:rPr>
                <w:sz w:val="24"/>
              </w:rPr>
              <w:t>Alleppey</w:t>
            </w:r>
            <w:r>
              <w:rPr>
                <w:spacing w:val="-1"/>
                <w:sz w:val="24"/>
              </w:rPr>
              <w:t> </w:t>
            </w:r>
            <w:r>
              <w:rPr>
                <w:spacing w:val="-2"/>
                <w:sz w:val="24"/>
              </w:rPr>
              <w:t>(Kerala)</w:t>
            </w:r>
          </w:p>
        </w:tc>
        <w:tc>
          <w:tcPr>
            <w:tcW w:w="1442" w:type="dxa"/>
          </w:tcPr>
          <w:p>
            <w:pPr>
              <w:pStyle w:val="TableParagraph"/>
              <w:spacing w:before="133"/>
              <w:ind w:left="142"/>
              <w:rPr>
                <w:sz w:val="24"/>
              </w:rPr>
            </w:pPr>
            <w:r>
              <w:rPr>
                <w:spacing w:val="-5"/>
                <w:sz w:val="24"/>
              </w:rPr>
              <w:t>156</w:t>
            </w:r>
          </w:p>
        </w:tc>
      </w:tr>
      <w:tr>
        <w:trPr>
          <w:trHeight w:val="552" w:hRule="atLeast"/>
        </w:trPr>
        <w:tc>
          <w:tcPr>
            <w:tcW w:w="2529" w:type="dxa"/>
          </w:tcPr>
          <w:p>
            <w:pPr>
              <w:pStyle w:val="TableParagraph"/>
              <w:spacing w:before="133"/>
              <w:ind w:left="-1"/>
              <w:rPr>
                <w:sz w:val="24"/>
              </w:rPr>
            </w:pPr>
            <w:r>
              <w:rPr>
                <w:sz w:val="24"/>
              </w:rPr>
              <w:t>3.</w:t>
            </w:r>
            <w:r>
              <w:rPr>
                <w:spacing w:val="-3"/>
                <w:sz w:val="24"/>
              </w:rPr>
              <w:t> </w:t>
            </w:r>
            <w:r>
              <w:rPr>
                <w:sz w:val="24"/>
              </w:rPr>
              <w:t>Jaisalmer</w:t>
            </w:r>
            <w:r>
              <w:rPr>
                <w:spacing w:val="-1"/>
                <w:sz w:val="24"/>
              </w:rPr>
              <w:t> </w:t>
            </w:r>
            <w:r>
              <w:rPr>
                <w:spacing w:val="-2"/>
                <w:sz w:val="24"/>
              </w:rPr>
              <w:t>(Rajasthan)</w:t>
            </w:r>
          </w:p>
        </w:tc>
        <w:tc>
          <w:tcPr>
            <w:tcW w:w="1668" w:type="dxa"/>
          </w:tcPr>
          <w:p>
            <w:pPr>
              <w:pStyle w:val="TableParagraph"/>
              <w:spacing w:before="133"/>
              <w:ind w:left="218"/>
              <w:rPr>
                <w:sz w:val="24"/>
              </w:rPr>
            </w:pPr>
            <w:r>
              <w:rPr>
                <w:spacing w:val="-5"/>
                <w:sz w:val="24"/>
              </w:rPr>
              <w:t>33</w:t>
            </w:r>
          </w:p>
        </w:tc>
        <w:tc>
          <w:tcPr>
            <w:tcW w:w="2998" w:type="dxa"/>
          </w:tcPr>
          <w:p>
            <w:pPr>
              <w:pStyle w:val="TableParagraph"/>
              <w:spacing w:before="133"/>
              <w:ind w:left="383"/>
              <w:rPr>
                <w:sz w:val="24"/>
              </w:rPr>
            </w:pPr>
            <w:r>
              <w:rPr>
                <w:sz w:val="24"/>
              </w:rPr>
              <w:t>3.</w:t>
            </w:r>
            <w:r>
              <w:rPr>
                <w:spacing w:val="-1"/>
                <w:sz w:val="24"/>
              </w:rPr>
              <w:t> </w:t>
            </w:r>
            <w:r>
              <w:rPr>
                <w:sz w:val="24"/>
              </w:rPr>
              <w:t>Trivandrum</w:t>
            </w:r>
            <w:r>
              <w:rPr>
                <w:spacing w:val="-1"/>
                <w:sz w:val="24"/>
              </w:rPr>
              <w:t> </w:t>
            </w:r>
            <w:r>
              <w:rPr>
                <w:spacing w:val="-2"/>
                <w:sz w:val="24"/>
              </w:rPr>
              <w:t>(Kerala)</w:t>
            </w:r>
          </w:p>
        </w:tc>
        <w:tc>
          <w:tcPr>
            <w:tcW w:w="1442" w:type="dxa"/>
          </w:tcPr>
          <w:p>
            <w:pPr>
              <w:pStyle w:val="TableParagraph"/>
              <w:spacing w:before="133"/>
              <w:ind w:left="110"/>
              <w:rPr>
                <w:sz w:val="24"/>
              </w:rPr>
            </w:pPr>
            <w:r>
              <w:rPr>
                <w:spacing w:val="-5"/>
                <w:sz w:val="24"/>
              </w:rPr>
              <w:t>148</w:t>
            </w:r>
          </w:p>
        </w:tc>
      </w:tr>
      <w:tr>
        <w:trPr>
          <w:trHeight w:val="552" w:hRule="atLeast"/>
        </w:trPr>
        <w:tc>
          <w:tcPr>
            <w:tcW w:w="2529" w:type="dxa"/>
          </w:tcPr>
          <w:p>
            <w:pPr>
              <w:pStyle w:val="TableParagraph"/>
              <w:spacing w:before="133"/>
              <w:ind w:left="-1"/>
              <w:rPr>
                <w:sz w:val="24"/>
              </w:rPr>
            </w:pPr>
            <w:r>
              <w:rPr>
                <w:sz w:val="24"/>
              </w:rPr>
              <w:t>4.</w:t>
            </w:r>
            <w:r>
              <w:rPr>
                <w:spacing w:val="-1"/>
                <w:sz w:val="24"/>
              </w:rPr>
              <w:t> </w:t>
            </w:r>
            <w:r>
              <w:rPr>
                <w:sz w:val="24"/>
              </w:rPr>
              <w:t>Jalore</w:t>
            </w:r>
            <w:r>
              <w:rPr>
                <w:spacing w:val="-1"/>
                <w:sz w:val="24"/>
              </w:rPr>
              <w:t> </w:t>
            </w:r>
            <w:r>
              <w:rPr>
                <w:spacing w:val="-2"/>
                <w:sz w:val="24"/>
              </w:rPr>
              <w:t>(Rajasthan)</w:t>
            </w:r>
          </w:p>
        </w:tc>
        <w:tc>
          <w:tcPr>
            <w:tcW w:w="1668" w:type="dxa"/>
          </w:tcPr>
          <w:p>
            <w:pPr>
              <w:pStyle w:val="TableParagraph"/>
              <w:spacing w:before="133"/>
              <w:ind w:left="217"/>
              <w:rPr>
                <w:sz w:val="24"/>
              </w:rPr>
            </w:pPr>
            <w:r>
              <w:rPr>
                <w:spacing w:val="-5"/>
                <w:sz w:val="24"/>
              </w:rPr>
              <w:t>33</w:t>
            </w:r>
          </w:p>
        </w:tc>
        <w:tc>
          <w:tcPr>
            <w:tcW w:w="2998" w:type="dxa"/>
          </w:tcPr>
          <w:p>
            <w:pPr>
              <w:pStyle w:val="TableParagraph"/>
              <w:spacing w:before="133"/>
              <w:ind w:left="383"/>
              <w:rPr>
                <w:sz w:val="24"/>
              </w:rPr>
            </w:pPr>
            <w:r>
              <w:rPr>
                <w:sz w:val="24"/>
              </w:rPr>
              <w:t>4.</w:t>
            </w:r>
            <w:r>
              <w:rPr>
                <w:spacing w:val="-1"/>
                <w:sz w:val="24"/>
              </w:rPr>
              <w:t> </w:t>
            </w:r>
            <w:r>
              <w:rPr>
                <w:sz w:val="24"/>
              </w:rPr>
              <w:t>Ernakulam</w:t>
            </w:r>
            <w:r>
              <w:rPr>
                <w:spacing w:val="-1"/>
                <w:sz w:val="24"/>
              </w:rPr>
              <w:t> </w:t>
            </w:r>
            <w:r>
              <w:rPr>
                <w:spacing w:val="-2"/>
                <w:sz w:val="24"/>
              </w:rPr>
              <w:t>(Kerala)</w:t>
            </w:r>
          </w:p>
        </w:tc>
        <w:tc>
          <w:tcPr>
            <w:tcW w:w="1442" w:type="dxa"/>
          </w:tcPr>
          <w:p>
            <w:pPr>
              <w:pStyle w:val="TableParagraph"/>
              <w:spacing w:before="133"/>
              <w:ind w:left="77"/>
              <w:rPr>
                <w:sz w:val="24"/>
              </w:rPr>
            </w:pPr>
            <w:r>
              <w:rPr>
                <w:spacing w:val="-5"/>
                <w:sz w:val="24"/>
              </w:rPr>
              <w:t>147</w:t>
            </w:r>
          </w:p>
        </w:tc>
      </w:tr>
      <w:tr>
        <w:trPr>
          <w:trHeight w:val="408" w:hRule="atLeast"/>
        </w:trPr>
        <w:tc>
          <w:tcPr>
            <w:tcW w:w="2529" w:type="dxa"/>
          </w:tcPr>
          <w:p>
            <w:pPr>
              <w:pStyle w:val="TableParagraph"/>
              <w:spacing w:line="256" w:lineRule="exact" w:before="133"/>
              <w:ind w:left="-1"/>
              <w:rPr>
                <w:sz w:val="24"/>
              </w:rPr>
            </w:pPr>
            <w:r>
              <w:rPr>
                <w:sz w:val="24"/>
              </w:rPr>
              <w:t>5.</w:t>
            </w:r>
            <w:r>
              <w:rPr>
                <w:spacing w:val="-5"/>
                <w:sz w:val="24"/>
              </w:rPr>
              <w:t> </w:t>
            </w:r>
            <w:r>
              <w:rPr>
                <w:sz w:val="24"/>
              </w:rPr>
              <w:t>Gulbarga</w:t>
            </w:r>
            <w:r>
              <w:rPr>
                <w:spacing w:val="-5"/>
                <w:sz w:val="24"/>
              </w:rPr>
              <w:t> </w:t>
            </w:r>
            <w:r>
              <w:rPr>
                <w:spacing w:val="-2"/>
                <w:sz w:val="24"/>
              </w:rPr>
              <w:t>(Mysore)</w:t>
            </w:r>
          </w:p>
        </w:tc>
        <w:tc>
          <w:tcPr>
            <w:tcW w:w="1668" w:type="dxa"/>
          </w:tcPr>
          <w:p>
            <w:pPr>
              <w:pStyle w:val="TableParagraph"/>
              <w:spacing w:line="256" w:lineRule="exact" w:before="133"/>
              <w:ind w:left="217"/>
              <w:rPr>
                <w:sz w:val="24"/>
              </w:rPr>
            </w:pPr>
            <w:r>
              <w:rPr>
                <w:spacing w:val="-5"/>
                <w:sz w:val="24"/>
              </w:rPr>
              <w:t>35</w:t>
            </w:r>
          </w:p>
        </w:tc>
        <w:tc>
          <w:tcPr>
            <w:tcW w:w="2998" w:type="dxa"/>
          </w:tcPr>
          <w:p>
            <w:pPr>
              <w:pStyle w:val="TableParagraph"/>
              <w:spacing w:line="256" w:lineRule="exact" w:before="133"/>
              <w:ind w:left="383"/>
              <w:rPr>
                <w:sz w:val="24"/>
              </w:rPr>
            </w:pPr>
            <w:r>
              <w:rPr>
                <w:sz w:val="24"/>
              </w:rPr>
              <w:t>5. Kanya </w:t>
            </w:r>
            <w:r>
              <w:rPr>
                <w:spacing w:val="-2"/>
                <w:sz w:val="24"/>
              </w:rPr>
              <w:t>Kumari(Madras)</w:t>
            </w:r>
          </w:p>
        </w:tc>
        <w:tc>
          <w:tcPr>
            <w:tcW w:w="1442" w:type="dxa"/>
          </w:tcPr>
          <w:p>
            <w:pPr>
              <w:pStyle w:val="TableParagraph"/>
              <w:spacing w:line="256" w:lineRule="exact" w:before="133"/>
              <w:ind w:left="103"/>
              <w:rPr>
                <w:sz w:val="24"/>
              </w:rPr>
            </w:pPr>
            <w:r>
              <w:rPr>
                <w:spacing w:val="-5"/>
                <w:sz w:val="24"/>
              </w:rPr>
              <w:t>147</w:t>
            </w:r>
          </w:p>
        </w:tc>
      </w:tr>
    </w:tbl>
    <w:p>
      <w:pPr>
        <w:pStyle w:val="BodyText"/>
        <w:spacing w:before="4"/>
        <w:rPr>
          <w:sz w:val="15"/>
        </w:rPr>
      </w:pPr>
      <w:r>
        <w:rPr/>
        <mc:AlternateContent>
          <mc:Choice Requires="wps">
            <w:drawing>
              <wp:anchor distT="0" distB="0" distL="0" distR="0" allowOverlap="1" layoutInCell="1" locked="0" behindDoc="1" simplePos="0" relativeHeight="487626240">
                <wp:simplePos x="0" y="0"/>
                <wp:positionH relativeFrom="page">
                  <wp:posOffset>1143000</wp:posOffset>
                </wp:positionH>
                <wp:positionV relativeFrom="paragraph">
                  <wp:posOffset>127932</wp:posOffset>
                </wp:positionV>
                <wp:extent cx="5486400" cy="1905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5486400" cy="19050"/>
                          <a:chExt cx="5486400" cy="19050"/>
                        </a:xfrm>
                      </wpg:grpSpPr>
                      <wps:wsp>
                        <wps:cNvPr id="393" name="Graphic 39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394" name="Graphic 394"/>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395" name="Graphic 395"/>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396" name="Graphic 396"/>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397" name="Graphic 397"/>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398" name="Graphic 398"/>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399" name="Graphic 399"/>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073460pt;width:432pt;height:1.5pt;mso-position-horizontal-relative:page;mso-position-vertical-relative:paragraph;z-index:-15690240;mso-wrap-distance-left:0;mso-wrap-distance-right:0" id="docshapegroup375" coordorigin="1800,201" coordsize="8640,30">
                <v:rect style="position:absolute;left:1800;top:201;width:8640;height:30" id="docshape376" filled="true" fillcolor="#808080" stroked="false">
                  <v:fill type="solid"/>
                </v:rect>
                <v:shape style="position:absolute;left:1800;top:201;width:8636;height:5" id="docshape377" coordorigin="1800,201" coordsize="8636,5" path="m10435,201l1805,201,1800,201,1800,206,1805,206,10435,206,10435,201xe" filled="true" fillcolor="#aca89a" stroked="false">
                  <v:path arrowok="t"/>
                  <v:fill type="solid"/>
                </v:shape>
                <v:rect style="position:absolute;left:10435;top:201;width:5;height:5" id="docshape378" filled="true" fillcolor="#f1efe2" stroked="false">
                  <v:fill type="solid"/>
                </v:rect>
                <v:shape style="position:absolute;left:1800;top:201;width:8640;height:26" id="docshape379" coordorigin="1800,201" coordsize="8640,26" path="m1805,206l1800,206,1800,227,1805,227,1805,206xm10440,201l10435,201,10435,206,10440,206,10440,201xe" filled="true" fillcolor="#aca89a" stroked="false">
                  <v:path arrowok="t"/>
                  <v:fill type="solid"/>
                </v:shape>
                <v:rect style="position:absolute;left:10435;top:206;width:5;height:21" id="docshape380" filled="true" fillcolor="#f1efe2" stroked="false">
                  <v:fill type="solid"/>
                </v:rect>
                <v:rect style="position:absolute;left:1800;top:226;width:5;height:5" id="docshape381" filled="true" fillcolor="#aca89a" stroked="false">
                  <v:fill type="solid"/>
                </v:rect>
                <v:shape style="position:absolute;left:1800;top:226;width:8640;height:5" id="docshape382" coordorigin="1800,227" coordsize="8640,5" path="m10440,227l10435,227,1800,227,1800,231,10435,231,10440,231,10440,227xe" filled="true" fillcolor="#f1efe2" stroked="false">
                  <v:path arrowok="t"/>
                  <v:fill type="solid"/>
                </v:shape>
                <w10:wrap type="topAndBottom"/>
              </v:group>
            </w:pict>
          </mc:Fallback>
        </mc:AlternateContent>
      </w:r>
    </w:p>
    <w:p>
      <w:pPr>
        <w:pStyle w:val="BodyText"/>
        <w:spacing w:before="48"/>
      </w:pPr>
    </w:p>
    <w:p>
      <w:pPr>
        <w:pStyle w:val="BodyText"/>
        <w:ind w:left="2859" w:right="506" w:hanging="2637"/>
      </w:pPr>
      <w:r>
        <w:rPr/>
        <w:t>TABLE</w:t>
      </w:r>
      <w:r>
        <w:rPr>
          <w:spacing w:val="-4"/>
        </w:rPr>
        <w:t> </w:t>
      </w:r>
      <w:r>
        <w:rPr/>
        <w:t>6.9.</w:t>
      </w:r>
      <w:r>
        <w:rPr>
          <w:spacing w:val="-4"/>
        </w:rPr>
        <w:t> </w:t>
      </w:r>
      <w:r>
        <w:rPr/>
        <w:t>DISTRICTS</w:t>
      </w:r>
      <w:r>
        <w:rPr>
          <w:spacing w:val="-4"/>
        </w:rPr>
        <w:t> </w:t>
      </w:r>
      <w:r>
        <w:rPr/>
        <w:t>WITH</w:t>
      </w:r>
      <w:r>
        <w:rPr>
          <w:spacing w:val="-4"/>
        </w:rPr>
        <w:t> </w:t>
      </w:r>
      <w:r>
        <w:rPr/>
        <w:t>LOWEST</w:t>
      </w:r>
      <w:r>
        <w:rPr>
          <w:spacing w:val="-4"/>
        </w:rPr>
        <w:t> </w:t>
      </w:r>
      <w:r>
        <w:rPr/>
        <w:t>AND</w:t>
      </w:r>
      <w:r>
        <w:rPr>
          <w:spacing w:val="-4"/>
        </w:rPr>
        <w:t> </w:t>
      </w:r>
      <w:r>
        <w:rPr/>
        <w:t>HIGHEST</w:t>
      </w:r>
      <w:r>
        <w:rPr>
          <w:spacing w:val="-6"/>
        </w:rPr>
        <w:t> </w:t>
      </w:r>
      <w:r>
        <w:rPr/>
        <w:t>ENROLMENT</w:t>
      </w:r>
      <w:r>
        <w:rPr>
          <w:spacing w:val="-4"/>
        </w:rPr>
        <w:t> </w:t>
      </w:r>
      <w:r>
        <w:rPr/>
        <w:t>OF</w:t>
      </w:r>
      <w:r>
        <w:rPr>
          <w:spacing w:val="-4"/>
        </w:rPr>
        <w:t> </w:t>
      </w:r>
      <w:r>
        <w:rPr/>
        <w:t>GIRLS AT LOWER PRIMARY STAGE</w:t>
      </w:r>
    </w:p>
    <w:p>
      <w:pPr>
        <w:pStyle w:val="BodyText"/>
        <w:spacing w:before="1"/>
        <w:rPr>
          <w:sz w:val="15"/>
        </w:rPr>
      </w:pPr>
      <w:r>
        <w:rPr/>
        <mc:AlternateContent>
          <mc:Choice Requires="wps">
            <w:drawing>
              <wp:anchor distT="0" distB="0" distL="0" distR="0" allowOverlap="1" layoutInCell="1" locked="0" behindDoc="1" simplePos="0" relativeHeight="487626752">
                <wp:simplePos x="0" y="0"/>
                <wp:positionH relativeFrom="page">
                  <wp:posOffset>1143000</wp:posOffset>
                </wp:positionH>
                <wp:positionV relativeFrom="paragraph">
                  <wp:posOffset>125774</wp:posOffset>
                </wp:positionV>
                <wp:extent cx="5486400" cy="19050"/>
                <wp:effectExtent l="0" t="0" r="0" b="0"/>
                <wp:wrapTopAndBottom/>
                <wp:docPr id="400" name="Group 400"/>
                <wp:cNvGraphicFramePr>
                  <a:graphicFrameLocks/>
                </wp:cNvGraphicFramePr>
                <a:graphic>
                  <a:graphicData uri="http://schemas.microsoft.com/office/word/2010/wordprocessingGroup">
                    <wpg:wgp>
                      <wpg:cNvPr id="400" name="Group 400"/>
                      <wpg:cNvGrpSpPr/>
                      <wpg:grpSpPr>
                        <a:xfrm>
                          <a:off x="0" y="0"/>
                          <a:ext cx="5486400" cy="19050"/>
                          <a:chExt cx="5486400" cy="19050"/>
                        </a:xfrm>
                      </wpg:grpSpPr>
                      <wps:wsp>
                        <wps:cNvPr id="401" name="Graphic 401"/>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02" name="Graphic 402"/>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03" name="Graphic 403"/>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04" name="Graphic 404"/>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05" name="Graphic 405"/>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06" name="Graphic 406"/>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407" name="Graphic 407"/>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3516pt;width:432pt;height:1.5pt;mso-position-horizontal-relative:page;mso-position-vertical-relative:paragraph;z-index:-15689728;mso-wrap-distance-left:0;mso-wrap-distance-right:0" id="docshapegroup383" coordorigin="1800,198" coordsize="8640,30">
                <v:rect style="position:absolute;left:1800;top:198;width:8640;height:30" id="docshape384" filled="true" fillcolor="#808080" stroked="false">
                  <v:fill type="solid"/>
                </v:rect>
                <v:shape style="position:absolute;left:1800;top:198;width:8636;height:5" id="docshape385" coordorigin="1800,198" coordsize="8636,5" path="m10435,198l1805,198,1800,198,1800,203,1805,203,10435,203,10435,198xe" filled="true" fillcolor="#aca89a" stroked="false">
                  <v:path arrowok="t"/>
                  <v:fill type="solid"/>
                </v:shape>
                <v:rect style="position:absolute;left:10435;top:198;width:5;height:5" id="docshape386" filled="true" fillcolor="#f1efe2" stroked="false">
                  <v:fill type="solid"/>
                </v:rect>
                <v:shape style="position:absolute;left:1800;top:198;width:8640;height:26" id="docshape387" coordorigin="1800,198" coordsize="8640,26" path="m1805,203l1800,203,1800,223,1805,223,1805,203xm10440,198l10435,198,10435,203,10440,203,10440,198xe" filled="true" fillcolor="#aca89a" stroked="false">
                  <v:path arrowok="t"/>
                  <v:fill type="solid"/>
                </v:shape>
                <v:rect style="position:absolute;left:10435;top:202;width:5;height:21" id="docshape388" filled="true" fillcolor="#f1efe2" stroked="false">
                  <v:fill type="solid"/>
                </v:rect>
                <v:rect style="position:absolute;left:1800;top:223;width:5;height:5" id="docshape389" filled="true" fillcolor="#aca89a" stroked="false">
                  <v:fill type="solid"/>
                </v:rect>
                <v:shape style="position:absolute;left:1800;top:223;width:8640;height:5" id="docshape390"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2907" w:val="left" w:leader="none"/>
          <w:tab w:pos="4740" w:val="left" w:leader="none"/>
          <w:tab w:pos="7487" w:val="left" w:leader="none"/>
        </w:tabs>
        <w:spacing w:before="48"/>
        <w:ind w:left="159" w:right="575"/>
      </w:pPr>
      <w:r>
        <w:rPr/>
        <w:t>Districts with Lowest Enrolment of Girls</w:t>
        <w:tab/>
        <w:t>Districts</w:t>
      </w:r>
      <w:r>
        <w:rPr>
          <w:spacing w:val="-7"/>
        </w:rPr>
        <w:t> </w:t>
      </w:r>
      <w:r>
        <w:rPr/>
        <w:t>with</w:t>
      </w:r>
      <w:r>
        <w:rPr>
          <w:spacing w:val="-7"/>
        </w:rPr>
        <w:t> </w:t>
      </w:r>
      <w:r>
        <w:rPr/>
        <w:t>Highest</w:t>
      </w:r>
      <w:r>
        <w:rPr>
          <w:spacing w:val="-7"/>
        </w:rPr>
        <w:t> </w:t>
      </w:r>
      <w:r>
        <w:rPr/>
        <w:t>Enrolment</w:t>
      </w:r>
      <w:r>
        <w:rPr>
          <w:spacing w:val="-7"/>
        </w:rPr>
        <w:t> </w:t>
      </w:r>
      <w:r>
        <w:rPr/>
        <w:t>of</w:t>
      </w:r>
      <w:r>
        <w:rPr>
          <w:spacing w:val="-7"/>
        </w:rPr>
        <w:t> </w:t>
      </w:r>
      <w:r>
        <w:rPr/>
        <w:t>Girls </w:t>
      </w:r>
      <w:r>
        <w:rPr>
          <w:spacing w:val="-2"/>
        </w:rPr>
        <w:t>District</w:t>
      </w:r>
      <w:r>
        <w:rPr/>
        <w:tab/>
      </w:r>
      <w:r>
        <w:rPr>
          <w:spacing w:val="-2"/>
        </w:rPr>
        <w:t>Enrolment</w:t>
      </w:r>
      <w:r>
        <w:rPr/>
        <w:tab/>
      </w:r>
      <w:r>
        <w:rPr>
          <w:spacing w:val="-2"/>
        </w:rPr>
        <w:t>District</w:t>
      </w:r>
      <w:r>
        <w:rPr/>
        <w:tab/>
      </w:r>
      <w:r>
        <w:rPr>
          <w:spacing w:val="-2"/>
        </w:rPr>
        <w:t>Enrolment</w:t>
      </w:r>
    </w:p>
    <w:p>
      <w:pPr>
        <w:pStyle w:val="BodyText"/>
        <w:tabs>
          <w:tab w:pos="7488" w:val="left" w:leader="none"/>
        </w:tabs>
        <w:ind w:left="2907"/>
      </w:pPr>
      <w:r>
        <w:rPr/>
        <mc:AlternateContent>
          <mc:Choice Requires="wps">
            <w:drawing>
              <wp:anchor distT="0" distB="0" distL="0" distR="0" allowOverlap="1" layoutInCell="1" locked="0" behindDoc="0" simplePos="0" relativeHeight="15768064">
                <wp:simplePos x="0" y="0"/>
                <wp:positionH relativeFrom="page">
                  <wp:posOffset>1143000</wp:posOffset>
                </wp:positionH>
                <wp:positionV relativeFrom="paragraph">
                  <wp:posOffset>301019</wp:posOffset>
                </wp:positionV>
                <wp:extent cx="5486400" cy="1905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5486400" cy="19050"/>
                          <a:chExt cx="5486400" cy="19050"/>
                        </a:xfrm>
                      </wpg:grpSpPr>
                      <wps:wsp>
                        <wps:cNvPr id="409" name="Graphic 409"/>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10" name="Graphic 410"/>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11" name="Graphic 411"/>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12" name="Graphic 412"/>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13" name="Graphic 413"/>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14" name="Graphic 414"/>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415" name="Graphic 415"/>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702343pt;width:432pt;height:1.5pt;mso-position-horizontal-relative:page;mso-position-vertical-relative:paragraph;z-index:15768064" id="docshapegroup391" coordorigin="1800,474" coordsize="8640,30">
                <v:rect style="position:absolute;left:1800;top:474;width:8640;height:30" id="docshape392" filled="true" fillcolor="#808080" stroked="false">
                  <v:fill type="solid"/>
                </v:rect>
                <v:shape style="position:absolute;left:1800;top:474;width:8636;height:5" id="docshape393" coordorigin="1800,474" coordsize="8636,5" path="m10435,474l1805,474,1800,474,1800,479,1805,479,10435,479,10435,474xe" filled="true" fillcolor="#aca89a" stroked="false">
                  <v:path arrowok="t"/>
                  <v:fill type="solid"/>
                </v:shape>
                <v:rect style="position:absolute;left:10435;top:474;width:5;height:5" id="docshape394" filled="true" fillcolor="#f1efe2" stroked="false">
                  <v:fill type="solid"/>
                </v:rect>
                <v:shape style="position:absolute;left:1800;top:474;width:8640;height:26" id="docshape395" coordorigin="1800,474" coordsize="8640,26" path="m1805,479l1800,479,1800,499,1805,499,1805,479xm10440,474l10435,474,10435,479,10440,479,10440,474xe" filled="true" fillcolor="#aca89a" stroked="false">
                  <v:path arrowok="t"/>
                  <v:fill type="solid"/>
                </v:shape>
                <v:rect style="position:absolute;left:10435;top:478;width:5;height:21" id="docshape396" filled="true" fillcolor="#f1efe2" stroked="false">
                  <v:fill type="solid"/>
                </v:rect>
                <v:rect style="position:absolute;left:1800;top:499;width:5;height:5" id="docshape397" filled="true" fillcolor="#aca89a" stroked="false">
                  <v:fill type="solid"/>
                </v:rect>
                <v:shape style="position:absolute;left:1800;top:499;width:8640;height:5" id="docshape398" coordorigin="1800,499" coordsize="8640,5" path="m10440,499l10435,499,1800,499,1800,504,10435,504,10440,504,10440,499xe" filled="true" fillcolor="#f1efe2" stroked="false">
                  <v:path arrowok="t"/>
                  <v:fill type="solid"/>
                </v:shape>
                <w10:wrap type="none"/>
              </v:group>
            </w:pict>
          </mc:Fallback>
        </mc:AlternateContent>
      </w:r>
      <w:r>
        <w:rPr/>
        <w:t>(per </w:t>
      </w:r>
      <w:r>
        <w:rPr>
          <w:spacing w:val="-2"/>
        </w:rPr>
        <w:t>1,000)</w:t>
      </w:r>
      <w:r>
        <w:rPr/>
        <w:tab/>
        <w:t>(per </w:t>
      </w:r>
      <w:r>
        <w:rPr>
          <w:spacing w:val="-2"/>
        </w:rPr>
        <w:t>1,000)</w:t>
      </w:r>
    </w:p>
    <w:p>
      <w:pPr>
        <w:pStyle w:val="ListParagraph"/>
        <w:numPr>
          <w:ilvl w:val="0"/>
          <w:numId w:val="124"/>
        </w:numPr>
        <w:tabs>
          <w:tab w:pos="398" w:val="left" w:leader="none"/>
          <w:tab w:pos="2907" w:val="left" w:leader="none"/>
          <w:tab w:pos="4740" w:val="left" w:leader="none"/>
          <w:tab w:pos="7847" w:val="right" w:leader="none"/>
        </w:tabs>
        <w:spacing w:line="240" w:lineRule="auto" w:before="276" w:after="0"/>
        <w:ind w:left="398" w:right="0" w:hanging="239"/>
        <w:jc w:val="left"/>
        <w:rPr>
          <w:sz w:val="24"/>
        </w:rPr>
      </w:pPr>
      <w:r>
        <w:rPr>
          <w:sz w:val="24"/>
        </w:rPr>
        <w:t>Barmer</w:t>
      </w:r>
      <w:r>
        <w:rPr>
          <w:spacing w:val="-3"/>
          <w:sz w:val="24"/>
        </w:rPr>
        <w:t> </w:t>
      </w:r>
      <w:r>
        <w:rPr>
          <w:spacing w:val="-2"/>
          <w:sz w:val="24"/>
        </w:rPr>
        <w:t>(Rajasthan)</w:t>
      </w:r>
      <w:r>
        <w:rPr>
          <w:sz w:val="24"/>
        </w:rPr>
        <w:tab/>
      </w:r>
      <w:r>
        <w:rPr>
          <w:spacing w:val="-10"/>
          <w:sz w:val="24"/>
        </w:rPr>
        <w:t>5</w:t>
      </w:r>
      <w:r>
        <w:rPr>
          <w:sz w:val="24"/>
        </w:rPr>
        <w:tab/>
        <w:t>1.</w:t>
      </w:r>
      <w:r>
        <w:rPr>
          <w:spacing w:val="-3"/>
          <w:sz w:val="24"/>
        </w:rPr>
        <w:t> </w:t>
      </w:r>
      <w:r>
        <w:rPr>
          <w:sz w:val="24"/>
        </w:rPr>
        <w:t>Quilon</w:t>
      </w:r>
      <w:r>
        <w:rPr>
          <w:spacing w:val="-1"/>
          <w:sz w:val="24"/>
        </w:rPr>
        <w:t> </w:t>
      </w:r>
      <w:r>
        <w:rPr>
          <w:spacing w:val="-2"/>
          <w:sz w:val="24"/>
        </w:rPr>
        <w:t>(Kerala)</w:t>
      </w:r>
      <w:r>
        <w:rPr>
          <w:sz w:val="24"/>
        </w:rPr>
        <w:tab/>
      </w:r>
      <w:r>
        <w:rPr>
          <w:spacing w:val="-5"/>
          <w:sz w:val="24"/>
        </w:rPr>
        <w:t>151</w:t>
      </w:r>
    </w:p>
    <w:p>
      <w:pPr>
        <w:pStyle w:val="ListParagraph"/>
        <w:numPr>
          <w:ilvl w:val="0"/>
          <w:numId w:val="124"/>
        </w:numPr>
        <w:tabs>
          <w:tab w:pos="399" w:val="left" w:leader="none"/>
          <w:tab w:pos="4739" w:val="left" w:leader="none"/>
          <w:tab w:pos="7857" w:val="right" w:leader="none"/>
        </w:tabs>
        <w:spacing w:line="240" w:lineRule="auto" w:before="276" w:after="0"/>
        <w:ind w:left="399" w:right="0" w:hanging="240"/>
        <w:jc w:val="left"/>
        <w:rPr>
          <w:sz w:val="24"/>
        </w:rPr>
      </w:pPr>
      <w:r>
        <w:rPr>
          <w:sz w:val="24"/>
        </w:rPr>
        <w:t>Sidhi (Madhya Pradesh)</w:t>
      </w:r>
      <w:r>
        <w:rPr>
          <w:spacing w:val="27"/>
          <w:sz w:val="24"/>
        </w:rPr>
        <w:t>  </w:t>
      </w:r>
      <w:r>
        <w:rPr>
          <w:spacing w:val="-10"/>
          <w:sz w:val="24"/>
        </w:rPr>
        <w:t>7</w:t>
      </w:r>
      <w:r>
        <w:rPr>
          <w:sz w:val="24"/>
        </w:rPr>
        <w:tab/>
        <w:t>2.</w:t>
      </w:r>
      <w:r>
        <w:rPr>
          <w:spacing w:val="53"/>
          <w:sz w:val="24"/>
        </w:rPr>
        <w:t> </w:t>
      </w:r>
      <w:r>
        <w:rPr>
          <w:sz w:val="24"/>
        </w:rPr>
        <w:t>Alleppey</w:t>
      </w:r>
      <w:r>
        <w:rPr>
          <w:spacing w:val="-3"/>
          <w:sz w:val="24"/>
        </w:rPr>
        <w:t> </w:t>
      </w:r>
      <w:r>
        <w:rPr>
          <w:spacing w:val="-2"/>
          <w:sz w:val="24"/>
        </w:rPr>
        <w:t>(Kerala)</w:t>
      </w:r>
      <w:r>
        <w:rPr>
          <w:sz w:val="24"/>
        </w:rPr>
        <w:tab/>
      </w:r>
      <w:r>
        <w:rPr>
          <w:spacing w:val="-5"/>
          <w:sz w:val="24"/>
        </w:rPr>
        <w:t>147</w:t>
      </w:r>
    </w:p>
    <w:p>
      <w:pPr>
        <w:pStyle w:val="ListParagraph"/>
        <w:numPr>
          <w:ilvl w:val="0"/>
          <w:numId w:val="124"/>
        </w:numPr>
        <w:tabs>
          <w:tab w:pos="399" w:val="left" w:leader="none"/>
          <w:tab w:pos="2891" w:val="left" w:leader="none"/>
          <w:tab w:pos="4740" w:val="left" w:leader="none"/>
          <w:tab w:pos="7865" w:val="right" w:leader="none"/>
        </w:tabs>
        <w:spacing w:line="240" w:lineRule="auto" w:before="276" w:after="0"/>
        <w:ind w:left="399" w:right="0" w:hanging="240"/>
        <w:jc w:val="left"/>
        <w:rPr>
          <w:sz w:val="24"/>
        </w:rPr>
      </w:pPr>
      <w:r>
        <w:rPr>
          <w:sz w:val="24"/>
        </w:rPr>
        <w:t>Jaisalmer</w:t>
      </w:r>
      <w:r>
        <w:rPr>
          <w:spacing w:val="-2"/>
          <w:sz w:val="24"/>
        </w:rPr>
        <w:t> (Rajasthan)</w:t>
      </w:r>
      <w:r>
        <w:rPr>
          <w:sz w:val="24"/>
        </w:rPr>
        <w:tab/>
      </w:r>
      <w:r>
        <w:rPr>
          <w:spacing w:val="-10"/>
          <w:sz w:val="24"/>
        </w:rPr>
        <w:t>8</w:t>
      </w:r>
      <w:r>
        <w:rPr>
          <w:sz w:val="24"/>
        </w:rPr>
        <w:tab/>
        <w:t>3.</w:t>
      </w:r>
      <w:r>
        <w:rPr>
          <w:spacing w:val="57"/>
          <w:sz w:val="24"/>
        </w:rPr>
        <w:t> </w:t>
      </w:r>
      <w:r>
        <w:rPr>
          <w:sz w:val="24"/>
        </w:rPr>
        <w:t>Kottayam</w:t>
      </w:r>
      <w:r>
        <w:rPr>
          <w:spacing w:val="-1"/>
          <w:sz w:val="24"/>
        </w:rPr>
        <w:t> </w:t>
      </w:r>
      <w:r>
        <w:rPr>
          <w:spacing w:val="-2"/>
          <w:sz w:val="24"/>
        </w:rPr>
        <w:t>(Kerala)</w:t>
      </w:r>
      <w:r>
        <w:rPr>
          <w:sz w:val="24"/>
        </w:rPr>
        <w:tab/>
      </w:r>
      <w:r>
        <w:rPr>
          <w:spacing w:val="-5"/>
          <w:sz w:val="24"/>
        </w:rPr>
        <w:t>141</w:t>
      </w:r>
    </w:p>
    <w:p>
      <w:pPr>
        <w:pStyle w:val="ListParagraph"/>
        <w:numPr>
          <w:ilvl w:val="0"/>
          <w:numId w:val="124"/>
        </w:numPr>
        <w:tabs>
          <w:tab w:pos="398" w:val="left" w:leader="none"/>
          <w:tab w:pos="2858" w:val="left" w:leader="none"/>
          <w:tab w:pos="4740" w:val="left" w:leader="none"/>
        </w:tabs>
        <w:spacing w:line="240" w:lineRule="auto" w:before="276" w:after="0"/>
        <w:ind w:left="398" w:right="0" w:hanging="239"/>
        <w:jc w:val="left"/>
        <w:rPr>
          <w:sz w:val="24"/>
        </w:rPr>
      </w:pPr>
      <w:r>
        <w:rPr>
          <w:sz w:val="24"/>
        </w:rPr>
        <w:t>Jalore</w:t>
      </w:r>
      <w:r>
        <w:rPr>
          <w:spacing w:val="-1"/>
          <w:sz w:val="24"/>
        </w:rPr>
        <w:t> </w:t>
      </w:r>
      <w:r>
        <w:rPr>
          <w:spacing w:val="-2"/>
          <w:sz w:val="24"/>
        </w:rPr>
        <w:t>(Rajasthan)</w:t>
      </w:r>
      <w:r>
        <w:rPr>
          <w:sz w:val="24"/>
        </w:rPr>
        <w:tab/>
      </w:r>
      <w:r>
        <w:rPr>
          <w:spacing w:val="-10"/>
          <w:sz w:val="24"/>
        </w:rPr>
        <w:t>8</w:t>
      </w:r>
      <w:r>
        <w:rPr>
          <w:sz w:val="24"/>
        </w:rPr>
        <w:tab/>
        <w:t>4.</w:t>
      </w:r>
      <w:r>
        <w:rPr>
          <w:spacing w:val="59"/>
          <w:sz w:val="24"/>
        </w:rPr>
        <w:t> </w:t>
      </w:r>
      <w:r>
        <w:rPr>
          <w:sz w:val="24"/>
        </w:rPr>
        <w:t>Kanya Kurmri</w:t>
      </w:r>
      <w:r>
        <w:rPr>
          <w:spacing w:val="-1"/>
          <w:sz w:val="24"/>
        </w:rPr>
        <w:t> </w:t>
      </w:r>
      <w:r>
        <w:rPr>
          <w:sz w:val="24"/>
        </w:rPr>
        <w:t>(Madras)</w:t>
      </w:r>
      <w:r>
        <w:rPr>
          <w:spacing w:val="60"/>
          <w:sz w:val="24"/>
        </w:rPr>
        <w:t> </w:t>
      </w:r>
      <w:r>
        <w:rPr>
          <w:spacing w:val="-5"/>
          <w:sz w:val="24"/>
        </w:rPr>
        <w:t>139</w:t>
      </w:r>
    </w:p>
    <w:p>
      <w:pPr>
        <w:pStyle w:val="ListParagraph"/>
        <w:numPr>
          <w:ilvl w:val="0"/>
          <w:numId w:val="124"/>
        </w:numPr>
        <w:tabs>
          <w:tab w:pos="399" w:val="left" w:leader="none"/>
        </w:tabs>
        <w:spacing w:line="240" w:lineRule="auto" w:before="276" w:after="0"/>
        <w:ind w:left="399" w:right="0" w:hanging="240"/>
        <w:jc w:val="left"/>
        <w:rPr>
          <w:sz w:val="24"/>
        </w:rPr>
      </w:pPr>
      <w:r>
        <w:rPr>
          <w:sz w:val="24"/>
        </w:rPr>
        <w:t>Tehri </w:t>
      </w:r>
      <w:r>
        <w:rPr>
          <w:spacing w:val="-2"/>
          <w:sz w:val="24"/>
        </w:rPr>
        <w:t>Garhwal</w:t>
      </w:r>
    </w:p>
    <w:p>
      <w:pPr>
        <w:pStyle w:val="BodyText"/>
        <w:tabs>
          <w:tab w:pos="2908" w:val="left" w:leader="none"/>
          <w:tab w:pos="4741" w:val="left" w:leader="none"/>
          <w:tab w:pos="7860" w:val="right" w:leader="none"/>
        </w:tabs>
        <w:ind w:left="159"/>
      </w:pPr>
      <w:r>
        <w:rPr/>
        <mc:AlternateContent>
          <mc:Choice Requires="wps">
            <w:drawing>
              <wp:anchor distT="0" distB="0" distL="0" distR="0" allowOverlap="1" layoutInCell="1" locked="0" behindDoc="0" simplePos="0" relativeHeight="15768576">
                <wp:simplePos x="0" y="0"/>
                <wp:positionH relativeFrom="page">
                  <wp:posOffset>1143000</wp:posOffset>
                </wp:positionH>
                <wp:positionV relativeFrom="paragraph">
                  <wp:posOffset>301108</wp:posOffset>
                </wp:positionV>
                <wp:extent cx="5486400" cy="1905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5486400" cy="19050"/>
                          <a:chExt cx="5486400" cy="19050"/>
                        </a:xfrm>
                      </wpg:grpSpPr>
                      <wps:wsp>
                        <wps:cNvPr id="417" name="Graphic 417"/>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418" name="Graphic 418"/>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19" name="Graphic 419"/>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20" name="Graphic 420"/>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421" name="Graphic 421"/>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22" name="Graphic 422"/>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423" name="Graphic 423"/>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709366pt;width:432pt;height:1.5pt;mso-position-horizontal-relative:page;mso-position-vertical-relative:paragraph;z-index:15768576" id="docshapegroup399" coordorigin="1800,474" coordsize="8640,30">
                <v:rect style="position:absolute;left:1800;top:474;width:8640;height:30" id="docshape400" filled="true" fillcolor="#808080" stroked="false">
                  <v:fill type="solid"/>
                </v:rect>
                <v:shape style="position:absolute;left:1800;top:474;width:8636;height:5" id="docshape401" coordorigin="1800,474" coordsize="8636,5" path="m10435,474l1805,474,1800,474,1800,479,1805,479,10435,479,10435,474xe" filled="true" fillcolor="#aca89a" stroked="false">
                  <v:path arrowok="t"/>
                  <v:fill type="solid"/>
                </v:shape>
                <v:rect style="position:absolute;left:10435;top:474;width:5;height:5" id="docshape402" filled="true" fillcolor="#f1efe2" stroked="false">
                  <v:fill type="solid"/>
                </v:rect>
                <v:shape style="position:absolute;left:1800;top:474;width:8640;height:26" id="docshape403" coordorigin="1800,474" coordsize="8640,26" path="m1805,479l1800,479,1800,499,1805,499,1805,479xm10440,474l10435,474,10435,479,10440,479,10440,474xe" filled="true" fillcolor="#aca89a" stroked="false">
                  <v:path arrowok="t"/>
                  <v:fill type="solid"/>
                </v:shape>
                <v:rect style="position:absolute;left:10435;top:478;width:5;height:21" id="docshape404" filled="true" fillcolor="#f1efe2" stroked="false">
                  <v:fill type="solid"/>
                </v:rect>
                <v:rect style="position:absolute;left:1800;top:499;width:5;height:5" id="docshape405" filled="true" fillcolor="#aca89a" stroked="false">
                  <v:fill type="solid"/>
                </v:rect>
                <v:shape style="position:absolute;left:1800;top:499;width:8640;height:5" id="docshape406" coordorigin="1800,499" coordsize="8640,5" path="m10440,499l10435,499,1800,499,1800,504,10435,504,10440,504,10440,499xe" filled="true" fillcolor="#f1efe2" stroked="false">
                  <v:path arrowok="t"/>
                  <v:fill type="solid"/>
                </v:shape>
                <w10:wrap type="none"/>
              </v:group>
            </w:pict>
          </mc:Fallback>
        </mc:AlternateContent>
      </w:r>
      <w:r>
        <w:rPr/>
        <w:t>(Uttar </w:t>
      </w:r>
      <w:r>
        <w:rPr>
          <w:spacing w:val="-2"/>
        </w:rPr>
        <w:t>Pradesh)</w:t>
      </w:r>
      <w:r>
        <w:rPr/>
        <w:tab/>
      </w:r>
      <w:r>
        <w:rPr>
          <w:spacing w:val="-10"/>
        </w:rPr>
        <w:t>8</w:t>
      </w:r>
      <w:r>
        <w:rPr/>
        <w:tab/>
        <w:t>5.</w:t>
      </w:r>
      <w:r>
        <w:rPr>
          <w:spacing w:val="58"/>
        </w:rPr>
        <w:t> </w:t>
      </w:r>
      <w:r>
        <w:rPr/>
        <w:t>Mizo </w:t>
      </w:r>
      <w:r>
        <w:rPr>
          <w:spacing w:val="-2"/>
        </w:rPr>
        <w:t>(Assam)</w:t>
      </w:r>
      <w:r>
        <w:rPr/>
        <w:tab/>
      </w:r>
      <w:r>
        <w:rPr>
          <w:spacing w:val="-5"/>
        </w:rPr>
        <w:t>138</w:t>
      </w:r>
    </w:p>
    <w:p>
      <w:pPr>
        <w:pStyle w:val="BodyText"/>
        <w:spacing w:before="557"/>
        <w:ind w:left="159"/>
      </w:pPr>
      <w:r>
        <w:rPr/>
        <w:t>Target.</w:t>
      </w:r>
      <w:r>
        <w:rPr>
          <w:spacing w:val="-1"/>
        </w:rPr>
        <w:t> </w:t>
      </w:r>
      <w:r>
        <w:rPr/>
        <w:t>An enrolment</w:t>
      </w:r>
      <w:r>
        <w:rPr>
          <w:spacing w:val="-1"/>
        </w:rPr>
        <w:t> </w:t>
      </w:r>
      <w:r>
        <w:rPr/>
        <w:t>of 142</w:t>
      </w:r>
      <w:r>
        <w:rPr>
          <w:spacing w:val="-1"/>
        </w:rPr>
        <w:t> </w:t>
      </w:r>
      <w:r>
        <w:rPr/>
        <w:t>per thousand in</w:t>
      </w:r>
      <w:r>
        <w:rPr>
          <w:spacing w:val="-1"/>
        </w:rPr>
        <w:t> </w:t>
      </w:r>
      <w:r>
        <w:rPr/>
        <w:t>total and</w:t>
      </w:r>
      <w:r>
        <w:rPr>
          <w:spacing w:val="-1"/>
        </w:rPr>
        <w:t> </w:t>
      </w:r>
      <w:r>
        <w:rPr/>
        <w:t>143 for </w:t>
      </w:r>
      <w:r>
        <w:rPr>
          <w:spacing w:val="-2"/>
        </w:rPr>
        <w:t>girls.</w:t>
      </w:r>
    </w:p>
    <w:p>
      <w:pPr>
        <w:spacing w:after="0"/>
        <w:sectPr>
          <w:pgSz w:w="12240" w:h="15840"/>
          <w:pgMar w:header="0" w:footer="743" w:top="1360" w:bottom="940" w:left="1640" w:right="1300"/>
        </w:sectPr>
      </w:pPr>
    </w:p>
    <w:p>
      <w:pPr>
        <w:pStyle w:val="ListParagraph"/>
        <w:numPr>
          <w:ilvl w:val="0"/>
          <w:numId w:val="123"/>
        </w:numPr>
        <w:tabs>
          <w:tab w:pos="504" w:val="left" w:leader="none"/>
        </w:tabs>
        <w:spacing w:line="240" w:lineRule="auto" w:before="76" w:after="0"/>
        <w:ind w:left="159" w:right="496" w:firstLine="0"/>
        <w:jc w:val="both"/>
        <w:rPr>
          <w:sz w:val="24"/>
        </w:rPr>
      </w:pPr>
      <w:r>
        <w:rPr>
          <w:b/>
          <w:sz w:val="24"/>
        </w:rPr>
        <w:t>Higher Primary Stage (Classes VI-VIII). </w:t>
      </w:r>
      <w:r>
        <w:rPr>
          <w:sz w:val="24"/>
        </w:rPr>
        <w:t>At the higher primary stage, the picture is similar, although the task that remains to be done is far greater. At the State level, the highest total enrolment was 41 per thousand in Kerala and lowest-5 per thousand in Orissa. In respect of girls, the highest enrolment was 35 per thousand, again in Kerala, while it was lowest-1 per thousand in Orissa, 2 per thousand in Bihar and 3 per thousand in Madhya Pradesh, Rajasthan and Uttar Pradesh. The mean and standard deviations for all States were 13.7 and 8.3 in the case of all children and 6.7 and 7.3 in the case of girls. The variations between the districts, which are wider, are given below (see also charts on pages 234 and 235).</w:t>
      </w:r>
    </w:p>
    <w:p>
      <w:pPr>
        <w:pStyle w:val="BodyText"/>
        <w:spacing w:before="4"/>
      </w:pPr>
    </w:p>
    <w:p>
      <w:pPr>
        <w:pStyle w:val="BodyText"/>
        <w:ind w:left="2500" w:right="510" w:hanging="2200"/>
      </w:pPr>
      <w:r>
        <w:rPr/>
        <w:t>TABLE</w:t>
      </w:r>
      <w:r>
        <w:rPr>
          <w:spacing w:val="-5"/>
        </w:rPr>
        <w:t> </w:t>
      </w:r>
      <w:r>
        <w:rPr/>
        <w:t>6.10.</w:t>
      </w:r>
      <w:r>
        <w:rPr>
          <w:spacing w:val="-5"/>
        </w:rPr>
        <w:t> </w:t>
      </w:r>
      <w:r>
        <w:rPr/>
        <w:t>DISTRICTS</w:t>
      </w:r>
      <w:r>
        <w:rPr>
          <w:spacing w:val="-5"/>
        </w:rPr>
        <w:t> </w:t>
      </w:r>
      <w:r>
        <w:rPr/>
        <w:t>WITH</w:t>
      </w:r>
      <w:r>
        <w:rPr>
          <w:spacing w:val="-5"/>
        </w:rPr>
        <w:t> </w:t>
      </w:r>
      <w:r>
        <w:rPr/>
        <w:t>LOWEST</w:t>
      </w:r>
      <w:r>
        <w:rPr>
          <w:spacing w:val="-5"/>
        </w:rPr>
        <w:t> </w:t>
      </w:r>
      <w:r>
        <w:rPr/>
        <w:t>AND</w:t>
      </w:r>
      <w:r>
        <w:rPr>
          <w:spacing w:val="-5"/>
        </w:rPr>
        <w:t> </w:t>
      </w:r>
      <w:r>
        <w:rPr/>
        <w:t>HIGHEST</w:t>
      </w:r>
      <w:r>
        <w:rPr>
          <w:spacing w:val="-5"/>
        </w:rPr>
        <w:t> </w:t>
      </w:r>
      <w:r>
        <w:rPr/>
        <w:t>TOTAL</w:t>
      </w:r>
      <w:r>
        <w:rPr>
          <w:spacing w:val="-5"/>
        </w:rPr>
        <w:t> </w:t>
      </w:r>
      <w:r>
        <w:rPr/>
        <w:t>ENROLMENT AT HIGHER PRIMARY STAGE</w:t>
      </w:r>
    </w:p>
    <w:p>
      <w:pPr>
        <w:pStyle w:val="BodyText"/>
        <w:spacing w:before="6"/>
        <w:rPr>
          <w:sz w:val="18"/>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16"/>
        <w:gridCol w:w="1530"/>
        <w:gridCol w:w="3088"/>
        <w:gridCol w:w="1354"/>
      </w:tblGrid>
      <w:tr>
        <w:trPr>
          <w:trHeight w:val="605" w:hRule="atLeast"/>
        </w:trPr>
        <w:tc>
          <w:tcPr>
            <w:tcW w:w="2716" w:type="dxa"/>
            <w:tcBorders>
              <w:top w:val="single" w:sz="12" w:space="0" w:color="808080"/>
            </w:tcBorders>
          </w:tcPr>
          <w:p>
            <w:pPr>
              <w:pStyle w:val="TableParagraph"/>
              <w:spacing w:line="270" w:lineRule="atLeast" w:before="33"/>
              <w:ind w:left="50"/>
              <w:rPr>
                <w:sz w:val="24"/>
              </w:rPr>
            </w:pPr>
            <w:r>
              <w:rPr>
                <w:sz w:val="24"/>
              </w:rPr>
              <w:t>Districts</w:t>
            </w:r>
            <w:r>
              <w:rPr>
                <w:spacing w:val="-12"/>
                <w:sz w:val="24"/>
              </w:rPr>
              <w:t> </w:t>
            </w:r>
            <w:r>
              <w:rPr>
                <w:sz w:val="24"/>
              </w:rPr>
              <w:t>with</w:t>
            </w:r>
            <w:r>
              <w:rPr>
                <w:spacing w:val="-12"/>
                <w:sz w:val="24"/>
              </w:rPr>
              <w:t> </w:t>
            </w:r>
            <w:r>
              <w:rPr>
                <w:sz w:val="24"/>
              </w:rPr>
              <w:t>Lowest</w:t>
            </w:r>
            <w:r>
              <w:rPr>
                <w:spacing w:val="-12"/>
                <w:sz w:val="24"/>
              </w:rPr>
              <w:t> </w:t>
            </w:r>
            <w:r>
              <w:rPr>
                <w:sz w:val="24"/>
              </w:rPr>
              <w:t>Total </w:t>
            </w:r>
            <w:r>
              <w:rPr>
                <w:spacing w:val="-2"/>
                <w:sz w:val="24"/>
              </w:rPr>
              <w:t>District</w:t>
            </w:r>
          </w:p>
        </w:tc>
        <w:tc>
          <w:tcPr>
            <w:tcW w:w="1530" w:type="dxa"/>
            <w:tcBorders>
              <w:top w:val="single" w:sz="12" w:space="0" w:color="808080"/>
            </w:tcBorders>
          </w:tcPr>
          <w:p>
            <w:pPr>
              <w:pStyle w:val="TableParagraph"/>
              <w:spacing w:line="270" w:lineRule="atLeast" w:before="33"/>
              <w:ind w:left="81" w:right="433" w:hanging="52"/>
              <w:rPr>
                <w:sz w:val="24"/>
              </w:rPr>
            </w:pPr>
            <w:r>
              <w:rPr>
                <w:spacing w:val="-2"/>
                <w:sz w:val="24"/>
              </w:rPr>
              <w:t>Enrolment Enrolment</w:t>
            </w:r>
          </w:p>
        </w:tc>
        <w:tc>
          <w:tcPr>
            <w:tcW w:w="3088" w:type="dxa"/>
            <w:tcBorders>
              <w:top w:val="single" w:sz="12" w:space="0" w:color="808080"/>
            </w:tcBorders>
          </w:tcPr>
          <w:p>
            <w:pPr>
              <w:pStyle w:val="TableParagraph"/>
              <w:spacing w:line="270" w:lineRule="atLeast" w:before="33"/>
              <w:ind w:left="382" w:firstLine="1"/>
              <w:rPr>
                <w:sz w:val="24"/>
              </w:rPr>
            </w:pPr>
            <w:r>
              <w:rPr>
                <w:sz w:val="24"/>
              </w:rPr>
              <w:t>Districts</w:t>
            </w:r>
            <w:r>
              <w:rPr>
                <w:spacing w:val="-12"/>
                <w:sz w:val="24"/>
              </w:rPr>
              <w:t> </w:t>
            </w:r>
            <w:r>
              <w:rPr>
                <w:sz w:val="24"/>
              </w:rPr>
              <w:t>with</w:t>
            </w:r>
            <w:r>
              <w:rPr>
                <w:spacing w:val="-12"/>
                <w:sz w:val="24"/>
              </w:rPr>
              <w:t> </w:t>
            </w:r>
            <w:r>
              <w:rPr>
                <w:sz w:val="24"/>
              </w:rPr>
              <w:t>Highest</w:t>
            </w:r>
            <w:r>
              <w:rPr>
                <w:spacing w:val="-12"/>
                <w:sz w:val="24"/>
              </w:rPr>
              <w:t> </w:t>
            </w:r>
            <w:r>
              <w:rPr>
                <w:sz w:val="24"/>
              </w:rPr>
              <w:t>Total </w:t>
            </w:r>
            <w:r>
              <w:rPr>
                <w:spacing w:val="-2"/>
                <w:sz w:val="24"/>
              </w:rPr>
              <w:t>District</w:t>
            </w:r>
          </w:p>
        </w:tc>
        <w:tc>
          <w:tcPr>
            <w:tcW w:w="1354" w:type="dxa"/>
            <w:tcBorders>
              <w:top w:val="single" w:sz="12" w:space="0" w:color="808080"/>
            </w:tcBorders>
          </w:tcPr>
          <w:p>
            <w:pPr>
              <w:pStyle w:val="TableParagraph"/>
              <w:spacing w:line="270" w:lineRule="atLeast" w:before="33"/>
              <w:ind w:left="42" w:right="296" w:hanging="12"/>
              <w:rPr>
                <w:sz w:val="24"/>
              </w:rPr>
            </w:pPr>
            <w:r>
              <w:rPr>
                <w:spacing w:val="-2"/>
                <w:sz w:val="24"/>
              </w:rPr>
              <w:t>Enrolment Enrolment</w:t>
            </w:r>
          </w:p>
        </w:tc>
      </w:tr>
      <w:tr>
        <w:trPr>
          <w:trHeight w:val="468" w:hRule="atLeast"/>
        </w:trPr>
        <w:tc>
          <w:tcPr>
            <w:tcW w:w="2716" w:type="dxa"/>
            <w:tcBorders>
              <w:bottom w:val="single" w:sz="12" w:space="0" w:color="808080"/>
            </w:tcBorders>
          </w:tcPr>
          <w:p>
            <w:pPr>
              <w:pStyle w:val="TableParagraph"/>
              <w:rPr>
                <w:sz w:val="24"/>
              </w:rPr>
            </w:pPr>
          </w:p>
        </w:tc>
        <w:tc>
          <w:tcPr>
            <w:tcW w:w="1530" w:type="dxa"/>
            <w:tcBorders>
              <w:bottom w:val="single" w:sz="12" w:space="0" w:color="808080"/>
            </w:tcBorders>
          </w:tcPr>
          <w:p>
            <w:pPr>
              <w:pStyle w:val="TableParagraph"/>
              <w:spacing w:line="271" w:lineRule="exact"/>
              <w:ind w:left="82"/>
              <w:rPr>
                <w:sz w:val="24"/>
              </w:rPr>
            </w:pPr>
            <w:r>
              <w:rPr>
                <w:sz w:val="24"/>
              </w:rPr>
              <w:t>(per </w:t>
            </w:r>
            <w:r>
              <w:rPr>
                <w:spacing w:val="-2"/>
                <w:sz w:val="24"/>
              </w:rPr>
              <w:t>1,000)</w:t>
            </w:r>
          </w:p>
        </w:tc>
        <w:tc>
          <w:tcPr>
            <w:tcW w:w="3088" w:type="dxa"/>
            <w:tcBorders>
              <w:bottom w:val="single" w:sz="12" w:space="0" w:color="808080"/>
            </w:tcBorders>
          </w:tcPr>
          <w:p>
            <w:pPr>
              <w:pStyle w:val="TableParagraph"/>
              <w:rPr>
                <w:sz w:val="24"/>
              </w:rPr>
            </w:pPr>
          </w:p>
        </w:tc>
        <w:tc>
          <w:tcPr>
            <w:tcW w:w="1354" w:type="dxa"/>
            <w:tcBorders>
              <w:bottom w:val="single" w:sz="12" w:space="0" w:color="808080"/>
            </w:tcBorders>
          </w:tcPr>
          <w:p>
            <w:pPr>
              <w:pStyle w:val="TableParagraph"/>
              <w:spacing w:line="271" w:lineRule="exact"/>
              <w:ind w:left="44"/>
              <w:rPr>
                <w:sz w:val="24"/>
              </w:rPr>
            </w:pPr>
            <w:r>
              <w:rPr>
                <w:sz w:val="24"/>
              </w:rPr>
              <w:t>(per </w:t>
            </w:r>
            <w:r>
              <w:rPr>
                <w:spacing w:val="-2"/>
                <w:sz w:val="24"/>
              </w:rPr>
              <w:t>1,000)</w:t>
            </w:r>
          </w:p>
        </w:tc>
      </w:tr>
      <w:tr>
        <w:trPr>
          <w:trHeight w:val="467" w:hRule="atLeast"/>
        </w:trPr>
        <w:tc>
          <w:tcPr>
            <w:tcW w:w="2716" w:type="dxa"/>
            <w:tcBorders>
              <w:top w:val="single" w:sz="12" w:space="0" w:color="808080"/>
            </w:tcBorders>
          </w:tcPr>
          <w:p>
            <w:pPr>
              <w:pStyle w:val="TableParagraph"/>
              <w:spacing w:before="48"/>
              <w:ind w:left="50"/>
              <w:rPr>
                <w:sz w:val="24"/>
              </w:rPr>
            </w:pPr>
            <w:r>
              <w:rPr>
                <w:sz w:val="24"/>
              </w:rPr>
              <w:t>1.</w:t>
            </w:r>
            <w:r>
              <w:rPr>
                <w:spacing w:val="29"/>
                <w:sz w:val="24"/>
              </w:rPr>
              <w:t>  </w:t>
            </w:r>
            <w:r>
              <w:rPr>
                <w:sz w:val="24"/>
              </w:rPr>
              <w:t>Kalahandi </w:t>
            </w:r>
            <w:r>
              <w:rPr>
                <w:spacing w:val="-2"/>
                <w:sz w:val="24"/>
              </w:rPr>
              <w:t>(Orissa)</w:t>
            </w:r>
          </w:p>
        </w:tc>
        <w:tc>
          <w:tcPr>
            <w:tcW w:w="1530" w:type="dxa"/>
            <w:tcBorders>
              <w:top w:val="single" w:sz="12" w:space="0" w:color="808080"/>
            </w:tcBorders>
          </w:tcPr>
          <w:p>
            <w:pPr>
              <w:pStyle w:val="TableParagraph"/>
              <w:spacing w:before="48"/>
              <w:ind w:left="82"/>
              <w:rPr>
                <w:sz w:val="24"/>
              </w:rPr>
            </w:pPr>
            <w:r>
              <w:rPr>
                <w:spacing w:val="-10"/>
                <w:sz w:val="24"/>
              </w:rPr>
              <w:t>2</w:t>
            </w:r>
          </w:p>
        </w:tc>
        <w:tc>
          <w:tcPr>
            <w:tcW w:w="3088" w:type="dxa"/>
            <w:tcBorders>
              <w:top w:val="single" w:sz="12" w:space="0" w:color="808080"/>
            </w:tcBorders>
          </w:tcPr>
          <w:p>
            <w:pPr>
              <w:pStyle w:val="TableParagraph"/>
              <w:spacing w:before="48"/>
              <w:ind w:left="384"/>
              <w:rPr>
                <w:sz w:val="24"/>
              </w:rPr>
            </w:pPr>
            <w:r>
              <w:rPr>
                <w:sz w:val="24"/>
              </w:rPr>
              <w:t>1.</w:t>
            </w:r>
            <w:r>
              <w:rPr>
                <w:spacing w:val="-1"/>
                <w:sz w:val="24"/>
              </w:rPr>
              <w:t> </w:t>
            </w:r>
            <w:r>
              <w:rPr>
                <w:sz w:val="24"/>
              </w:rPr>
              <w:t>Alleppey</w:t>
            </w:r>
            <w:r>
              <w:rPr>
                <w:spacing w:val="-1"/>
                <w:sz w:val="24"/>
              </w:rPr>
              <w:t> </w:t>
            </w:r>
            <w:r>
              <w:rPr>
                <w:spacing w:val="-2"/>
                <w:sz w:val="24"/>
              </w:rPr>
              <w:t>(Kerala)</w:t>
            </w:r>
          </w:p>
        </w:tc>
        <w:tc>
          <w:tcPr>
            <w:tcW w:w="1354" w:type="dxa"/>
            <w:tcBorders>
              <w:top w:val="single" w:sz="12" w:space="0" w:color="808080"/>
            </w:tcBorders>
          </w:tcPr>
          <w:p>
            <w:pPr>
              <w:pStyle w:val="TableParagraph"/>
              <w:spacing w:before="48"/>
              <w:ind w:left="42"/>
              <w:rPr>
                <w:sz w:val="24"/>
              </w:rPr>
            </w:pPr>
            <w:r>
              <w:rPr>
                <w:spacing w:val="-5"/>
                <w:sz w:val="24"/>
              </w:rPr>
              <w:t>59</w:t>
            </w:r>
          </w:p>
        </w:tc>
      </w:tr>
      <w:tr>
        <w:trPr>
          <w:trHeight w:val="552" w:hRule="atLeast"/>
        </w:trPr>
        <w:tc>
          <w:tcPr>
            <w:tcW w:w="2716" w:type="dxa"/>
          </w:tcPr>
          <w:p>
            <w:pPr>
              <w:pStyle w:val="TableParagraph"/>
              <w:spacing w:before="133"/>
              <w:ind w:left="50"/>
              <w:rPr>
                <w:sz w:val="24"/>
              </w:rPr>
            </w:pPr>
            <w:r>
              <w:rPr>
                <w:sz w:val="24"/>
              </w:rPr>
              <w:t>2.</w:t>
            </w:r>
            <w:r>
              <w:rPr>
                <w:spacing w:val="29"/>
                <w:sz w:val="24"/>
              </w:rPr>
              <w:t>  </w:t>
            </w:r>
            <w:r>
              <w:rPr>
                <w:sz w:val="24"/>
              </w:rPr>
              <w:t>Koraput </w:t>
            </w:r>
            <w:r>
              <w:rPr>
                <w:spacing w:val="-2"/>
                <w:sz w:val="24"/>
              </w:rPr>
              <w:t>(Orissa)</w:t>
            </w:r>
          </w:p>
        </w:tc>
        <w:tc>
          <w:tcPr>
            <w:tcW w:w="1530" w:type="dxa"/>
          </w:tcPr>
          <w:p>
            <w:pPr>
              <w:pStyle w:val="TableParagraph"/>
              <w:spacing w:before="133"/>
              <w:ind w:left="81"/>
              <w:rPr>
                <w:sz w:val="24"/>
              </w:rPr>
            </w:pPr>
            <w:r>
              <w:rPr>
                <w:spacing w:val="-10"/>
                <w:sz w:val="24"/>
              </w:rPr>
              <w:t>2</w:t>
            </w:r>
          </w:p>
        </w:tc>
        <w:tc>
          <w:tcPr>
            <w:tcW w:w="3088" w:type="dxa"/>
          </w:tcPr>
          <w:p>
            <w:pPr>
              <w:pStyle w:val="TableParagraph"/>
              <w:spacing w:before="133"/>
              <w:ind w:left="384"/>
              <w:rPr>
                <w:sz w:val="24"/>
              </w:rPr>
            </w:pPr>
            <w:r>
              <w:rPr>
                <w:sz w:val="24"/>
              </w:rPr>
              <w:t>2.</w:t>
            </w:r>
            <w:r>
              <w:rPr>
                <w:spacing w:val="-1"/>
                <w:sz w:val="24"/>
              </w:rPr>
              <w:t> </w:t>
            </w:r>
            <w:r>
              <w:rPr>
                <w:sz w:val="24"/>
              </w:rPr>
              <w:t>Quilon</w:t>
            </w:r>
            <w:r>
              <w:rPr>
                <w:spacing w:val="-1"/>
                <w:sz w:val="24"/>
              </w:rPr>
              <w:t> </w:t>
            </w:r>
            <w:r>
              <w:rPr>
                <w:spacing w:val="-2"/>
                <w:sz w:val="24"/>
              </w:rPr>
              <w:t>(Kerala)</w:t>
            </w:r>
          </w:p>
        </w:tc>
        <w:tc>
          <w:tcPr>
            <w:tcW w:w="1354" w:type="dxa"/>
          </w:tcPr>
          <w:p>
            <w:pPr>
              <w:pStyle w:val="TableParagraph"/>
              <w:spacing w:before="133"/>
              <w:ind w:left="43"/>
              <w:rPr>
                <w:sz w:val="24"/>
              </w:rPr>
            </w:pPr>
            <w:r>
              <w:rPr>
                <w:spacing w:val="-5"/>
                <w:sz w:val="24"/>
              </w:rPr>
              <w:t>53</w:t>
            </w:r>
          </w:p>
        </w:tc>
      </w:tr>
      <w:tr>
        <w:trPr>
          <w:trHeight w:val="408" w:hRule="atLeast"/>
        </w:trPr>
        <w:tc>
          <w:tcPr>
            <w:tcW w:w="2716" w:type="dxa"/>
          </w:tcPr>
          <w:p>
            <w:pPr>
              <w:pStyle w:val="TableParagraph"/>
              <w:spacing w:line="256" w:lineRule="exact" w:before="133"/>
              <w:ind w:left="50"/>
              <w:rPr>
                <w:sz w:val="24"/>
              </w:rPr>
            </w:pPr>
            <w:r>
              <w:rPr>
                <w:sz w:val="24"/>
              </w:rPr>
              <w:t>3.</w:t>
            </w:r>
            <w:r>
              <w:rPr>
                <w:spacing w:val="28"/>
                <w:sz w:val="24"/>
              </w:rPr>
              <w:t>  </w:t>
            </w:r>
            <w:r>
              <w:rPr>
                <w:sz w:val="24"/>
              </w:rPr>
              <w:t>Barmer </w:t>
            </w:r>
            <w:r>
              <w:rPr>
                <w:spacing w:val="-2"/>
                <w:sz w:val="24"/>
              </w:rPr>
              <w:t>(Rajasthan)</w:t>
            </w:r>
          </w:p>
        </w:tc>
        <w:tc>
          <w:tcPr>
            <w:tcW w:w="1530" w:type="dxa"/>
          </w:tcPr>
          <w:p>
            <w:pPr>
              <w:pStyle w:val="TableParagraph"/>
              <w:spacing w:line="256" w:lineRule="exact" w:before="133"/>
              <w:ind w:left="58"/>
              <w:rPr>
                <w:sz w:val="24"/>
              </w:rPr>
            </w:pPr>
            <w:r>
              <w:rPr>
                <w:spacing w:val="-10"/>
                <w:sz w:val="24"/>
              </w:rPr>
              <w:t>3</w:t>
            </w:r>
          </w:p>
        </w:tc>
        <w:tc>
          <w:tcPr>
            <w:tcW w:w="3088" w:type="dxa"/>
          </w:tcPr>
          <w:p>
            <w:pPr>
              <w:pStyle w:val="TableParagraph"/>
              <w:spacing w:line="256" w:lineRule="exact" w:before="133"/>
              <w:ind w:left="384"/>
              <w:rPr>
                <w:sz w:val="24"/>
              </w:rPr>
            </w:pPr>
            <w:r>
              <w:rPr>
                <w:sz w:val="24"/>
              </w:rPr>
              <w:t>3.</w:t>
            </w:r>
            <w:r>
              <w:rPr>
                <w:spacing w:val="-1"/>
                <w:sz w:val="24"/>
              </w:rPr>
              <w:t> </w:t>
            </w:r>
            <w:r>
              <w:rPr>
                <w:sz w:val="24"/>
              </w:rPr>
              <w:t>Kottayam</w:t>
            </w:r>
            <w:r>
              <w:rPr>
                <w:spacing w:val="-1"/>
                <w:sz w:val="24"/>
              </w:rPr>
              <w:t> </w:t>
            </w:r>
            <w:r>
              <w:rPr>
                <w:spacing w:val="-2"/>
                <w:sz w:val="24"/>
              </w:rPr>
              <w:t>(Kerala)</w:t>
            </w:r>
          </w:p>
        </w:tc>
        <w:tc>
          <w:tcPr>
            <w:tcW w:w="1354" w:type="dxa"/>
          </w:tcPr>
          <w:p>
            <w:pPr>
              <w:pStyle w:val="TableParagraph"/>
              <w:spacing w:line="256" w:lineRule="exact" w:before="133"/>
              <w:ind w:left="43"/>
              <w:rPr>
                <w:sz w:val="24"/>
              </w:rPr>
            </w:pPr>
            <w:r>
              <w:rPr>
                <w:spacing w:val="-5"/>
                <w:sz w:val="24"/>
              </w:rPr>
              <w:t>48</w:t>
            </w:r>
          </w:p>
        </w:tc>
      </w:tr>
      <w:tr>
        <w:trPr>
          <w:trHeight w:val="552" w:hRule="atLeast"/>
        </w:trPr>
        <w:tc>
          <w:tcPr>
            <w:tcW w:w="8688" w:type="dxa"/>
            <w:gridSpan w:val="4"/>
          </w:tcPr>
          <w:p>
            <w:pPr>
              <w:pStyle w:val="TableParagraph"/>
              <w:tabs>
                <w:tab w:pos="4630" w:val="left" w:leader="none"/>
                <w:tab w:pos="7655" w:val="right" w:leader="none"/>
              </w:tabs>
              <w:spacing w:line="256" w:lineRule="exact" w:before="276"/>
              <w:ind w:left="50"/>
              <w:rPr>
                <w:sz w:val="24"/>
              </w:rPr>
            </w:pPr>
            <w:r>
              <w:rPr>
                <w:sz w:val="24"/>
              </w:rPr>
              <w:t>4.</w:t>
            </w:r>
            <w:r>
              <w:rPr>
                <w:spacing w:val="30"/>
                <w:sz w:val="24"/>
              </w:rPr>
              <w:t>  </w:t>
            </w:r>
            <w:r>
              <w:rPr>
                <w:sz w:val="24"/>
              </w:rPr>
              <w:t>Bastar (Madhya </w:t>
            </w:r>
            <w:r>
              <w:rPr>
                <w:spacing w:val="-2"/>
                <w:sz w:val="24"/>
              </w:rPr>
              <w:t>Pradesh)3</w:t>
            </w:r>
            <w:r>
              <w:rPr>
                <w:sz w:val="24"/>
              </w:rPr>
              <w:tab/>
              <w:t>4.</w:t>
            </w:r>
            <w:r>
              <w:rPr>
                <w:spacing w:val="-3"/>
                <w:sz w:val="24"/>
              </w:rPr>
              <w:t> </w:t>
            </w:r>
            <w:r>
              <w:rPr>
                <w:sz w:val="24"/>
              </w:rPr>
              <w:t>Trivandrum</w:t>
            </w:r>
            <w:r>
              <w:rPr>
                <w:spacing w:val="-1"/>
                <w:sz w:val="24"/>
              </w:rPr>
              <w:t> </w:t>
            </w:r>
            <w:r>
              <w:rPr>
                <w:spacing w:val="-2"/>
                <w:sz w:val="24"/>
              </w:rPr>
              <w:t>(Kerala)</w:t>
            </w:r>
            <w:r>
              <w:rPr>
                <w:sz w:val="24"/>
              </w:rPr>
              <w:tab/>
            </w:r>
            <w:r>
              <w:rPr>
                <w:spacing w:val="-5"/>
                <w:sz w:val="24"/>
              </w:rPr>
              <w:t>46</w:t>
            </w:r>
          </w:p>
        </w:tc>
      </w:tr>
      <w:tr>
        <w:trPr>
          <w:trHeight w:val="552" w:hRule="atLeast"/>
        </w:trPr>
        <w:tc>
          <w:tcPr>
            <w:tcW w:w="2716" w:type="dxa"/>
          </w:tcPr>
          <w:p>
            <w:pPr>
              <w:pStyle w:val="TableParagraph"/>
              <w:rPr>
                <w:sz w:val="24"/>
              </w:rPr>
            </w:pPr>
          </w:p>
          <w:p>
            <w:pPr>
              <w:pStyle w:val="TableParagraph"/>
              <w:spacing w:line="256" w:lineRule="exact"/>
              <w:ind w:left="50"/>
              <w:rPr>
                <w:sz w:val="24"/>
              </w:rPr>
            </w:pPr>
            <w:r>
              <w:rPr>
                <w:sz w:val="24"/>
              </w:rPr>
              <w:t>5.</w:t>
            </w:r>
            <w:r>
              <w:rPr>
                <w:spacing w:val="26"/>
                <w:sz w:val="24"/>
              </w:rPr>
              <w:t>  </w:t>
            </w:r>
            <w:r>
              <w:rPr>
                <w:sz w:val="24"/>
              </w:rPr>
              <w:t>Bolangir</w:t>
            </w:r>
            <w:r>
              <w:rPr>
                <w:spacing w:val="-2"/>
                <w:sz w:val="24"/>
              </w:rPr>
              <w:t> (Orissa).</w:t>
            </w:r>
          </w:p>
        </w:tc>
        <w:tc>
          <w:tcPr>
            <w:tcW w:w="1530" w:type="dxa"/>
          </w:tcPr>
          <w:p>
            <w:pPr>
              <w:pStyle w:val="TableParagraph"/>
              <w:rPr>
                <w:sz w:val="24"/>
              </w:rPr>
            </w:pPr>
          </w:p>
          <w:p>
            <w:pPr>
              <w:pStyle w:val="TableParagraph"/>
              <w:spacing w:line="256" w:lineRule="exact"/>
              <w:ind w:left="81"/>
              <w:rPr>
                <w:sz w:val="24"/>
              </w:rPr>
            </w:pPr>
            <w:r>
              <w:rPr>
                <w:spacing w:val="-10"/>
                <w:sz w:val="24"/>
              </w:rPr>
              <w:t>3</w:t>
            </w:r>
          </w:p>
        </w:tc>
        <w:tc>
          <w:tcPr>
            <w:tcW w:w="3088" w:type="dxa"/>
          </w:tcPr>
          <w:p>
            <w:pPr>
              <w:pStyle w:val="TableParagraph"/>
              <w:rPr>
                <w:sz w:val="24"/>
              </w:rPr>
            </w:pPr>
          </w:p>
          <w:p>
            <w:pPr>
              <w:pStyle w:val="TableParagraph"/>
              <w:spacing w:line="256" w:lineRule="exact"/>
              <w:ind w:left="384"/>
              <w:rPr>
                <w:sz w:val="24"/>
              </w:rPr>
            </w:pPr>
            <w:r>
              <w:rPr>
                <w:sz w:val="24"/>
              </w:rPr>
              <w:t>5.</w:t>
            </w:r>
            <w:r>
              <w:rPr>
                <w:spacing w:val="-7"/>
                <w:sz w:val="24"/>
              </w:rPr>
              <w:t> </w:t>
            </w:r>
            <w:r>
              <w:rPr>
                <w:sz w:val="24"/>
              </w:rPr>
              <w:t>Trichur</w:t>
            </w:r>
            <w:r>
              <w:rPr>
                <w:spacing w:val="-4"/>
                <w:sz w:val="24"/>
              </w:rPr>
              <w:t> </w:t>
            </w:r>
            <w:r>
              <w:rPr>
                <w:spacing w:val="-2"/>
                <w:sz w:val="24"/>
              </w:rPr>
              <w:t>(Kerala)</w:t>
            </w:r>
          </w:p>
        </w:tc>
        <w:tc>
          <w:tcPr>
            <w:tcW w:w="1354" w:type="dxa"/>
          </w:tcPr>
          <w:p>
            <w:pPr>
              <w:pStyle w:val="TableParagraph"/>
              <w:rPr>
                <w:sz w:val="24"/>
              </w:rPr>
            </w:pPr>
          </w:p>
          <w:p>
            <w:pPr>
              <w:pStyle w:val="TableParagraph"/>
              <w:spacing w:line="256" w:lineRule="exact"/>
              <w:ind w:left="42"/>
              <w:rPr>
                <w:sz w:val="24"/>
              </w:rPr>
            </w:pPr>
            <w:r>
              <w:rPr>
                <w:spacing w:val="-5"/>
                <w:sz w:val="24"/>
              </w:rPr>
              <w:t>44</w:t>
            </w:r>
          </w:p>
        </w:tc>
      </w:tr>
    </w:tbl>
    <w:p>
      <w:pPr>
        <w:pStyle w:val="BodyText"/>
        <w:rPr>
          <w:sz w:val="14"/>
        </w:rPr>
      </w:pPr>
      <w:r>
        <w:rPr/>
        <mc:AlternateContent>
          <mc:Choice Requires="wps">
            <w:drawing>
              <wp:anchor distT="0" distB="0" distL="0" distR="0" allowOverlap="1" layoutInCell="1" locked="0" behindDoc="1" simplePos="0" relativeHeight="487628288">
                <wp:simplePos x="0" y="0"/>
                <wp:positionH relativeFrom="page">
                  <wp:posOffset>1143000</wp:posOffset>
                </wp:positionH>
                <wp:positionV relativeFrom="paragraph">
                  <wp:posOffset>117475</wp:posOffset>
                </wp:positionV>
                <wp:extent cx="5486400" cy="19050"/>
                <wp:effectExtent l="0" t="0" r="0" b="0"/>
                <wp:wrapTopAndBottom/>
                <wp:docPr id="424" name="Group 424"/>
                <wp:cNvGraphicFramePr>
                  <a:graphicFrameLocks/>
                </wp:cNvGraphicFramePr>
                <a:graphic>
                  <a:graphicData uri="http://schemas.microsoft.com/office/word/2010/wordprocessingGroup">
                    <wpg:wgp>
                      <wpg:cNvPr id="424" name="Group 424"/>
                      <wpg:cNvGrpSpPr/>
                      <wpg:grpSpPr>
                        <a:xfrm>
                          <a:off x="0" y="0"/>
                          <a:ext cx="5486400" cy="19050"/>
                          <a:chExt cx="5486400" cy="19050"/>
                        </a:xfrm>
                      </wpg:grpSpPr>
                      <wps:wsp>
                        <wps:cNvPr id="425" name="Graphic 42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26" name="Graphic 426"/>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27" name="Graphic 427"/>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28" name="Graphic 428"/>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29" name="Graphic 429"/>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30" name="Graphic 430"/>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431" name="Graphic 431"/>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25pt;width:432pt;height:1.5pt;mso-position-horizontal-relative:page;mso-position-vertical-relative:paragraph;z-index:-15688192;mso-wrap-distance-left:0;mso-wrap-distance-right:0" id="docshapegroup407" coordorigin="1800,185" coordsize="8640,30">
                <v:rect style="position:absolute;left:1800;top:185;width:8640;height:30" id="docshape408" filled="true" fillcolor="#808080" stroked="false">
                  <v:fill type="solid"/>
                </v:rect>
                <v:shape style="position:absolute;left:1800;top:185;width:8636;height:5" id="docshape409" coordorigin="1800,185" coordsize="8636,5" path="m10435,185l1805,185,1800,185,1800,190,1805,190,10435,190,10435,185xe" filled="true" fillcolor="#aca89a" stroked="false">
                  <v:path arrowok="t"/>
                  <v:fill type="solid"/>
                </v:shape>
                <v:rect style="position:absolute;left:10435;top:185;width:5;height:5" id="docshape410" filled="true" fillcolor="#f1efe2" stroked="false">
                  <v:fill type="solid"/>
                </v:rect>
                <v:shape style="position:absolute;left:1800;top:185;width:8640;height:26" id="docshape411" coordorigin="1800,185" coordsize="8640,26" path="m1805,190l1800,190,1800,210,1805,210,1805,190xm10440,185l10435,185,10435,190,10440,190,10440,185xe" filled="true" fillcolor="#aca89a" stroked="false">
                  <v:path arrowok="t"/>
                  <v:fill type="solid"/>
                </v:shape>
                <v:rect style="position:absolute;left:10435;top:189;width:5;height:21" id="docshape412" filled="true" fillcolor="#f1efe2" stroked="false">
                  <v:fill type="solid"/>
                </v:rect>
                <v:rect style="position:absolute;left:1800;top:210;width:5;height:5" id="docshape413" filled="true" fillcolor="#aca89a" stroked="false">
                  <v:fill type="solid"/>
                </v:rect>
                <v:shape style="position:absolute;left:1800;top:210;width:8640;height:5" id="docshape414" coordorigin="1800,210" coordsize="8640,5" path="m10440,210l10435,210,1800,210,1800,215,10435,215,10440,215,10440,210xe" filled="true" fillcolor="#f1efe2" stroked="false">
                  <v:path arrowok="t"/>
                  <v:fill type="solid"/>
                </v:shape>
                <w10:wrap type="topAndBottom"/>
              </v:group>
            </w:pict>
          </mc:Fallback>
        </mc:AlternateContent>
      </w:r>
    </w:p>
    <w:p>
      <w:pPr>
        <w:pStyle w:val="BodyText"/>
        <w:spacing w:before="48"/>
        <w:ind w:left="2802" w:right="510" w:hanging="2262"/>
      </w:pPr>
      <w:r>
        <w:rPr/>
        <w:t>TABLE</w:t>
      </w:r>
      <w:r>
        <w:rPr>
          <w:spacing w:val="-5"/>
        </w:rPr>
        <w:t> </w:t>
      </w:r>
      <w:r>
        <w:rPr/>
        <w:t>6.11.</w:t>
      </w:r>
      <w:r>
        <w:rPr>
          <w:spacing w:val="-5"/>
        </w:rPr>
        <w:t> </w:t>
      </w:r>
      <w:r>
        <w:rPr/>
        <w:t>DISTRICTS</w:t>
      </w:r>
      <w:r>
        <w:rPr>
          <w:spacing w:val="-5"/>
        </w:rPr>
        <w:t> </w:t>
      </w:r>
      <w:r>
        <w:rPr/>
        <w:t>WITH</w:t>
      </w:r>
      <w:r>
        <w:rPr>
          <w:spacing w:val="-5"/>
        </w:rPr>
        <w:t> </w:t>
      </w:r>
      <w:r>
        <w:rPr/>
        <w:t>LOWEST</w:t>
      </w:r>
      <w:r>
        <w:rPr>
          <w:spacing w:val="-6"/>
        </w:rPr>
        <w:t> </w:t>
      </w:r>
      <w:r>
        <w:rPr/>
        <w:t>AND</w:t>
      </w:r>
      <w:r>
        <w:rPr>
          <w:spacing w:val="-6"/>
        </w:rPr>
        <w:t> </w:t>
      </w:r>
      <w:r>
        <w:rPr/>
        <w:t>HIGHEST</w:t>
      </w:r>
      <w:r>
        <w:rPr>
          <w:spacing w:val="-6"/>
        </w:rPr>
        <w:t> </w:t>
      </w:r>
      <w:r>
        <w:rPr/>
        <w:t>ENROLMENT</w:t>
      </w:r>
      <w:r>
        <w:rPr>
          <w:spacing w:val="-6"/>
        </w:rPr>
        <w:t> </w:t>
      </w:r>
      <w:r>
        <w:rPr/>
        <w:t>OF GIRLS AT HIGHER PRIMARY STAGE</w:t>
      </w:r>
    </w:p>
    <w:p>
      <w:pPr>
        <w:pStyle w:val="BodyText"/>
        <w:spacing w:before="1"/>
        <w:rPr>
          <w:sz w:val="15"/>
        </w:rPr>
      </w:pPr>
      <w:r>
        <w:rPr/>
        <mc:AlternateContent>
          <mc:Choice Requires="wps">
            <w:drawing>
              <wp:anchor distT="0" distB="0" distL="0" distR="0" allowOverlap="1" layoutInCell="1" locked="0" behindDoc="1" simplePos="0" relativeHeight="487628800">
                <wp:simplePos x="0" y="0"/>
                <wp:positionH relativeFrom="page">
                  <wp:posOffset>1143000</wp:posOffset>
                </wp:positionH>
                <wp:positionV relativeFrom="paragraph">
                  <wp:posOffset>125759</wp:posOffset>
                </wp:positionV>
                <wp:extent cx="5486400" cy="19050"/>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5486400" cy="19050"/>
                          <a:chExt cx="5486400" cy="19050"/>
                        </a:xfrm>
                      </wpg:grpSpPr>
                      <wps:wsp>
                        <wps:cNvPr id="433" name="Graphic 43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34" name="Graphic 434"/>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35" name="Graphic 435"/>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36" name="Graphic 436"/>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37" name="Graphic 437"/>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38" name="Graphic 438"/>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39" name="Graphic 439"/>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2344pt;width:432pt;height:1.5pt;mso-position-horizontal-relative:page;mso-position-vertical-relative:paragraph;z-index:-15687680;mso-wrap-distance-left:0;mso-wrap-distance-right:0" id="docshapegroup415" coordorigin="1800,198" coordsize="8640,30">
                <v:rect style="position:absolute;left:1800;top:198;width:8640;height:30" id="docshape416" filled="true" fillcolor="#808080" stroked="false">
                  <v:fill type="solid"/>
                </v:rect>
                <v:shape style="position:absolute;left:1800;top:198;width:8636;height:5" id="docshape417" coordorigin="1800,198" coordsize="8636,5" path="m10435,198l1805,198,1800,198,1800,203,1805,203,10435,203,10435,198xe" filled="true" fillcolor="#aca89a" stroked="false">
                  <v:path arrowok="t"/>
                  <v:fill type="solid"/>
                </v:shape>
                <v:rect style="position:absolute;left:10435;top:198;width:5;height:5" id="docshape418" filled="true" fillcolor="#f1efe2" stroked="false">
                  <v:fill type="solid"/>
                </v:rect>
                <v:shape style="position:absolute;left:1800;top:198;width:8640;height:26" id="docshape419" coordorigin="1800,198" coordsize="8640,26" path="m1805,203l1800,203,1800,223,1805,223,1805,203xm10440,198l10435,198,10435,203,10440,203,10440,198xe" filled="true" fillcolor="#aca89a" stroked="false">
                  <v:path arrowok="t"/>
                  <v:fill type="solid"/>
                </v:shape>
                <v:rect style="position:absolute;left:10435;top:202;width:5;height:21" id="docshape420" filled="true" fillcolor="#f1efe2" stroked="false">
                  <v:fill type="solid"/>
                </v:rect>
                <v:rect style="position:absolute;left:1800;top:223;width:5;height:5" id="docshape421" filled="true" fillcolor="#aca89a" stroked="false">
                  <v:fill type="solid"/>
                </v:rect>
                <v:shape style="position:absolute;left:1800;top:223;width:8640;height:5" id="docshape422"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2907" w:val="left" w:leader="none"/>
          <w:tab w:pos="4738" w:val="left" w:leader="none"/>
          <w:tab w:pos="7486" w:val="left" w:leader="none"/>
        </w:tabs>
        <w:spacing w:before="48"/>
        <w:ind w:left="159" w:right="575"/>
      </w:pPr>
      <w:r>
        <w:rPr/>
        <w:t>Districts with Lowest Enrolment of Girls</w:t>
        <w:tab/>
      </w:r>
      <w:r>
        <w:rPr>
          <w:spacing w:val="-59"/>
        </w:rPr>
        <w:t> </w:t>
      </w:r>
      <w:r>
        <w:rPr/>
        <w:t>Districts</w:t>
      </w:r>
      <w:r>
        <w:rPr>
          <w:spacing w:val="-7"/>
        </w:rPr>
        <w:t> </w:t>
      </w:r>
      <w:r>
        <w:rPr/>
        <w:t>with</w:t>
      </w:r>
      <w:r>
        <w:rPr>
          <w:spacing w:val="-7"/>
        </w:rPr>
        <w:t> </w:t>
      </w:r>
      <w:r>
        <w:rPr/>
        <w:t>Highest</w:t>
      </w:r>
      <w:r>
        <w:rPr>
          <w:spacing w:val="-7"/>
        </w:rPr>
        <w:t> </w:t>
      </w:r>
      <w:r>
        <w:rPr/>
        <w:t>Enrolment</w:t>
      </w:r>
      <w:r>
        <w:rPr>
          <w:spacing w:val="-7"/>
        </w:rPr>
        <w:t> </w:t>
      </w:r>
      <w:r>
        <w:rPr/>
        <w:t>of</w:t>
      </w:r>
      <w:r>
        <w:rPr>
          <w:spacing w:val="-7"/>
        </w:rPr>
        <w:t> </w:t>
      </w:r>
      <w:r>
        <w:rPr/>
        <w:t>Girls </w:t>
      </w:r>
      <w:r>
        <w:rPr>
          <w:spacing w:val="-2"/>
        </w:rPr>
        <w:t>District</w:t>
      </w:r>
      <w:r>
        <w:rPr/>
        <w:tab/>
      </w:r>
      <w:r>
        <w:rPr>
          <w:spacing w:val="-2"/>
        </w:rPr>
        <w:t>Enrolment</w:t>
      </w:r>
      <w:r>
        <w:rPr/>
        <w:tab/>
      </w:r>
      <w:r>
        <w:rPr>
          <w:spacing w:val="-2"/>
        </w:rPr>
        <w:t>District</w:t>
      </w:r>
      <w:r>
        <w:rPr/>
        <w:tab/>
      </w:r>
      <w:r>
        <w:rPr>
          <w:spacing w:val="-2"/>
        </w:rPr>
        <w:t>Enrolment</w:t>
      </w:r>
    </w:p>
    <w:p>
      <w:pPr>
        <w:pStyle w:val="BodyText"/>
        <w:tabs>
          <w:tab w:pos="7488" w:val="left" w:leader="none"/>
        </w:tabs>
        <w:ind w:left="2919"/>
      </w:pPr>
      <w:r>
        <w:rPr/>
        <mc:AlternateContent>
          <mc:Choice Requires="wps">
            <w:drawing>
              <wp:anchor distT="0" distB="0" distL="0" distR="0" allowOverlap="1" layoutInCell="1" locked="0" behindDoc="0" simplePos="0" relativeHeight="15770112">
                <wp:simplePos x="0" y="0"/>
                <wp:positionH relativeFrom="page">
                  <wp:posOffset>1143000</wp:posOffset>
                </wp:positionH>
                <wp:positionV relativeFrom="paragraph">
                  <wp:posOffset>301019</wp:posOffset>
                </wp:positionV>
                <wp:extent cx="5486400" cy="1905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5486400" cy="19050"/>
                          <a:chExt cx="5486400" cy="19050"/>
                        </a:xfrm>
                      </wpg:grpSpPr>
                      <wps:wsp>
                        <wps:cNvPr id="441" name="Graphic 441"/>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42" name="Graphic 442"/>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43" name="Graphic 443"/>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44" name="Graphic 444"/>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445" name="Graphic 445"/>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446" name="Graphic 446"/>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47" name="Graphic 447"/>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702333pt;width:432pt;height:1.5pt;mso-position-horizontal-relative:page;mso-position-vertical-relative:paragraph;z-index:15770112" id="docshapegroup423" coordorigin="1800,474" coordsize="8640,30">
                <v:rect style="position:absolute;left:1800;top:474;width:8640;height:30" id="docshape424" filled="true" fillcolor="#808080" stroked="false">
                  <v:fill type="solid"/>
                </v:rect>
                <v:shape style="position:absolute;left:1800;top:474;width:8636;height:5" id="docshape425" coordorigin="1800,474" coordsize="8636,5" path="m10435,474l1805,474,1800,474,1800,479,1805,479,10435,479,10435,474xe" filled="true" fillcolor="#aca89a" stroked="false">
                  <v:path arrowok="t"/>
                  <v:fill type="solid"/>
                </v:shape>
                <v:rect style="position:absolute;left:10435;top:474;width:5;height:5" id="docshape426" filled="true" fillcolor="#f1efe2" stroked="false">
                  <v:fill type="solid"/>
                </v:rect>
                <v:shape style="position:absolute;left:1800;top:474;width:8640;height:26" id="docshape427" coordorigin="1800,474" coordsize="8640,26" path="m1805,479l1800,479,1800,499,1805,499,1805,479xm10440,474l10435,474,10435,479,10440,479,10440,474xe" filled="true" fillcolor="#aca89a" stroked="false">
                  <v:path arrowok="t"/>
                  <v:fill type="solid"/>
                </v:shape>
                <v:rect style="position:absolute;left:10435;top:478;width:5;height:21" id="docshape428" filled="true" fillcolor="#f1efe2" stroked="false">
                  <v:fill type="solid"/>
                </v:rect>
                <v:rect style="position:absolute;left:1800;top:499;width:5;height:5" id="docshape429" filled="true" fillcolor="#aca89a" stroked="false">
                  <v:fill type="solid"/>
                </v:rect>
                <v:shape style="position:absolute;left:1800;top:499;width:8640;height:5" id="docshape430" coordorigin="1800,499" coordsize="8640,5" path="m10440,499l10435,499,1800,499,1800,504,10435,504,10440,504,10440,499xe" filled="true" fillcolor="#f1efe2" stroked="false">
                  <v:path arrowok="t"/>
                  <v:fill type="solid"/>
                </v:shape>
                <w10:wrap type="none"/>
              </v:group>
            </w:pict>
          </mc:Fallback>
        </mc:AlternateContent>
      </w:r>
      <w:r>
        <w:rPr/>
        <w:t>(per </w:t>
      </w:r>
      <w:r>
        <w:rPr>
          <w:spacing w:val="-2"/>
        </w:rPr>
        <w:t>1,000)</w:t>
      </w:r>
      <w:r>
        <w:rPr/>
        <w:tab/>
        <w:t>(per</w:t>
      </w:r>
      <w:r>
        <w:rPr>
          <w:spacing w:val="-2"/>
        </w:rPr>
        <w:t> 1,000)</w:t>
      </w:r>
    </w:p>
    <w:p>
      <w:pPr>
        <w:pStyle w:val="ListParagraph"/>
        <w:numPr>
          <w:ilvl w:val="0"/>
          <w:numId w:val="125"/>
        </w:numPr>
        <w:tabs>
          <w:tab w:pos="459" w:val="left" w:leader="none"/>
          <w:tab w:pos="4740" w:val="left" w:leader="none"/>
          <w:tab w:pos="7726" w:val="right" w:leader="none"/>
        </w:tabs>
        <w:spacing w:line="240" w:lineRule="auto" w:before="276" w:after="0"/>
        <w:ind w:left="459" w:right="0" w:hanging="300"/>
        <w:jc w:val="left"/>
        <w:rPr>
          <w:sz w:val="24"/>
        </w:rPr>
      </w:pPr>
      <w:r>
        <w:rPr>
          <w:sz w:val="24"/>
        </w:rPr>
        <w:t>Sidhi (Madhya Pradesh)</w:t>
      </w:r>
      <w:r>
        <w:rPr>
          <w:spacing w:val="55"/>
          <w:sz w:val="24"/>
        </w:rPr>
        <w:t> </w:t>
      </w:r>
      <w:r>
        <w:rPr>
          <w:spacing w:val="-5"/>
          <w:sz w:val="24"/>
        </w:rPr>
        <w:t>0.1</w:t>
      </w:r>
      <w:r>
        <w:rPr>
          <w:sz w:val="24"/>
        </w:rPr>
        <w:tab/>
        <w:t>1.</w:t>
      </w:r>
      <w:r>
        <w:rPr>
          <w:spacing w:val="51"/>
          <w:sz w:val="24"/>
        </w:rPr>
        <w:t> </w:t>
      </w:r>
      <w:r>
        <w:rPr>
          <w:sz w:val="24"/>
        </w:rPr>
        <w:t>Alleppey</w:t>
      </w:r>
      <w:r>
        <w:rPr>
          <w:spacing w:val="-3"/>
          <w:sz w:val="24"/>
        </w:rPr>
        <w:t> </w:t>
      </w:r>
      <w:r>
        <w:rPr>
          <w:spacing w:val="-2"/>
          <w:sz w:val="24"/>
        </w:rPr>
        <w:t>(Kerala)</w:t>
      </w:r>
      <w:r>
        <w:rPr>
          <w:sz w:val="24"/>
        </w:rPr>
        <w:tab/>
      </w:r>
      <w:r>
        <w:rPr>
          <w:spacing w:val="-5"/>
          <w:sz w:val="24"/>
        </w:rPr>
        <w:t>53</w:t>
      </w:r>
    </w:p>
    <w:p>
      <w:pPr>
        <w:pStyle w:val="ListParagraph"/>
        <w:numPr>
          <w:ilvl w:val="0"/>
          <w:numId w:val="125"/>
        </w:numPr>
        <w:tabs>
          <w:tab w:pos="458" w:val="left" w:leader="none"/>
          <w:tab w:pos="2907" w:val="left" w:leader="none"/>
          <w:tab w:pos="4740" w:val="left" w:leader="none"/>
          <w:tab w:pos="7764" w:val="right" w:leader="none"/>
        </w:tabs>
        <w:spacing w:line="240" w:lineRule="auto" w:before="276" w:after="0"/>
        <w:ind w:left="458" w:right="0" w:hanging="299"/>
        <w:jc w:val="left"/>
        <w:rPr>
          <w:sz w:val="24"/>
        </w:rPr>
      </w:pPr>
      <w:r>
        <w:rPr>
          <w:sz w:val="24"/>
        </w:rPr>
        <w:t>Kalahandi</w:t>
      </w:r>
      <w:r>
        <w:rPr>
          <w:spacing w:val="-3"/>
          <w:sz w:val="24"/>
        </w:rPr>
        <w:t> </w:t>
      </w:r>
      <w:r>
        <w:rPr>
          <w:spacing w:val="-2"/>
          <w:sz w:val="24"/>
        </w:rPr>
        <w:t>(Orissa)</w:t>
      </w:r>
      <w:r>
        <w:rPr>
          <w:sz w:val="24"/>
        </w:rPr>
        <w:tab/>
      </w:r>
      <w:r>
        <w:rPr>
          <w:spacing w:val="-5"/>
          <w:sz w:val="24"/>
        </w:rPr>
        <w:t>0.2</w:t>
      </w:r>
      <w:r>
        <w:rPr>
          <w:sz w:val="24"/>
        </w:rPr>
        <w:tab/>
        <w:t>2.</w:t>
      </w:r>
      <w:r>
        <w:rPr>
          <w:spacing w:val="52"/>
          <w:sz w:val="24"/>
        </w:rPr>
        <w:t> </w:t>
      </w:r>
      <w:r>
        <w:rPr>
          <w:sz w:val="24"/>
        </w:rPr>
        <w:t>Quilon</w:t>
      </w:r>
      <w:r>
        <w:rPr>
          <w:spacing w:val="-2"/>
          <w:sz w:val="24"/>
        </w:rPr>
        <w:t> (Kerala)</w:t>
      </w:r>
      <w:r>
        <w:rPr>
          <w:sz w:val="24"/>
        </w:rPr>
        <w:tab/>
      </w:r>
      <w:r>
        <w:rPr>
          <w:spacing w:val="-5"/>
          <w:sz w:val="24"/>
        </w:rPr>
        <w:t>46</w:t>
      </w:r>
    </w:p>
    <w:p>
      <w:pPr>
        <w:pStyle w:val="ListParagraph"/>
        <w:numPr>
          <w:ilvl w:val="0"/>
          <w:numId w:val="125"/>
        </w:numPr>
        <w:tabs>
          <w:tab w:pos="458" w:val="left" w:leader="none"/>
          <w:tab w:pos="2905" w:val="left" w:leader="none"/>
          <w:tab w:pos="4740" w:val="left" w:leader="none"/>
          <w:tab w:pos="7744" w:val="right" w:leader="none"/>
        </w:tabs>
        <w:spacing w:line="240" w:lineRule="auto" w:before="276" w:after="0"/>
        <w:ind w:left="458" w:right="0" w:hanging="299"/>
        <w:jc w:val="left"/>
        <w:rPr>
          <w:sz w:val="24"/>
        </w:rPr>
      </w:pPr>
      <w:r>
        <w:rPr>
          <w:sz w:val="24"/>
        </w:rPr>
        <w:t>Jalore</w:t>
      </w:r>
      <w:r>
        <w:rPr>
          <w:spacing w:val="-1"/>
          <w:sz w:val="24"/>
        </w:rPr>
        <w:t> </w:t>
      </w:r>
      <w:r>
        <w:rPr>
          <w:spacing w:val="-2"/>
          <w:sz w:val="24"/>
        </w:rPr>
        <w:t>(Rajasthan)</w:t>
      </w:r>
      <w:r>
        <w:rPr>
          <w:sz w:val="24"/>
        </w:rPr>
        <w:tab/>
      </w:r>
      <w:r>
        <w:rPr>
          <w:spacing w:val="-5"/>
          <w:sz w:val="24"/>
        </w:rPr>
        <w:t>0.3</w:t>
      </w:r>
      <w:r>
        <w:rPr>
          <w:sz w:val="24"/>
        </w:rPr>
        <w:tab/>
        <w:t>3.</w:t>
      </w:r>
      <w:r>
        <w:rPr>
          <w:spacing w:val="57"/>
          <w:sz w:val="24"/>
        </w:rPr>
        <w:t> </w:t>
      </w:r>
      <w:r>
        <w:rPr>
          <w:sz w:val="24"/>
        </w:rPr>
        <w:t>Kottayam</w:t>
      </w:r>
      <w:r>
        <w:rPr>
          <w:spacing w:val="-1"/>
          <w:sz w:val="24"/>
        </w:rPr>
        <w:t> </w:t>
      </w:r>
      <w:r>
        <w:rPr>
          <w:spacing w:val="-2"/>
          <w:sz w:val="24"/>
        </w:rPr>
        <w:t>(Kerala)</w:t>
      </w:r>
      <w:r>
        <w:rPr>
          <w:sz w:val="24"/>
        </w:rPr>
        <w:tab/>
      </w:r>
      <w:r>
        <w:rPr>
          <w:spacing w:val="-5"/>
          <w:sz w:val="24"/>
        </w:rPr>
        <w:t>45</w:t>
      </w:r>
    </w:p>
    <w:p>
      <w:pPr>
        <w:pStyle w:val="ListParagraph"/>
        <w:numPr>
          <w:ilvl w:val="0"/>
          <w:numId w:val="125"/>
        </w:numPr>
        <w:tabs>
          <w:tab w:pos="458" w:val="left" w:leader="none"/>
          <w:tab w:pos="2883" w:val="left" w:leader="none"/>
          <w:tab w:pos="4740" w:val="left" w:leader="none"/>
          <w:tab w:pos="7705" w:val="right" w:leader="none"/>
        </w:tabs>
        <w:spacing w:line="240" w:lineRule="auto" w:before="276" w:after="0"/>
        <w:ind w:left="458" w:right="0" w:hanging="299"/>
        <w:jc w:val="left"/>
        <w:rPr>
          <w:sz w:val="24"/>
        </w:rPr>
      </w:pPr>
      <w:r>
        <w:rPr>
          <w:sz w:val="24"/>
        </w:rPr>
        <w:t>Barmer</w:t>
      </w:r>
      <w:r>
        <w:rPr>
          <w:spacing w:val="-3"/>
          <w:sz w:val="24"/>
        </w:rPr>
        <w:t> </w:t>
      </w:r>
      <w:r>
        <w:rPr>
          <w:spacing w:val="-2"/>
          <w:sz w:val="24"/>
        </w:rPr>
        <w:t>(Rajasthan)</w:t>
      </w:r>
      <w:r>
        <w:rPr>
          <w:sz w:val="24"/>
        </w:rPr>
        <w:tab/>
      </w:r>
      <w:r>
        <w:rPr>
          <w:spacing w:val="-5"/>
          <w:sz w:val="24"/>
        </w:rPr>
        <w:t>0.3</w:t>
      </w:r>
      <w:r>
        <w:rPr>
          <w:sz w:val="24"/>
        </w:rPr>
        <w:tab/>
        <w:t>4.</w:t>
      </w:r>
      <w:r>
        <w:rPr>
          <w:spacing w:val="57"/>
          <w:sz w:val="24"/>
        </w:rPr>
        <w:t> </w:t>
      </w:r>
      <w:r>
        <w:rPr>
          <w:sz w:val="24"/>
        </w:rPr>
        <w:t>Trivandrum</w:t>
      </w:r>
      <w:r>
        <w:rPr>
          <w:spacing w:val="-2"/>
          <w:sz w:val="24"/>
        </w:rPr>
        <w:t> (Kerala)</w:t>
      </w:r>
      <w:r>
        <w:rPr>
          <w:sz w:val="24"/>
        </w:rPr>
        <w:tab/>
      </w:r>
      <w:r>
        <w:rPr>
          <w:spacing w:val="-5"/>
          <w:sz w:val="24"/>
        </w:rPr>
        <w:t>41</w:t>
      </w:r>
    </w:p>
    <w:p>
      <w:pPr>
        <w:pStyle w:val="ListParagraph"/>
        <w:numPr>
          <w:ilvl w:val="0"/>
          <w:numId w:val="125"/>
        </w:numPr>
        <w:tabs>
          <w:tab w:pos="458" w:val="left" w:leader="none"/>
          <w:tab w:pos="2907" w:val="left" w:leader="none"/>
          <w:tab w:pos="4740" w:val="left" w:leader="none"/>
          <w:tab w:pos="7696" w:val="right" w:leader="none"/>
        </w:tabs>
        <w:spacing w:line="240" w:lineRule="auto" w:before="276" w:after="0"/>
        <w:ind w:left="458" w:right="0" w:hanging="299"/>
        <w:jc w:val="left"/>
        <w:rPr>
          <w:sz w:val="24"/>
        </w:rPr>
      </w:pPr>
      <w:r>
        <w:rPr/>
        <mc:AlternateContent>
          <mc:Choice Requires="wps">
            <w:drawing>
              <wp:anchor distT="0" distB="0" distL="0" distR="0" allowOverlap="1" layoutInCell="1" locked="0" behindDoc="0" simplePos="0" relativeHeight="15770624">
                <wp:simplePos x="0" y="0"/>
                <wp:positionH relativeFrom="page">
                  <wp:posOffset>1143000</wp:posOffset>
                </wp:positionH>
                <wp:positionV relativeFrom="paragraph">
                  <wp:posOffset>476354</wp:posOffset>
                </wp:positionV>
                <wp:extent cx="5486400" cy="1905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5486400" cy="19050"/>
                          <a:chExt cx="5486400" cy="19050"/>
                        </a:xfrm>
                      </wpg:grpSpPr>
                      <wps:wsp>
                        <wps:cNvPr id="449" name="Graphic 449"/>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50" name="Graphic 450"/>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51" name="Graphic 451"/>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52" name="Graphic 452"/>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53" name="Graphic 453"/>
                        <wps:cNvSpPr/>
                        <wps:spPr>
                          <a:xfrm>
                            <a:off x="5483352" y="3047"/>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454" name="Graphic 454"/>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55" name="Graphic 455"/>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37.508202pt;width:432pt;height:1.5pt;mso-position-horizontal-relative:page;mso-position-vertical-relative:paragraph;z-index:15770624" id="docshapegroup431" coordorigin="1800,750" coordsize="8640,30">
                <v:rect style="position:absolute;left:1800;top:750;width:8640;height:30" id="docshape432" filled="true" fillcolor="#808080" stroked="false">
                  <v:fill type="solid"/>
                </v:rect>
                <v:shape style="position:absolute;left:1800;top:750;width:8636;height:5" id="docshape433" coordorigin="1800,750" coordsize="8636,5" path="m10435,750l1805,750,1800,750,1800,755,1805,755,10435,755,10435,750xe" filled="true" fillcolor="#aca89a" stroked="false">
                  <v:path arrowok="t"/>
                  <v:fill type="solid"/>
                </v:shape>
                <v:rect style="position:absolute;left:10435;top:750;width:5;height:5" id="docshape434" filled="true" fillcolor="#f1efe2" stroked="false">
                  <v:fill type="solid"/>
                </v:rect>
                <v:shape style="position:absolute;left:1800;top:750;width:8640;height:26" id="docshape435" coordorigin="1800,750" coordsize="8640,26" path="m1805,755l1800,755,1800,775,1805,775,1805,755xm10440,750l10435,750,10435,755,10440,755,10440,750xe" filled="true" fillcolor="#aca89a" stroked="false">
                  <v:path arrowok="t"/>
                  <v:fill type="solid"/>
                </v:shape>
                <v:rect style="position:absolute;left:10435;top:754;width:5;height:21" id="docshape436" filled="true" fillcolor="#f1efe2" stroked="false">
                  <v:fill type="solid"/>
                </v:rect>
                <v:rect style="position:absolute;left:1800;top:775;width:5;height:5" id="docshape437" filled="true" fillcolor="#aca89a" stroked="false">
                  <v:fill type="solid"/>
                </v:rect>
                <v:shape style="position:absolute;left:1800;top:775;width:8640;height:5" id="docshape438" coordorigin="1800,775" coordsize="8640,5" path="m10440,775l10435,775,1800,775,1800,780,10435,780,10440,780,10440,775xe" filled="true" fillcolor="#f1efe2" stroked="false">
                  <v:path arrowok="t"/>
                  <v:fill type="solid"/>
                </v:shape>
                <w10:wrap type="none"/>
              </v:group>
            </w:pict>
          </mc:Fallback>
        </mc:AlternateContent>
      </w:r>
      <w:r>
        <w:rPr>
          <w:sz w:val="24"/>
        </w:rPr>
        <w:t>Jaisalmer</w:t>
      </w:r>
      <w:r>
        <w:rPr>
          <w:spacing w:val="-2"/>
          <w:sz w:val="24"/>
        </w:rPr>
        <w:t> (Rajasthan)</w:t>
      </w:r>
      <w:r>
        <w:rPr>
          <w:sz w:val="24"/>
        </w:rPr>
        <w:tab/>
      </w:r>
      <w:r>
        <w:rPr>
          <w:spacing w:val="-5"/>
          <w:sz w:val="24"/>
        </w:rPr>
        <w:t>0.5</w:t>
      </w:r>
      <w:r>
        <w:rPr>
          <w:sz w:val="24"/>
        </w:rPr>
        <w:tab/>
        <w:t>5.</w:t>
      </w:r>
      <w:r>
        <w:rPr>
          <w:spacing w:val="52"/>
          <w:sz w:val="24"/>
        </w:rPr>
        <w:t> </w:t>
      </w:r>
      <w:r>
        <w:rPr>
          <w:sz w:val="24"/>
        </w:rPr>
        <w:t>Trichur</w:t>
      </w:r>
      <w:r>
        <w:rPr>
          <w:spacing w:val="-3"/>
          <w:sz w:val="24"/>
        </w:rPr>
        <w:t> </w:t>
      </w:r>
      <w:r>
        <w:rPr>
          <w:spacing w:val="-2"/>
          <w:sz w:val="24"/>
        </w:rPr>
        <w:t>(Kerala)</w:t>
      </w:r>
      <w:r>
        <w:rPr>
          <w:sz w:val="24"/>
        </w:rPr>
        <w:tab/>
      </w:r>
      <w:r>
        <w:rPr>
          <w:spacing w:val="-5"/>
          <w:sz w:val="24"/>
        </w:rPr>
        <w:t>37</w:t>
      </w:r>
    </w:p>
    <w:p>
      <w:pPr>
        <w:pStyle w:val="BodyText"/>
        <w:spacing w:before="275"/>
        <w:ind w:left="159" w:right="498"/>
      </w:pPr>
      <w:r>
        <w:rPr/>
        <w:t>Target:</w:t>
      </w:r>
      <w:r>
        <w:rPr>
          <w:spacing w:val="80"/>
        </w:rPr>
        <w:t> </w:t>
      </w:r>
      <w:r>
        <w:rPr/>
        <w:t>An</w:t>
      </w:r>
      <w:r>
        <w:rPr>
          <w:spacing w:val="15"/>
        </w:rPr>
        <w:t> </w:t>
      </w:r>
      <w:r>
        <w:rPr/>
        <w:t>enrolment</w:t>
      </w:r>
      <w:r>
        <w:rPr>
          <w:spacing w:val="15"/>
        </w:rPr>
        <w:t> </w:t>
      </w:r>
      <w:r>
        <w:rPr/>
        <w:t>of</w:t>
      </w:r>
      <w:r>
        <w:rPr>
          <w:spacing w:val="15"/>
        </w:rPr>
        <w:t> </w:t>
      </w:r>
      <w:r>
        <w:rPr/>
        <w:t>75</w:t>
      </w:r>
      <w:r>
        <w:rPr>
          <w:spacing w:val="15"/>
        </w:rPr>
        <w:t> </w:t>
      </w:r>
      <w:r>
        <w:rPr/>
        <w:t>per</w:t>
      </w:r>
      <w:r>
        <w:rPr>
          <w:spacing w:val="15"/>
        </w:rPr>
        <w:t> </w:t>
      </w:r>
      <w:r>
        <w:rPr/>
        <w:t>thousand,</w:t>
      </w:r>
      <w:r>
        <w:rPr>
          <w:spacing w:val="15"/>
        </w:rPr>
        <w:t> </w:t>
      </w:r>
      <w:r>
        <w:rPr/>
        <w:t>both for</w:t>
      </w:r>
      <w:r>
        <w:rPr>
          <w:spacing w:val="14"/>
        </w:rPr>
        <w:t> </w:t>
      </w:r>
      <w:r>
        <w:rPr/>
        <w:t>total</w:t>
      </w:r>
      <w:r>
        <w:rPr>
          <w:spacing w:val="14"/>
        </w:rPr>
        <w:t> </w:t>
      </w:r>
      <w:r>
        <w:rPr/>
        <w:t>and</w:t>
      </w:r>
      <w:r>
        <w:rPr>
          <w:spacing w:val="14"/>
        </w:rPr>
        <w:t> </w:t>
      </w:r>
      <w:r>
        <w:rPr/>
        <w:t>for</w:t>
      </w:r>
      <w:r>
        <w:rPr>
          <w:spacing w:val="14"/>
        </w:rPr>
        <w:t> </w:t>
      </w:r>
      <w:r>
        <w:rPr/>
        <w:t>girls</w:t>
      </w:r>
      <w:r>
        <w:rPr>
          <w:spacing w:val="14"/>
        </w:rPr>
        <w:t> </w:t>
      </w:r>
      <w:r>
        <w:rPr/>
        <w:t>(110</w:t>
      </w:r>
      <w:r>
        <w:rPr>
          <w:spacing w:val="80"/>
        </w:rPr>
        <w:t> </w:t>
      </w:r>
      <w:r>
        <w:rPr/>
        <w:t>p.c.</w:t>
      </w:r>
      <w:r>
        <w:rPr>
          <w:spacing w:val="80"/>
        </w:rPr>
        <w:t> </w:t>
      </w:r>
      <w:r>
        <w:rPr/>
        <w:t>of</w:t>
      </w:r>
      <w:r>
        <w:rPr>
          <w:spacing w:val="80"/>
        </w:rPr>
        <w:t> </w:t>
      </w:r>
      <w:r>
        <w:rPr/>
        <w:t>the age-group 11-13).</w:t>
      </w:r>
    </w:p>
    <w:p>
      <w:pPr>
        <w:spacing w:after="0"/>
        <w:sectPr>
          <w:pgSz w:w="12240" w:h="15840"/>
          <w:pgMar w:header="0" w:footer="743" w:top="1360" w:bottom="940" w:left="1640" w:right="1300"/>
        </w:sectPr>
      </w:pPr>
    </w:p>
    <w:p>
      <w:pPr>
        <w:pStyle w:val="ListParagraph"/>
        <w:numPr>
          <w:ilvl w:val="0"/>
          <w:numId w:val="123"/>
        </w:numPr>
        <w:tabs>
          <w:tab w:pos="554" w:val="left" w:leader="none"/>
        </w:tabs>
        <w:spacing w:line="240" w:lineRule="auto" w:before="78" w:after="0"/>
        <w:ind w:left="160" w:right="496" w:firstLine="0"/>
        <w:jc w:val="both"/>
        <w:rPr>
          <w:sz w:val="24"/>
        </w:rPr>
      </w:pPr>
      <w:r>
        <w:rPr>
          <w:b/>
          <w:sz w:val="24"/>
        </w:rPr>
        <w:t>Secondary Education Stage (Classes IX-XI). </w:t>
      </w:r>
      <w:r>
        <w:rPr>
          <w:sz w:val="24"/>
        </w:rPr>
        <w:t>Kerala again stands first with an enrolment of 11 per thousand of population for total enrolment and 8 per thousand of population for girls, while Orissa stands last with an enrolment of 2 per thousand for all children and a negligible enrolment for girls. The mean enrolment for all States was 6.29 for total (with a standard deviation of 3.5) and that for girls was 2.21 (with a standard deviation of 2.8). At the district level, the differences are even greater as the following figures will show (see also chart on page 237):</w:t>
      </w:r>
    </w:p>
    <w:p>
      <w:pPr>
        <w:pStyle w:val="BodyText"/>
        <w:spacing w:before="554"/>
        <w:ind w:left="3100" w:right="510" w:hanging="2800"/>
      </w:pPr>
      <w:r>
        <w:rPr/>
        <mc:AlternateContent>
          <mc:Choice Requires="wps">
            <w:drawing>
              <wp:anchor distT="0" distB="0" distL="0" distR="0" allowOverlap="1" layoutInCell="1" locked="0" behindDoc="0" simplePos="0" relativeHeight="15771648">
                <wp:simplePos x="0" y="0"/>
                <wp:positionH relativeFrom="page">
                  <wp:posOffset>1143000</wp:posOffset>
                </wp:positionH>
                <wp:positionV relativeFrom="paragraph">
                  <wp:posOffset>828144</wp:posOffset>
                </wp:positionV>
                <wp:extent cx="5486400" cy="1905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5486400" cy="19050"/>
                          <a:chExt cx="5486400" cy="19050"/>
                        </a:xfrm>
                      </wpg:grpSpPr>
                      <wps:wsp>
                        <wps:cNvPr id="457" name="Graphic 457"/>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58" name="Graphic 458"/>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59" name="Graphic 459"/>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60" name="Graphic 460"/>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61" name="Graphic 461"/>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62" name="Graphic 462"/>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63" name="Graphic 463"/>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65.208206pt;width:432pt;height:1.5pt;mso-position-horizontal-relative:page;mso-position-vertical-relative:paragraph;z-index:15771648" id="docshapegroup439" coordorigin="1800,1304" coordsize="8640,30">
                <v:rect style="position:absolute;left:1800;top:1304;width:8640;height:30" id="docshape440" filled="true" fillcolor="#808080" stroked="false">
                  <v:fill type="solid"/>
                </v:rect>
                <v:shape style="position:absolute;left:1800;top:1304;width:8636;height:5" id="docshape441" coordorigin="1800,1304" coordsize="8636,5" path="m10435,1304l1805,1304,1800,1304,1800,1309,1805,1309,10435,1309,10435,1304xe" filled="true" fillcolor="#aca89a" stroked="false">
                  <v:path arrowok="t"/>
                  <v:fill type="solid"/>
                </v:shape>
                <v:rect style="position:absolute;left:10435;top:1304;width:5;height:5" id="docshape442" filled="true" fillcolor="#f1efe2" stroked="false">
                  <v:fill type="solid"/>
                </v:rect>
                <v:shape style="position:absolute;left:1800;top:1304;width:8640;height:26" id="docshape443" coordorigin="1800,1304" coordsize="8640,26" path="m1805,1309l1800,1309,1800,1329,1805,1329,1805,1309xm10440,1304l10435,1304,10435,1309,10440,1309,10440,1304xe" filled="true" fillcolor="#aca89a" stroked="false">
                  <v:path arrowok="t"/>
                  <v:fill type="solid"/>
                </v:shape>
                <v:rect style="position:absolute;left:10435;top:1308;width:5;height:21" id="docshape444" filled="true" fillcolor="#f1efe2" stroked="false">
                  <v:fill type="solid"/>
                </v:rect>
                <v:rect style="position:absolute;left:1800;top:1329;width:5;height:5" id="docshape445" filled="true" fillcolor="#aca89a" stroked="false">
                  <v:fill type="solid"/>
                </v:rect>
                <v:shape style="position:absolute;left:1800;top:1329;width:8640;height:5" id="docshape446" coordorigin="1800,1329" coordsize="8640,5" path="m10440,1329l10435,1329,1800,1329,1800,1334,10435,1334,10440,1334,10440,1329xe" filled="true" fillcolor="#f1efe2" stroked="false">
                  <v:path arrowok="t"/>
                  <v:fill type="solid"/>
                </v:shape>
                <w10:wrap type="none"/>
              </v:group>
            </w:pict>
          </mc:Fallback>
        </mc:AlternateContent>
      </w:r>
      <w:r>
        <w:rPr/>
        <w:t>TABLE</w:t>
      </w:r>
      <w:r>
        <w:rPr>
          <w:spacing w:val="-5"/>
        </w:rPr>
        <w:t> </w:t>
      </w:r>
      <w:r>
        <w:rPr/>
        <w:t>6.12.</w:t>
      </w:r>
      <w:r>
        <w:rPr>
          <w:spacing w:val="-5"/>
        </w:rPr>
        <w:t> </w:t>
      </w:r>
      <w:r>
        <w:rPr/>
        <w:t>DISTRICTS</w:t>
      </w:r>
      <w:r>
        <w:rPr>
          <w:spacing w:val="-5"/>
        </w:rPr>
        <w:t> </w:t>
      </w:r>
      <w:r>
        <w:rPr/>
        <w:t>WITH</w:t>
      </w:r>
      <w:r>
        <w:rPr>
          <w:spacing w:val="-5"/>
        </w:rPr>
        <w:t> </w:t>
      </w:r>
      <w:r>
        <w:rPr/>
        <w:t>LOWEST</w:t>
      </w:r>
      <w:r>
        <w:rPr>
          <w:spacing w:val="-5"/>
        </w:rPr>
        <w:t> </w:t>
      </w:r>
      <w:r>
        <w:rPr/>
        <w:t>AND</w:t>
      </w:r>
      <w:r>
        <w:rPr>
          <w:spacing w:val="-5"/>
        </w:rPr>
        <w:t> </w:t>
      </w:r>
      <w:r>
        <w:rPr/>
        <w:t>HIGHEST</w:t>
      </w:r>
      <w:r>
        <w:rPr>
          <w:spacing w:val="-5"/>
        </w:rPr>
        <w:t> </w:t>
      </w:r>
      <w:r>
        <w:rPr/>
        <w:t>TOTAL</w:t>
      </w:r>
      <w:r>
        <w:rPr>
          <w:spacing w:val="-5"/>
        </w:rPr>
        <w:t> </w:t>
      </w:r>
      <w:r>
        <w:rPr/>
        <w:t>ENROLMENT AT SECONDARY STAGE</w:t>
      </w:r>
    </w:p>
    <w:p>
      <w:pPr>
        <w:pStyle w:val="BodyText"/>
        <w:tabs>
          <w:tab w:pos="4740" w:val="left" w:leader="none"/>
        </w:tabs>
        <w:spacing w:before="276" w:after="11"/>
        <w:ind w:left="159"/>
      </w:pPr>
      <w:r>
        <w:rPr/>
        <mc:AlternateContent>
          <mc:Choice Requires="wps">
            <w:drawing>
              <wp:anchor distT="0" distB="0" distL="0" distR="0" allowOverlap="1" layoutInCell="1" locked="0" behindDoc="0" simplePos="0" relativeHeight="15772672">
                <wp:simplePos x="0" y="0"/>
                <wp:positionH relativeFrom="page">
                  <wp:posOffset>1143000</wp:posOffset>
                </wp:positionH>
                <wp:positionV relativeFrom="paragraph">
                  <wp:posOffset>829951</wp:posOffset>
                </wp:positionV>
                <wp:extent cx="3175" cy="13335"/>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65.350548pt;width:.24001pt;height:1.02pt;mso-position-horizontal-relative:page;mso-position-vertical-relative:paragraph;z-index:15772672" id="docshape447" filled="true" fillcolor="#aca89a" stroked="false">
                <v:fill type="solid"/>
                <w10:wrap type="none"/>
              </v:rect>
            </w:pict>
          </mc:Fallback>
        </mc:AlternateContent>
      </w:r>
      <w:r>
        <w:rPr/>
        <w:t>Districts with Lowest Total </w:t>
      </w:r>
      <w:r>
        <w:rPr>
          <w:spacing w:val="-2"/>
        </w:rPr>
        <w:t>Enrolment</w:t>
      </w:r>
      <w:r>
        <w:rPr/>
        <w:tab/>
        <w:t>Districts</w:t>
      </w:r>
      <w:r>
        <w:rPr>
          <w:spacing w:val="-3"/>
        </w:rPr>
        <w:t> </w:t>
      </w:r>
      <w:r>
        <w:rPr/>
        <w:t>with Highest</w:t>
      </w:r>
      <w:r>
        <w:rPr>
          <w:spacing w:val="-1"/>
        </w:rPr>
        <w:t> </w:t>
      </w:r>
      <w:r>
        <w:rPr/>
        <w:t>Total </w:t>
      </w:r>
      <w:r>
        <w:rPr>
          <w:spacing w:val="-2"/>
        </w:rPr>
        <w:t>Enrolment</w:t>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0"/>
        <w:gridCol w:w="1763"/>
        <w:gridCol w:w="4443"/>
      </w:tblGrid>
      <w:tr>
        <w:trPr>
          <w:trHeight w:val="739" w:hRule="atLeast"/>
        </w:trPr>
        <w:tc>
          <w:tcPr>
            <w:tcW w:w="2430" w:type="dxa"/>
            <w:tcBorders>
              <w:bottom w:val="single" w:sz="12" w:space="0" w:color="808080"/>
            </w:tcBorders>
          </w:tcPr>
          <w:p>
            <w:pPr>
              <w:pStyle w:val="TableParagraph"/>
              <w:spacing w:line="266" w:lineRule="exact"/>
              <w:ind w:left="-3"/>
              <w:rPr>
                <w:sz w:val="24"/>
              </w:rPr>
            </w:pPr>
            <w:r>
              <w:rPr>
                <w:spacing w:val="-2"/>
                <w:sz w:val="24"/>
              </w:rPr>
              <w:t>District</w:t>
            </w:r>
          </w:p>
        </w:tc>
        <w:tc>
          <w:tcPr>
            <w:tcW w:w="1763" w:type="dxa"/>
            <w:tcBorders>
              <w:bottom w:val="single" w:sz="12" w:space="0" w:color="808080"/>
            </w:tcBorders>
          </w:tcPr>
          <w:p>
            <w:pPr>
              <w:pStyle w:val="TableParagraph"/>
              <w:ind w:left="315" w:right="378" w:hanging="1"/>
              <w:rPr>
                <w:sz w:val="24"/>
              </w:rPr>
            </w:pPr>
            <w:r>
              <w:rPr>
                <w:spacing w:val="-2"/>
                <w:sz w:val="24"/>
              </w:rPr>
              <w:t>Enrolment </w:t>
            </w:r>
            <w:r>
              <w:rPr>
                <w:sz w:val="24"/>
              </w:rPr>
              <w:t>(per </w:t>
            </w:r>
            <w:r>
              <w:rPr>
                <w:spacing w:val="-2"/>
                <w:sz w:val="24"/>
              </w:rPr>
              <w:t>1,000)</w:t>
            </w:r>
          </w:p>
        </w:tc>
        <w:tc>
          <w:tcPr>
            <w:tcW w:w="4443" w:type="dxa"/>
            <w:tcBorders>
              <w:bottom w:val="single" w:sz="12" w:space="0" w:color="808080"/>
            </w:tcBorders>
          </w:tcPr>
          <w:p>
            <w:pPr>
              <w:pStyle w:val="TableParagraph"/>
              <w:tabs>
                <w:tab w:pos="2747" w:val="left" w:leader="none"/>
              </w:tabs>
              <w:spacing w:line="266" w:lineRule="exact"/>
              <w:ind w:right="296"/>
              <w:jc w:val="right"/>
              <w:rPr>
                <w:sz w:val="24"/>
              </w:rPr>
            </w:pPr>
            <w:r>
              <w:rPr>
                <w:spacing w:val="-2"/>
                <w:sz w:val="24"/>
              </w:rPr>
              <w:t>District</w:t>
            </w:r>
            <w:r>
              <w:rPr>
                <w:sz w:val="24"/>
              </w:rPr>
              <w:tab/>
            </w:r>
            <w:r>
              <w:rPr>
                <w:spacing w:val="-2"/>
                <w:sz w:val="24"/>
              </w:rPr>
              <w:t>Enrolment</w:t>
            </w:r>
          </w:p>
          <w:p>
            <w:pPr>
              <w:pStyle w:val="TableParagraph"/>
              <w:ind w:right="241"/>
              <w:jc w:val="right"/>
              <w:rPr>
                <w:sz w:val="24"/>
              </w:rPr>
            </w:pPr>
            <w:r>
              <w:rPr/>
              <mc:AlternateContent>
                <mc:Choice Requires="wps">
                  <w:drawing>
                    <wp:anchor distT="0" distB="0" distL="0" distR="0" allowOverlap="1" layoutInCell="1" locked="0" behindDoc="0" simplePos="0" relativeHeight="15772160">
                      <wp:simplePos x="0" y="0"/>
                      <wp:positionH relativeFrom="column">
                        <wp:posOffset>2818651</wp:posOffset>
                      </wp:positionH>
                      <wp:positionV relativeFrom="paragraph">
                        <wp:posOffset>300776</wp:posOffset>
                      </wp:positionV>
                      <wp:extent cx="3175" cy="16510"/>
                      <wp:effectExtent l="0" t="0" r="0" b="0"/>
                      <wp:wrapNone/>
                      <wp:docPr id="465" name="Group 465"/>
                      <wp:cNvGraphicFramePr>
                        <a:graphicFrameLocks/>
                      </wp:cNvGraphicFramePr>
                      <a:graphic>
                        <a:graphicData uri="http://schemas.microsoft.com/office/word/2010/wordprocessingGroup">
                          <wpg:wgp>
                            <wpg:cNvPr id="465" name="Group 465"/>
                            <wpg:cNvGrpSpPr/>
                            <wpg:grpSpPr>
                              <a:xfrm>
                                <a:off x="0" y="0"/>
                                <a:ext cx="3175" cy="16510"/>
                                <a:chExt cx="3175" cy="16510"/>
                              </a:xfrm>
                            </wpg:grpSpPr>
                            <wps:wsp>
                              <wps:cNvPr id="466" name="Graphic 466"/>
                              <wps:cNvSpPr/>
                              <wps:spPr>
                                <a:xfrm>
                                  <a:off x="0" y="12"/>
                                  <a:ext cx="3175" cy="16510"/>
                                </a:xfrm>
                                <a:custGeom>
                                  <a:avLst/>
                                  <a:gdLst/>
                                  <a:ahLst/>
                                  <a:cxnLst/>
                                  <a:rect l="l" t="t" r="r" b="b"/>
                                  <a:pathLst>
                                    <a:path w="3175" h="16510">
                                      <a:moveTo>
                                        <a:pt x="3035" y="3048"/>
                                      </a:moveTo>
                                      <a:lnTo>
                                        <a:pt x="0" y="3048"/>
                                      </a:lnTo>
                                      <a:lnTo>
                                        <a:pt x="0" y="15989"/>
                                      </a:lnTo>
                                      <a:lnTo>
                                        <a:pt x="3035" y="15989"/>
                                      </a:lnTo>
                                      <a:lnTo>
                                        <a:pt x="3035" y="3048"/>
                                      </a:lnTo>
                                      <a:close/>
                                    </a:path>
                                    <a:path w="3175" h="16510">
                                      <a:moveTo>
                                        <a:pt x="3035" y="0"/>
                                      </a:moveTo>
                                      <a:lnTo>
                                        <a:pt x="0" y="0"/>
                                      </a:lnTo>
                                      <a:lnTo>
                                        <a:pt x="0" y="3035"/>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221.941055pt;margin-top:23.683151pt;width:.25pt;height:1.3pt;mso-position-horizontal-relative:column;mso-position-vertical-relative:paragraph;z-index:15772160" id="docshapegroup448" coordorigin="4439,474" coordsize="5,26">
                      <v:shape style="position:absolute;left:4438;top:473;width:5;height:26" id="docshape449" coordorigin="4439,474" coordsize="5,26" path="m4444,478l4439,478,4439,499,4444,499,4444,478xm4444,474l4439,474,4439,478,4444,478,4444,474xe" filled="true" fillcolor="#f1efe2" stroked="false">
                        <v:path arrowok="t"/>
                        <v:fill type="solid"/>
                      </v:shape>
                      <w10:wrap type="none"/>
                    </v:group>
                  </w:pict>
                </mc:Fallback>
              </mc:AlternateContent>
            </w:r>
            <w:r>
              <w:rPr>
                <w:sz w:val="24"/>
              </w:rPr>
              <w:t>(per </w:t>
            </w:r>
            <w:r>
              <w:rPr>
                <w:spacing w:val="-2"/>
                <w:sz w:val="24"/>
              </w:rPr>
              <w:t>1,000)</w:t>
            </w:r>
          </w:p>
        </w:tc>
      </w:tr>
      <w:tr>
        <w:trPr>
          <w:trHeight w:val="743" w:hRule="atLeast"/>
        </w:trPr>
        <w:tc>
          <w:tcPr>
            <w:tcW w:w="2430" w:type="dxa"/>
            <w:tcBorders>
              <w:top w:val="single" w:sz="12" w:space="0" w:color="808080"/>
            </w:tcBorders>
          </w:tcPr>
          <w:p>
            <w:pPr>
              <w:pStyle w:val="TableParagraph"/>
              <w:spacing w:before="48"/>
              <w:ind w:left="-3"/>
              <w:rPr>
                <w:sz w:val="24"/>
              </w:rPr>
            </w:pPr>
            <w:r>
              <w:rPr>
                <w:sz w:val="24"/>
              </w:rPr>
              <w:t>1.</w:t>
            </w:r>
            <w:r>
              <w:rPr>
                <w:spacing w:val="59"/>
                <w:sz w:val="24"/>
              </w:rPr>
              <w:t> </w:t>
            </w:r>
            <w:r>
              <w:rPr>
                <w:sz w:val="24"/>
              </w:rPr>
              <w:t>Kalahandi</w:t>
            </w:r>
            <w:r>
              <w:rPr>
                <w:spacing w:val="-1"/>
                <w:sz w:val="24"/>
              </w:rPr>
              <w:t> </w:t>
            </w:r>
            <w:r>
              <w:rPr>
                <w:spacing w:val="-2"/>
                <w:sz w:val="24"/>
              </w:rPr>
              <w:t>(Orissa)</w:t>
            </w:r>
          </w:p>
        </w:tc>
        <w:tc>
          <w:tcPr>
            <w:tcW w:w="1763" w:type="dxa"/>
            <w:tcBorders>
              <w:top w:val="single" w:sz="12" w:space="0" w:color="808080"/>
            </w:tcBorders>
          </w:tcPr>
          <w:p>
            <w:pPr>
              <w:pStyle w:val="TableParagraph"/>
              <w:spacing w:before="48"/>
              <w:ind w:left="315"/>
              <w:rPr>
                <w:sz w:val="24"/>
              </w:rPr>
            </w:pPr>
            <w:r>
              <w:rPr>
                <w:spacing w:val="-10"/>
                <w:sz w:val="24"/>
              </w:rPr>
              <w:t>1</w:t>
            </w:r>
          </w:p>
        </w:tc>
        <w:tc>
          <w:tcPr>
            <w:tcW w:w="4443" w:type="dxa"/>
            <w:tcBorders>
              <w:top w:val="single" w:sz="12" w:space="0" w:color="808080"/>
            </w:tcBorders>
          </w:tcPr>
          <w:p>
            <w:pPr>
              <w:pStyle w:val="TableParagraph"/>
              <w:spacing w:before="48"/>
              <w:ind w:left="384"/>
              <w:rPr>
                <w:sz w:val="24"/>
              </w:rPr>
            </w:pPr>
            <w:r>
              <w:rPr>
                <w:sz w:val="24"/>
              </w:rPr>
              <w:t>1.</w:t>
            </w:r>
            <w:r>
              <w:rPr>
                <w:spacing w:val="29"/>
                <w:sz w:val="24"/>
              </w:rPr>
              <w:t>  </w:t>
            </w:r>
            <w:r>
              <w:rPr>
                <w:sz w:val="24"/>
              </w:rPr>
              <w:t>Greater </w:t>
            </w:r>
            <w:r>
              <w:rPr>
                <w:spacing w:val="-2"/>
                <w:sz w:val="24"/>
              </w:rPr>
              <w:t>Bombay</w:t>
            </w:r>
          </w:p>
          <w:p>
            <w:pPr>
              <w:pStyle w:val="TableParagraph"/>
              <w:tabs>
                <w:tab w:pos="3373" w:val="right" w:leader="none"/>
              </w:tabs>
              <w:ind w:left="385"/>
              <w:rPr>
                <w:sz w:val="24"/>
              </w:rPr>
            </w:pPr>
            <w:r>
              <w:rPr>
                <w:spacing w:val="-2"/>
                <w:sz w:val="24"/>
              </w:rPr>
              <w:t>(Maharashtra)</w:t>
            </w:r>
            <w:r>
              <w:rPr>
                <w:sz w:val="24"/>
              </w:rPr>
              <w:tab/>
            </w:r>
            <w:r>
              <w:rPr>
                <w:spacing w:val="-5"/>
                <w:sz w:val="24"/>
              </w:rPr>
              <w:t>23</w:t>
            </w:r>
          </w:p>
        </w:tc>
      </w:tr>
      <w:tr>
        <w:trPr>
          <w:trHeight w:val="828" w:hRule="atLeast"/>
        </w:trPr>
        <w:tc>
          <w:tcPr>
            <w:tcW w:w="2430" w:type="dxa"/>
          </w:tcPr>
          <w:p>
            <w:pPr>
              <w:pStyle w:val="TableParagraph"/>
              <w:spacing w:before="133"/>
              <w:ind w:left="-3"/>
              <w:rPr>
                <w:sz w:val="24"/>
              </w:rPr>
            </w:pPr>
            <w:r>
              <w:rPr>
                <w:sz w:val="24"/>
              </w:rPr>
              <w:t>2.</w:t>
            </w:r>
            <w:r>
              <w:rPr>
                <w:spacing w:val="35"/>
                <w:sz w:val="24"/>
              </w:rPr>
              <w:t> </w:t>
            </w:r>
            <w:r>
              <w:rPr>
                <w:sz w:val="24"/>
              </w:rPr>
              <w:t>Baudhi</w:t>
            </w:r>
            <w:r>
              <w:rPr>
                <w:spacing w:val="-13"/>
                <w:sz w:val="24"/>
              </w:rPr>
              <w:t> </w:t>
            </w:r>
            <w:r>
              <w:rPr>
                <w:sz w:val="24"/>
              </w:rPr>
              <w:t>Khondmal </w:t>
            </w:r>
            <w:r>
              <w:rPr>
                <w:spacing w:val="-2"/>
                <w:sz w:val="24"/>
              </w:rPr>
              <w:t>(Orissa)</w:t>
            </w:r>
          </w:p>
        </w:tc>
        <w:tc>
          <w:tcPr>
            <w:tcW w:w="1763" w:type="dxa"/>
          </w:tcPr>
          <w:p>
            <w:pPr>
              <w:pStyle w:val="TableParagraph"/>
              <w:spacing w:before="132"/>
              <w:rPr>
                <w:sz w:val="24"/>
              </w:rPr>
            </w:pPr>
          </w:p>
          <w:p>
            <w:pPr>
              <w:pStyle w:val="TableParagraph"/>
              <w:spacing w:before="1"/>
              <w:ind w:left="315"/>
              <w:rPr>
                <w:sz w:val="24"/>
              </w:rPr>
            </w:pPr>
            <w:r>
              <w:rPr>
                <w:spacing w:val="-10"/>
                <w:sz w:val="24"/>
              </w:rPr>
              <w:t>1</w:t>
            </w:r>
          </w:p>
        </w:tc>
        <w:tc>
          <w:tcPr>
            <w:tcW w:w="4443" w:type="dxa"/>
          </w:tcPr>
          <w:p>
            <w:pPr>
              <w:pStyle w:val="TableParagraph"/>
              <w:tabs>
                <w:tab w:pos="3410" w:val="right" w:leader="none"/>
              </w:tabs>
              <w:spacing w:before="409"/>
              <w:ind w:left="384"/>
              <w:rPr>
                <w:sz w:val="24"/>
              </w:rPr>
            </w:pPr>
            <w:r>
              <w:rPr>
                <w:sz w:val="24"/>
              </w:rPr>
              <w:t>2.</w:t>
            </w:r>
            <w:r>
              <w:rPr>
                <w:spacing w:val="29"/>
                <w:sz w:val="24"/>
              </w:rPr>
              <w:t>  </w:t>
            </w:r>
            <w:r>
              <w:rPr>
                <w:sz w:val="24"/>
              </w:rPr>
              <w:t>Debra Dun</w:t>
            </w:r>
            <w:r>
              <w:rPr>
                <w:spacing w:val="-1"/>
                <w:sz w:val="24"/>
              </w:rPr>
              <w:t> </w:t>
            </w:r>
            <w:r>
              <w:rPr>
                <w:spacing w:val="-2"/>
                <w:sz w:val="24"/>
              </w:rPr>
              <w:t>(U.P.)</w:t>
            </w:r>
            <w:r>
              <w:rPr>
                <w:sz w:val="24"/>
              </w:rPr>
              <w:tab/>
            </w:r>
            <w:r>
              <w:rPr>
                <w:spacing w:val="-5"/>
                <w:sz w:val="24"/>
              </w:rPr>
              <w:t>21</w:t>
            </w:r>
          </w:p>
        </w:tc>
      </w:tr>
      <w:tr>
        <w:trPr>
          <w:trHeight w:val="828" w:hRule="atLeast"/>
        </w:trPr>
        <w:tc>
          <w:tcPr>
            <w:tcW w:w="2430" w:type="dxa"/>
          </w:tcPr>
          <w:p>
            <w:pPr>
              <w:pStyle w:val="TableParagraph"/>
              <w:spacing w:before="133"/>
              <w:ind w:left="-3"/>
              <w:rPr>
                <w:sz w:val="24"/>
              </w:rPr>
            </w:pPr>
            <w:r>
              <w:rPr>
                <w:sz w:val="24"/>
              </w:rPr>
              <w:t>3.</w:t>
            </w:r>
            <w:r>
              <w:rPr>
                <w:spacing w:val="60"/>
                <w:sz w:val="24"/>
              </w:rPr>
              <w:t> </w:t>
            </w:r>
            <w:r>
              <w:rPr>
                <w:spacing w:val="-2"/>
                <w:sz w:val="24"/>
              </w:rPr>
              <w:t>Sidhi</w:t>
            </w:r>
          </w:p>
          <w:p>
            <w:pPr>
              <w:pStyle w:val="TableParagraph"/>
              <w:ind w:left="-3"/>
              <w:rPr>
                <w:sz w:val="24"/>
              </w:rPr>
            </w:pPr>
            <w:r>
              <w:rPr>
                <w:sz w:val="24"/>
              </w:rPr>
              <w:t>(Madhya</w:t>
            </w:r>
            <w:r>
              <w:rPr>
                <w:spacing w:val="-3"/>
                <w:sz w:val="24"/>
              </w:rPr>
              <w:t> </w:t>
            </w:r>
            <w:r>
              <w:rPr>
                <w:spacing w:val="-2"/>
                <w:sz w:val="24"/>
              </w:rPr>
              <w:t>Pradesh)</w:t>
            </w:r>
          </w:p>
        </w:tc>
        <w:tc>
          <w:tcPr>
            <w:tcW w:w="1763" w:type="dxa"/>
          </w:tcPr>
          <w:p>
            <w:pPr>
              <w:pStyle w:val="TableParagraph"/>
              <w:spacing w:before="132"/>
              <w:rPr>
                <w:sz w:val="24"/>
              </w:rPr>
            </w:pPr>
          </w:p>
          <w:p>
            <w:pPr>
              <w:pStyle w:val="TableParagraph"/>
              <w:spacing w:before="1"/>
              <w:ind w:left="314"/>
              <w:rPr>
                <w:sz w:val="24"/>
              </w:rPr>
            </w:pPr>
            <w:r>
              <w:rPr>
                <w:spacing w:val="-10"/>
                <w:sz w:val="24"/>
              </w:rPr>
              <w:t>1</w:t>
            </w:r>
          </w:p>
        </w:tc>
        <w:tc>
          <w:tcPr>
            <w:tcW w:w="4443" w:type="dxa"/>
          </w:tcPr>
          <w:p>
            <w:pPr>
              <w:pStyle w:val="TableParagraph"/>
              <w:spacing w:before="132"/>
              <w:rPr>
                <w:sz w:val="24"/>
              </w:rPr>
            </w:pPr>
          </w:p>
          <w:p>
            <w:pPr>
              <w:pStyle w:val="TableParagraph"/>
              <w:spacing w:before="1"/>
              <w:ind w:left="384"/>
              <w:rPr>
                <w:sz w:val="24"/>
              </w:rPr>
            </w:pPr>
            <w:r>
              <w:rPr>
                <w:sz w:val="24"/>
              </w:rPr>
              <w:t>3.</w:t>
            </w:r>
            <w:r>
              <w:rPr>
                <w:spacing w:val="29"/>
                <w:sz w:val="24"/>
              </w:rPr>
              <w:t>  </w:t>
            </w:r>
            <w:r>
              <w:rPr>
                <w:sz w:val="24"/>
              </w:rPr>
              <w:t>Kanya Kumari (Madras) </w:t>
            </w:r>
            <w:r>
              <w:rPr>
                <w:spacing w:val="-5"/>
                <w:sz w:val="24"/>
              </w:rPr>
              <w:t>20</w:t>
            </w:r>
          </w:p>
        </w:tc>
      </w:tr>
      <w:tr>
        <w:trPr>
          <w:trHeight w:val="828" w:hRule="atLeast"/>
        </w:trPr>
        <w:tc>
          <w:tcPr>
            <w:tcW w:w="2430" w:type="dxa"/>
          </w:tcPr>
          <w:p>
            <w:pPr>
              <w:pStyle w:val="TableParagraph"/>
              <w:spacing w:before="133"/>
              <w:ind w:left="-3" w:right="664"/>
              <w:rPr>
                <w:sz w:val="24"/>
              </w:rPr>
            </w:pPr>
            <w:r>
              <w:rPr>
                <w:sz w:val="24"/>
              </w:rPr>
              <w:t>4.</w:t>
            </w:r>
            <w:r>
              <w:rPr>
                <w:spacing w:val="40"/>
                <w:sz w:val="24"/>
              </w:rPr>
              <w:t> </w:t>
            </w:r>
            <w:r>
              <w:rPr>
                <w:sz w:val="24"/>
              </w:rPr>
              <w:t>Bastar (Madhya</w:t>
            </w:r>
            <w:r>
              <w:rPr>
                <w:spacing w:val="-15"/>
                <w:sz w:val="24"/>
              </w:rPr>
              <w:t> </w:t>
            </w:r>
            <w:r>
              <w:rPr>
                <w:sz w:val="24"/>
              </w:rPr>
              <w:t>Pradesh)</w:t>
            </w:r>
          </w:p>
        </w:tc>
        <w:tc>
          <w:tcPr>
            <w:tcW w:w="1763" w:type="dxa"/>
          </w:tcPr>
          <w:p>
            <w:pPr>
              <w:pStyle w:val="TableParagraph"/>
              <w:spacing w:before="132"/>
              <w:rPr>
                <w:sz w:val="24"/>
              </w:rPr>
            </w:pPr>
          </w:p>
          <w:p>
            <w:pPr>
              <w:pStyle w:val="TableParagraph"/>
              <w:spacing w:before="1"/>
              <w:ind w:left="315"/>
              <w:rPr>
                <w:sz w:val="24"/>
              </w:rPr>
            </w:pPr>
            <w:r>
              <w:rPr>
                <w:spacing w:val="-10"/>
                <w:sz w:val="24"/>
              </w:rPr>
              <w:t>1</w:t>
            </w:r>
          </w:p>
        </w:tc>
        <w:tc>
          <w:tcPr>
            <w:tcW w:w="4443" w:type="dxa"/>
          </w:tcPr>
          <w:p>
            <w:pPr>
              <w:pStyle w:val="TableParagraph"/>
              <w:tabs>
                <w:tab w:pos="3382" w:val="right" w:leader="none"/>
              </w:tabs>
              <w:spacing w:before="409"/>
              <w:ind w:left="384"/>
              <w:rPr>
                <w:sz w:val="24"/>
              </w:rPr>
            </w:pPr>
            <w:r>
              <w:rPr>
                <w:sz w:val="24"/>
              </w:rPr>
              <w:t>4.</w:t>
            </w:r>
            <w:r>
              <w:rPr>
                <w:spacing w:val="30"/>
                <w:sz w:val="24"/>
              </w:rPr>
              <w:t>  </w:t>
            </w:r>
            <w:r>
              <w:rPr>
                <w:sz w:val="24"/>
              </w:rPr>
              <w:t>Alleppey</w:t>
            </w:r>
            <w:r>
              <w:rPr>
                <w:spacing w:val="-1"/>
                <w:sz w:val="24"/>
              </w:rPr>
              <w:t> </w:t>
            </w:r>
            <w:r>
              <w:rPr>
                <w:spacing w:val="-2"/>
                <w:sz w:val="24"/>
              </w:rPr>
              <w:t>(Kerala)</w:t>
            </w:r>
            <w:r>
              <w:rPr>
                <w:sz w:val="24"/>
              </w:rPr>
              <w:tab/>
            </w:r>
            <w:r>
              <w:rPr>
                <w:spacing w:val="-5"/>
                <w:sz w:val="24"/>
              </w:rPr>
              <w:t>18</w:t>
            </w:r>
          </w:p>
        </w:tc>
      </w:tr>
      <w:tr>
        <w:trPr>
          <w:trHeight w:val="684" w:hRule="atLeast"/>
        </w:trPr>
        <w:tc>
          <w:tcPr>
            <w:tcW w:w="2430" w:type="dxa"/>
          </w:tcPr>
          <w:p>
            <w:pPr>
              <w:pStyle w:val="TableParagraph"/>
              <w:spacing w:before="133"/>
              <w:ind w:left="-3"/>
              <w:rPr>
                <w:sz w:val="24"/>
              </w:rPr>
            </w:pPr>
            <w:r>
              <w:rPr>
                <w:sz w:val="24"/>
              </w:rPr>
              <w:t>5.</w:t>
            </w:r>
            <w:r>
              <w:rPr>
                <w:spacing w:val="60"/>
                <w:sz w:val="24"/>
              </w:rPr>
              <w:t> </w:t>
            </w:r>
            <w:r>
              <w:rPr>
                <w:spacing w:val="-2"/>
                <w:sz w:val="24"/>
              </w:rPr>
              <w:t>Ladakh</w:t>
            </w:r>
          </w:p>
          <w:p>
            <w:pPr>
              <w:pStyle w:val="TableParagraph"/>
              <w:spacing w:line="256" w:lineRule="exact"/>
              <w:ind w:left="-3"/>
              <w:rPr>
                <w:sz w:val="24"/>
              </w:rPr>
            </w:pPr>
            <w:r>
              <w:rPr>
                <w:sz w:val="24"/>
              </w:rPr>
              <w:t>(Jammu</w:t>
            </w:r>
            <w:r>
              <w:rPr>
                <w:spacing w:val="-2"/>
                <w:sz w:val="24"/>
              </w:rPr>
              <w:t> </w:t>
            </w:r>
            <w:r>
              <w:rPr>
                <w:sz w:val="24"/>
              </w:rPr>
              <w:t>&amp;</w:t>
            </w:r>
            <w:r>
              <w:rPr>
                <w:spacing w:val="-1"/>
                <w:sz w:val="24"/>
              </w:rPr>
              <w:t> </w:t>
            </w:r>
            <w:r>
              <w:rPr>
                <w:spacing w:val="-2"/>
                <w:sz w:val="24"/>
              </w:rPr>
              <w:t>Kashmir)</w:t>
            </w:r>
          </w:p>
        </w:tc>
        <w:tc>
          <w:tcPr>
            <w:tcW w:w="1763" w:type="dxa"/>
          </w:tcPr>
          <w:p>
            <w:pPr>
              <w:pStyle w:val="TableParagraph"/>
              <w:spacing w:before="132"/>
              <w:rPr>
                <w:sz w:val="24"/>
              </w:rPr>
            </w:pPr>
          </w:p>
          <w:p>
            <w:pPr>
              <w:pStyle w:val="TableParagraph"/>
              <w:spacing w:line="256" w:lineRule="exact" w:before="1"/>
              <w:ind w:left="313"/>
              <w:rPr>
                <w:sz w:val="24"/>
              </w:rPr>
            </w:pPr>
            <w:r>
              <w:rPr>
                <w:spacing w:val="-10"/>
                <w:sz w:val="24"/>
              </w:rPr>
              <w:t>1</w:t>
            </w:r>
          </w:p>
        </w:tc>
        <w:tc>
          <w:tcPr>
            <w:tcW w:w="4443" w:type="dxa"/>
          </w:tcPr>
          <w:p>
            <w:pPr>
              <w:pStyle w:val="TableParagraph"/>
              <w:tabs>
                <w:tab w:pos="3348" w:val="right" w:leader="none"/>
              </w:tabs>
              <w:spacing w:line="256" w:lineRule="exact" w:before="409"/>
              <w:ind w:left="382"/>
              <w:rPr>
                <w:sz w:val="24"/>
              </w:rPr>
            </w:pPr>
            <w:r>
              <w:rPr>
                <w:sz w:val="24"/>
              </w:rPr>
              <w:t>5.</w:t>
            </w:r>
            <w:r>
              <w:rPr>
                <w:spacing w:val="29"/>
                <w:sz w:val="24"/>
              </w:rPr>
              <w:t>  </w:t>
            </w:r>
            <w:r>
              <w:rPr>
                <w:sz w:val="24"/>
              </w:rPr>
              <w:t>Ambala </w:t>
            </w:r>
            <w:r>
              <w:rPr>
                <w:spacing w:val="-2"/>
                <w:sz w:val="24"/>
              </w:rPr>
              <w:t>(Punjab)</w:t>
            </w:r>
            <w:r>
              <w:rPr>
                <w:sz w:val="24"/>
              </w:rPr>
              <w:tab/>
            </w:r>
            <w:r>
              <w:rPr>
                <w:spacing w:val="-5"/>
                <w:sz w:val="24"/>
              </w:rPr>
              <w:t>18</w:t>
            </w:r>
          </w:p>
        </w:tc>
      </w:tr>
    </w:tbl>
    <w:p>
      <w:pPr>
        <w:pStyle w:val="BodyText"/>
        <w:spacing w:before="2"/>
        <w:rPr>
          <w:sz w:val="15"/>
        </w:rPr>
      </w:pPr>
      <w:r>
        <w:rPr/>
        <mc:AlternateContent>
          <mc:Choice Requires="wps">
            <w:drawing>
              <wp:anchor distT="0" distB="0" distL="0" distR="0" allowOverlap="1" layoutInCell="1" locked="0" behindDoc="1" simplePos="0" relativeHeight="487630336">
                <wp:simplePos x="0" y="0"/>
                <wp:positionH relativeFrom="page">
                  <wp:posOffset>1143000</wp:posOffset>
                </wp:positionH>
                <wp:positionV relativeFrom="paragraph">
                  <wp:posOffset>126038</wp:posOffset>
                </wp:positionV>
                <wp:extent cx="5486400" cy="19050"/>
                <wp:effectExtent l="0" t="0" r="0" b="0"/>
                <wp:wrapTopAndBottom/>
                <wp:docPr id="467" name="Group 467"/>
                <wp:cNvGraphicFramePr>
                  <a:graphicFrameLocks/>
                </wp:cNvGraphicFramePr>
                <a:graphic>
                  <a:graphicData uri="http://schemas.microsoft.com/office/word/2010/wordprocessingGroup">
                    <wpg:wgp>
                      <wpg:cNvPr id="467" name="Group 467"/>
                      <wpg:cNvGrpSpPr/>
                      <wpg:grpSpPr>
                        <a:xfrm>
                          <a:off x="0" y="0"/>
                          <a:ext cx="5486400" cy="19050"/>
                          <a:chExt cx="5486400" cy="19050"/>
                        </a:xfrm>
                      </wpg:grpSpPr>
                      <wps:wsp>
                        <wps:cNvPr id="468" name="Graphic 46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69" name="Graphic 469"/>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470" name="Graphic 470"/>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471" name="Graphic 471"/>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472" name="Graphic 472"/>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73" name="Graphic 473"/>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474" name="Graphic 474"/>
                        <wps:cNvSpPr/>
                        <wps:spPr>
                          <a:xfrm>
                            <a:off x="0" y="16001"/>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4268pt;width:432pt;height:1.5pt;mso-position-horizontal-relative:page;mso-position-vertical-relative:paragraph;z-index:-15686144;mso-wrap-distance-left:0;mso-wrap-distance-right:0" id="docshapegroup450" coordorigin="1800,198" coordsize="8640,30">
                <v:rect style="position:absolute;left:1800;top:198;width:8640;height:30" id="docshape451" filled="true" fillcolor="#808080" stroked="false">
                  <v:fill type="solid"/>
                </v:rect>
                <v:shape style="position:absolute;left:1800;top:198;width:8636;height:5" id="docshape452" coordorigin="1800,199" coordsize="8636,5" path="m10435,199l1805,199,1800,199,1800,203,1805,203,10435,203,10435,199xe" filled="true" fillcolor="#aca89a" stroked="false">
                  <v:path arrowok="t"/>
                  <v:fill type="solid"/>
                </v:shape>
                <v:rect style="position:absolute;left:10435;top:198;width:5;height:5" id="docshape453" filled="true" fillcolor="#f1efe2" stroked="false">
                  <v:fill type="solid"/>
                </v:rect>
                <v:shape style="position:absolute;left:1800;top:198;width:8640;height:26" id="docshape454" coordorigin="1800,199" coordsize="8640,26" path="m1805,203l1800,203,1800,224,1805,224,1805,203xm10440,199l10435,199,10435,203,10440,203,10440,199xe" filled="true" fillcolor="#aca89a" stroked="false">
                  <v:path arrowok="t"/>
                  <v:fill type="solid"/>
                </v:shape>
                <v:rect style="position:absolute;left:10435;top:203;width:5;height:21" id="docshape455" filled="true" fillcolor="#f1efe2" stroked="false">
                  <v:fill type="solid"/>
                </v:rect>
                <v:rect style="position:absolute;left:1800;top:223;width:5;height:5" id="docshape456" filled="true" fillcolor="#aca89a" stroked="false">
                  <v:fill type="solid"/>
                </v:rect>
                <v:shape style="position:absolute;left:1800;top:223;width:8640;height:5" id="docshape457" coordorigin="1800,224" coordsize="8640,5" path="m10440,224l10435,224,1800,224,1800,228,10435,228,10440,228,10440,224xe" filled="true" fillcolor="#f1efe2" stroked="false">
                  <v:path arrowok="t"/>
                  <v:fill type="solid"/>
                </v:shape>
                <w10:wrap type="topAndBottom"/>
              </v:group>
            </w:pict>
          </mc:Fallback>
        </mc:AlternateContent>
      </w:r>
    </w:p>
    <w:p>
      <w:pPr>
        <w:spacing w:after="0"/>
        <w:rPr>
          <w:sz w:val="15"/>
        </w:rPr>
        <w:sectPr>
          <w:pgSz w:w="12240" w:h="15840"/>
          <w:pgMar w:header="0" w:footer="743" w:top="1360" w:bottom="940" w:left="1640" w:right="1300"/>
        </w:sectPr>
      </w:pPr>
    </w:p>
    <w:p>
      <w:pPr>
        <w:pStyle w:val="BodyText"/>
        <w:spacing w:before="9"/>
        <w:rPr>
          <w:sz w:val="4"/>
        </w:rPr>
      </w:pPr>
    </w:p>
    <w:p>
      <w:pPr>
        <w:pStyle w:val="BodyText"/>
        <w:ind w:left="1120"/>
        <w:rPr>
          <w:sz w:val="20"/>
        </w:rPr>
      </w:pPr>
      <w:r>
        <w:rPr>
          <w:sz w:val="20"/>
        </w:rPr>
        <w:drawing>
          <wp:inline distT="0" distB="0" distL="0" distR="0">
            <wp:extent cx="4209929" cy="7067550"/>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24" cstate="print"/>
                    <a:stretch>
                      <a:fillRect/>
                    </a:stretch>
                  </pic:blipFill>
                  <pic:spPr>
                    <a:xfrm>
                      <a:off x="0" y="0"/>
                      <a:ext cx="4209929" cy="7067550"/>
                    </a:xfrm>
                    <a:prstGeom prst="rect">
                      <a:avLst/>
                    </a:prstGeom>
                  </pic:spPr>
                </pic:pic>
              </a:graphicData>
            </a:graphic>
          </wp:inline>
        </w:drawing>
      </w:r>
      <w:r>
        <w:rPr>
          <w:sz w:val="20"/>
        </w:rPr>
      </w:r>
    </w:p>
    <w:p>
      <w:pPr>
        <w:spacing w:after="0"/>
        <w:rPr>
          <w:sz w:val="20"/>
        </w:rPr>
        <w:sectPr>
          <w:pgSz w:w="12240" w:h="15840"/>
          <w:pgMar w:header="0" w:footer="743" w:top="1820" w:bottom="940" w:left="1640" w:right="1300"/>
        </w:sectPr>
      </w:pPr>
    </w:p>
    <w:p>
      <w:pPr>
        <w:pStyle w:val="BodyText"/>
        <w:spacing w:before="2"/>
        <w:rPr>
          <w:sz w:val="15"/>
        </w:rPr>
      </w:pPr>
    </w:p>
    <w:p>
      <w:pPr>
        <w:pStyle w:val="BodyText"/>
        <w:ind w:left="880"/>
        <w:rPr>
          <w:sz w:val="20"/>
        </w:rPr>
      </w:pPr>
      <w:r>
        <w:rPr>
          <w:sz w:val="20"/>
        </w:rPr>
        <w:drawing>
          <wp:inline distT="0" distB="0" distL="0" distR="0">
            <wp:extent cx="4257553" cy="6991350"/>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25" cstate="print"/>
                    <a:stretch>
                      <a:fillRect/>
                    </a:stretch>
                  </pic:blipFill>
                  <pic:spPr>
                    <a:xfrm>
                      <a:off x="0" y="0"/>
                      <a:ext cx="4257553" cy="6991350"/>
                    </a:xfrm>
                    <a:prstGeom prst="rect">
                      <a:avLst/>
                    </a:prstGeom>
                  </pic:spPr>
                </pic:pic>
              </a:graphicData>
            </a:graphic>
          </wp:inline>
        </w:drawing>
      </w:r>
      <w:r>
        <w:rPr>
          <w:sz w:val="20"/>
        </w:rPr>
      </w:r>
    </w:p>
    <w:p>
      <w:pPr>
        <w:spacing w:after="0"/>
        <w:rPr>
          <w:sz w:val="20"/>
        </w:rPr>
        <w:sectPr>
          <w:pgSz w:w="12240" w:h="15840"/>
          <w:pgMar w:header="0" w:footer="743" w:top="1820" w:bottom="940" w:left="1640" w:right="1300"/>
        </w:sectPr>
      </w:pPr>
    </w:p>
    <w:p>
      <w:pPr>
        <w:pStyle w:val="BodyText"/>
        <w:spacing w:before="7"/>
        <w:rPr>
          <w:sz w:val="12"/>
        </w:rPr>
      </w:pPr>
    </w:p>
    <w:p>
      <w:pPr>
        <w:pStyle w:val="BodyText"/>
        <w:ind w:left="1060"/>
        <w:rPr>
          <w:sz w:val="20"/>
        </w:rPr>
      </w:pPr>
      <w:r>
        <w:rPr>
          <w:sz w:val="20"/>
        </w:rPr>
        <w:drawing>
          <wp:inline distT="0" distB="0" distL="0" distR="0">
            <wp:extent cx="4228979" cy="704850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26" cstate="print"/>
                    <a:stretch>
                      <a:fillRect/>
                    </a:stretch>
                  </pic:blipFill>
                  <pic:spPr>
                    <a:xfrm>
                      <a:off x="0" y="0"/>
                      <a:ext cx="4228979" cy="7048500"/>
                    </a:xfrm>
                    <a:prstGeom prst="rect">
                      <a:avLst/>
                    </a:prstGeom>
                  </pic:spPr>
                </pic:pic>
              </a:graphicData>
            </a:graphic>
          </wp:inline>
        </w:drawing>
      </w:r>
      <w:r>
        <w:rPr>
          <w:sz w:val="20"/>
        </w:rPr>
      </w:r>
    </w:p>
    <w:p>
      <w:pPr>
        <w:spacing w:after="0"/>
        <w:rPr>
          <w:sz w:val="20"/>
        </w:rPr>
        <w:sectPr>
          <w:pgSz w:w="12240" w:h="15840"/>
          <w:pgMar w:header="0" w:footer="743" w:top="1820" w:bottom="940" w:left="1640" w:right="1300"/>
        </w:sectPr>
      </w:pPr>
    </w:p>
    <w:p>
      <w:pPr>
        <w:pStyle w:val="BodyText"/>
        <w:ind w:left="550"/>
        <w:rPr>
          <w:sz w:val="20"/>
        </w:rPr>
      </w:pPr>
      <w:r>
        <w:rPr>
          <w:sz w:val="20"/>
        </w:rPr>
        <w:drawing>
          <wp:inline distT="0" distB="0" distL="0" distR="0">
            <wp:extent cx="4762364" cy="7324725"/>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27" cstate="print"/>
                    <a:stretch>
                      <a:fillRect/>
                    </a:stretch>
                  </pic:blipFill>
                  <pic:spPr>
                    <a:xfrm>
                      <a:off x="0" y="0"/>
                      <a:ext cx="4762364" cy="7324725"/>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290" w:right="629"/>
        <w:jc w:val="center"/>
      </w:pPr>
      <w:r>
        <w:rPr/>
        <w:t>TABLE</w:t>
      </w:r>
      <w:r>
        <w:rPr>
          <w:spacing w:val="-5"/>
        </w:rPr>
        <w:t> </w:t>
      </w:r>
      <w:r>
        <w:rPr/>
        <w:t>6.13.</w:t>
      </w:r>
      <w:r>
        <w:rPr>
          <w:spacing w:val="-5"/>
        </w:rPr>
        <w:t> </w:t>
      </w:r>
      <w:r>
        <w:rPr/>
        <w:t>DISTRICTS</w:t>
      </w:r>
      <w:r>
        <w:rPr>
          <w:spacing w:val="-5"/>
        </w:rPr>
        <w:t> </w:t>
      </w:r>
      <w:r>
        <w:rPr/>
        <w:t>WITH</w:t>
      </w:r>
      <w:r>
        <w:rPr>
          <w:spacing w:val="-5"/>
        </w:rPr>
        <w:t> </w:t>
      </w:r>
      <w:r>
        <w:rPr/>
        <w:t>LOWEST</w:t>
      </w:r>
      <w:r>
        <w:rPr>
          <w:spacing w:val="-6"/>
        </w:rPr>
        <w:t> </w:t>
      </w:r>
      <w:r>
        <w:rPr/>
        <w:t>AND</w:t>
      </w:r>
      <w:r>
        <w:rPr>
          <w:spacing w:val="-6"/>
        </w:rPr>
        <w:t> </w:t>
      </w:r>
      <w:r>
        <w:rPr/>
        <w:t>HIGHEST</w:t>
      </w:r>
      <w:r>
        <w:rPr>
          <w:spacing w:val="-6"/>
        </w:rPr>
        <w:t> </w:t>
      </w:r>
      <w:r>
        <w:rPr/>
        <w:t>ENROLMENT</w:t>
      </w:r>
      <w:r>
        <w:rPr>
          <w:spacing w:val="-5"/>
        </w:rPr>
        <w:t> OF</w:t>
      </w:r>
    </w:p>
    <w:p>
      <w:pPr>
        <w:pStyle w:val="BodyText"/>
        <w:ind w:right="23"/>
        <w:jc w:val="center"/>
      </w:pPr>
      <w:r>
        <w:rPr/>
        <w:t>GIRLS</w:t>
      </w:r>
      <w:r>
        <w:rPr>
          <w:spacing w:val="-6"/>
        </w:rPr>
        <w:t> </w:t>
      </w:r>
      <w:r>
        <w:rPr/>
        <w:t>AT</w:t>
      </w:r>
      <w:r>
        <w:rPr>
          <w:spacing w:val="-5"/>
        </w:rPr>
        <w:t> </w:t>
      </w:r>
      <w:r>
        <w:rPr/>
        <w:t>SECONDARY</w:t>
      </w:r>
      <w:r>
        <w:rPr>
          <w:spacing w:val="-5"/>
        </w:rPr>
        <w:t> </w:t>
      </w:r>
      <w:r>
        <w:rPr>
          <w:spacing w:val="-2"/>
        </w:rPr>
        <w:t>STAGE</w:t>
      </w:r>
    </w:p>
    <w:p>
      <w:pPr>
        <w:pStyle w:val="BodyText"/>
        <w:spacing w:before="1"/>
        <w:rPr>
          <w:sz w:val="15"/>
        </w:rPr>
      </w:pPr>
      <w:r>
        <w:rPr/>
        <mc:AlternateContent>
          <mc:Choice Requires="wps">
            <w:drawing>
              <wp:anchor distT="0" distB="0" distL="0" distR="0" allowOverlap="1" layoutInCell="1" locked="0" behindDoc="1" simplePos="0" relativeHeight="487632384">
                <wp:simplePos x="0" y="0"/>
                <wp:positionH relativeFrom="page">
                  <wp:posOffset>1143000</wp:posOffset>
                </wp:positionH>
                <wp:positionV relativeFrom="paragraph">
                  <wp:posOffset>126013</wp:posOffset>
                </wp:positionV>
                <wp:extent cx="5486400" cy="19050"/>
                <wp:effectExtent l="0" t="0" r="0" b="0"/>
                <wp:wrapTopAndBottom/>
                <wp:docPr id="479" name="Group 479"/>
                <wp:cNvGraphicFramePr>
                  <a:graphicFrameLocks/>
                </wp:cNvGraphicFramePr>
                <a:graphic>
                  <a:graphicData uri="http://schemas.microsoft.com/office/word/2010/wordprocessingGroup">
                    <wpg:wgp>
                      <wpg:cNvPr id="479" name="Group 479"/>
                      <wpg:cNvGrpSpPr/>
                      <wpg:grpSpPr>
                        <a:xfrm>
                          <a:off x="0" y="0"/>
                          <a:ext cx="5486400" cy="19050"/>
                          <a:chExt cx="5486400" cy="19050"/>
                        </a:xfrm>
                      </wpg:grpSpPr>
                      <wps:wsp>
                        <wps:cNvPr id="480" name="Graphic 480"/>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81" name="Graphic 481"/>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82" name="Graphic 482"/>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83" name="Graphic 483"/>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484" name="Graphic 484"/>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85" name="Graphic 48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86" name="Graphic 48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2294pt;width:432pt;height:1.5pt;mso-position-horizontal-relative:page;mso-position-vertical-relative:paragraph;z-index:-15684096;mso-wrap-distance-left:0;mso-wrap-distance-right:0" id="docshapegroup458" coordorigin="1800,198" coordsize="8640,30">
                <v:rect style="position:absolute;left:1800;top:198;width:8640;height:30" id="docshape459" filled="true" fillcolor="#808080" stroked="false">
                  <v:fill type="solid"/>
                </v:rect>
                <v:shape style="position:absolute;left:1800;top:198;width:8636;height:5" id="docshape460" coordorigin="1800,198" coordsize="8636,5" path="m10435,198l1805,198,1800,198,1800,203,1805,203,10435,203,10435,198xe" filled="true" fillcolor="#aca89a" stroked="false">
                  <v:path arrowok="t"/>
                  <v:fill type="solid"/>
                </v:shape>
                <v:rect style="position:absolute;left:10435;top:198;width:5;height:5" id="docshape461" filled="true" fillcolor="#f1efe2" stroked="false">
                  <v:fill type="solid"/>
                </v:rect>
                <v:shape style="position:absolute;left:1800;top:198;width:8640;height:26" id="docshape462" coordorigin="1800,198" coordsize="8640,26" path="m1805,203l1800,203,1800,224,1805,224,1805,203xm10440,198l10435,198,10435,203,10440,203,10440,198xe" filled="true" fillcolor="#aca89a" stroked="false">
                  <v:path arrowok="t"/>
                  <v:fill type="solid"/>
                </v:shape>
                <v:rect style="position:absolute;left:10435;top:203;width:5;height:21" id="docshape463" filled="true" fillcolor="#f1efe2" stroked="false">
                  <v:fill type="solid"/>
                </v:rect>
                <v:rect style="position:absolute;left:1800;top:223;width:5;height:5" id="docshape464" filled="true" fillcolor="#aca89a" stroked="false">
                  <v:fill type="solid"/>
                </v:rect>
                <v:shape style="position:absolute;left:1800;top:223;width:8640;height:5" id="docshape465" coordorigin="1800,224" coordsize="8640,5" path="m10440,224l10435,224,1800,224,1800,228,10435,228,10440,228,10440,224xe" filled="true" fillcolor="#f1efe2" stroked="false">
                  <v:path arrowok="t"/>
                  <v:fill type="solid"/>
                </v:shape>
                <w10:wrap type="topAndBottom"/>
              </v:group>
            </w:pict>
          </mc:Fallback>
        </mc:AlternateContent>
      </w:r>
    </w:p>
    <w:p>
      <w:pPr>
        <w:pStyle w:val="BodyText"/>
        <w:tabs>
          <w:tab w:pos="2907" w:val="left" w:leader="none"/>
          <w:tab w:pos="4740" w:val="left" w:leader="none"/>
          <w:tab w:pos="7487" w:val="left" w:leader="none"/>
        </w:tabs>
        <w:spacing w:before="48"/>
        <w:ind w:left="159" w:right="575"/>
      </w:pPr>
      <w:r>
        <w:rPr/>
        <w:t>Districts with Lowest Enrolment of Girls</w:t>
        <w:tab/>
        <w:t>Districts</w:t>
      </w:r>
      <w:r>
        <w:rPr>
          <w:spacing w:val="-7"/>
        </w:rPr>
        <w:t> </w:t>
      </w:r>
      <w:r>
        <w:rPr/>
        <w:t>with</w:t>
      </w:r>
      <w:r>
        <w:rPr>
          <w:spacing w:val="-7"/>
        </w:rPr>
        <w:t> </w:t>
      </w:r>
      <w:r>
        <w:rPr/>
        <w:t>Highest</w:t>
      </w:r>
      <w:r>
        <w:rPr>
          <w:spacing w:val="-7"/>
        </w:rPr>
        <w:t> </w:t>
      </w:r>
      <w:r>
        <w:rPr/>
        <w:t>Enrolment</w:t>
      </w:r>
      <w:r>
        <w:rPr>
          <w:spacing w:val="-7"/>
        </w:rPr>
        <w:t> </w:t>
      </w:r>
      <w:r>
        <w:rPr/>
        <w:t>of</w:t>
      </w:r>
      <w:r>
        <w:rPr>
          <w:spacing w:val="-7"/>
        </w:rPr>
        <w:t> </w:t>
      </w:r>
      <w:r>
        <w:rPr/>
        <w:t>Girls </w:t>
      </w:r>
      <w:r>
        <w:rPr>
          <w:spacing w:val="-2"/>
        </w:rPr>
        <w:t>District</w:t>
      </w:r>
      <w:r>
        <w:rPr/>
        <w:tab/>
      </w:r>
      <w:r>
        <w:rPr>
          <w:spacing w:val="-2"/>
        </w:rPr>
        <w:t>Enrolment</w:t>
      </w:r>
      <w:r>
        <w:rPr/>
        <w:tab/>
      </w:r>
      <w:r>
        <w:rPr>
          <w:spacing w:val="-2"/>
        </w:rPr>
        <w:t>District</w:t>
      </w:r>
      <w:r>
        <w:rPr/>
        <w:tab/>
      </w:r>
      <w:r>
        <w:rPr>
          <w:spacing w:val="-2"/>
        </w:rPr>
        <w:t>Enrolment</w:t>
      </w:r>
    </w:p>
    <w:p>
      <w:pPr>
        <w:pStyle w:val="BodyText"/>
        <w:tabs>
          <w:tab w:pos="7488" w:val="left" w:leader="none"/>
        </w:tabs>
        <w:ind w:left="2907"/>
      </w:pPr>
      <w:r>
        <w:rPr/>
        <w:t>(per </w:t>
      </w:r>
      <w:r>
        <w:rPr>
          <w:spacing w:val="-2"/>
        </w:rPr>
        <w:t>1,000)</w:t>
      </w:r>
      <w:r>
        <w:rPr/>
        <w:tab/>
        <w:t>(per </w:t>
      </w:r>
      <w:r>
        <w:rPr>
          <w:spacing w:val="-2"/>
        </w:rPr>
        <w:t>1,000)</w:t>
      </w:r>
    </w:p>
    <w:p>
      <w:pPr>
        <w:pStyle w:val="BodyText"/>
        <w:spacing w:before="1"/>
        <w:rPr>
          <w:sz w:val="15"/>
        </w:rPr>
      </w:pPr>
      <w:r>
        <w:rPr/>
        <mc:AlternateContent>
          <mc:Choice Requires="wps">
            <w:drawing>
              <wp:anchor distT="0" distB="0" distL="0" distR="0" allowOverlap="1" layoutInCell="1" locked="0" behindDoc="1" simplePos="0" relativeHeight="487632896">
                <wp:simplePos x="0" y="0"/>
                <wp:positionH relativeFrom="page">
                  <wp:posOffset>1143000</wp:posOffset>
                </wp:positionH>
                <wp:positionV relativeFrom="paragraph">
                  <wp:posOffset>125774</wp:posOffset>
                </wp:positionV>
                <wp:extent cx="5486400" cy="19050"/>
                <wp:effectExtent l="0" t="0" r="0" b="0"/>
                <wp:wrapTopAndBottom/>
                <wp:docPr id="487" name="Group 487"/>
                <wp:cNvGraphicFramePr>
                  <a:graphicFrameLocks/>
                </wp:cNvGraphicFramePr>
                <a:graphic>
                  <a:graphicData uri="http://schemas.microsoft.com/office/word/2010/wordprocessingGroup">
                    <wpg:wgp>
                      <wpg:cNvPr id="487" name="Group 487"/>
                      <wpg:cNvGrpSpPr/>
                      <wpg:grpSpPr>
                        <a:xfrm>
                          <a:off x="0" y="0"/>
                          <a:ext cx="5486400" cy="19050"/>
                          <a:chExt cx="5486400" cy="19050"/>
                        </a:xfrm>
                      </wpg:grpSpPr>
                      <wps:wsp>
                        <wps:cNvPr id="488" name="Graphic 488"/>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89" name="Graphic 489"/>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90" name="Graphic 490"/>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91" name="Graphic 491"/>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492" name="Graphic 492"/>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493" name="Graphic 493"/>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494" name="Graphic 494"/>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3465pt;width:432pt;height:1.5pt;mso-position-horizontal-relative:page;mso-position-vertical-relative:paragraph;z-index:-15683584;mso-wrap-distance-left:0;mso-wrap-distance-right:0" id="docshapegroup466" coordorigin="1800,198" coordsize="8640,30">
                <v:rect style="position:absolute;left:1800;top:198;width:8640;height:30" id="docshape467" filled="true" fillcolor="#808080" stroked="false">
                  <v:fill type="solid"/>
                </v:rect>
                <v:shape style="position:absolute;left:1800;top:198;width:8636;height:5" id="docshape468" coordorigin="1800,198" coordsize="8636,5" path="m10435,198l1805,198,1800,198,1800,203,1805,203,10435,203,10435,198xe" filled="true" fillcolor="#aca89a" stroked="false">
                  <v:path arrowok="t"/>
                  <v:fill type="solid"/>
                </v:shape>
                <v:rect style="position:absolute;left:10435;top:198;width:5;height:5" id="docshape469" filled="true" fillcolor="#f1efe2" stroked="false">
                  <v:fill type="solid"/>
                </v:rect>
                <v:shape style="position:absolute;left:1800;top:198;width:8640;height:26" id="docshape470" coordorigin="1800,198" coordsize="8640,26" path="m1805,203l1800,203,1800,223,1805,223,1805,203xm10440,198l10435,198,10435,203,10440,203,10440,198xe" filled="true" fillcolor="#aca89a" stroked="false">
                  <v:path arrowok="t"/>
                  <v:fill type="solid"/>
                </v:shape>
                <v:rect style="position:absolute;left:10435;top:202;width:5;height:21" id="docshape471" filled="true" fillcolor="#f1efe2" stroked="false">
                  <v:fill type="solid"/>
                </v:rect>
                <v:rect style="position:absolute;left:1800;top:223;width:5;height:5" id="docshape472" filled="true" fillcolor="#aca89a" stroked="false">
                  <v:fill type="solid"/>
                </v:rect>
                <v:shape style="position:absolute;left:1800;top:223;width:8640;height:5" id="docshape473" coordorigin="1800,223" coordsize="8640,5" path="m10440,223l10435,223,1800,223,1800,228,10435,228,10440,228,10440,223xe" filled="true" fillcolor="#f1efe2" stroked="false">
                  <v:path arrowok="t"/>
                  <v:fill type="solid"/>
                </v:shape>
                <w10:wrap type="topAndBottom"/>
              </v:group>
            </w:pict>
          </mc:Fallback>
        </mc:AlternateContent>
      </w:r>
    </w:p>
    <w:p>
      <w:pPr>
        <w:pStyle w:val="ListParagraph"/>
        <w:numPr>
          <w:ilvl w:val="0"/>
          <w:numId w:val="126"/>
        </w:numPr>
        <w:tabs>
          <w:tab w:pos="399" w:val="left" w:leader="none"/>
          <w:tab w:pos="2873" w:val="left" w:leader="none"/>
          <w:tab w:pos="4740" w:val="left" w:leader="none"/>
        </w:tabs>
        <w:spacing w:line="240" w:lineRule="auto" w:before="48" w:after="0"/>
        <w:ind w:left="399" w:right="0" w:hanging="240"/>
        <w:jc w:val="left"/>
        <w:rPr>
          <w:sz w:val="24"/>
        </w:rPr>
      </w:pPr>
      <w:r>
        <w:rPr>
          <w:sz w:val="24"/>
        </w:rPr>
        <w:t>Ladakh (J &amp; </w:t>
      </w:r>
      <w:r>
        <w:rPr>
          <w:spacing w:val="-5"/>
          <w:sz w:val="24"/>
        </w:rPr>
        <w:t>K)</w:t>
      </w:r>
      <w:r>
        <w:rPr>
          <w:sz w:val="24"/>
        </w:rPr>
        <w:tab/>
      </w:r>
      <w:r>
        <w:rPr>
          <w:spacing w:val="-4"/>
          <w:sz w:val="24"/>
        </w:rPr>
        <w:t>0.01</w:t>
      </w:r>
      <w:r>
        <w:rPr>
          <w:sz w:val="24"/>
        </w:rPr>
        <w:tab/>
        <w:t>1.</w:t>
      </w:r>
      <w:r>
        <w:rPr>
          <w:spacing w:val="-2"/>
          <w:sz w:val="24"/>
        </w:rPr>
        <w:t> </w:t>
      </w:r>
      <w:r>
        <w:rPr>
          <w:sz w:val="24"/>
        </w:rPr>
        <w:t>Greater </w:t>
      </w:r>
      <w:r>
        <w:rPr>
          <w:spacing w:val="-2"/>
          <w:sz w:val="24"/>
        </w:rPr>
        <w:t>Bombay</w:t>
      </w:r>
    </w:p>
    <w:p>
      <w:pPr>
        <w:pStyle w:val="BodyText"/>
        <w:tabs>
          <w:tab w:pos="7728" w:val="right" w:leader="none"/>
        </w:tabs>
        <w:ind w:left="4740"/>
      </w:pPr>
      <w:r>
        <w:rPr>
          <w:spacing w:val="-2"/>
        </w:rPr>
        <w:t>(Maharashtra)</w:t>
      </w:r>
      <w:r>
        <w:rPr/>
        <w:tab/>
      </w:r>
      <w:r>
        <w:rPr>
          <w:spacing w:val="-5"/>
        </w:rPr>
        <w:t>20</w:t>
      </w:r>
    </w:p>
    <w:p>
      <w:pPr>
        <w:pStyle w:val="ListParagraph"/>
        <w:numPr>
          <w:ilvl w:val="0"/>
          <w:numId w:val="126"/>
        </w:numPr>
        <w:tabs>
          <w:tab w:pos="399" w:val="left" w:leader="none"/>
          <w:tab w:pos="4740" w:val="left" w:leader="none"/>
          <w:tab w:pos="7759" w:val="right" w:leader="none"/>
        </w:tabs>
        <w:spacing w:line="240" w:lineRule="auto" w:before="276" w:after="0"/>
        <w:ind w:left="399" w:right="0" w:hanging="240"/>
        <w:jc w:val="left"/>
        <w:rPr>
          <w:sz w:val="24"/>
        </w:rPr>
      </w:pPr>
      <w:r>
        <w:rPr>
          <w:sz w:val="24"/>
        </w:rPr>
        <w:t>Sidhi (Madhya Pradesh)</w:t>
      </w:r>
      <w:r>
        <w:rPr>
          <w:spacing w:val="60"/>
          <w:sz w:val="24"/>
        </w:rPr>
        <w:t> </w:t>
      </w:r>
      <w:r>
        <w:rPr>
          <w:spacing w:val="-4"/>
          <w:sz w:val="24"/>
        </w:rPr>
        <w:t>0.02</w:t>
      </w:r>
      <w:r>
        <w:rPr>
          <w:sz w:val="24"/>
        </w:rPr>
        <w:tab/>
        <w:t>2.</w:t>
      </w:r>
      <w:r>
        <w:rPr>
          <w:spacing w:val="-3"/>
          <w:sz w:val="24"/>
        </w:rPr>
        <w:t> </w:t>
      </w:r>
      <w:r>
        <w:rPr>
          <w:sz w:val="24"/>
        </w:rPr>
        <w:t>Kanya</w:t>
      </w:r>
      <w:r>
        <w:rPr>
          <w:spacing w:val="-1"/>
          <w:sz w:val="24"/>
        </w:rPr>
        <w:t> </w:t>
      </w:r>
      <w:r>
        <w:rPr>
          <w:sz w:val="24"/>
        </w:rPr>
        <w:t>Kumari </w:t>
      </w:r>
      <w:r>
        <w:rPr>
          <w:spacing w:val="-2"/>
          <w:sz w:val="24"/>
        </w:rPr>
        <w:t>(Madras)</w:t>
      </w:r>
      <w:r>
        <w:rPr>
          <w:sz w:val="24"/>
        </w:rPr>
        <w:tab/>
      </w:r>
      <w:r>
        <w:rPr>
          <w:spacing w:val="-5"/>
          <w:sz w:val="24"/>
        </w:rPr>
        <w:t>15</w:t>
      </w:r>
    </w:p>
    <w:p>
      <w:pPr>
        <w:pStyle w:val="ListParagraph"/>
        <w:numPr>
          <w:ilvl w:val="0"/>
          <w:numId w:val="126"/>
        </w:numPr>
        <w:tabs>
          <w:tab w:pos="398" w:val="left" w:leader="none"/>
          <w:tab w:pos="2857" w:val="left" w:leader="none"/>
          <w:tab w:pos="4740" w:val="left" w:leader="none"/>
          <w:tab w:pos="7706" w:val="right" w:leader="none"/>
        </w:tabs>
        <w:spacing w:line="240" w:lineRule="auto" w:before="276" w:after="0"/>
        <w:ind w:left="398" w:right="0" w:hanging="239"/>
        <w:jc w:val="left"/>
        <w:rPr>
          <w:sz w:val="24"/>
        </w:rPr>
      </w:pPr>
      <w:r>
        <w:rPr>
          <w:sz w:val="24"/>
        </w:rPr>
        <w:t>Jalore</w:t>
      </w:r>
      <w:r>
        <w:rPr>
          <w:spacing w:val="-1"/>
          <w:sz w:val="24"/>
        </w:rPr>
        <w:t> </w:t>
      </w:r>
      <w:r>
        <w:rPr>
          <w:spacing w:val="-2"/>
          <w:sz w:val="24"/>
        </w:rPr>
        <w:t>(Rajasthan)</w:t>
      </w:r>
      <w:r>
        <w:rPr>
          <w:sz w:val="24"/>
        </w:rPr>
        <w:tab/>
      </w:r>
      <w:r>
        <w:rPr>
          <w:spacing w:val="-4"/>
          <w:sz w:val="24"/>
        </w:rPr>
        <w:t>0.03</w:t>
      </w:r>
      <w:r>
        <w:rPr>
          <w:sz w:val="24"/>
        </w:rPr>
        <w:tab/>
        <w:t>3. Dehra Dun </w:t>
      </w:r>
      <w:r>
        <w:rPr>
          <w:spacing w:val="-2"/>
          <w:sz w:val="24"/>
        </w:rPr>
        <w:t>(U.P.)</w:t>
      </w:r>
      <w:r>
        <w:rPr>
          <w:sz w:val="24"/>
        </w:rPr>
        <w:tab/>
      </w:r>
      <w:r>
        <w:rPr>
          <w:spacing w:val="-5"/>
          <w:sz w:val="24"/>
        </w:rPr>
        <w:t>14</w:t>
      </w:r>
    </w:p>
    <w:p>
      <w:pPr>
        <w:pStyle w:val="ListParagraph"/>
        <w:numPr>
          <w:ilvl w:val="0"/>
          <w:numId w:val="126"/>
        </w:numPr>
        <w:tabs>
          <w:tab w:pos="398" w:val="left" w:leader="none"/>
          <w:tab w:pos="2878" w:val="left" w:leader="none"/>
          <w:tab w:pos="4740" w:val="left" w:leader="none"/>
          <w:tab w:pos="7758" w:val="right" w:leader="none"/>
        </w:tabs>
        <w:spacing w:line="240" w:lineRule="auto" w:before="276" w:after="0"/>
        <w:ind w:left="398" w:right="0" w:hanging="239"/>
        <w:jc w:val="left"/>
        <w:rPr>
          <w:sz w:val="24"/>
        </w:rPr>
      </w:pPr>
      <w:r>
        <w:rPr>
          <w:sz w:val="24"/>
        </w:rPr>
        <w:t>Kalahandi</w:t>
      </w:r>
      <w:r>
        <w:rPr>
          <w:spacing w:val="-3"/>
          <w:sz w:val="24"/>
        </w:rPr>
        <w:t> </w:t>
      </w:r>
      <w:r>
        <w:rPr>
          <w:spacing w:val="-2"/>
          <w:sz w:val="24"/>
        </w:rPr>
        <w:t>(Orissa)</w:t>
      </w:r>
      <w:r>
        <w:rPr>
          <w:sz w:val="24"/>
        </w:rPr>
        <w:tab/>
      </w:r>
      <w:r>
        <w:rPr>
          <w:spacing w:val="-4"/>
          <w:sz w:val="24"/>
        </w:rPr>
        <w:t>0.06</w:t>
      </w:r>
      <w:r>
        <w:rPr>
          <w:sz w:val="24"/>
        </w:rPr>
        <w:tab/>
        <w:t>4.</w:t>
      </w:r>
      <w:r>
        <w:rPr>
          <w:spacing w:val="-3"/>
          <w:sz w:val="24"/>
        </w:rPr>
        <w:t> </w:t>
      </w:r>
      <w:r>
        <w:rPr>
          <w:sz w:val="24"/>
        </w:rPr>
        <w:t>Madras</w:t>
      </w:r>
      <w:r>
        <w:rPr>
          <w:spacing w:val="-1"/>
          <w:sz w:val="24"/>
        </w:rPr>
        <w:t> </w:t>
      </w:r>
      <w:r>
        <w:rPr>
          <w:spacing w:val="-2"/>
          <w:sz w:val="24"/>
        </w:rPr>
        <w:t>Corporation</w:t>
      </w:r>
      <w:r>
        <w:rPr>
          <w:sz w:val="24"/>
        </w:rPr>
        <w:tab/>
      </w:r>
      <w:r>
        <w:rPr>
          <w:spacing w:val="-5"/>
          <w:sz w:val="24"/>
        </w:rPr>
        <w:t>13</w:t>
      </w:r>
    </w:p>
    <w:p>
      <w:pPr>
        <w:pStyle w:val="ListParagraph"/>
        <w:numPr>
          <w:ilvl w:val="0"/>
          <w:numId w:val="126"/>
        </w:numPr>
        <w:tabs>
          <w:tab w:pos="398" w:val="left" w:leader="none"/>
          <w:tab w:pos="2883" w:val="left" w:leader="none"/>
          <w:tab w:pos="4739" w:val="left" w:leader="none"/>
          <w:tab w:pos="7717" w:val="right" w:leader="none"/>
        </w:tabs>
        <w:spacing w:line="240" w:lineRule="auto" w:before="276" w:after="0"/>
        <w:ind w:left="398" w:right="0" w:hanging="239"/>
        <w:jc w:val="left"/>
        <w:rPr>
          <w:sz w:val="24"/>
        </w:rPr>
      </w:pPr>
      <w:r>
        <w:rPr>
          <w:sz w:val="24"/>
        </w:rPr>
        <w:t>Barmer</w:t>
      </w:r>
      <w:r>
        <w:rPr>
          <w:spacing w:val="-3"/>
          <w:sz w:val="24"/>
        </w:rPr>
        <w:t> </w:t>
      </w:r>
      <w:r>
        <w:rPr>
          <w:spacing w:val="-2"/>
          <w:sz w:val="24"/>
        </w:rPr>
        <w:t>(Rajasthan)</w:t>
      </w:r>
      <w:r>
        <w:rPr>
          <w:sz w:val="24"/>
        </w:rPr>
        <w:tab/>
      </w:r>
      <w:r>
        <w:rPr>
          <w:spacing w:val="-4"/>
          <w:sz w:val="24"/>
        </w:rPr>
        <w:t>0.07</w:t>
      </w:r>
      <w:r>
        <w:rPr>
          <w:sz w:val="24"/>
        </w:rPr>
        <w:tab/>
        <w:t>5.</w:t>
      </w:r>
      <w:r>
        <w:rPr>
          <w:spacing w:val="-3"/>
          <w:sz w:val="24"/>
        </w:rPr>
        <w:t> </w:t>
      </w:r>
      <w:r>
        <w:rPr>
          <w:sz w:val="24"/>
        </w:rPr>
        <w:t>Calcutta</w:t>
      </w:r>
      <w:r>
        <w:rPr>
          <w:spacing w:val="-1"/>
          <w:sz w:val="24"/>
        </w:rPr>
        <w:t> </w:t>
      </w:r>
      <w:r>
        <w:rPr>
          <w:spacing w:val="-2"/>
          <w:sz w:val="24"/>
        </w:rPr>
        <w:t>Corporation</w:t>
      </w:r>
      <w:r>
        <w:rPr>
          <w:sz w:val="24"/>
        </w:rPr>
        <w:tab/>
      </w:r>
      <w:r>
        <w:rPr>
          <w:spacing w:val="-5"/>
          <w:sz w:val="24"/>
        </w:rPr>
        <w:t>12</w:t>
      </w:r>
    </w:p>
    <w:p>
      <w:pPr>
        <w:pStyle w:val="BodyText"/>
        <w:spacing w:before="220"/>
        <w:rPr>
          <w:sz w:val="20"/>
        </w:rPr>
      </w:pPr>
      <w:r>
        <w:rPr/>
        <mc:AlternateContent>
          <mc:Choice Requires="wps">
            <w:drawing>
              <wp:anchor distT="0" distB="0" distL="0" distR="0" allowOverlap="1" layoutInCell="1" locked="0" behindDoc="1" simplePos="0" relativeHeight="487633408">
                <wp:simplePos x="0" y="0"/>
                <wp:positionH relativeFrom="page">
                  <wp:posOffset>1143000</wp:posOffset>
                </wp:positionH>
                <wp:positionV relativeFrom="paragraph">
                  <wp:posOffset>301079</wp:posOffset>
                </wp:positionV>
                <wp:extent cx="5486400" cy="19050"/>
                <wp:effectExtent l="0" t="0" r="0" b="0"/>
                <wp:wrapTopAndBottom/>
                <wp:docPr id="495" name="Group 495"/>
                <wp:cNvGraphicFramePr>
                  <a:graphicFrameLocks/>
                </wp:cNvGraphicFramePr>
                <a:graphic>
                  <a:graphicData uri="http://schemas.microsoft.com/office/word/2010/wordprocessingGroup">
                    <wpg:wgp>
                      <wpg:cNvPr id="495" name="Group 495"/>
                      <wpg:cNvGrpSpPr/>
                      <wpg:grpSpPr>
                        <a:xfrm>
                          <a:off x="0" y="0"/>
                          <a:ext cx="5486400" cy="19050"/>
                          <a:chExt cx="5486400" cy="19050"/>
                        </a:xfrm>
                      </wpg:grpSpPr>
                      <wps:wsp>
                        <wps:cNvPr id="496" name="Graphic 496"/>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497" name="Graphic 497"/>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498" name="Graphic 498"/>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499" name="Graphic 499"/>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00" name="Graphic 500"/>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01" name="Graphic 501"/>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02" name="Graphic 502"/>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23.707012pt;width:432pt;height:1.5pt;mso-position-horizontal-relative:page;mso-position-vertical-relative:paragraph;z-index:-15683072;mso-wrap-distance-left:0;mso-wrap-distance-right:0" id="docshapegroup474" coordorigin="1800,474" coordsize="8640,30">
                <v:rect style="position:absolute;left:1800;top:474;width:8640;height:30" id="docshape475" filled="true" fillcolor="#808080" stroked="false">
                  <v:fill type="solid"/>
                </v:rect>
                <v:shape style="position:absolute;left:1800;top:474;width:8636;height:5" id="docshape476" coordorigin="1800,474" coordsize="8636,5" path="m10435,474l1805,474,1800,474,1800,479,1805,479,10435,479,10435,474xe" filled="true" fillcolor="#aca89a" stroked="false">
                  <v:path arrowok="t"/>
                  <v:fill type="solid"/>
                </v:shape>
                <v:rect style="position:absolute;left:10435;top:474;width:5;height:5" id="docshape477" filled="true" fillcolor="#f1efe2" stroked="false">
                  <v:fill type="solid"/>
                </v:rect>
                <v:shape style="position:absolute;left:1800;top:474;width:8640;height:26" id="docshape478" coordorigin="1800,474" coordsize="8640,26" path="m1805,479l1800,479,1800,499,1805,499,1805,479xm10440,474l10435,474,10435,479,10440,479,10440,474xe" filled="true" fillcolor="#aca89a" stroked="false">
                  <v:path arrowok="t"/>
                  <v:fill type="solid"/>
                </v:shape>
                <v:rect style="position:absolute;left:10435;top:478;width:5;height:21" id="docshape479" filled="true" fillcolor="#f1efe2" stroked="false">
                  <v:fill type="solid"/>
                </v:rect>
                <v:rect style="position:absolute;left:1800;top:499;width:5;height:5" id="docshape480" filled="true" fillcolor="#aca89a" stroked="false">
                  <v:fill type="solid"/>
                </v:rect>
                <v:shape style="position:absolute;left:1800;top:499;width:8640;height:5" id="docshape481" coordorigin="1800,499" coordsize="8640,5" path="m10440,499l10435,499,1800,499,1800,504,10435,504,10440,504,10440,499xe" filled="true" fillcolor="#f1efe2" stroked="false">
                  <v:path arrowok="t"/>
                  <v:fill type="solid"/>
                </v:shape>
                <w10:wrap type="topAndBottom"/>
              </v:group>
            </w:pict>
          </mc:Fallback>
        </mc:AlternateContent>
      </w:r>
    </w:p>
    <w:p>
      <w:pPr>
        <w:pStyle w:val="BodyText"/>
      </w:pPr>
    </w:p>
    <w:p>
      <w:pPr>
        <w:pStyle w:val="BodyText"/>
        <w:spacing w:before="48"/>
      </w:pPr>
    </w:p>
    <w:p>
      <w:pPr>
        <w:pStyle w:val="BodyText"/>
        <w:ind w:left="1119"/>
      </w:pPr>
      <w:r>
        <w:rPr/>
        <w:t>Target for 1986: 27 per 1,000 </w:t>
      </w:r>
      <w:r>
        <w:rPr>
          <w:spacing w:val="-2"/>
        </w:rPr>
        <w:t>population.</w:t>
      </w:r>
    </w:p>
    <w:p>
      <w:pPr>
        <w:pStyle w:val="BodyText"/>
      </w:pPr>
    </w:p>
    <w:p>
      <w:pPr>
        <w:pStyle w:val="BodyText"/>
        <w:spacing w:before="5"/>
      </w:pPr>
    </w:p>
    <w:p>
      <w:pPr>
        <w:pStyle w:val="BodyText"/>
        <w:ind w:left="159" w:right="498"/>
        <w:jc w:val="both"/>
      </w:pPr>
      <w:r>
        <w:rPr>
          <w:b/>
        </w:rPr>
        <w:t>(4) Educational Expenditure (Direct) per Head of Population. </w:t>
      </w:r>
      <w:r>
        <w:rPr/>
        <w:t>With regard to total direct expenditure per capita, Kerala spends highest (Rs. 11.2) and Orissa lowest (Rs. 2.8). There are 17 districts which spend less than Rs. 2.00 and 25 districts which spend more than Rs. 10 per head of population. The five districts with the highest and the</w:t>
      </w:r>
      <w:r>
        <w:rPr>
          <w:spacing w:val="40"/>
        </w:rPr>
        <w:t> </w:t>
      </w:r>
      <w:r>
        <w:rPr/>
        <w:t>lowest expenditure per head of population on education are given in Table 6.14.</w:t>
      </w:r>
    </w:p>
    <w:p>
      <w:pPr>
        <w:pStyle w:val="BodyText"/>
        <w:spacing w:before="2"/>
      </w:pPr>
    </w:p>
    <w:p>
      <w:pPr>
        <w:pStyle w:val="BodyText"/>
        <w:ind w:left="290" w:right="629"/>
        <w:jc w:val="center"/>
      </w:pPr>
      <w:r>
        <w:rPr/>
        <w:t>TABLE</w:t>
      </w:r>
      <w:r>
        <w:rPr>
          <w:spacing w:val="-6"/>
        </w:rPr>
        <w:t> </w:t>
      </w:r>
      <w:r>
        <w:rPr/>
        <w:t>6.14.</w:t>
      </w:r>
      <w:r>
        <w:rPr>
          <w:spacing w:val="-4"/>
        </w:rPr>
        <w:t> </w:t>
      </w:r>
      <w:r>
        <w:rPr/>
        <w:t>DISTRICTS</w:t>
      </w:r>
      <w:r>
        <w:rPr>
          <w:spacing w:val="-4"/>
        </w:rPr>
        <w:t> </w:t>
      </w:r>
      <w:r>
        <w:rPr/>
        <w:t>WITH</w:t>
      </w:r>
      <w:r>
        <w:rPr>
          <w:spacing w:val="-3"/>
        </w:rPr>
        <w:t> </w:t>
      </w:r>
      <w:r>
        <w:rPr/>
        <w:t>LOWEST</w:t>
      </w:r>
      <w:r>
        <w:rPr>
          <w:spacing w:val="-5"/>
        </w:rPr>
        <w:t> </w:t>
      </w:r>
      <w:r>
        <w:rPr/>
        <w:t>AND</w:t>
      </w:r>
      <w:r>
        <w:rPr>
          <w:spacing w:val="-5"/>
        </w:rPr>
        <w:t> </w:t>
      </w:r>
      <w:r>
        <w:rPr/>
        <w:t>HIGHEST</w:t>
      </w:r>
      <w:r>
        <w:rPr>
          <w:spacing w:val="-4"/>
        </w:rPr>
        <w:t> </w:t>
      </w:r>
      <w:r>
        <w:rPr>
          <w:spacing w:val="-2"/>
        </w:rPr>
        <w:t>EDUCATIONAL</w:t>
      </w:r>
    </w:p>
    <w:p>
      <w:pPr>
        <w:pStyle w:val="BodyText"/>
        <w:spacing w:before="1"/>
        <w:ind w:right="1325"/>
        <w:jc w:val="center"/>
      </w:pPr>
      <w:r>
        <w:rPr>
          <w:spacing w:val="-2"/>
        </w:rPr>
        <w:t>EXPENDITURE</w:t>
      </w:r>
    </w:p>
    <w:p>
      <w:pPr>
        <w:pStyle w:val="BodyText"/>
        <w:spacing w:before="1"/>
        <w:rPr>
          <w:sz w:val="15"/>
        </w:rPr>
      </w:pPr>
      <w:r>
        <w:rPr/>
        <mc:AlternateContent>
          <mc:Choice Requires="wps">
            <w:drawing>
              <wp:anchor distT="0" distB="0" distL="0" distR="0" allowOverlap="1" layoutInCell="1" locked="0" behindDoc="1" simplePos="0" relativeHeight="487633920">
                <wp:simplePos x="0" y="0"/>
                <wp:positionH relativeFrom="page">
                  <wp:posOffset>1143000</wp:posOffset>
                </wp:positionH>
                <wp:positionV relativeFrom="paragraph">
                  <wp:posOffset>125415</wp:posOffset>
                </wp:positionV>
                <wp:extent cx="5486400" cy="19050"/>
                <wp:effectExtent l="0" t="0" r="0" b="0"/>
                <wp:wrapTopAndBottom/>
                <wp:docPr id="503" name="Group 503"/>
                <wp:cNvGraphicFramePr>
                  <a:graphicFrameLocks/>
                </wp:cNvGraphicFramePr>
                <a:graphic>
                  <a:graphicData uri="http://schemas.microsoft.com/office/word/2010/wordprocessingGroup">
                    <wpg:wgp>
                      <wpg:cNvPr id="503" name="Group 503"/>
                      <wpg:cNvGrpSpPr/>
                      <wpg:grpSpPr>
                        <a:xfrm>
                          <a:off x="0" y="0"/>
                          <a:ext cx="5486400" cy="19050"/>
                          <a:chExt cx="5486400" cy="19050"/>
                        </a:xfrm>
                      </wpg:grpSpPr>
                      <wps:wsp>
                        <wps:cNvPr id="504" name="Graphic 504"/>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505" name="Graphic 505"/>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06" name="Graphic 506"/>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07" name="Graphic 507"/>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08" name="Graphic 508"/>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09" name="Graphic 509"/>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10" name="Graphic 510"/>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875215pt;width:432pt;height:1.5pt;mso-position-horizontal-relative:page;mso-position-vertical-relative:paragraph;z-index:-15682560;mso-wrap-distance-left:0;mso-wrap-distance-right:0" id="docshapegroup482" coordorigin="1800,198" coordsize="8640,30">
                <v:rect style="position:absolute;left:1800;top:197;width:8640;height:30" id="docshape483" filled="true" fillcolor="#808080" stroked="false">
                  <v:fill type="solid"/>
                </v:rect>
                <v:shape style="position:absolute;left:1800;top:197;width:8636;height:5" id="docshape484" coordorigin="1800,198" coordsize="8636,5" path="m10435,198l1805,198,1800,198,1800,202,1805,202,10435,202,10435,198xe" filled="true" fillcolor="#aca89a" stroked="false">
                  <v:path arrowok="t"/>
                  <v:fill type="solid"/>
                </v:shape>
                <v:rect style="position:absolute;left:10435;top:197;width:5;height:5" id="docshape485" filled="true" fillcolor="#f1efe2" stroked="false">
                  <v:fill type="solid"/>
                </v:rect>
                <v:shape style="position:absolute;left:1800;top:197;width:8640;height:26" id="docshape486" coordorigin="1800,198" coordsize="8640,26" path="m1805,202l1800,202,1800,223,1805,223,1805,202xm10440,198l10435,198,10435,202,10440,202,10440,198xe" filled="true" fillcolor="#aca89a" stroked="false">
                  <v:path arrowok="t"/>
                  <v:fill type="solid"/>
                </v:shape>
                <v:rect style="position:absolute;left:10435;top:202;width:5;height:21" id="docshape487" filled="true" fillcolor="#f1efe2" stroked="false">
                  <v:fill type="solid"/>
                </v:rect>
                <v:rect style="position:absolute;left:1800;top:222;width:5;height:5" id="docshape488" filled="true" fillcolor="#aca89a" stroked="false">
                  <v:fill type="solid"/>
                </v:rect>
                <v:shape style="position:absolute;left:1800;top:222;width:8640;height:5" id="docshape489"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4740" w:val="left" w:leader="none"/>
        </w:tabs>
        <w:spacing w:before="48"/>
        <w:ind w:left="159"/>
      </w:pPr>
      <w:r>
        <w:rPr/>
        <w:t>Districts</w:t>
      </w:r>
      <w:r>
        <w:rPr>
          <w:spacing w:val="-1"/>
        </w:rPr>
        <w:t> </w:t>
      </w:r>
      <w:r>
        <w:rPr/>
        <w:t>with</w:t>
      </w:r>
      <w:r>
        <w:rPr>
          <w:spacing w:val="-1"/>
        </w:rPr>
        <w:t> </w:t>
      </w:r>
      <w:r>
        <w:rPr/>
        <w:t>lowest</w:t>
      </w:r>
      <w:r>
        <w:rPr>
          <w:spacing w:val="-1"/>
        </w:rPr>
        <w:t> </w:t>
      </w:r>
      <w:r>
        <w:rPr/>
        <w:t>educational</w:t>
      </w:r>
      <w:r>
        <w:rPr>
          <w:spacing w:val="-1"/>
        </w:rPr>
        <w:t> </w:t>
      </w:r>
      <w:r>
        <w:rPr>
          <w:spacing w:val="-2"/>
        </w:rPr>
        <w:t>expenditure</w:t>
      </w:r>
      <w:r>
        <w:rPr/>
        <w:tab/>
        <w:t>Districts</w:t>
      </w:r>
      <w:r>
        <w:rPr>
          <w:spacing w:val="-3"/>
        </w:rPr>
        <w:t> </w:t>
      </w:r>
      <w:r>
        <w:rPr/>
        <w:t>with</w:t>
      </w:r>
      <w:r>
        <w:rPr>
          <w:spacing w:val="-1"/>
        </w:rPr>
        <w:t> </w:t>
      </w:r>
      <w:r>
        <w:rPr/>
        <w:t>highest</w:t>
      </w:r>
      <w:r>
        <w:rPr>
          <w:spacing w:val="-1"/>
        </w:rPr>
        <w:t> </w:t>
      </w:r>
      <w:r>
        <w:rPr>
          <w:spacing w:val="-2"/>
        </w:rPr>
        <w:t>educational</w:t>
      </w:r>
    </w:p>
    <w:p>
      <w:pPr>
        <w:pStyle w:val="BodyText"/>
        <w:ind w:left="4740"/>
      </w:pPr>
      <w:r>
        <w:rPr/>
        <w:t>expenditure</w:t>
      </w:r>
      <w:r>
        <w:rPr>
          <w:spacing w:val="-5"/>
        </w:rPr>
        <w:t> </w:t>
      </w:r>
      <w:r>
        <w:rPr/>
        <w:t>(excluding</w:t>
      </w:r>
      <w:r>
        <w:rPr>
          <w:spacing w:val="-3"/>
        </w:rPr>
        <w:t> </w:t>
      </w:r>
      <w:r>
        <w:rPr/>
        <w:t>city</w:t>
      </w:r>
      <w:r>
        <w:rPr>
          <w:spacing w:val="-3"/>
        </w:rPr>
        <w:t> </w:t>
      </w:r>
      <w:r>
        <w:rPr>
          <w:spacing w:val="-2"/>
        </w:rPr>
        <w:t>districts)</w:t>
      </w:r>
    </w:p>
    <w:p>
      <w:pPr>
        <w:pStyle w:val="BodyText"/>
        <w:tabs>
          <w:tab w:pos="2907" w:val="left" w:leader="none"/>
          <w:tab w:pos="4740" w:val="left" w:leader="none"/>
          <w:tab w:pos="7486" w:val="left" w:leader="none"/>
        </w:tabs>
        <w:ind w:left="2919" w:right="930" w:hanging="2760"/>
      </w:pPr>
      <w:r>
        <w:rPr>
          <w:spacing w:val="-2"/>
        </w:rPr>
        <w:t>District</w:t>
      </w:r>
      <w:r>
        <w:rPr/>
        <w:tab/>
      </w:r>
      <w:r>
        <w:rPr>
          <w:spacing w:val="-2"/>
        </w:rPr>
        <w:t>Expendi-</w:t>
      </w:r>
      <w:r>
        <w:rPr/>
        <w:tab/>
      </w:r>
      <w:r>
        <w:rPr>
          <w:spacing w:val="-2"/>
        </w:rPr>
        <w:t>District</w:t>
      </w:r>
      <w:r>
        <w:rPr/>
        <w:tab/>
      </w:r>
      <w:r>
        <w:rPr>
          <w:spacing w:val="-2"/>
        </w:rPr>
        <w:t>Expendi- </w:t>
      </w:r>
      <w:r>
        <w:rPr>
          <w:spacing w:val="-4"/>
        </w:rPr>
        <w:t>ture</w:t>
      </w:r>
      <w:r>
        <w:rPr/>
        <w:tab/>
        <w:tab/>
      </w:r>
      <w:r>
        <w:rPr>
          <w:spacing w:val="-59"/>
        </w:rPr>
        <w:t> </w:t>
      </w:r>
      <w:r>
        <w:rPr>
          <w:spacing w:val="-4"/>
        </w:rPr>
        <w:t>ture</w:t>
      </w:r>
    </w:p>
    <w:p>
      <w:pPr>
        <w:pStyle w:val="BodyText"/>
        <w:tabs>
          <w:tab w:pos="7488" w:val="left" w:leader="none"/>
        </w:tabs>
        <w:ind w:left="2919"/>
      </w:pPr>
      <w:r>
        <w:rPr/>
        <w:t>per </w:t>
      </w:r>
      <w:r>
        <w:rPr>
          <w:spacing w:val="-4"/>
        </w:rPr>
        <w:t>head</w:t>
      </w:r>
      <w:r>
        <w:rPr/>
        <w:tab/>
        <w:t>per</w:t>
      </w:r>
      <w:r>
        <w:rPr>
          <w:spacing w:val="-2"/>
        </w:rPr>
        <w:t> </w:t>
      </w:r>
      <w:r>
        <w:rPr>
          <w:spacing w:val="-4"/>
        </w:rPr>
        <w:t>head</w:t>
      </w:r>
    </w:p>
    <w:p>
      <w:pPr>
        <w:pStyle w:val="BodyText"/>
        <w:spacing w:before="1"/>
        <w:rPr>
          <w:sz w:val="15"/>
        </w:rPr>
      </w:pPr>
      <w:r>
        <w:rPr/>
        <mc:AlternateContent>
          <mc:Choice Requires="wps">
            <w:drawing>
              <wp:anchor distT="0" distB="0" distL="0" distR="0" allowOverlap="1" layoutInCell="1" locked="0" behindDoc="1" simplePos="0" relativeHeight="487634432">
                <wp:simplePos x="0" y="0"/>
                <wp:positionH relativeFrom="page">
                  <wp:posOffset>1143000</wp:posOffset>
                </wp:positionH>
                <wp:positionV relativeFrom="paragraph">
                  <wp:posOffset>125804</wp:posOffset>
                </wp:positionV>
                <wp:extent cx="5486400" cy="19050"/>
                <wp:effectExtent l="0" t="0" r="0" b="0"/>
                <wp:wrapTopAndBottom/>
                <wp:docPr id="511" name="Group 511"/>
                <wp:cNvGraphicFramePr>
                  <a:graphicFrameLocks/>
                </wp:cNvGraphicFramePr>
                <a:graphic>
                  <a:graphicData uri="http://schemas.microsoft.com/office/word/2010/wordprocessingGroup">
                    <wpg:wgp>
                      <wpg:cNvPr id="511" name="Group 511"/>
                      <wpg:cNvGrpSpPr/>
                      <wpg:grpSpPr>
                        <a:xfrm>
                          <a:off x="0" y="0"/>
                          <a:ext cx="5486400" cy="19050"/>
                          <a:chExt cx="5486400" cy="19050"/>
                        </a:xfrm>
                      </wpg:grpSpPr>
                      <wps:wsp>
                        <wps:cNvPr id="512" name="Graphic 512"/>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513" name="Graphic 513"/>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14" name="Graphic 514"/>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15" name="Graphic 515"/>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16" name="Graphic 516"/>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17" name="Graphic 517"/>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518" name="Graphic 518"/>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05849pt;width:432pt;height:1.5pt;mso-position-horizontal-relative:page;mso-position-vertical-relative:paragraph;z-index:-15682048;mso-wrap-distance-left:0;mso-wrap-distance-right:0" id="docshapegroup490" coordorigin="1800,198" coordsize="8640,30">
                <v:rect style="position:absolute;left:1800;top:198;width:8640;height:30" id="docshape491" filled="true" fillcolor="#808080" stroked="false">
                  <v:fill type="solid"/>
                </v:rect>
                <v:shape style="position:absolute;left:1800;top:198;width:8636;height:5" id="docshape492" coordorigin="1800,198" coordsize="8636,5" path="m10435,198l1805,198,1800,198,1800,203,1805,203,10435,203,10435,198xe" filled="true" fillcolor="#aca89a" stroked="false">
                  <v:path arrowok="t"/>
                  <v:fill type="solid"/>
                </v:shape>
                <v:rect style="position:absolute;left:10435;top:198;width:5;height:5" id="docshape493" filled="true" fillcolor="#f1efe2" stroked="false">
                  <v:fill type="solid"/>
                </v:rect>
                <v:shape style="position:absolute;left:1800;top:198;width:8640;height:26" id="docshape494" coordorigin="1800,198" coordsize="8640,26" path="m1805,203l1800,203,1800,223,1805,223,1805,203xm10440,198l10435,198,10435,203,10440,203,10440,198xe" filled="true" fillcolor="#aca89a" stroked="false">
                  <v:path arrowok="t"/>
                  <v:fill type="solid"/>
                </v:shape>
                <v:rect style="position:absolute;left:10435;top:202;width:5;height:21" id="docshape495" filled="true" fillcolor="#f1efe2" stroked="false">
                  <v:fill type="solid"/>
                </v:rect>
                <v:rect style="position:absolute;left:1800;top:223;width:5;height:5" id="docshape496" filled="true" fillcolor="#aca89a" stroked="false">
                  <v:fill type="solid"/>
                </v:rect>
                <v:shape style="position:absolute;left:1800;top:223;width:8640;height:5" id="docshape497" coordorigin="1800,223" coordsize="8640,5" path="m10440,223l10435,223,1800,223,1800,228,10435,228,10440,228,10440,223xe" filled="true" fillcolor="#f1efe2" stroked="false">
                  <v:path arrowok="t"/>
                  <v:fill type="solid"/>
                </v:shape>
                <w10:wrap type="topAndBottom"/>
              </v:group>
            </w:pict>
          </mc:Fallback>
        </mc:AlternateContent>
      </w:r>
    </w:p>
    <w:p>
      <w:pPr>
        <w:pStyle w:val="BodyText"/>
        <w:tabs>
          <w:tab w:pos="7488" w:val="left" w:leader="none"/>
        </w:tabs>
        <w:spacing w:before="48"/>
        <w:ind w:left="2907"/>
      </w:pPr>
      <w:r>
        <w:rPr>
          <w:spacing w:val="-5"/>
        </w:rPr>
        <w:t>Rs.</w:t>
      </w:r>
      <w:r>
        <w:rPr/>
        <w:tab/>
      </w:r>
      <w:r>
        <w:rPr>
          <w:spacing w:val="-5"/>
        </w:rPr>
        <w:t>Rs.</w:t>
      </w:r>
    </w:p>
    <w:p>
      <w:pPr>
        <w:pStyle w:val="ListParagraph"/>
        <w:numPr>
          <w:ilvl w:val="0"/>
          <w:numId w:val="127"/>
        </w:numPr>
        <w:tabs>
          <w:tab w:pos="397" w:val="left" w:leader="none"/>
          <w:tab w:pos="2907" w:val="left" w:leader="none"/>
          <w:tab w:pos="4739" w:val="left" w:leader="none"/>
          <w:tab w:pos="7908" w:val="right" w:leader="none"/>
        </w:tabs>
        <w:spacing w:line="240" w:lineRule="auto" w:before="0" w:after="0"/>
        <w:ind w:left="397" w:right="0" w:hanging="238"/>
        <w:jc w:val="left"/>
        <w:rPr>
          <w:sz w:val="24"/>
        </w:rPr>
      </w:pPr>
      <w:r>
        <w:rPr>
          <w:sz w:val="24"/>
        </w:rPr>
        <w:t>Kalahandi</w:t>
      </w:r>
      <w:r>
        <w:rPr>
          <w:spacing w:val="-9"/>
          <w:sz w:val="24"/>
        </w:rPr>
        <w:t> </w:t>
      </w:r>
      <w:r>
        <w:rPr>
          <w:spacing w:val="-2"/>
          <w:sz w:val="24"/>
        </w:rPr>
        <w:t>(Orissa)</w:t>
      </w:r>
      <w:r>
        <w:rPr>
          <w:sz w:val="24"/>
        </w:rPr>
        <w:tab/>
      </w:r>
      <w:r>
        <w:rPr>
          <w:spacing w:val="-5"/>
          <w:sz w:val="24"/>
        </w:rPr>
        <w:t>1.1</w:t>
      </w:r>
      <w:r>
        <w:rPr>
          <w:sz w:val="24"/>
        </w:rPr>
        <w:tab/>
        <w:t>1.</w:t>
      </w:r>
      <w:r>
        <w:rPr>
          <w:spacing w:val="-3"/>
          <w:sz w:val="24"/>
        </w:rPr>
        <w:t> </w:t>
      </w:r>
      <w:r>
        <w:rPr>
          <w:sz w:val="24"/>
        </w:rPr>
        <w:t>Poona</w:t>
      </w:r>
      <w:r>
        <w:rPr>
          <w:spacing w:val="-1"/>
          <w:sz w:val="24"/>
        </w:rPr>
        <w:t> </w:t>
      </w:r>
      <w:r>
        <w:rPr>
          <w:spacing w:val="-2"/>
          <w:sz w:val="24"/>
        </w:rPr>
        <w:t>(Maharashtra)</w:t>
      </w:r>
      <w:r>
        <w:rPr>
          <w:sz w:val="24"/>
        </w:rPr>
        <w:tab/>
      </w:r>
      <w:r>
        <w:rPr>
          <w:spacing w:val="-4"/>
          <w:sz w:val="24"/>
        </w:rPr>
        <w:t>16.2</w:t>
      </w:r>
    </w:p>
    <w:p>
      <w:pPr>
        <w:pStyle w:val="ListParagraph"/>
        <w:numPr>
          <w:ilvl w:val="0"/>
          <w:numId w:val="127"/>
        </w:numPr>
        <w:tabs>
          <w:tab w:pos="399" w:val="left" w:leader="none"/>
          <w:tab w:pos="2900" w:val="left" w:leader="none"/>
          <w:tab w:pos="4740" w:val="left" w:leader="none"/>
          <w:tab w:pos="7907" w:val="right" w:leader="none"/>
        </w:tabs>
        <w:spacing w:line="240" w:lineRule="auto" w:before="0" w:after="0"/>
        <w:ind w:left="399" w:right="0" w:hanging="240"/>
        <w:jc w:val="left"/>
        <w:rPr>
          <w:sz w:val="24"/>
        </w:rPr>
      </w:pPr>
      <w:r>
        <w:rPr>
          <w:sz w:val="24"/>
        </w:rPr>
        <w:t>Mohindergarh </w:t>
      </w:r>
      <w:r>
        <w:rPr>
          <w:spacing w:val="-2"/>
          <w:sz w:val="24"/>
        </w:rPr>
        <w:t>(Punjab)</w:t>
      </w:r>
      <w:r>
        <w:rPr>
          <w:sz w:val="24"/>
        </w:rPr>
        <w:tab/>
      </w:r>
      <w:r>
        <w:rPr>
          <w:spacing w:val="-5"/>
          <w:sz w:val="24"/>
        </w:rPr>
        <w:t>1.2</w:t>
      </w:r>
      <w:r>
        <w:rPr>
          <w:sz w:val="24"/>
        </w:rPr>
        <w:tab/>
        <w:t>2.</w:t>
      </w:r>
      <w:r>
        <w:rPr>
          <w:spacing w:val="-3"/>
          <w:sz w:val="24"/>
        </w:rPr>
        <w:t> </w:t>
      </w:r>
      <w:r>
        <w:rPr>
          <w:sz w:val="24"/>
        </w:rPr>
        <w:t>Trivandrum</w:t>
      </w:r>
      <w:r>
        <w:rPr>
          <w:spacing w:val="-1"/>
          <w:sz w:val="24"/>
        </w:rPr>
        <w:t> </w:t>
      </w:r>
      <w:r>
        <w:rPr>
          <w:spacing w:val="-2"/>
          <w:sz w:val="24"/>
        </w:rPr>
        <w:t>(Kerala)</w:t>
      </w:r>
      <w:r>
        <w:rPr>
          <w:sz w:val="24"/>
        </w:rPr>
        <w:tab/>
      </w:r>
      <w:r>
        <w:rPr>
          <w:spacing w:val="-4"/>
          <w:sz w:val="24"/>
        </w:rPr>
        <w:t>15.6</w:t>
      </w:r>
    </w:p>
    <w:p>
      <w:pPr>
        <w:pStyle w:val="ListParagraph"/>
        <w:numPr>
          <w:ilvl w:val="0"/>
          <w:numId w:val="127"/>
        </w:numPr>
        <w:tabs>
          <w:tab w:pos="399" w:val="left" w:leader="none"/>
          <w:tab w:pos="2919" w:val="left" w:leader="none"/>
          <w:tab w:pos="4739" w:val="left" w:leader="none"/>
          <w:tab w:pos="7907" w:val="right" w:leader="none"/>
        </w:tabs>
        <w:spacing w:line="240" w:lineRule="auto" w:before="0" w:after="0"/>
        <w:ind w:left="399" w:right="0" w:hanging="240"/>
        <w:jc w:val="left"/>
        <w:rPr>
          <w:sz w:val="24"/>
        </w:rPr>
      </w:pPr>
      <w:r>
        <w:rPr>
          <w:sz w:val="24"/>
        </w:rPr>
        <w:t>Koraput </w:t>
      </w:r>
      <w:r>
        <w:rPr>
          <w:spacing w:val="-2"/>
          <w:sz w:val="24"/>
        </w:rPr>
        <w:t>(Orissa)</w:t>
      </w:r>
      <w:r>
        <w:rPr>
          <w:sz w:val="24"/>
        </w:rPr>
        <w:tab/>
      </w:r>
      <w:r>
        <w:rPr>
          <w:spacing w:val="-5"/>
          <w:sz w:val="24"/>
        </w:rPr>
        <w:t>1.3</w:t>
      </w:r>
      <w:r>
        <w:rPr>
          <w:sz w:val="24"/>
        </w:rPr>
        <w:tab/>
        <w:t>3.</w:t>
      </w:r>
      <w:r>
        <w:rPr>
          <w:spacing w:val="-2"/>
          <w:sz w:val="24"/>
        </w:rPr>
        <w:t> Nagpur</w:t>
      </w:r>
      <w:r>
        <w:rPr>
          <w:sz w:val="24"/>
        </w:rPr>
        <w:tab/>
      </w:r>
      <w:r>
        <w:rPr>
          <w:spacing w:val="-4"/>
          <w:sz w:val="24"/>
        </w:rPr>
        <w:t>15.3</w:t>
      </w:r>
    </w:p>
    <w:p>
      <w:pPr>
        <w:pStyle w:val="ListParagraph"/>
        <w:numPr>
          <w:ilvl w:val="0"/>
          <w:numId w:val="127"/>
        </w:numPr>
        <w:tabs>
          <w:tab w:pos="398" w:val="left" w:leader="none"/>
          <w:tab w:pos="2912" w:val="left" w:leader="none"/>
          <w:tab w:pos="4740" w:val="left" w:leader="none"/>
        </w:tabs>
        <w:spacing w:line="240" w:lineRule="auto" w:before="0" w:after="0"/>
        <w:ind w:left="398" w:right="0" w:hanging="239"/>
        <w:jc w:val="left"/>
        <w:rPr>
          <w:sz w:val="24"/>
        </w:rPr>
      </w:pPr>
      <w:r>
        <w:rPr>
          <w:sz w:val="24"/>
        </w:rPr>
        <w:t>Bolangir</w:t>
      </w:r>
      <w:r>
        <w:rPr>
          <w:spacing w:val="-3"/>
          <w:sz w:val="24"/>
        </w:rPr>
        <w:t> </w:t>
      </w:r>
      <w:r>
        <w:rPr>
          <w:spacing w:val="-2"/>
          <w:sz w:val="24"/>
        </w:rPr>
        <w:t>(Orissa)</w:t>
      </w:r>
      <w:r>
        <w:rPr>
          <w:sz w:val="24"/>
        </w:rPr>
        <w:tab/>
      </w:r>
      <w:r>
        <w:rPr>
          <w:spacing w:val="-5"/>
          <w:sz w:val="24"/>
        </w:rPr>
        <w:t>1.5</w:t>
      </w:r>
      <w:r>
        <w:rPr>
          <w:sz w:val="24"/>
        </w:rPr>
        <w:tab/>
        <w:t>4. Sehore (Madhya Pradesh) </w:t>
      </w:r>
      <w:r>
        <w:rPr>
          <w:spacing w:val="-4"/>
          <w:sz w:val="24"/>
        </w:rPr>
        <w:t>14.3</w:t>
      </w:r>
    </w:p>
    <w:p>
      <w:pPr>
        <w:pStyle w:val="ListParagraph"/>
        <w:numPr>
          <w:ilvl w:val="0"/>
          <w:numId w:val="127"/>
        </w:numPr>
        <w:tabs>
          <w:tab w:pos="458" w:val="left" w:leader="none"/>
          <w:tab w:pos="2918" w:val="left" w:leader="none"/>
          <w:tab w:pos="4739" w:val="left" w:leader="none"/>
          <w:tab w:pos="7906" w:val="right" w:leader="none"/>
        </w:tabs>
        <w:spacing w:line="240" w:lineRule="auto" w:before="0" w:after="0"/>
        <w:ind w:left="458" w:right="0" w:hanging="299"/>
        <w:jc w:val="left"/>
        <w:rPr>
          <w:sz w:val="24"/>
        </w:rPr>
      </w:pPr>
      <w:r>
        <w:rPr>
          <w:sz w:val="24"/>
        </w:rPr>
        <w:t>Fatehpur</w:t>
      </w:r>
      <w:r>
        <w:rPr>
          <w:spacing w:val="-1"/>
          <w:sz w:val="24"/>
        </w:rPr>
        <w:t> </w:t>
      </w:r>
      <w:r>
        <w:rPr>
          <w:spacing w:val="-2"/>
          <w:sz w:val="24"/>
        </w:rPr>
        <w:t>(U.P.)</w:t>
      </w:r>
      <w:r>
        <w:rPr>
          <w:sz w:val="24"/>
        </w:rPr>
        <w:tab/>
      </w:r>
      <w:r>
        <w:rPr>
          <w:spacing w:val="-5"/>
          <w:sz w:val="24"/>
        </w:rPr>
        <w:t>1.5</w:t>
      </w:r>
      <w:r>
        <w:rPr>
          <w:sz w:val="24"/>
        </w:rPr>
        <w:tab/>
        <w:t>5.</w:t>
      </w:r>
      <w:r>
        <w:rPr>
          <w:spacing w:val="-7"/>
          <w:sz w:val="24"/>
        </w:rPr>
        <w:t> </w:t>
      </w:r>
      <w:r>
        <w:rPr>
          <w:sz w:val="24"/>
        </w:rPr>
        <w:t>Trichur</w:t>
      </w:r>
      <w:r>
        <w:rPr>
          <w:spacing w:val="-4"/>
          <w:sz w:val="24"/>
        </w:rPr>
        <w:t> </w:t>
      </w:r>
      <w:r>
        <w:rPr>
          <w:spacing w:val="-2"/>
          <w:sz w:val="24"/>
        </w:rPr>
        <w:t>(Kerala)</w:t>
      </w:r>
      <w:r>
        <w:rPr>
          <w:sz w:val="24"/>
        </w:rPr>
        <w:tab/>
      </w:r>
      <w:r>
        <w:rPr>
          <w:spacing w:val="-4"/>
          <w:sz w:val="24"/>
        </w:rPr>
        <w:t>14.2</w:t>
      </w:r>
    </w:p>
    <w:p>
      <w:pPr>
        <w:pStyle w:val="BodyText"/>
        <w:spacing w:before="1"/>
        <w:rPr>
          <w:sz w:val="15"/>
        </w:rPr>
      </w:pPr>
      <w:r>
        <w:rPr/>
        <mc:AlternateContent>
          <mc:Choice Requires="wps">
            <w:drawing>
              <wp:anchor distT="0" distB="0" distL="0" distR="0" allowOverlap="1" layoutInCell="1" locked="0" behindDoc="1" simplePos="0" relativeHeight="487634944">
                <wp:simplePos x="0" y="0"/>
                <wp:positionH relativeFrom="page">
                  <wp:posOffset>1143000</wp:posOffset>
                </wp:positionH>
                <wp:positionV relativeFrom="paragraph">
                  <wp:posOffset>125403</wp:posOffset>
                </wp:positionV>
                <wp:extent cx="5486400" cy="19050"/>
                <wp:effectExtent l="0" t="0" r="0" b="0"/>
                <wp:wrapTopAndBottom/>
                <wp:docPr id="519" name="Group 519"/>
                <wp:cNvGraphicFramePr>
                  <a:graphicFrameLocks/>
                </wp:cNvGraphicFramePr>
                <a:graphic>
                  <a:graphicData uri="http://schemas.microsoft.com/office/word/2010/wordprocessingGroup">
                    <wpg:wgp>
                      <wpg:cNvPr id="519" name="Group 519"/>
                      <wpg:cNvGrpSpPr/>
                      <wpg:grpSpPr>
                        <a:xfrm>
                          <a:off x="0" y="0"/>
                          <a:ext cx="5486400" cy="19050"/>
                          <a:chExt cx="5486400" cy="19050"/>
                        </a:xfrm>
                      </wpg:grpSpPr>
                      <wps:wsp>
                        <wps:cNvPr id="520" name="Graphic 520"/>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521" name="Graphic 521"/>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522" name="Graphic 522"/>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523" name="Graphic 523"/>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524" name="Graphic 524"/>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25" name="Graphic 525"/>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26" name="Graphic 526"/>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874268pt;width:432pt;height:1.5pt;mso-position-horizontal-relative:page;mso-position-vertical-relative:paragraph;z-index:-15681536;mso-wrap-distance-left:0;mso-wrap-distance-right:0" id="docshapegroup498" coordorigin="1800,197" coordsize="8640,30">
                <v:rect style="position:absolute;left:1800;top:197;width:8640;height:30" id="docshape499" filled="true" fillcolor="#808080" stroked="false">
                  <v:fill type="solid"/>
                </v:rect>
                <v:shape style="position:absolute;left:1800;top:197;width:8636;height:5" id="docshape500" coordorigin="1800,198" coordsize="8636,5" path="m10435,198l1805,198,1800,198,1800,202,1805,202,10435,202,10435,198xe" filled="true" fillcolor="#aca89a" stroked="false">
                  <v:path arrowok="t"/>
                  <v:fill type="solid"/>
                </v:shape>
                <v:rect style="position:absolute;left:10435;top:197;width:5;height:5" id="docshape501" filled="true" fillcolor="#f1efe2" stroked="false">
                  <v:fill type="solid"/>
                </v:rect>
                <v:shape style="position:absolute;left:1800;top:197;width:8640;height:26" id="docshape502" coordorigin="1800,198" coordsize="8640,26" path="m1805,202l1800,202,1800,223,1805,223,1805,202xm10440,198l10435,198,10435,202,10440,202,10440,198xe" filled="true" fillcolor="#aca89a" stroked="false">
                  <v:path arrowok="t"/>
                  <v:fill type="solid"/>
                </v:shape>
                <v:rect style="position:absolute;left:10435;top:202;width:5;height:21" id="docshape503" filled="true" fillcolor="#f1efe2" stroked="false">
                  <v:fill type="solid"/>
                </v:rect>
                <v:rect style="position:absolute;left:1800;top:222;width:5;height:5" id="docshape504" filled="true" fillcolor="#aca89a" stroked="false">
                  <v:fill type="solid"/>
                </v:rect>
                <v:shape style="position:absolute;left:1800;top:222;width:8640;height:5" id="docshape505" coordorigin="1800,223" coordsize="8640,5" path="m10440,223l10435,223,1800,223,1800,227,10435,227,10440,227,10440,223xe" filled="true" fillcolor="#f1efe2" stroked="false">
                  <v:path arrowok="t"/>
                  <v:fill type="solid"/>
                </v:shape>
                <w10:wrap type="topAndBottom"/>
              </v:group>
            </w:pict>
          </mc:Fallback>
        </mc:AlternateContent>
      </w:r>
    </w:p>
    <w:p>
      <w:pPr>
        <w:spacing w:after="0"/>
        <w:rPr>
          <w:sz w:val="15"/>
        </w:rPr>
        <w:sectPr>
          <w:pgSz w:w="12240" w:h="15840"/>
          <w:pgMar w:header="0" w:footer="743" w:top="1360" w:bottom="940" w:left="1640" w:right="1300"/>
        </w:sectPr>
      </w:pPr>
    </w:p>
    <w:p>
      <w:pPr>
        <w:pStyle w:val="BodyText"/>
        <w:spacing w:before="173"/>
      </w:pPr>
    </w:p>
    <w:p>
      <w:pPr>
        <w:pStyle w:val="BodyText"/>
        <w:ind w:left="160"/>
      </w:pPr>
      <w:r>
        <w:rPr/>
        <w:t>The</w:t>
      </w:r>
      <w:r>
        <w:rPr>
          <w:spacing w:val="72"/>
        </w:rPr>
        <w:t> </w:t>
      </w:r>
      <w:r>
        <w:rPr/>
        <w:t>chart</w:t>
      </w:r>
      <w:r>
        <w:rPr>
          <w:spacing w:val="72"/>
        </w:rPr>
        <w:t> </w:t>
      </w:r>
      <w:r>
        <w:rPr/>
        <w:t>on</w:t>
      </w:r>
      <w:r>
        <w:rPr>
          <w:spacing w:val="72"/>
        </w:rPr>
        <w:t> </w:t>
      </w:r>
      <w:r>
        <w:rPr/>
        <w:t>page</w:t>
      </w:r>
      <w:r>
        <w:rPr>
          <w:spacing w:val="72"/>
        </w:rPr>
        <w:t> </w:t>
      </w:r>
      <w:r>
        <w:rPr/>
        <w:t>229</w:t>
      </w:r>
      <w:r>
        <w:rPr>
          <w:spacing w:val="72"/>
        </w:rPr>
        <w:t> </w:t>
      </w:r>
      <w:r>
        <w:rPr/>
        <w:t>shows</w:t>
      </w:r>
      <w:r>
        <w:rPr>
          <w:spacing w:val="71"/>
        </w:rPr>
        <w:t> </w:t>
      </w:r>
      <w:r>
        <w:rPr/>
        <w:t>the</w:t>
      </w:r>
      <w:r>
        <w:rPr>
          <w:spacing w:val="72"/>
        </w:rPr>
        <w:t> </w:t>
      </w:r>
      <w:r>
        <w:rPr/>
        <w:t>distribution</w:t>
      </w:r>
      <w:r>
        <w:rPr>
          <w:spacing w:val="72"/>
        </w:rPr>
        <w:t> </w:t>
      </w:r>
      <w:r>
        <w:rPr/>
        <w:t>of</w:t>
      </w:r>
      <w:r>
        <w:rPr>
          <w:spacing w:val="72"/>
        </w:rPr>
        <w:t> </w:t>
      </w:r>
      <w:r>
        <w:rPr/>
        <w:t>districts</w:t>
      </w:r>
      <w:r>
        <w:rPr>
          <w:spacing w:val="72"/>
        </w:rPr>
        <w:t> </w:t>
      </w:r>
      <w:r>
        <w:rPr/>
        <w:t>according</w:t>
      </w:r>
      <w:r>
        <w:rPr>
          <w:spacing w:val="72"/>
        </w:rPr>
        <w:t> </w:t>
      </w:r>
      <w:r>
        <w:rPr/>
        <w:t>to</w:t>
      </w:r>
      <w:r>
        <w:rPr>
          <w:spacing w:val="72"/>
        </w:rPr>
        <w:t> </w:t>
      </w:r>
      <w:r>
        <w:rPr/>
        <w:t>per</w:t>
      </w:r>
      <w:r>
        <w:rPr>
          <w:spacing w:val="72"/>
        </w:rPr>
        <w:t> </w:t>
      </w:r>
      <w:r>
        <w:rPr/>
        <w:t>capita expenditure on education.</w:t>
      </w:r>
    </w:p>
    <w:p>
      <w:pPr>
        <w:pStyle w:val="BodyText"/>
        <w:spacing w:before="4"/>
      </w:pPr>
    </w:p>
    <w:p>
      <w:pPr>
        <w:pStyle w:val="ListParagraph"/>
        <w:numPr>
          <w:ilvl w:val="1"/>
          <w:numId w:val="128"/>
        </w:numPr>
        <w:tabs>
          <w:tab w:pos="672" w:val="left" w:leader="none"/>
        </w:tabs>
        <w:spacing w:line="240" w:lineRule="auto" w:before="0" w:after="0"/>
        <w:ind w:left="160" w:right="495" w:firstLine="0"/>
        <w:jc w:val="both"/>
        <w:rPr>
          <w:b/>
          <w:sz w:val="24"/>
        </w:rPr>
      </w:pPr>
      <w:r>
        <w:rPr>
          <w:b/>
          <w:sz w:val="24"/>
        </w:rPr>
        <w:t>Recommendations. </w:t>
      </w:r>
      <w:r>
        <w:rPr>
          <w:sz w:val="24"/>
        </w:rPr>
        <w:t>The programmes for the reduction of regional imbalances in educational development will have to be pursued side by side with the wider programmes for removing imbalances in the socio-economic development. The problem is complex</w:t>
      </w:r>
    </w:p>
    <w:p>
      <w:pPr>
        <w:pStyle w:val="BodyText"/>
        <w:rPr>
          <w:sz w:val="20"/>
        </w:rPr>
      </w:pPr>
    </w:p>
    <w:p>
      <w:pPr>
        <w:pStyle w:val="BodyText"/>
        <w:spacing w:before="161"/>
        <w:rPr>
          <w:sz w:val="20"/>
        </w:rPr>
      </w:pPr>
      <w:r>
        <w:rPr/>
        <w:drawing>
          <wp:anchor distT="0" distB="0" distL="0" distR="0" allowOverlap="1" layoutInCell="1" locked="0" behindDoc="1" simplePos="0" relativeHeight="487635456">
            <wp:simplePos x="0" y="0"/>
            <wp:positionH relativeFrom="page">
              <wp:posOffset>1705012</wp:posOffset>
            </wp:positionH>
            <wp:positionV relativeFrom="paragraph">
              <wp:posOffset>263512</wp:posOffset>
            </wp:positionV>
            <wp:extent cx="4714607" cy="5505259"/>
            <wp:effectExtent l="0" t="0" r="0" b="0"/>
            <wp:wrapTopAndBottom/>
            <wp:docPr id="527" name="Image 527"/>
            <wp:cNvGraphicFramePr>
              <a:graphicFrameLocks/>
            </wp:cNvGraphicFramePr>
            <a:graphic>
              <a:graphicData uri="http://schemas.openxmlformats.org/drawingml/2006/picture">
                <pic:pic>
                  <pic:nvPicPr>
                    <pic:cNvPr id="527" name="Image 527"/>
                    <pic:cNvPicPr/>
                  </pic:nvPicPr>
                  <pic:blipFill>
                    <a:blip r:embed="rId28" cstate="print"/>
                    <a:stretch>
                      <a:fillRect/>
                    </a:stretch>
                  </pic:blipFill>
                  <pic:spPr>
                    <a:xfrm>
                      <a:off x="0" y="0"/>
                      <a:ext cx="4714607" cy="5505259"/>
                    </a:xfrm>
                    <a:prstGeom prst="rect">
                      <a:avLst/>
                    </a:prstGeom>
                  </pic:spPr>
                </pic:pic>
              </a:graphicData>
            </a:graphic>
          </wp:anchor>
        </w:drawing>
      </w:r>
    </w:p>
    <w:p>
      <w:pPr>
        <w:spacing w:after="0"/>
        <w:rPr>
          <w:sz w:val="20"/>
        </w:rPr>
        <w:sectPr>
          <w:pgSz w:w="12240" w:h="15840"/>
          <w:pgMar w:header="0" w:footer="743" w:top="1820" w:bottom="940" w:left="1640" w:right="1300"/>
        </w:sectPr>
      </w:pPr>
    </w:p>
    <w:p>
      <w:pPr>
        <w:pStyle w:val="BodyText"/>
        <w:spacing w:before="78"/>
        <w:ind w:left="160" w:right="494"/>
        <w:jc w:val="both"/>
      </w:pPr>
      <w:r>
        <w:rPr/>
        <w:t>and</w:t>
      </w:r>
      <w:r>
        <w:rPr>
          <w:spacing w:val="-1"/>
        </w:rPr>
        <w:t> </w:t>
      </w:r>
      <w:r>
        <w:rPr/>
        <w:t>difficult;</w:t>
      </w:r>
      <w:r>
        <w:rPr>
          <w:spacing w:val="-1"/>
        </w:rPr>
        <w:t> </w:t>
      </w:r>
      <w:r>
        <w:rPr/>
        <w:t>and</w:t>
      </w:r>
      <w:r>
        <w:rPr>
          <w:spacing w:val="-1"/>
        </w:rPr>
        <w:t> </w:t>
      </w:r>
      <w:r>
        <w:rPr/>
        <w:t>its</w:t>
      </w:r>
      <w:r>
        <w:rPr>
          <w:spacing w:val="-1"/>
        </w:rPr>
        <w:t> </w:t>
      </w:r>
      <w:r>
        <w:rPr/>
        <w:t>solution</w:t>
      </w:r>
      <w:r>
        <w:rPr>
          <w:spacing w:val="-1"/>
        </w:rPr>
        <w:t> </w:t>
      </w:r>
      <w:r>
        <w:rPr/>
        <w:t>will</w:t>
      </w:r>
      <w:r>
        <w:rPr>
          <w:spacing w:val="-1"/>
        </w:rPr>
        <w:t> </w:t>
      </w:r>
      <w:r>
        <w:rPr/>
        <w:t>have</w:t>
      </w:r>
      <w:r>
        <w:rPr>
          <w:spacing w:val="-1"/>
        </w:rPr>
        <w:t> </w:t>
      </w:r>
      <w:r>
        <w:rPr/>
        <w:t>to</w:t>
      </w:r>
      <w:r>
        <w:rPr>
          <w:spacing w:val="-1"/>
        </w:rPr>
        <w:t> </w:t>
      </w:r>
      <w:r>
        <w:rPr/>
        <w:t>be</w:t>
      </w:r>
      <w:r>
        <w:rPr>
          <w:spacing w:val="-5"/>
        </w:rPr>
        <w:t> </w:t>
      </w:r>
      <w:r>
        <w:rPr/>
        <w:t>spread</w:t>
      </w:r>
      <w:r>
        <w:rPr>
          <w:spacing w:val="-1"/>
        </w:rPr>
        <w:t> </w:t>
      </w:r>
      <w:r>
        <w:rPr/>
        <w:t>over</w:t>
      </w:r>
      <w:r>
        <w:rPr>
          <w:spacing w:val="-1"/>
        </w:rPr>
        <w:t> </w:t>
      </w:r>
      <w:r>
        <w:rPr/>
        <w:t>a</w:t>
      </w:r>
      <w:r>
        <w:rPr>
          <w:spacing w:val="-1"/>
        </w:rPr>
        <w:t> </w:t>
      </w:r>
      <w:r>
        <w:rPr/>
        <w:t>number</w:t>
      </w:r>
      <w:r>
        <w:rPr>
          <w:spacing w:val="-1"/>
        </w:rPr>
        <w:t> </w:t>
      </w:r>
      <w:r>
        <w:rPr/>
        <w:t>of</w:t>
      </w:r>
      <w:r>
        <w:rPr>
          <w:spacing w:val="-1"/>
        </w:rPr>
        <w:t> </w:t>
      </w:r>
      <w:r>
        <w:rPr/>
        <w:t>years.</w:t>
      </w:r>
      <w:r>
        <w:rPr>
          <w:spacing w:val="-1"/>
        </w:rPr>
        <w:t> </w:t>
      </w:r>
      <w:r>
        <w:rPr/>
        <w:t>Our</w:t>
      </w:r>
      <w:r>
        <w:rPr>
          <w:spacing w:val="-1"/>
        </w:rPr>
        <w:t> </w:t>
      </w:r>
      <w:r>
        <w:rPr/>
        <w:t>principal object in this Report is to draw attention to this problem and to highlight its significance. In our opinion, the solution of the problem can be considerably facilitated if an emphasis is</w:t>
      </w:r>
      <w:r>
        <w:rPr>
          <w:spacing w:val="-1"/>
        </w:rPr>
        <w:t> </w:t>
      </w:r>
      <w:r>
        <w:rPr/>
        <w:t>laid</w:t>
      </w:r>
      <w:r>
        <w:rPr>
          <w:spacing w:val="-1"/>
        </w:rPr>
        <w:t> </w:t>
      </w:r>
      <w:r>
        <w:rPr/>
        <w:t>on</w:t>
      </w:r>
      <w:r>
        <w:rPr>
          <w:spacing w:val="-1"/>
        </w:rPr>
        <w:t> </w:t>
      </w:r>
      <w:r>
        <w:rPr/>
        <w:t>removal</w:t>
      </w:r>
      <w:r>
        <w:rPr>
          <w:spacing w:val="-1"/>
        </w:rPr>
        <w:t> </w:t>
      </w:r>
      <w:r>
        <w:rPr/>
        <w:t>of</w:t>
      </w:r>
      <w:r>
        <w:rPr>
          <w:spacing w:val="-2"/>
        </w:rPr>
        <w:t> </w:t>
      </w:r>
      <w:r>
        <w:rPr/>
        <w:t>imbalances</w:t>
      </w:r>
      <w:r>
        <w:rPr>
          <w:spacing w:val="-5"/>
        </w:rPr>
        <w:t> </w:t>
      </w:r>
      <w:r>
        <w:rPr/>
        <w:t>in</w:t>
      </w:r>
      <w:r>
        <w:rPr>
          <w:spacing w:val="-2"/>
        </w:rPr>
        <w:t> </w:t>
      </w:r>
      <w:r>
        <w:rPr/>
        <w:t>educational</w:t>
      </w:r>
      <w:r>
        <w:rPr>
          <w:spacing w:val="-2"/>
        </w:rPr>
        <w:t> </w:t>
      </w:r>
      <w:r>
        <w:rPr/>
        <w:t>development.</w:t>
      </w:r>
      <w:r>
        <w:rPr>
          <w:spacing w:val="-3"/>
        </w:rPr>
        <w:t> </w:t>
      </w:r>
      <w:r>
        <w:rPr/>
        <w:t>From</w:t>
      </w:r>
      <w:r>
        <w:rPr>
          <w:spacing w:val="-3"/>
        </w:rPr>
        <w:t> </w:t>
      </w:r>
      <w:r>
        <w:rPr/>
        <w:t>this</w:t>
      </w:r>
      <w:r>
        <w:rPr>
          <w:spacing w:val="-1"/>
        </w:rPr>
        <w:t> </w:t>
      </w:r>
      <w:r>
        <w:rPr/>
        <w:t>point</w:t>
      </w:r>
      <w:r>
        <w:rPr>
          <w:spacing w:val="-1"/>
        </w:rPr>
        <w:t> </w:t>
      </w:r>
      <w:r>
        <w:rPr/>
        <w:t>of</w:t>
      </w:r>
      <w:r>
        <w:rPr>
          <w:spacing w:val="-1"/>
        </w:rPr>
        <w:t> </w:t>
      </w:r>
      <w:r>
        <w:rPr/>
        <w:t>view,</w:t>
      </w:r>
      <w:r>
        <w:rPr>
          <w:spacing w:val="-1"/>
        </w:rPr>
        <w:t> </w:t>
      </w:r>
      <w:r>
        <w:rPr/>
        <w:t>we suggest that action should be taken on the following lines:</w:t>
      </w:r>
    </w:p>
    <w:p>
      <w:pPr>
        <w:pStyle w:val="BodyText"/>
        <w:spacing w:before="2"/>
      </w:pPr>
    </w:p>
    <w:p>
      <w:pPr>
        <w:pStyle w:val="ListParagraph"/>
        <w:numPr>
          <w:ilvl w:val="0"/>
          <w:numId w:val="129"/>
        </w:numPr>
        <w:tabs>
          <w:tab w:pos="501" w:val="left" w:leader="none"/>
        </w:tabs>
        <w:spacing w:line="240" w:lineRule="auto" w:before="0" w:after="0"/>
        <w:ind w:left="159" w:right="496" w:firstLine="0"/>
        <w:jc w:val="both"/>
        <w:rPr>
          <w:sz w:val="24"/>
        </w:rPr>
      </w:pPr>
      <w:r>
        <w:rPr>
          <w:sz w:val="24"/>
        </w:rPr>
        <w:t>A total elimination of</w:t>
      </w:r>
      <w:r>
        <w:rPr>
          <w:spacing w:val="-1"/>
          <w:sz w:val="24"/>
        </w:rPr>
        <w:t> </w:t>
      </w:r>
      <w:r>
        <w:rPr>
          <w:sz w:val="24"/>
        </w:rPr>
        <w:t>these differences in educational development is neither possible nor desirable. In the larger interests of the country each region should be free to strive its best and to develop at its own pace. This will necessarily lead to some inequalities of development.</w:t>
      </w:r>
      <w:r>
        <w:rPr>
          <w:spacing w:val="-2"/>
          <w:sz w:val="24"/>
        </w:rPr>
        <w:t> </w:t>
      </w:r>
      <w:r>
        <w:rPr>
          <w:sz w:val="24"/>
        </w:rPr>
        <w:t>But</w:t>
      </w:r>
      <w:r>
        <w:rPr>
          <w:spacing w:val="-2"/>
          <w:sz w:val="24"/>
        </w:rPr>
        <w:t> </w:t>
      </w:r>
      <w:r>
        <w:rPr>
          <w:sz w:val="24"/>
        </w:rPr>
        <w:t>what</w:t>
      </w:r>
      <w:r>
        <w:rPr>
          <w:spacing w:val="-2"/>
          <w:sz w:val="24"/>
        </w:rPr>
        <w:t> </w:t>
      </w:r>
      <w:r>
        <w:rPr>
          <w:sz w:val="24"/>
        </w:rPr>
        <w:t>is</w:t>
      </w:r>
      <w:r>
        <w:rPr>
          <w:spacing w:val="-2"/>
          <w:sz w:val="24"/>
        </w:rPr>
        <w:t> </w:t>
      </w:r>
      <w:r>
        <w:rPr>
          <w:sz w:val="24"/>
        </w:rPr>
        <w:t>needed</w:t>
      </w:r>
      <w:r>
        <w:rPr>
          <w:spacing w:val="-2"/>
          <w:sz w:val="24"/>
        </w:rPr>
        <w:t> </w:t>
      </w:r>
      <w:r>
        <w:rPr>
          <w:sz w:val="24"/>
        </w:rPr>
        <w:t>is</w:t>
      </w:r>
      <w:r>
        <w:rPr>
          <w:spacing w:val="-2"/>
          <w:sz w:val="24"/>
        </w:rPr>
        <w:t> </w:t>
      </w:r>
      <w:r>
        <w:rPr>
          <w:sz w:val="24"/>
        </w:rPr>
        <w:t>a</w:t>
      </w:r>
      <w:r>
        <w:rPr>
          <w:spacing w:val="-2"/>
          <w:sz w:val="24"/>
        </w:rPr>
        <w:t> </w:t>
      </w:r>
      <w:r>
        <w:rPr>
          <w:sz w:val="24"/>
        </w:rPr>
        <w:t>balancing</w:t>
      </w:r>
      <w:r>
        <w:rPr>
          <w:spacing w:val="-3"/>
          <w:sz w:val="24"/>
        </w:rPr>
        <w:t> </w:t>
      </w:r>
      <w:r>
        <w:rPr>
          <w:sz w:val="24"/>
        </w:rPr>
        <w:t>factor,</w:t>
      </w:r>
      <w:r>
        <w:rPr>
          <w:spacing w:val="-3"/>
          <w:sz w:val="24"/>
        </w:rPr>
        <w:t> </w:t>
      </w:r>
      <w:r>
        <w:rPr>
          <w:sz w:val="24"/>
        </w:rPr>
        <w:t>a</w:t>
      </w:r>
      <w:r>
        <w:rPr>
          <w:spacing w:val="-3"/>
          <w:sz w:val="24"/>
        </w:rPr>
        <w:t> </w:t>
      </w:r>
      <w:r>
        <w:rPr>
          <w:sz w:val="24"/>
        </w:rPr>
        <w:t>deliberate</w:t>
      </w:r>
      <w:r>
        <w:rPr>
          <w:spacing w:val="-3"/>
          <w:sz w:val="24"/>
        </w:rPr>
        <w:t> </w:t>
      </w:r>
      <w:r>
        <w:rPr>
          <w:sz w:val="24"/>
        </w:rPr>
        <w:t>and</w:t>
      </w:r>
      <w:r>
        <w:rPr>
          <w:spacing w:val="-2"/>
          <w:sz w:val="24"/>
        </w:rPr>
        <w:t> </w:t>
      </w:r>
      <w:r>
        <w:rPr>
          <w:sz w:val="24"/>
        </w:rPr>
        <w:t>sustained</w:t>
      </w:r>
      <w:r>
        <w:rPr>
          <w:spacing w:val="-2"/>
          <w:sz w:val="24"/>
        </w:rPr>
        <w:t> </w:t>
      </w:r>
      <w:r>
        <w:rPr>
          <w:sz w:val="24"/>
        </w:rPr>
        <w:t>effort</w:t>
      </w:r>
      <w:r>
        <w:rPr>
          <w:spacing w:val="-2"/>
          <w:sz w:val="24"/>
        </w:rPr>
        <w:t> </w:t>
      </w:r>
      <w:r>
        <w:rPr>
          <w:sz w:val="24"/>
        </w:rPr>
        <w:t>to assist the less advanced areas to come up to at least certain minimum levels so that the gap between them and the advanced areas would be reduced to the minimum. This is the policy of `equalization' under which each area is assisted, subject to the condition that it makes a given effort to come up to certain minimum levels prescribed. Our grants-in-aid in education will have to be broadly based on this principle of equalization.</w:t>
      </w:r>
    </w:p>
    <w:p>
      <w:pPr>
        <w:pStyle w:val="BodyText"/>
        <w:spacing w:before="4"/>
      </w:pPr>
    </w:p>
    <w:p>
      <w:pPr>
        <w:pStyle w:val="ListParagraph"/>
        <w:numPr>
          <w:ilvl w:val="0"/>
          <w:numId w:val="129"/>
        </w:numPr>
        <w:tabs>
          <w:tab w:pos="574" w:val="left" w:leader="none"/>
        </w:tabs>
        <w:spacing w:line="240" w:lineRule="auto" w:before="0" w:after="0"/>
        <w:ind w:left="160" w:right="495" w:firstLine="0"/>
        <w:jc w:val="both"/>
        <w:rPr>
          <w:b/>
          <w:sz w:val="24"/>
        </w:rPr>
      </w:pPr>
      <w:r>
        <w:rPr>
          <w:sz w:val="24"/>
        </w:rPr>
        <w:t>The district should be adopted as the basic unit for educational planning and development. Our detailed proposals in this regard will be discussed elsewhere.</w:t>
      </w:r>
      <w:r>
        <w:rPr>
          <w:b/>
          <w:sz w:val="24"/>
          <w:vertAlign w:val="superscript"/>
        </w:rPr>
        <w:t>55</w:t>
      </w:r>
    </w:p>
    <w:p>
      <w:pPr>
        <w:pStyle w:val="BodyText"/>
        <w:spacing w:before="5"/>
        <w:rPr>
          <w:b/>
        </w:rPr>
      </w:pPr>
    </w:p>
    <w:p>
      <w:pPr>
        <w:pStyle w:val="ListParagraph"/>
        <w:numPr>
          <w:ilvl w:val="0"/>
          <w:numId w:val="129"/>
        </w:numPr>
        <w:tabs>
          <w:tab w:pos="520" w:val="left" w:leader="none"/>
        </w:tabs>
        <w:spacing w:line="240" w:lineRule="auto" w:before="0" w:after="0"/>
        <w:ind w:left="160" w:right="498" w:firstLine="0"/>
        <w:jc w:val="both"/>
        <w:rPr>
          <w:sz w:val="24"/>
        </w:rPr>
      </w:pPr>
      <w:r>
        <w:rPr>
          <w:sz w:val="24"/>
        </w:rPr>
        <w:t>At the State level, there should be a deliberate policy of equalization of educational development in the different districts and the necessary administrative and financial measures to this end should be taken.</w:t>
      </w:r>
    </w:p>
    <w:p>
      <w:pPr>
        <w:pStyle w:val="BodyText"/>
        <w:spacing w:before="3"/>
      </w:pPr>
    </w:p>
    <w:p>
      <w:pPr>
        <w:pStyle w:val="ListParagraph"/>
        <w:numPr>
          <w:ilvl w:val="0"/>
          <w:numId w:val="129"/>
        </w:numPr>
        <w:tabs>
          <w:tab w:pos="505" w:val="left" w:leader="none"/>
        </w:tabs>
        <w:spacing w:line="240" w:lineRule="auto" w:before="1" w:after="0"/>
        <w:ind w:left="160" w:right="497" w:firstLine="0"/>
        <w:jc w:val="both"/>
        <w:rPr>
          <w:sz w:val="24"/>
        </w:rPr>
      </w:pPr>
      <w:r>
        <w:rPr>
          <w:sz w:val="24"/>
        </w:rPr>
        <w:t>At the national level, it should be regarded as the responsibility of the Government of India to secure equalization of educational development in the different States. The necessary programmes for this, including special assistance to the less advanced States, should be developed.</w:t>
      </w:r>
    </w:p>
    <w:p>
      <w:pPr>
        <w:pStyle w:val="BodyText"/>
        <w:spacing w:before="6"/>
      </w:pPr>
    </w:p>
    <w:p>
      <w:pPr>
        <w:pStyle w:val="Heading1"/>
      </w:pPr>
      <w:r>
        <w:rPr/>
        <w:t>EDUCATION</w:t>
      </w:r>
      <w:r>
        <w:rPr>
          <w:spacing w:val="-4"/>
        </w:rPr>
        <w:t> </w:t>
      </w:r>
      <w:r>
        <w:rPr/>
        <w:t>OF</w:t>
      </w:r>
      <w:r>
        <w:rPr>
          <w:spacing w:val="-4"/>
        </w:rPr>
        <w:t> </w:t>
      </w:r>
      <w:r>
        <w:rPr>
          <w:spacing w:val="-2"/>
        </w:rPr>
        <w:t>GIRLS</w:t>
      </w:r>
    </w:p>
    <w:p>
      <w:pPr>
        <w:pStyle w:val="BodyText"/>
        <w:spacing w:before="2"/>
        <w:rPr>
          <w:b/>
        </w:rPr>
      </w:pPr>
    </w:p>
    <w:p>
      <w:pPr>
        <w:pStyle w:val="ListParagraph"/>
        <w:numPr>
          <w:ilvl w:val="1"/>
          <w:numId w:val="128"/>
        </w:numPr>
        <w:tabs>
          <w:tab w:pos="688" w:val="left" w:leader="none"/>
        </w:tabs>
        <w:spacing w:line="240" w:lineRule="auto" w:before="0" w:after="0"/>
        <w:ind w:left="160" w:right="497" w:firstLine="0"/>
        <w:jc w:val="both"/>
        <w:rPr>
          <w:sz w:val="24"/>
        </w:rPr>
      </w:pPr>
      <w:r>
        <w:rPr>
          <w:sz w:val="24"/>
        </w:rPr>
        <w:t>The significance of the education of girls cannot be over- emphasized. For full development of our human resources, the improvement of homes, and for moulding the character of children during the most impressionable years of infancy, the education of women is of even greater importance than that of men. As stated earlier, the education of women can assist greatly in reducing the fertility rate.</w:t>
      </w:r>
    </w:p>
    <w:p>
      <w:pPr>
        <w:pStyle w:val="BodyText"/>
        <w:spacing w:before="4"/>
      </w:pPr>
    </w:p>
    <w:p>
      <w:pPr>
        <w:pStyle w:val="BodyText"/>
        <w:ind w:left="160" w:right="496"/>
        <w:jc w:val="both"/>
      </w:pPr>
      <w:r>
        <w:rPr/>
        <w:t>In</w:t>
      </w:r>
      <w:r>
        <w:rPr>
          <w:spacing w:val="-2"/>
        </w:rPr>
        <w:t> </w:t>
      </w:r>
      <w:r>
        <w:rPr/>
        <w:t>the</w:t>
      </w:r>
      <w:r>
        <w:rPr>
          <w:spacing w:val="-2"/>
        </w:rPr>
        <w:t> </w:t>
      </w:r>
      <w:r>
        <w:rPr/>
        <w:t>modern</w:t>
      </w:r>
      <w:r>
        <w:rPr>
          <w:spacing w:val="-2"/>
        </w:rPr>
        <w:t> </w:t>
      </w:r>
      <w:r>
        <w:rPr/>
        <w:t>world,</w:t>
      </w:r>
      <w:r>
        <w:rPr>
          <w:spacing w:val="-2"/>
        </w:rPr>
        <w:t> </w:t>
      </w:r>
      <w:r>
        <w:rPr/>
        <w:t>the</w:t>
      </w:r>
      <w:r>
        <w:rPr>
          <w:spacing w:val="-2"/>
        </w:rPr>
        <w:t> </w:t>
      </w:r>
      <w:r>
        <w:rPr/>
        <w:t>role</w:t>
      </w:r>
      <w:r>
        <w:rPr>
          <w:spacing w:val="-2"/>
        </w:rPr>
        <w:t> </w:t>
      </w:r>
      <w:r>
        <w:rPr/>
        <w:t>of</w:t>
      </w:r>
      <w:r>
        <w:rPr>
          <w:spacing w:val="-2"/>
        </w:rPr>
        <w:t> </w:t>
      </w:r>
      <w:r>
        <w:rPr/>
        <w:t>the</w:t>
      </w:r>
      <w:r>
        <w:rPr>
          <w:spacing w:val="-2"/>
        </w:rPr>
        <w:t> </w:t>
      </w:r>
      <w:r>
        <w:rPr/>
        <w:t>woman</w:t>
      </w:r>
      <w:r>
        <w:rPr>
          <w:spacing w:val="-2"/>
        </w:rPr>
        <w:t> </w:t>
      </w:r>
      <w:r>
        <w:rPr/>
        <w:t>goes</w:t>
      </w:r>
      <w:r>
        <w:rPr>
          <w:spacing w:val="-2"/>
        </w:rPr>
        <w:t> </w:t>
      </w:r>
      <w:r>
        <w:rPr/>
        <w:t>much</w:t>
      </w:r>
      <w:r>
        <w:rPr>
          <w:spacing w:val="-2"/>
        </w:rPr>
        <w:t> </w:t>
      </w:r>
      <w:r>
        <w:rPr/>
        <w:t>beyond</w:t>
      </w:r>
      <w:r>
        <w:rPr>
          <w:spacing w:val="-2"/>
        </w:rPr>
        <w:t> </w:t>
      </w:r>
      <w:r>
        <w:rPr/>
        <w:t>the</w:t>
      </w:r>
      <w:r>
        <w:rPr>
          <w:spacing w:val="-2"/>
        </w:rPr>
        <w:t> </w:t>
      </w:r>
      <w:r>
        <w:rPr/>
        <w:t>home</w:t>
      </w:r>
      <w:r>
        <w:rPr>
          <w:spacing w:val="-2"/>
        </w:rPr>
        <w:t> </w:t>
      </w:r>
      <w:r>
        <w:rPr/>
        <w:t>and</w:t>
      </w:r>
      <w:r>
        <w:rPr>
          <w:spacing w:val="-2"/>
        </w:rPr>
        <w:t> </w:t>
      </w:r>
      <w:r>
        <w:rPr/>
        <w:t>the</w:t>
      </w:r>
      <w:r>
        <w:rPr>
          <w:spacing w:val="-2"/>
        </w:rPr>
        <w:t> </w:t>
      </w:r>
      <w:r>
        <w:rPr/>
        <w:t>bringing up of children. She is now adopting a career of her own and sharing equally with man the responsibility for the development of society in all its aspects. This is the direction in which we shall have to move. In the struggle for freedom, Indian women fought side by side with men. This equal partnership will have to continue in the fight against hunger, poverty, ignorance and ill- health.</w:t>
      </w:r>
    </w:p>
    <w:p>
      <w:pPr>
        <w:pStyle w:val="BodyText"/>
        <w:spacing w:before="5"/>
      </w:pPr>
    </w:p>
    <w:p>
      <w:pPr>
        <w:pStyle w:val="BodyText"/>
        <w:ind w:left="160"/>
        <w:jc w:val="both"/>
      </w:pPr>
      <w:r>
        <w:rPr>
          <w:b/>
          <w:vertAlign w:val="superscript"/>
        </w:rPr>
        <w:t>55</w:t>
      </w:r>
      <w:r>
        <w:rPr>
          <w:vertAlign w:val="baseline"/>
        </w:rPr>
        <w:t>Chapter</w:t>
      </w:r>
      <w:r>
        <w:rPr>
          <w:spacing w:val="-3"/>
          <w:vertAlign w:val="baseline"/>
        </w:rPr>
        <w:t> </w:t>
      </w:r>
      <w:r>
        <w:rPr>
          <w:spacing w:val="-2"/>
          <w:vertAlign w:val="baseline"/>
        </w:rPr>
        <w:t>XVIII.</w:t>
      </w:r>
    </w:p>
    <w:p>
      <w:pPr>
        <w:spacing w:after="0"/>
        <w:jc w:val="both"/>
        <w:sectPr>
          <w:pgSz w:w="12240" w:h="15840"/>
          <w:pgMar w:header="0" w:footer="743" w:top="1360" w:bottom="940" w:left="1640" w:right="1300"/>
        </w:sectPr>
      </w:pPr>
    </w:p>
    <w:p>
      <w:pPr>
        <w:pStyle w:val="ListParagraph"/>
        <w:numPr>
          <w:ilvl w:val="1"/>
          <w:numId w:val="128"/>
        </w:numPr>
        <w:tabs>
          <w:tab w:pos="665" w:val="left" w:leader="none"/>
        </w:tabs>
        <w:spacing w:line="240" w:lineRule="auto" w:before="76" w:after="0"/>
        <w:ind w:left="159" w:right="496" w:firstLine="0"/>
        <w:jc w:val="both"/>
        <w:rPr>
          <w:b/>
          <w:sz w:val="24"/>
        </w:rPr>
      </w:pPr>
      <w:r>
        <w:rPr>
          <w:b/>
          <w:sz w:val="24"/>
        </w:rPr>
        <w:t>Development of the Education of Girls (1950-51 to 1965-66). </w:t>
      </w:r>
      <w:r>
        <w:rPr>
          <w:sz w:val="24"/>
        </w:rPr>
        <w:t>There has been a phenomenal development in the education of women-one of the most distinctive characteristics of life in modern India-in the last 150 years At the beginning of the nineteenth century, there was hardly any provision for the formal education of girls. Even at the opening of the present century, not much progress had been made. In 1901, the percentage of literacy amongst women was only 0.8. The number of girls enrolled for every 100 boys was only 12 at the primary stage and 4 at the secondary. The total enrolment in higher education was only 264 (which included 76 girls reading in medical colleges and 11 in colleges of education). Much faster progress was made in the next 50 years, both in raising their social status and in developing their education; and the progress in the last fifteen years has been almost phenomenal. This will be seen from the statistics given in Table 6.15.</w:t>
      </w:r>
    </w:p>
    <w:p>
      <w:pPr>
        <w:pStyle w:val="BodyText"/>
      </w:pPr>
    </w:p>
    <w:p>
      <w:pPr>
        <w:pStyle w:val="BodyText"/>
        <w:spacing w:before="4"/>
      </w:pPr>
    </w:p>
    <w:p>
      <w:pPr>
        <w:pStyle w:val="BodyText"/>
        <w:ind w:left="345" w:right="629"/>
        <w:jc w:val="center"/>
      </w:pPr>
      <w:r>
        <w:rPr/>
        <w:t>TABLE</w:t>
      </w:r>
      <w:r>
        <w:rPr>
          <w:spacing w:val="-1"/>
        </w:rPr>
        <w:t> </w:t>
      </w:r>
      <w:r>
        <w:rPr/>
        <w:t>6.15 EDUCATION OF GIRLS (1950-</w:t>
      </w:r>
      <w:r>
        <w:rPr>
          <w:spacing w:val="-2"/>
        </w:rPr>
        <w:t>1965)</w:t>
      </w:r>
    </w:p>
    <w:p>
      <w:pPr>
        <w:pStyle w:val="BodyText"/>
        <w:spacing w:before="6"/>
        <w:rPr>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9"/>
        <w:gridCol w:w="1047"/>
        <w:gridCol w:w="1374"/>
        <w:gridCol w:w="1827"/>
      </w:tblGrid>
      <w:tr>
        <w:trPr>
          <w:trHeight w:val="797" w:hRule="atLeast"/>
        </w:trPr>
        <w:tc>
          <w:tcPr>
            <w:tcW w:w="4389" w:type="dxa"/>
            <w:tcBorders>
              <w:top w:val="single" w:sz="12" w:space="0" w:color="808080"/>
              <w:bottom w:val="single" w:sz="12" w:space="0" w:color="808080"/>
            </w:tcBorders>
          </w:tcPr>
          <w:p>
            <w:pPr>
              <w:pStyle w:val="TableParagraph"/>
              <w:spacing w:before="48"/>
              <w:ind w:right="409"/>
              <w:jc w:val="right"/>
              <w:rPr>
                <w:sz w:val="24"/>
              </w:rPr>
            </w:pPr>
            <w:r>
              <w:rPr>
                <w:sz w:val="24"/>
              </w:rPr>
              <w:t>1950-</w:t>
            </w:r>
            <w:r>
              <w:rPr>
                <w:spacing w:val="-5"/>
                <w:sz w:val="24"/>
              </w:rPr>
              <w:t>51</w:t>
            </w:r>
          </w:p>
        </w:tc>
        <w:tc>
          <w:tcPr>
            <w:tcW w:w="1047" w:type="dxa"/>
            <w:tcBorders>
              <w:top w:val="single" w:sz="12" w:space="0" w:color="808080"/>
              <w:bottom w:val="single" w:sz="12" w:space="0" w:color="808080"/>
            </w:tcBorders>
          </w:tcPr>
          <w:p>
            <w:pPr>
              <w:pStyle w:val="TableParagraph"/>
              <w:spacing w:before="48"/>
              <w:ind w:left="188"/>
              <w:rPr>
                <w:sz w:val="24"/>
              </w:rPr>
            </w:pPr>
            <w:r>
              <w:rPr>
                <w:sz w:val="24"/>
              </w:rPr>
              <w:t>1955-</w:t>
            </w:r>
            <w:r>
              <w:rPr>
                <w:spacing w:val="-5"/>
                <w:sz w:val="24"/>
              </w:rPr>
              <w:t>56</w:t>
            </w:r>
          </w:p>
        </w:tc>
        <w:tc>
          <w:tcPr>
            <w:tcW w:w="1374" w:type="dxa"/>
            <w:tcBorders>
              <w:top w:val="single" w:sz="12" w:space="0" w:color="808080"/>
              <w:bottom w:val="single" w:sz="12" w:space="0" w:color="808080"/>
            </w:tcBorders>
          </w:tcPr>
          <w:p>
            <w:pPr>
              <w:pStyle w:val="TableParagraph"/>
              <w:spacing w:before="48"/>
              <w:ind w:left="56"/>
              <w:rPr>
                <w:sz w:val="24"/>
              </w:rPr>
            </w:pPr>
            <w:r>
              <w:rPr>
                <w:sz w:val="24"/>
              </w:rPr>
              <w:t>1960-</w:t>
            </w:r>
            <w:r>
              <w:rPr>
                <w:spacing w:val="-5"/>
                <w:sz w:val="24"/>
              </w:rPr>
              <w:t>61</w:t>
            </w:r>
          </w:p>
        </w:tc>
        <w:tc>
          <w:tcPr>
            <w:tcW w:w="1827" w:type="dxa"/>
            <w:tcBorders>
              <w:top w:val="single" w:sz="12" w:space="0" w:color="808080"/>
              <w:bottom w:val="single" w:sz="12" w:space="0" w:color="808080"/>
            </w:tcBorders>
          </w:tcPr>
          <w:p>
            <w:pPr>
              <w:pStyle w:val="TableParagraph"/>
              <w:spacing w:before="48"/>
              <w:ind w:left="515"/>
              <w:rPr>
                <w:sz w:val="24"/>
              </w:rPr>
            </w:pPr>
            <w:r>
              <w:rPr>
                <w:sz w:val="24"/>
              </w:rPr>
              <w:t>1965-</w:t>
            </w:r>
            <w:r>
              <w:rPr>
                <w:spacing w:val="-5"/>
                <w:sz w:val="24"/>
              </w:rPr>
              <w:t>66</w:t>
            </w:r>
          </w:p>
          <w:p>
            <w:pPr>
              <w:pStyle w:val="TableParagraph"/>
              <w:ind w:left="515"/>
              <w:rPr>
                <w:sz w:val="24"/>
              </w:rPr>
            </w:pPr>
            <w:r>
              <w:rPr>
                <w:spacing w:val="-2"/>
                <w:sz w:val="24"/>
              </w:rPr>
              <w:t>(Estimated)</w:t>
            </w:r>
          </w:p>
        </w:tc>
      </w:tr>
      <w:tr>
        <w:trPr>
          <w:trHeight w:val="744" w:hRule="atLeast"/>
        </w:trPr>
        <w:tc>
          <w:tcPr>
            <w:tcW w:w="4389" w:type="dxa"/>
            <w:tcBorders>
              <w:top w:val="single" w:sz="12" w:space="0" w:color="808080"/>
            </w:tcBorders>
          </w:tcPr>
          <w:p>
            <w:pPr>
              <w:pStyle w:val="TableParagraph"/>
              <w:spacing w:before="50"/>
              <w:ind w:left="-3" w:right="1258"/>
              <w:rPr>
                <w:b/>
                <w:sz w:val="24"/>
              </w:rPr>
            </w:pPr>
            <w:r>
              <w:rPr>
                <w:b/>
                <w:sz w:val="24"/>
              </w:rPr>
              <w:t>1.</w:t>
            </w:r>
            <w:r>
              <w:rPr>
                <w:b/>
                <w:spacing w:val="-10"/>
                <w:sz w:val="24"/>
              </w:rPr>
              <w:t> </w:t>
            </w:r>
            <w:r>
              <w:rPr>
                <w:b/>
                <w:sz w:val="24"/>
              </w:rPr>
              <w:t>Enrolment</w:t>
            </w:r>
            <w:r>
              <w:rPr>
                <w:b/>
                <w:spacing w:val="-10"/>
                <w:sz w:val="24"/>
              </w:rPr>
              <w:t> </w:t>
            </w:r>
            <w:r>
              <w:rPr>
                <w:b/>
                <w:sz w:val="24"/>
              </w:rPr>
              <w:t>of</w:t>
            </w:r>
            <w:r>
              <w:rPr>
                <w:b/>
                <w:spacing w:val="-10"/>
                <w:sz w:val="24"/>
              </w:rPr>
              <w:t> </w:t>
            </w:r>
            <w:r>
              <w:rPr>
                <w:b/>
                <w:sz w:val="24"/>
              </w:rPr>
              <w:t>Girls</w:t>
            </w:r>
            <w:r>
              <w:rPr>
                <w:b/>
                <w:spacing w:val="-10"/>
                <w:sz w:val="24"/>
              </w:rPr>
              <w:t> </w:t>
            </w:r>
            <w:r>
              <w:rPr>
                <w:b/>
                <w:sz w:val="24"/>
              </w:rPr>
              <w:t>in Classes I-V</w:t>
            </w:r>
          </w:p>
        </w:tc>
        <w:tc>
          <w:tcPr>
            <w:tcW w:w="1047" w:type="dxa"/>
            <w:tcBorders>
              <w:top w:val="single" w:sz="12" w:space="0" w:color="808080"/>
            </w:tcBorders>
          </w:tcPr>
          <w:p>
            <w:pPr>
              <w:pStyle w:val="TableParagraph"/>
              <w:rPr>
                <w:sz w:val="24"/>
              </w:rPr>
            </w:pPr>
          </w:p>
        </w:tc>
        <w:tc>
          <w:tcPr>
            <w:tcW w:w="1374" w:type="dxa"/>
            <w:tcBorders>
              <w:top w:val="single" w:sz="12" w:space="0" w:color="808080"/>
            </w:tcBorders>
          </w:tcPr>
          <w:p>
            <w:pPr>
              <w:pStyle w:val="TableParagraph"/>
              <w:rPr>
                <w:sz w:val="24"/>
              </w:rPr>
            </w:pPr>
          </w:p>
        </w:tc>
        <w:tc>
          <w:tcPr>
            <w:tcW w:w="1827" w:type="dxa"/>
            <w:tcBorders>
              <w:top w:val="single" w:sz="12" w:space="0" w:color="808080"/>
            </w:tcBorders>
          </w:tcPr>
          <w:p>
            <w:pPr>
              <w:pStyle w:val="TableParagraph"/>
              <w:rPr>
                <w:sz w:val="24"/>
              </w:rPr>
            </w:pPr>
          </w:p>
        </w:tc>
      </w:tr>
      <w:tr>
        <w:trPr>
          <w:trHeight w:val="412" w:hRule="atLeast"/>
        </w:trPr>
        <w:tc>
          <w:tcPr>
            <w:tcW w:w="4389" w:type="dxa"/>
          </w:tcPr>
          <w:p>
            <w:pPr>
              <w:pStyle w:val="TableParagraph"/>
              <w:tabs>
                <w:tab w:pos="3659" w:val="left" w:leader="none"/>
              </w:tabs>
              <w:spacing w:line="261" w:lineRule="exact" w:before="131"/>
              <w:ind w:left="-3"/>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r>
              <w:rPr>
                <w:sz w:val="24"/>
              </w:rPr>
              <w:tab/>
            </w:r>
            <w:r>
              <w:rPr>
                <w:spacing w:val="-2"/>
                <w:sz w:val="24"/>
              </w:rPr>
              <w:t>5,385</w:t>
            </w:r>
          </w:p>
        </w:tc>
        <w:tc>
          <w:tcPr>
            <w:tcW w:w="1047" w:type="dxa"/>
          </w:tcPr>
          <w:p>
            <w:pPr>
              <w:pStyle w:val="TableParagraph"/>
              <w:spacing w:line="261" w:lineRule="exact" w:before="131"/>
              <w:ind w:left="188"/>
              <w:rPr>
                <w:sz w:val="24"/>
              </w:rPr>
            </w:pPr>
            <w:r>
              <w:rPr>
                <w:spacing w:val="-2"/>
                <w:sz w:val="24"/>
              </w:rPr>
              <w:t>7,639</w:t>
            </w:r>
          </w:p>
        </w:tc>
        <w:tc>
          <w:tcPr>
            <w:tcW w:w="1374" w:type="dxa"/>
          </w:tcPr>
          <w:p>
            <w:pPr>
              <w:pStyle w:val="TableParagraph"/>
              <w:spacing w:line="261" w:lineRule="exact" w:before="131"/>
              <w:ind w:left="57"/>
              <w:rPr>
                <w:sz w:val="24"/>
              </w:rPr>
            </w:pPr>
            <w:r>
              <w:rPr>
                <w:spacing w:val="-2"/>
                <w:sz w:val="24"/>
              </w:rPr>
              <w:t>11,401</w:t>
            </w:r>
          </w:p>
        </w:tc>
        <w:tc>
          <w:tcPr>
            <w:tcW w:w="1827" w:type="dxa"/>
          </w:tcPr>
          <w:p>
            <w:pPr>
              <w:pStyle w:val="TableParagraph"/>
              <w:spacing w:line="261" w:lineRule="exact" w:before="131"/>
              <w:ind w:left="516"/>
              <w:rPr>
                <w:sz w:val="24"/>
              </w:rPr>
            </w:pPr>
            <w:r>
              <w:rPr>
                <w:spacing w:val="-2"/>
                <w:sz w:val="24"/>
              </w:rPr>
              <w:t>18,145</w:t>
            </w:r>
          </w:p>
        </w:tc>
      </w:tr>
      <w:tr>
        <w:trPr>
          <w:trHeight w:val="552" w:hRule="atLeast"/>
        </w:trPr>
        <w:tc>
          <w:tcPr>
            <w:tcW w:w="4389" w:type="dxa"/>
          </w:tcPr>
          <w:p>
            <w:pPr>
              <w:pStyle w:val="TableParagraph"/>
              <w:spacing w:line="271" w:lineRule="exact"/>
              <w:ind w:left="57"/>
              <w:rPr>
                <w:sz w:val="24"/>
              </w:rPr>
            </w:pPr>
            <w:r>
              <w:rPr>
                <w:sz w:val="24"/>
              </w:rPr>
              <w:t>(2) No. of girls for every </w:t>
            </w:r>
            <w:r>
              <w:rPr>
                <w:spacing w:val="-5"/>
                <w:sz w:val="24"/>
              </w:rPr>
              <w:t>100</w:t>
            </w:r>
          </w:p>
          <w:p>
            <w:pPr>
              <w:pStyle w:val="TableParagraph"/>
              <w:tabs>
                <w:tab w:pos="3901" w:val="right" w:leader="none"/>
              </w:tabs>
              <w:spacing w:line="261" w:lineRule="exact"/>
              <w:ind w:left="-3"/>
              <w:rPr>
                <w:sz w:val="24"/>
              </w:rPr>
            </w:pPr>
            <w:r>
              <w:rPr>
                <w:sz w:val="24"/>
              </w:rPr>
              <w:t>boys </w:t>
            </w:r>
            <w:r>
              <w:rPr>
                <w:spacing w:val="-2"/>
                <w:sz w:val="24"/>
              </w:rPr>
              <w:t>enrolled</w:t>
            </w:r>
            <w:r>
              <w:rPr>
                <w:sz w:val="24"/>
              </w:rPr>
              <w:tab/>
            </w:r>
            <w:r>
              <w:rPr>
                <w:spacing w:val="-5"/>
                <w:sz w:val="24"/>
              </w:rPr>
              <w:t>39</w:t>
            </w:r>
          </w:p>
        </w:tc>
        <w:tc>
          <w:tcPr>
            <w:tcW w:w="1047" w:type="dxa"/>
          </w:tcPr>
          <w:p>
            <w:pPr>
              <w:pStyle w:val="TableParagraph"/>
              <w:spacing w:line="261" w:lineRule="exact" w:before="271"/>
              <w:ind w:left="189"/>
              <w:rPr>
                <w:sz w:val="24"/>
              </w:rPr>
            </w:pPr>
            <w:r>
              <w:rPr>
                <w:spacing w:val="-5"/>
                <w:sz w:val="24"/>
              </w:rPr>
              <w:t>44</w:t>
            </w:r>
          </w:p>
        </w:tc>
        <w:tc>
          <w:tcPr>
            <w:tcW w:w="1374" w:type="dxa"/>
          </w:tcPr>
          <w:p>
            <w:pPr>
              <w:pStyle w:val="TableParagraph"/>
              <w:spacing w:line="261" w:lineRule="exact" w:before="271"/>
              <w:ind w:left="57"/>
              <w:rPr>
                <w:sz w:val="24"/>
              </w:rPr>
            </w:pPr>
            <w:r>
              <w:rPr>
                <w:spacing w:val="-5"/>
                <w:sz w:val="24"/>
              </w:rPr>
              <w:t>48</w:t>
            </w:r>
          </w:p>
        </w:tc>
        <w:tc>
          <w:tcPr>
            <w:tcW w:w="1827" w:type="dxa"/>
          </w:tcPr>
          <w:p>
            <w:pPr>
              <w:pStyle w:val="TableParagraph"/>
              <w:spacing w:line="261" w:lineRule="exact" w:before="271"/>
              <w:ind w:left="516"/>
              <w:rPr>
                <w:sz w:val="24"/>
              </w:rPr>
            </w:pPr>
            <w:r>
              <w:rPr>
                <w:spacing w:val="-5"/>
                <w:sz w:val="24"/>
              </w:rPr>
              <w:t>55</w:t>
            </w:r>
          </w:p>
        </w:tc>
      </w:tr>
      <w:tr>
        <w:trPr>
          <w:trHeight w:val="691" w:hRule="atLeast"/>
        </w:trPr>
        <w:tc>
          <w:tcPr>
            <w:tcW w:w="4389" w:type="dxa"/>
          </w:tcPr>
          <w:p>
            <w:pPr>
              <w:pStyle w:val="TableParagraph"/>
              <w:spacing w:line="271" w:lineRule="exact"/>
              <w:ind w:left="57"/>
              <w:rPr>
                <w:sz w:val="24"/>
              </w:rPr>
            </w:pPr>
            <w:r>
              <w:rPr>
                <w:sz w:val="24"/>
              </w:rPr>
              <w:t>(3)</w:t>
            </w:r>
            <w:r>
              <w:rPr>
                <w:spacing w:val="-1"/>
                <w:sz w:val="24"/>
              </w:rPr>
              <w:t> </w:t>
            </w:r>
            <w:r>
              <w:rPr>
                <w:sz w:val="24"/>
              </w:rPr>
              <w:t>Percentage</w:t>
            </w:r>
            <w:r>
              <w:rPr>
                <w:spacing w:val="-1"/>
                <w:sz w:val="24"/>
              </w:rPr>
              <w:t> </w:t>
            </w:r>
            <w:r>
              <w:rPr>
                <w:sz w:val="24"/>
              </w:rPr>
              <w:t>of</w:t>
            </w:r>
            <w:r>
              <w:rPr>
                <w:spacing w:val="-2"/>
                <w:sz w:val="24"/>
              </w:rPr>
              <w:t> </w:t>
            </w:r>
            <w:r>
              <w:rPr>
                <w:sz w:val="24"/>
              </w:rPr>
              <w:t>girls</w:t>
            </w:r>
            <w:r>
              <w:rPr>
                <w:spacing w:val="-1"/>
                <w:sz w:val="24"/>
              </w:rPr>
              <w:t> </w:t>
            </w:r>
            <w:r>
              <w:rPr>
                <w:spacing w:val="-5"/>
                <w:sz w:val="24"/>
              </w:rPr>
              <w:t>in</w:t>
            </w:r>
          </w:p>
          <w:p>
            <w:pPr>
              <w:pStyle w:val="TableParagraph"/>
              <w:tabs>
                <w:tab w:pos="4081" w:val="right" w:leader="none"/>
              </w:tabs>
              <w:ind w:left="-3"/>
              <w:rPr>
                <w:sz w:val="24"/>
              </w:rPr>
            </w:pPr>
            <w:r>
              <w:rPr>
                <w:sz w:val="24"/>
              </w:rPr>
              <w:t>schools for </w:t>
            </w:r>
            <w:r>
              <w:rPr>
                <w:spacing w:val="-4"/>
                <w:sz w:val="24"/>
              </w:rPr>
              <w:t>boys</w:t>
            </w:r>
            <w:r>
              <w:rPr>
                <w:sz w:val="24"/>
              </w:rPr>
              <w:tab/>
            </w:r>
            <w:r>
              <w:rPr>
                <w:spacing w:val="-4"/>
                <w:sz w:val="24"/>
              </w:rPr>
              <w:t>74.8</w:t>
            </w:r>
          </w:p>
        </w:tc>
        <w:tc>
          <w:tcPr>
            <w:tcW w:w="1047" w:type="dxa"/>
          </w:tcPr>
          <w:p>
            <w:pPr>
              <w:pStyle w:val="TableParagraph"/>
              <w:spacing w:before="271"/>
              <w:ind w:left="188"/>
              <w:rPr>
                <w:sz w:val="24"/>
              </w:rPr>
            </w:pPr>
            <w:r>
              <w:rPr>
                <w:spacing w:val="-4"/>
                <w:sz w:val="24"/>
              </w:rPr>
              <w:t>79.2</w:t>
            </w:r>
          </w:p>
        </w:tc>
        <w:tc>
          <w:tcPr>
            <w:tcW w:w="1374" w:type="dxa"/>
          </w:tcPr>
          <w:p>
            <w:pPr>
              <w:pStyle w:val="TableParagraph"/>
              <w:spacing w:before="271"/>
              <w:ind w:left="57"/>
              <w:rPr>
                <w:sz w:val="24"/>
              </w:rPr>
            </w:pPr>
            <w:r>
              <w:rPr>
                <w:spacing w:val="-4"/>
                <w:sz w:val="24"/>
              </w:rPr>
              <w:t>82.1</w:t>
            </w:r>
          </w:p>
        </w:tc>
        <w:tc>
          <w:tcPr>
            <w:tcW w:w="1827" w:type="dxa"/>
          </w:tcPr>
          <w:p>
            <w:pPr>
              <w:pStyle w:val="TableParagraph"/>
              <w:spacing w:before="271"/>
              <w:ind w:left="515"/>
              <w:rPr>
                <w:sz w:val="24"/>
              </w:rPr>
            </w:pPr>
            <w:r>
              <w:rPr>
                <w:spacing w:val="-4"/>
                <w:sz w:val="24"/>
              </w:rPr>
              <w:t>85.0</w:t>
            </w:r>
          </w:p>
        </w:tc>
      </w:tr>
      <w:tr>
        <w:trPr>
          <w:trHeight w:val="964" w:hRule="atLeast"/>
        </w:trPr>
        <w:tc>
          <w:tcPr>
            <w:tcW w:w="4389" w:type="dxa"/>
          </w:tcPr>
          <w:p>
            <w:pPr>
              <w:pStyle w:val="TableParagraph"/>
              <w:spacing w:before="134"/>
              <w:ind w:left="-3" w:right="1258"/>
              <w:rPr>
                <w:b/>
                <w:sz w:val="24"/>
              </w:rPr>
            </w:pPr>
            <w:r>
              <w:rPr>
                <w:b/>
                <w:sz w:val="24"/>
              </w:rPr>
              <w:t>2.</w:t>
            </w:r>
            <w:r>
              <w:rPr>
                <w:b/>
                <w:spacing w:val="-10"/>
                <w:sz w:val="24"/>
              </w:rPr>
              <w:t> </w:t>
            </w:r>
            <w:r>
              <w:rPr>
                <w:b/>
                <w:sz w:val="24"/>
              </w:rPr>
              <w:t>Enrolment</w:t>
            </w:r>
            <w:r>
              <w:rPr>
                <w:b/>
                <w:spacing w:val="-10"/>
                <w:sz w:val="24"/>
              </w:rPr>
              <w:t> </w:t>
            </w:r>
            <w:r>
              <w:rPr>
                <w:b/>
                <w:sz w:val="24"/>
              </w:rPr>
              <w:t>of</w:t>
            </w:r>
            <w:r>
              <w:rPr>
                <w:b/>
                <w:spacing w:val="-10"/>
                <w:sz w:val="24"/>
              </w:rPr>
              <w:t> </w:t>
            </w:r>
            <w:r>
              <w:rPr>
                <w:b/>
                <w:sz w:val="24"/>
              </w:rPr>
              <w:t>Girls</w:t>
            </w:r>
            <w:r>
              <w:rPr>
                <w:b/>
                <w:spacing w:val="-10"/>
                <w:sz w:val="24"/>
              </w:rPr>
              <w:t> </w:t>
            </w:r>
            <w:r>
              <w:rPr>
                <w:b/>
                <w:sz w:val="24"/>
              </w:rPr>
              <w:t>in Classes VI-VIII</w:t>
            </w:r>
          </w:p>
          <w:p>
            <w:pPr>
              <w:pStyle w:val="TableParagraph"/>
              <w:tabs>
                <w:tab w:pos="4020" w:val="right" w:leader="none"/>
              </w:tabs>
              <w:spacing w:line="259" w:lineRule="exact"/>
              <w:ind w:left="57"/>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r>
              <w:rPr>
                <w:sz w:val="24"/>
              </w:rPr>
              <w:tab/>
            </w:r>
            <w:r>
              <w:rPr>
                <w:spacing w:val="-5"/>
                <w:sz w:val="24"/>
              </w:rPr>
              <w:t>534</w:t>
            </w:r>
          </w:p>
        </w:tc>
        <w:tc>
          <w:tcPr>
            <w:tcW w:w="1047" w:type="dxa"/>
          </w:tcPr>
          <w:p>
            <w:pPr>
              <w:pStyle w:val="TableParagraph"/>
              <w:rPr>
                <w:sz w:val="24"/>
              </w:rPr>
            </w:pPr>
          </w:p>
          <w:p>
            <w:pPr>
              <w:pStyle w:val="TableParagraph"/>
              <w:spacing w:before="131"/>
              <w:rPr>
                <w:sz w:val="24"/>
              </w:rPr>
            </w:pPr>
          </w:p>
          <w:p>
            <w:pPr>
              <w:pStyle w:val="TableParagraph"/>
              <w:spacing w:line="261" w:lineRule="exact"/>
              <w:ind w:left="188"/>
              <w:rPr>
                <w:sz w:val="24"/>
              </w:rPr>
            </w:pPr>
            <w:r>
              <w:rPr>
                <w:spacing w:val="-5"/>
                <w:sz w:val="24"/>
              </w:rPr>
              <w:t>867</w:t>
            </w:r>
          </w:p>
        </w:tc>
        <w:tc>
          <w:tcPr>
            <w:tcW w:w="1374" w:type="dxa"/>
          </w:tcPr>
          <w:p>
            <w:pPr>
              <w:pStyle w:val="TableParagraph"/>
              <w:rPr>
                <w:sz w:val="24"/>
              </w:rPr>
            </w:pPr>
          </w:p>
          <w:p>
            <w:pPr>
              <w:pStyle w:val="TableParagraph"/>
              <w:spacing w:before="131"/>
              <w:rPr>
                <w:sz w:val="24"/>
              </w:rPr>
            </w:pPr>
          </w:p>
          <w:p>
            <w:pPr>
              <w:pStyle w:val="TableParagraph"/>
              <w:spacing w:line="261" w:lineRule="exact"/>
              <w:ind w:left="57"/>
              <w:rPr>
                <w:sz w:val="24"/>
              </w:rPr>
            </w:pPr>
            <w:r>
              <w:rPr>
                <w:spacing w:val="-2"/>
                <w:sz w:val="24"/>
              </w:rPr>
              <w:t>1,630</w:t>
            </w:r>
          </w:p>
        </w:tc>
        <w:tc>
          <w:tcPr>
            <w:tcW w:w="1827" w:type="dxa"/>
          </w:tcPr>
          <w:p>
            <w:pPr>
              <w:pStyle w:val="TableParagraph"/>
              <w:rPr>
                <w:sz w:val="24"/>
              </w:rPr>
            </w:pPr>
          </w:p>
          <w:p>
            <w:pPr>
              <w:pStyle w:val="TableParagraph"/>
              <w:spacing w:before="131"/>
              <w:rPr>
                <w:sz w:val="24"/>
              </w:rPr>
            </w:pPr>
          </w:p>
          <w:p>
            <w:pPr>
              <w:pStyle w:val="TableParagraph"/>
              <w:spacing w:line="261" w:lineRule="exact"/>
              <w:ind w:left="516"/>
              <w:rPr>
                <w:sz w:val="24"/>
              </w:rPr>
            </w:pPr>
            <w:r>
              <w:rPr>
                <w:spacing w:val="-2"/>
                <w:sz w:val="24"/>
              </w:rPr>
              <w:t>2,839</w:t>
            </w:r>
          </w:p>
        </w:tc>
      </w:tr>
      <w:tr>
        <w:trPr>
          <w:trHeight w:val="552" w:hRule="atLeast"/>
        </w:trPr>
        <w:tc>
          <w:tcPr>
            <w:tcW w:w="4389" w:type="dxa"/>
          </w:tcPr>
          <w:p>
            <w:pPr>
              <w:pStyle w:val="TableParagraph"/>
              <w:spacing w:line="271" w:lineRule="exact"/>
              <w:ind w:left="57"/>
              <w:rPr>
                <w:sz w:val="24"/>
              </w:rPr>
            </w:pPr>
            <w:r>
              <w:rPr>
                <w:sz w:val="24"/>
              </w:rPr>
              <w:t>(2) No. of girls for every </w:t>
            </w:r>
            <w:r>
              <w:rPr>
                <w:spacing w:val="-5"/>
                <w:sz w:val="24"/>
              </w:rPr>
              <w:t>100</w:t>
            </w:r>
          </w:p>
          <w:p>
            <w:pPr>
              <w:pStyle w:val="TableParagraph"/>
              <w:tabs>
                <w:tab w:pos="3901" w:val="right" w:leader="none"/>
              </w:tabs>
              <w:spacing w:line="261" w:lineRule="exact"/>
              <w:ind w:left="-3"/>
              <w:rPr>
                <w:sz w:val="24"/>
              </w:rPr>
            </w:pPr>
            <w:r>
              <w:rPr>
                <w:sz w:val="24"/>
              </w:rPr>
              <w:t>boys </w:t>
            </w:r>
            <w:r>
              <w:rPr>
                <w:spacing w:val="-2"/>
                <w:sz w:val="24"/>
              </w:rPr>
              <w:t>enrolled</w:t>
            </w:r>
            <w:r>
              <w:rPr>
                <w:sz w:val="24"/>
              </w:rPr>
              <w:tab/>
            </w:r>
            <w:r>
              <w:rPr>
                <w:spacing w:val="-5"/>
                <w:sz w:val="24"/>
              </w:rPr>
              <w:t>21</w:t>
            </w:r>
          </w:p>
        </w:tc>
        <w:tc>
          <w:tcPr>
            <w:tcW w:w="1047" w:type="dxa"/>
          </w:tcPr>
          <w:p>
            <w:pPr>
              <w:pStyle w:val="TableParagraph"/>
              <w:spacing w:line="261" w:lineRule="exact" w:before="271"/>
              <w:ind w:left="189"/>
              <w:rPr>
                <w:sz w:val="24"/>
              </w:rPr>
            </w:pPr>
            <w:r>
              <w:rPr>
                <w:spacing w:val="-5"/>
                <w:sz w:val="24"/>
              </w:rPr>
              <w:t>25</w:t>
            </w:r>
          </w:p>
        </w:tc>
        <w:tc>
          <w:tcPr>
            <w:tcW w:w="1374" w:type="dxa"/>
          </w:tcPr>
          <w:p>
            <w:pPr>
              <w:pStyle w:val="TableParagraph"/>
              <w:spacing w:line="261" w:lineRule="exact" w:before="271"/>
              <w:ind w:left="57"/>
              <w:rPr>
                <w:sz w:val="24"/>
              </w:rPr>
            </w:pPr>
            <w:r>
              <w:rPr>
                <w:spacing w:val="-5"/>
                <w:sz w:val="24"/>
              </w:rPr>
              <w:t>32</w:t>
            </w:r>
          </w:p>
        </w:tc>
        <w:tc>
          <w:tcPr>
            <w:tcW w:w="1827" w:type="dxa"/>
          </w:tcPr>
          <w:p>
            <w:pPr>
              <w:pStyle w:val="TableParagraph"/>
              <w:spacing w:line="261" w:lineRule="exact" w:before="271"/>
              <w:ind w:left="516"/>
              <w:rPr>
                <w:sz w:val="24"/>
              </w:rPr>
            </w:pPr>
            <w:r>
              <w:rPr>
                <w:spacing w:val="-5"/>
                <w:sz w:val="24"/>
              </w:rPr>
              <w:t>35</w:t>
            </w:r>
          </w:p>
        </w:tc>
      </w:tr>
      <w:tr>
        <w:trPr>
          <w:trHeight w:val="691" w:hRule="atLeast"/>
        </w:trPr>
        <w:tc>
          <w:tcPr>
            <w:tcW w:w="4389" w:type="dxa"/>
          </w:tcPr>
          <w:p>
            <w:pPr>
              <w:pStyle w:val="TableParagraph"/>
              <w:spacing w:line="271" w:lineRule="exact"/>
              <w:ind w:left="57"/>
              <w:rPr>
                <w:sz w:val="24"/>
              </w:rPr>
            </w:pPr>
            <w:r>
              <w:rPr>
                <w:sz w:val="24"/>
              </w:rPr>
              <w:t>(3) Percentage of</w:t>
            </w:r>
            <w:r>
              <w:rPr>
                <w:spacing w:val="-2"/>
                <w:sz w:val="24"/>
              </w:rPr>
              <w:t> </w:t>
            </w:r>
            <w:r>
              <w:rPr>
                <w:sz w:val="24"/>
              </w:rPr>
              <w:t>girls</w:t>
            </w:r>
            <w:r>
              <w:rPr>
                <w:spacing w:val="-1"/>
                <w:sz w:val="24"/>
              </w:rPr>
              <w:t> </w:t>
            </w:r>
            <w:r>
              <w:rPr>
                <w:sz w:val="24"/>
              </w:rPr>
              <w:t>in</w:t>
            </w:r>
            <w:r>
              <w:rPr>
                <w:spacing w:val="-1"/>
                <w:sz w:val="24"/>
              </w:rPr>
              <w:t> </w:t>
            </w:r>
            <w:r>
              <w:rPr>
                <w:spacing w:val="-2"/>
                <w:sz w:val="24"/>
              </w:rPr>
              <w:t>schools</w:t>
            </w:r>
          </w:p>
          <w:p>
            <w:pPr>
              <w:pStyle w:val="TableParagraph"/>
              <w:tabs>
                <w:tab w:pos="4081" w:val="right" w:leader="none"/>
              </w:tabs>
              <w:ind w:left="-3"/>
              <w:rPr>
                <w:sz w:val="24"/>
              </w:rPr>
            </w:pPr>
            <w:r>
              <w:rPr>
                <w:sz w:val="24"/>
              </w:rPr>
              <w:t>for </w:t>
            </w:r>
            <w:r>
              <w:rPr>
                <w:spacing w:val="-4"/>
                <w:sz w:val="24"/>
              </w:rPr>
              <w:t>boys</w:t>
            </w:r>
            <w:r>
              <w:rPr>
                <w:sz w:val="24"/>
              </w:rPr>
              <w:tab/>
            </w:r>
            <w:r>
              <w:rPr>
                <w:spacing w:val="-4"/>
                <w:sz w:val="24"/>
              </w:rPr>
              <w:t>26.7</w:t>
            </w:r>
          </w:p>
        </w:tc>
        <w:tc>
          <w:tcPr>
            <w:tcW w:w="1047" w:type="dxa"/>
          </w:tcPr>
          <w:p>
            <w:pPr>
              <w:pStyle w:val="TableParagraph"/>
              <w:spacing w:before="271"/>
              <w:ind w:left="189"/>
              <w:rPr>
                <w:sz w:val="24"/>
              </w:rPr>
            </w:pPr>
            <w:r>
              <w:rPr>
                <w:spacing w:val="-4"/>
                <w:sz w:val="24"/>
              </w:rPr>
              <w:t>51.8</w:t>
            </w:r>
          </w:p>
        </w:tc>
        <w:tc>
          <w:tcPr>
            <w:tcW w:w="1374" w:type="dxa"/>
          </w:tcPr>
          <w:p>
            <w:pPr>
              <w:pStyle w:val="TableParagraph"/>
              <w:spacing w:before="271"/>
              <w:ind w:left="57"/>
              <w:rPr>
                <w:sz w:val="24"/>
              </w:rPr>
            </w:pPr>
            <w:r>
              <w:rPr>
                <w:spacing w:val="-4"/>
                <w:sz w:val="24"/>
              </w:rPr>
              <w:t>68.9</w:t>
            </w:r>
          </w:p>
        </w:tc>
        <w:tc>
          <w:tcPr>
            <w:tcW w:w="1827" w:type="dxa"/>
          </w:tcPr>
          <w:p>
            <w:pPr>
              <w:pStyle w:val="TableParagraph"/>
              <w:spacing w:before="271"/>
              <w:ind w:left="516"/>
              <w:rPr>
                <w:sz w:val="24"/>
              </w:rPr>
            </w:pPr>
            <w:r>
              <w:rPr>
                <w:spacing w:val="-4"/>
                <w:sz w:val="24"/>
              </w:rPr>
              <w:t>78.0</w:t>
            </w:r>
          </w:p>
        </w:tc>
      </w:tr>
      <w:tr>
        <w:trPr>
          <w:trHeight w:val="964" w:hRule="atLeast"/>
        </w:trPr>
        <w:tc>
          <w:tcPr>
            <w:tcW w:w="4389" w:type="dxa"/>
          </w:tcPr>
          <w:p>
            <w:pPr>
              <w:pStyle w:val="TableParagraph"/>
              <w:spacing w:before="134"/>
              <w:ind w:left="-3" w:right="1258"/>
              <w:rPr>
                <w:b/>
                <w:sz w:val="24"/>
              </w:rPr>
            </w:pPr>
            <w:r>
              <w:rPr>
                <w:b/>
                <w:sz w:val="24"/>
              </w:rPr>
              <w:t>3.</w:t>
            </w:r>
            <w:r>
              <w:rPr>
                <w:b/>
                <w:spacing w:val="-10"/>
                <w:sz w:val="24"/>
              </w:rPr>
              <w:t> </w:t>
            </w:r>
            <w:r>
              <w:rPr>
                <w:b/>
                <w:sz w:val="24"/>
              </w:rPr>
              <w:t>Enrolment</w:t>
            </w:r>
            <w:r>
              <w:rPr>
                <w:b/>
                <w:spacing w:val="-10"/>
                <w:sz w:val="24"/>
              </w:rPr>
              <w:t> </w:t>
            </w:r>
            <w:r>
              <w:rPr>
                <w:b/>
                <w:sz w:val="24"/>
              </w:rPr>
              <w:t>of</w:t>
            </w:r>
            <w:r>
              <w:rPr>
                <w:b/>
                <w:spacing w:val="-10"/>
                <w:sz w:val="24"/>
              </w:rPr>
              <w:t> </w:t>
            </w:r>
            <w:r>
              <w:rPr>
                <w:b/>
                <w:sz w:val="24"/>
              </w:rPr>
              <w:t>Girls</w:t>
            </w:r>
            <w:r>
              <w:rPr>
                <w:b/>
                <w:spacing w:val="-10"/>
                <w:sz w:val="24"/>
              </w:rPr>
              <w:t> </w:t>
            </w:r>
            <w:r>
              <w:rPr>
                <w:b/>
                <w:sz w:val="24"/>
              </w:rPr>
              <w:t>in Classes IX-XI</w:t>
            </w:r>
          </w:p>
          <w:p>
            <w:pPr>
              <w:pStyle w:val="TableParagraph"/>
              <w:tabs>
                <w:tab w:pos="4020" w:val="right" w:leader="none"/>
              </w:tabs>
              <w:spacing w:line="259" w:lineRule="exact"/>
              <w:ind w:left="57"/>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r>
              <w:rPr>
                <w:sz w:val="24"/>
              </w:rPr>
              <w:tab/>
            </w:r>
            <w:r>
              <w:rPr>
                <w:spacing w:val="-5"/>
                <w:sz w:val="24"/>
              </w:rPr>
              <w:t>163</w:t>
            </w:r>
          </w:p>
        </w:tc>
        <w:tc>
          <w:tcPr>
            <w:tcW w:w="1047" w:type="dxa"/>
          </w:tcPr>
          <w:p>
            <w:pPr>
              <w:pStyle w:val="TableParagraph"/>
              <w:rPr>
                <w:sz w:val="24"/>
              </w:rPr>
            </w:pPr>
          </w:p>
          <w:p>
            <w:pPr>
              <w:pStyle w:val="TableParagraph"/>
              <w:spacing w:before="131"/>
              <w:rPr>
                <w:sz w:val="24"/>
              </w:rPr>
            </w:pPr>
          </w:p>
          <w:p>
            <w:pPr>
              <w:pStyle w:val="TableParagraph"/>
              <w:spacing w:line="261" w:lineRule="exact"/>
              <w:ind w:left="188"/>
              <w:rPr>
                <w:sz w:val="24"/>
              </w:rPr>
            </w:pPr>
            <w:r>
              <w:rPr>
                <w:spacing w:val="-5"/>
                <w:sz w:val="24"/>
              </w:rPr>
              <w:t>320</w:t>
            </w:r>
          </w:p>
        </w:tc>
        <w:tc>
          <w:tcPr>
            <w:tcW w:w="1374" w:type="dxa"/>
          </w:tcPr>
          <w:p>
            <w:pPr>
              <w:pStyle w:val="TableParagraph"/>
              <w:rPr>
                <w:sz w:val="24"/>
              </w:rPr>
            </w:pPr>
          </w:p>
          <w:p>
            <w:pPr>
              <w:pStyle w:val="TableParagraph"/>
              <w:spacing w:before="131"/>
              <w:rPr>
                <w:sz w:val="24"/>
              </w:rPr>
            </w:pPr>
          </w:p>
          <w:p>
            <w:pPr>
              <w:pStyle w:val="TableParagraph"/>
              <w:spacing w:line="261" w:lineRule="exact"/>
              <w:ind w:left="56"/>
              <w:rPr>
                <w:sz w:val="24"/>
              </w:rPr>
            </w:pPr>
            <w:r>
              <w:rPr>
                <w:spacing w:val="-5"/>
                <w:sz w:val="24"/>
              </w:rPr>
              <w:t>541</w:t>
            </w:r>
          </w:p>
        </w:tc>
        <w:tc>
          <w:tcPr>
            <w:tcW w:w="1827" w:type="dxa"/>
          </w:tcPr>
          <w:p>
            <w:pPr>
              <w:pStyle w:val="TableParagraph"/>
              <w:rPr>
                <w:sz w:val="24"/>
              </w:rPr>
            </w:pPr>
          </w:p>
          <w:p>
            <w:pPr>
              <w:pStyle w:val="TableParagraph"/>
              <w:spacing w:before="131"/>
              <w:rPr>
                <w:sz w:val="24"/>
              </w:rPr>
            </w:pPr>
          </w:p>
          <w:p>
            <w:pPr>
              <w:pStyle w:val="TableParagraph"/>
              <w:spacing w:line="261" w:lineRule="exact"/>
              <w:ind w:left="515"/>
              <w:rPr>
                <w:sz w:val="24"/>
              </w:rPr>
            </w:pPr>
            <w:r>
              <w:rPr>
                <w:spacing w:val="-2"/>
                <w:sz w:val="24"/>
              </w:rPr>
              <w:t>1,069</w:t>
            </w:r>
          </w:p>
        </w:tc>
      </w:tr>
      <w:tr>
        <w:trPr>
          <w:trHeight w:val="552" w:hRule="atLeast"/>
        </w:trPr>
        <w:tc>
          <w:tcPr>
            <w:tcW w:w="4389" w:type="dxa"/>
          </w:tcPr>
          <w:p>
            <w:pPr>
              <w:pStyle w:val="TableParagraph"/>
              <w:spacing w:line="271" w:lineRule="exact"/>
              <w:ind w:left="57"/>
              <w:rPr>
                <w:sz w:val="24"/>
              </w:rPr>
            </w:pPr>
            <w:r>
              <w:rPr>
                <w:sz w:val="24"/>
              </w:rPr>
              <w:t>(2) No. of girls for every </w:t>
            </w:r>
            <w:r>
              <w:rPr>
                <w:spacing w:val="-5"/>
                <w:sz w:val="24"/>
              </w:rPr>
              <w:t>100</w:t>
            </w:r>
          </w:p>
          <w:p>
            <w:pPr>
              <w:pStyle w:val="TableParagraph"/>
              <w:tabs>
                <w:tab w:pos="3901" w:val="right" w:leader="none"/>
              </w:tabs>
              <w:spacing w:line="261" w:lineRule="exact"/>
              <w:ind w:left="-3"/>
              <w:rPr>
                <w:sz w:val="24"/>
              </w:rPr>
            </w:pPr>
            <w:r>
              <w:rPr>
                <w:sz w:val="24"/>
              </w:rPr>
              <w:t>boys </w:t>
            </w:r>
            <w:r>
              <w:rPr>
                <w:spacing w:val="-2"/>
                <w:sz w:val="24"/>
              </w:rPr>
              <w:t>enrolled</w:t>
            </w:r>
            <w:r>
              <w:rPr>
                <w:sz w:val="24"/>
              </w:rPr>
              <w:tab/>
            </w:r>
            <w:r>
              <w:rPr>
                <w:spacing w:val="-5"/>
                <w:sz w:val="24"/>
              </w:rPr>
              <w:t>15</w:t>
            </w:r>
          </w:p>
        </w:tc>
        <w:tc>
          <w:tcPr>
            <w:tcW w:w="1047" w:type="dxa"/>
          </w:tcPr>
          <w:p>
            <w:pPr>
              <w:pStyle w:val="TableParagraph"/>
              <w:spacing w:line="261" w:lineRule="exact" w:before="271"/>
              <w:ind w:left="189"/>
              <w:rPr>
                <w:sz w:val="24"/>
              </w:rPr>
            </w:pPr>
            <w:r>
              <w:rPr>
                <w:spacing w:val="-5"/>
                <w:sz w:val="24"/>
              </w:rPr>
              <w:t>21</w:t>
            </w:r>
          </w:p>
        </w:tc>
        <w:tc>
          <w:tcPr>
            <w:tcW w:w="1374" w:type="dxa"/>
          </w:tcPr>
          <w:p>
            <w:pPr>
              <w:pStyle w:val="TableParagraph"/>
              <w:spacing w:line="261" w:lineRule="exact" w:before="271"/>
              <w:ind w:left="57"/>
              <w:rPr>
                <w:sz w:val="24"/>
              </w:rPr>
            </w:pPr>
            <w:r>
              <w:rPr>
                <w:spacing w:val="-5"/>
                <w:sz w:val="24"/>
              </w:rPr>
              <w:t>23</w:t>
            </w:r>
          </w:p>
        </w:tc>
        <w:tc>
          <w:tcPr>
            <w:tcW w:w="1827" w:type="dxa"/>
          </w:tcPr>
          <w:p>
            <w:pPr>
              <w:pStyle w:val="TableParagraph"/>
              <w:spacing w:line="261" w:lineRule="exact" w:before="271"/>
              <w:ind w:left="516"/>
              <w:rPr>
                <w:sz w:val="24"/>
              </w:rPr>
            </w:pPr>
            <w:r>
              <w:rPr>
                <w:spacing w:val="-5"/>
                <w:sz w:val="24"/>
              </w:rPr>
              <w:t>26</w:t>
            </w:r>
          </w:p>
        </w:tc>
      </w:tr>
      <w:tr>
        <w:trPr>
          <w:trHeight w:val="546" w:hRule="atLeast"/>
        </w:trPr>
        <w:tc>
          <w:tcPr>
            <w:tcW w:w="4389" w:type="dxa"/>
          </w:tcPr>
          <w:p>
            <w:pPr>
              <w:pStyle w:val="TableParagraph"/>
              <w:spacing w:line="271" w:lineRule="exact"/>
              <w:ind w:left="57"/>
              <w:rPr>
                <w:sz w:val="24"/>
              </w:rPr>
            </w:pPr>
            <w:r>
              <w:rPr>
                <w:sz w:val="24"/>
              </w:rPr>
              <w:t>(3) Percentage of</w:t>
            </w:r>
            <w:r>
              <w:rPr>
                <w:spacing w:val="-2"/>
                <w:sz w:val="24"/>
              </w:rPr>
              <w:t> </w:t>
            </w:r>
            <w:r>
              <w:rPr>
                <w:sz w:val="24"/>
              </w:rPr>
              <w:t>girls</w:t>
            </w:r>
            <w:r>
              <w:rPr>
                <w:spacing w:val="-1"/>
                <w:sz w:val="24"/>
              </w:rPr>
              <w:t> </w:t>
            </w:r>
            <w:r>
              <w:rPr>
                <w:sz w:val="24"/>
              </w:rPr>
              <w:t>in</w:t>
            </w:r>
            <w:r>
              <w:rPr>
                <w:spacing w:val="-1"/>
                <w:sz w:val="24"/>
              </w:rPr>
              <w:t> </w:t>
            </w:r>
            <w:r>
              <w:rPr>
                <w:spacing w:val="-2"/>
                <w:sz w:val="24"/>
              </w:rPr>
              <w:t>schools</w:t>
            </w:r>
          </w:p>
          <w:p>
            <w:pPr>
              <w:pStyle w:val="TableParagraph"/>
              <w:tabs>
                <w:tab w:pos="3661" w:val="left" w:leader="none"/>
              </w:tabs>
              <w:spacing w:line="256" w:lineRule="exact"/>
              <w:ind w:left="-3"/>
              <w:rPr>
                <w:sz w:val="24"/>
              </w:rPr>
            </w:pPr>
            <w:r>
              <w:rPr>
                <w:sz w:val="24"/>
              </w:rPr>
              <w:t>for </w:t>
            </w:r>
            <w:r>
              <w:rPr>
                <w:spacing w:val="-4"/>
                <w:sz w:val="24"/>
              </w:rPr>
              <w:t>boys</w:t>
            </w:r>
            <w:r>
              <w:rPr>
                <w:sz w:val="24"/>
              </w:rPr>
              <w:tab/>
            </w:r>
            <w:r>
              <w:rPr>
                <w:spacing w:val="-4"/>
                <w:sz w:val="24"/>
              </w:rPr>
              <w:t>21.0</w:t>
            </w:r>
          </w:p>
        </w:tc>
        <w:tc>
          <w:tcPr>
            <w:tcW w:w="1047" w:type="dxa"/>
          </w:tcPr>
          <w:p>
            <w:pPr>
              <w:pStyle w:val="TableParagraph"/>
              <w:spacing w:line="256" w:lineRule="exact" w:before="271"/>
              <w:ind w:left="189"/>
              <w:rPr>
                <w:sz w:val="24"/>
              </w:rPr>
            </w:pPr>
            <w:r>
              <w:rPr>
                <w:spacing w:val="-4"/>
                <w:sz w:val="24"/>
              </w:rPr>
              <w:t>29.7</w:t>
            </w:r>
          </w:p>
        </w:tc>
        <w:tc>
          <w:tcPr>
            <w:tcW w:w="1374" w:type="dxa"/>
          </w:tcPr>
          <w:p>
            <w:pPr>
              <w:pStyle w:val="TableParagraph"/>
              <w:spacing w:line="256" w:lineRule="exact" w:before="271"/>
              <w:ind w:left="57"/>
              <w:rPr>
                <w:sz w:val="24"/>
              </w:rPr>
            </w:pPr>
            <w:r>
              <w:rPr>
                <w:spacing w:val="-4"/>
                <w:sz w:val="24"/>
              </w:rPr>
              <w:t>36.4</w:t>
            </w:r>
          </w:p>
        </w:tc>
        <w:tc>
          <w:tcPr>
            <w:tcW w:w="1827" w:type="dxa"/>
          </w:tcPr>
          <w:p>
            <w:pPr>
              <w:pStyle w:val="TableParagraph"/>
              <w:spacing w:line="256" w:lineRule="exact" w:before="271"/>
              <w:ind w:left="516"/>
              <w:rPr>
                <w:sz w:val="24"/>
              </w:rPr>
            </w:pPr>
            <w:r>
              <w:rPr>
                <w:spacing w:val="-4"/>
                <w:sz w:val="24"/>
              </w:rPr>
              <w:t>40.0</w:t>
            </w:r>
          </w:p>
        </w:tc>
      </w:tr>
    </w:tbl>
    <w:p>
      <w:pPr>
        <w:spacing w:after="0" w:line="256" w:lineRule="exact"/>
        <w:rPr>
          <w:sz w:val="24"/>
        </w:rPr>
        <w:sectPr>
          <w:pgSz w:w="12240" w:h="15840"/>
          <w:pgMar w:header="0" w:footer="743" w:top="1360" w:bottom="940" w:left="1640" w:right="1300"/>
        </w:sectPr>
      </w:pPr>
    </w:p>
    <w:p>
      <w:pPr>
        <w:pStyle w:val="BodyText"/>
        <w:spacing w:before="6"/>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1"/>
        <w:gridCol w:w="741"/>
        <w:gridCol w:w="917"/>
        <w:gridCol w:w="1375"/>
        <w:gridCol w:w="1177"/>
      </w:tblGrid>
      <w:tr>
        <w:trPr>
          <w:trHeight w:val="821" w:hRule="atLeast"/>
        </w:trPr>
        <w:tc>
          <w:tcPr>
            <w:tcW w:w="3641" w:type="dxa"/>
          </w:tcPr>
          <w:p>
            <w:pPr>
              <w:pStyle w:val="TableParagraph"/>
              <w:ind w:left="50" w:right="884"/>
              <w:rPr>
                <w:b/>
                <w:sz w:val="24"/>
              </w:rPr>
            </w:pPr>
            <w:r>
              <w:rPr>
                <w:b/>
                <w:sz w:val="24"/>
              </w:rPr>
              <w:t>4.</w:t>
            </w:r>
            <w:r>
              <w:rPr>
                <w:b/>
                <w:spacing w:val="-10"/>
                <w:sz w:val="24"/>
              </w:rPr>
              <w:t> </w:t>
            </w:r>
            <w:r>
              <w:rPr>
                <w:b/>
                <w:sz w:val="24"/>
              </w:rPr>
              <w:t>Enrolment</w:t>
            </w:r>
            <w:r>
              <w:rPr>
                <w:b/>
                <w:spacing w:val="-10"/>
                <w:sz w:val="24"/>
              </w:rPr>
              <w:t> </w:t>
            </w:r>
            <w:r>
              <w:rPr>
                <w:b/>
                <w:sz w:val="24"/>
              </w:rPr>
              <w:t>of</w:t>
            </w:r>
            <w:r>
              <w:rPr>
                <w:b/>
                <w:spacing w:val="-10"/>
                <w:sz w:val="24"/>
              </w:rPr>
              <w:t> </w:t>
            </w:r>
            <w:r>
              <w:rPr>
                <w:b/>
                <w:sz w:val="24"/>
              </w:rPr>
              <w:t>Girls</w:t>
            </w:r>
            <w:r>
              <w:rPr>
                <w:b/>
                <w:spacing w:val="-10"/>
                <w:sz w:val="24"/>
              </w:rPr>
              <w:t> </w:t>
            </w:r>
            <w:r>
              <w:rPr>
                <w:b/>
                <w:sz w:val="24"/>
              </w:rPr>
              <w:t>at the University</w:t>
            </w:r>
          </w:p>
          <w:p>
            <w:pPr>
              <w:pStyle w:val="TableParagraph"/>
              <w:spacing w:line="260" w:lineRule="exact"/>
              <w:ind w:left="50"/>
              <w:rPr>
                <w:b/>
                <w:sz w:val="24"/>
              </w:rPr>
            </w:pPr>
            <w:r>
              <w:rPr>
                <w:b/>
                <w:sz w:val="24"/>
              </w:rPr>
              <w:t>Stage (General </w:t>
            </w:r>
            <w:r>
              <w:rPr>
                <w:b/>
                <w:spacing w:val="-2"/>
                <w:sz w:val="24"/>
              </w:rPr>
              <w:t>Education)</w:t>
            </w:r>
          </w:p>
        </w:tc>
        <w:tc>
          <w:tcPr>
            <w:tcW w:w="4210" w:type="dxa"/>
            <w:gridSpan w:val="4"/>
          </w:tcPr>
          <w:p>
            <w:pPr>
              <w:pStyle w:val="TableParagraph"/>
              <w:rPr>
                <w:sz w:val="24"/>
              </w:rPr>
            </w:pPr>
          </w:p>
        </w:tc>
      </w:tr>
      <w:tr>
        <w:trPr>
          <w:trHeight w:val="274" w:hRule="atLeast"/>
        </w:trPr>
        <w:tc>
          <w:tcPr>
            <w:tcW w:w="3641" w:type="dxa"/>
          </w:tcPr>
          <w:p>
            <w:pPr>
              <w:pStyle w:val="TableParagraph"/>
              <w:spacing w:line="255" w:lineRule="exact"/>
              <w:ind w:left="50"/>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p>
        </w:tc>
        <w:tc>
          <w:tcPr>
            <w:tcW w:w="741" w:type="dxa"/>
          </w:tcPr>
          <w:p>
            <w:pPr>
              <w:pStyle w:val="TableParagraph"/>
              <w:spacing w:line="255" w:lineRule="exact"/>
              <w:ind w:left="71"/>
              <w:rPr>
                <w:sz w:val="24"/>
              </w:rPr>
            </w:pPr>
            <w:r>
              <w:rPr>
                <w:spacing w:val="-5"/>
                <w:sz w:val="24"/>
              </w:rPr>
              <w:t>40</w:t>
            </w:r>
          </w:p>
        </w:tc>
        <w:tc>
          <w:tcPr>
            <w:tcW w:w="917" w:type="dxa"/>
          </w:tcPr>
          <w:p>
            <w:pPr>
              <w:pStyle w:val="TableParagraph"/>
              <w:spacing w:line="255" w:lineRule="exact"/>
              <w:ind w:left="247"/>
              <w:rPr>
                <w:sz w:val="24"/>
              </w:rPr>
            </w:pPr>
            <w:r>
              <w:rPr>
                <w:spacing w:val="-5"/>
                <w:sz w:val="24"/>
              </w:rPr>
              <w:t>84</w:t>
            </w:r>
          </w:p>
        </w:tc>
        <w:tc>
          <w:tcPr>
            <w:tcW w:w="1375" w:type="dxa"/>
          </w:tcPr>
          <w:p>
            <w:pPr>
              <w:pStyle w:val="TableParagraph"/>
              <w:spacing w:line="255" w:lineRule="exact"/>
              <w:ind w:left="246"/>
              <w:rPr>
                <w:sz w:val="24"/>
              </w:rPr>
            </w:pPr>
            <w:r>
              <w:rPr>
                <w:spacing w:val="-5"/>
                <w:sz w:val="24"/>
              </w:rPr>
              <w:t>150</w:t>
            </w:r>
          </w:p>
        </w:tc>
        <w:tc>
          <w:tcPr>
            <w:tcW w:w="1177" w:type="dxa"/>
          </w:tcPr>
          <w:p>
            <w:pPr>
              <w:pStyle w:val="TableParagraph"/>
              <w:spacing w:line="255" w:lineRule="exact"/>
              <w:ind w:left="703"/>
              <w:rPr>
                <w:sz w:val="24"/>
              </w:rPr>
            </w:pPr>
            <w:r>
              <w:rPr>
                <w:spacing w:val="-5"/>
                <w:sz w:val="24"/>
              </w:rPr>
              <w:t>271</w:t>
            </w:r>
          </w:p>
        </w:tc>
      </w:tr>
      <w:tr>
        <w:trPr>
          <w:trHeight w:val="551" w:hRule="atLeast"/>
        </w:trPr>
        <w:tc>
          <w:tcPr>
            <w:tcW w:w="3641" w:type="dxa"/>
          </w:tcPr>
          <w:p>
            <w:pPr>
              <w:pStyle w:val="TableParagraph"/>
              <w:spacing w:line="271" w:lineRule="exact"/>
              <w:ind w:left="110"/>
              <w:rPr>
                <w:sz w:val="24"/>
              </w:rPr>
            </w:pPr>
            <w:r>
              <w:rPr>
                <w:sz w:val="24"/>
              </w:rPr>
              <w:t>(2) No. of girls for every 100 </w:t>
            </w:r>
            <w:r>
              <w:rPr>
                <w:spacing w:val="-4"/>
                <w:sz w:val="24"/>
              </w:rPr>
              <w:t>boys</w:t>
            </w:r>
          </w:p>
          <w:p>
            <w:pPr>
              <w:pStyle w:val="TableParagraph"/>
              <w:spacing w:line="261" w:lineRule="exact"/>
              <w:ind w:left="50"/>
              <w:rPr>
                <w:sz w:val="24"/>
              </w:rPr>
            </w:pPr>
            <w:r>
              <w:rPr>
                <w:spacing w:val="-2"/>
                <w:sz w:val="24"/>
              </w:rPr>
              <w:t>enrolled</w:t>
            </w:r>
          </w:p>
        </w:tc>
        <w:tc>
          <w:tcPr>
            <w:tcW w:w="741" w:type="dxa"/>
          </w:tcPr>
          <w:p>
            <w:pPr>
              <w:pStyle w:val="TableParagraph"/>
              <w:spacing w:line="261" w:lineRule="exact" w:before="271"/>
              <w:ind w:left="72"/>
              <w:rPr>
                <w:sz w:val="24"/>
              </w:rPr>
            </w:pPr>
            <w:r>
              <w:rPr>
                <w:spacing w:val="-5"/>
                <w:sz w:val="24"/>
              </w:rPr>
              <w:t>14</w:t>
            </w:r>
          </w:p>
        </w:tc>
        <w:tc>
          <w:tcPr>
            <w:tcW w:w="917" w:type="dxa"/>
          </w:tcPr>
          <w:p>
            <w:pPr>
              <w:pStyle w:val="TableParagraph"/>
              <w:spacing w:line="261" w:lineRule="exact" w:before="271"/>
              <w:ind w:left="247"/>
              <w:rPr>
                <w:sz w:val="24"/>
              </w:rPr>
            </w:pPr>
            <w:r>
              <w:rPr>
                <w:spacing w:val="-5"/>
                <w:sz w:val="24"/>
              </w:rPr>
              <w:t>17</w:t>
            </w:r>
          </w:p>
        </w:tc>
        <w:tc>
          <w:tcPr>
            <w:tcW w:w="1375" w:type="dxa"/>
          </w:tcPr>
          <w:p>
            <w:pPr>
              <w:pStyle w:val="TableParagraph"/>
              <w:spacing w:line="261" w:lineRule="exact" w:before="271"/>
              <w:ind w:left="246"/>
              <w:rPr>
                <w:sz w:val="24"/>
              </w:rPr>
            </w:pPr>
            <w:r>
              <w:rPr>
                <w:spacing w:val="-5"/>
                <w:sz w:val="24"/>
              </w:rPr>
              <w:t>23</w:t>
            </w:r>
          </w:p>
        </w:tc>
        <w:tc>
          <w:tcPr>
            <w:tcW w:w="1177" w:type="dxa"/>
          </w:tcPr>
          <w:p>
            <w:pPr>
              <w:pStyle w:val="TableParagraph"/>
              <w:spacing w:line="261" w:lineRule="exact" w:before="271"/>
              <w:ind w:left="703"/>
              <w:rPr>
                <w:sz w:val="24"/>
              </w:rPr>
            </w:pPr>
            <w:r>
              <w:rPr>
                <w:spacing w:val="-5"/>
                <w:sz w:val="24"/>
              </w:rPr>
              <w:t>24</w:t>
            </w:r>
          </w:p>
        </w:tc>
      </w:tr>
      <w:tr>
        <w:trPr>
          <w:trHeight w:val="691" w:hRule="atLeast"/>
        </w:trPr>
        <w:tc>
          <w:tcPr>
            <w:tcW w:w="3641" w:type="dxa"/>
          </w:tcPr>
          <w:p>
            <w:pPr>
              <w:pStyle w:val="TableParagraph"/>
              <w:ind w:left="50" w:firstLine="60"/>
              <w:rPr>
                <w:sz w:val="24"/>
              </w:rPr>
            </w:pPr>
            <w:r>
              <w:rPr>
                <w:sz w:val="24"/>
              </w:rPr>
              <w:t>(3)</w:t>
            </w:r>
            <w:r>
              <w:rPr>
                <w:spacing w:val="-7"/>
                <w:sz w:val="24"/>
              </w:rPr>
              <w:t> </w:t>
            </w:r>
            <w:r>
              <w:rPr>
                <w:sz w:val="24"/>
              </w:rPr>
              <w:t>Percentage</w:t>
            </w:r>
            <w:r>
              <w:rPr>
                <w:spacing w:val="-7"/>
                <w:sz w:val="24"/>
              </w:rPr>
              <w:t> </w:t>
            </w:r>
            <w:r>
              <w:rPr>
                <w:sz w:val="24"/>
              </w:rPr>
              <w:t>of</w:t>
            </w:r>
            <w:r>
              <w:rPr>
                <w:spacing w:val="-9"/>
                <w:sz w:val="24"/>
              </w:rPr>
              <w:t> </w:t>
            </w:r>
            <w:r>
              <w:rPr>
                <w:sz w:val="24"/>
              </w:rPr>
              <w:t>girls</w:t>
            </w:r>
            <w:r>
              <w:rPr>
                <w:spacing w:val="-8"/>
                <w:sz w:val="24"/>
              </w:rPr>
              <w:t> </w:t>
            </w:r>
            <w:r>
              <w:rPr>
                <w:sz w:val="24"/>
              </w:rPr>
              <w:t>in</w:t>
            </w:r>
            <w:r>
              <w:rPr>
                <w:spacing w:val="-8"/>
                <w:sz w:val="24"/>
              </w:rPr>
              <w:t> </w:t>
            </w:r>
            <w:r>
              <w:rPr>
                <w:sz w:val="24"/>
              </w:rPr>
              <w:t>boys' </w:t>
            </w:r>
            <w:r>
              <w:rPr>
                <w:spacing w:val="-2"/>
                <w:sz w:val="24"/>
              </w:rPr>
              <w:t>institutions</w:t>
            </w:r>
          </w:p>
        </w:tc>
        <w:tc>
          <w:tcPr>
            <w:tcW w:w="741" w:type="dxa"/>
          </w:tcPr>
          <w:p>
            <w:pPr>
              <w:pStyle w:val="TableParagraph"/>
              <w:spacing w:before="271"/>
              <w:ind w:left="72"/>
              <w:rPr>
                <w:sz w:val="24"/>
              </w:rPr>
            </w:pPr>
            <w:r>
              <w:rPr>
                <w:spacing w:val="-4"/>
                <w:sz w:val="24"/>
              </w:rPr>
              <w:t>56.0</w:t>
            </w:r>
          </w:p>
        </w:tc>
        <w:tc>
          <w:tcPr>
            <w:tcW w:w="917" w:type="dxa"/>
          </w:tcPr>
          <w:p>
            <w:pPr>
              <w:pStyle w:val="TableParagraph"/>
              <w:spacing w:before="271"/>
              <w:ind w:left="247"/>
              <w:rPr>
                <w:sz w:val="24"/>
              </w:rPr>
            </w:pPr>
            <w:r>
              <w:rPr>
                <w:spacing w:val="-4"/>
                <w:sz w:val="24"/>
              </w:rPr>
              <w:t>53.1</w:t>
            </w:r>
          </w:p>
        </w:tc>
        <w:tc>
          <w:tcPr>
            <w:tcW w:w="1375" w:type="dxa"/>
          </w:tcPr>
          <w:p>
            <w:pPr>
              <w:pStyle w:val="TableParagraph"/>
              <w:spacing w:before="271"/>
              <w:ind w:left="246"/>
              <w:rPr>
                <w:sz w:val="24"/>
              </w:rPr>
            </w:pPr>
            <w:r>
              <w:rPr>
                <w:spacing w:val="-4"/>
                <w:sz w:val="24"/>
              </w:rPr>
              <w:t>50.2</w:t>
            </w:r>
          </w:p>
        </w:tc>
        <w:tc>
          <w:tcPr>
            <w:tcW w:w="1177" w:type="dxa"/>
          </w:tcPr>
          <w:p>
            <w:pPr>
              <w:pStyle w:val="TableParagraph"/>
              <w:spacing w:before="271"/>
              <w:ind w:left="703"/>
              <w:rPr>
                <w:sz w:val="24"/>
              </w:rPr>
            </w:pPr>
            <w:r>
              <w:rPr>
                <w:spacing w:val="-4"/>
                <w:sz w:val="24"/>
              </w:rPr>
              <w:t>48.2</w:t>
            </w:r>
          </w:p>
        </w:tc>
      </w:tr>
      <w:tr>
        <w:trPr>
          <w:trHeight w:val="964" w:hRule="atLeast"/>
        </w:trPr>
        <w:tc>
          <w:tcPr>
            <w:tcW w:w="3641" w:type="dxa"/>
          </w:tcPr>
          <w:p>
            <w:pPr>
              <w:pStyle w:val="TableParagraph"/>
              <w:spacing w:before="134"/>
              <w:ind w:left="50"/>
              <w:rPr>
                <w:b/>
                <w:sz w:val="24"/>
              </w:rPr>
            </w:pPr>
            <w:r>
              <w:rPr>
                <w:b/>
                <w:sz w:val="24"/>
              </w:rPr>
              <w:t>5. Enrolment of Girls in Vocat- ional</w:t>
            </w:r>
            <w:r>
              <w:rPr>
                <w:b/>
                <w:spacing w:val="-12"/>
                <w:sz w:val="24"/>
              </w:rPr>
              <w:t> </w:t>
            </w:r>
            <w:r>
              <w:rPr>
                <w:b/>
                <w:sz w:val="24"/>
              </w:rPr>
              <w:t>Courses</w:t>
            </w:r>
            <w:r>
              <w:rPr>
                <w:b/>
                <w:spacing w:val="-12"/>
                <w:sz w:val="24"/>
              </w:rPr>
              <w:t> </w:t>
            </w:r>
            <w:r>
              <w:rPr>
                <w:b/>
                <w:sz w:val="24"/>
              </w:rPr>
              <w:t>(School</w:t>
            </w:r>
            <w:r>
              <w:rPr>
                <w:b/>
                <w:spacing w:val="-12"/>
                <w:sz w:val="24"/>
              </w:rPr>
              <w:t> </w:t>
            </w:r>
            <w:r>
              <w:rPr>
                <w:b/>
                <w:sz w:val="24"/>
              </w:rPr>
              <w:t>standard)</w:t>
            </w:r>
          </w:p>
          <w:p>
            <w:pPr>
              <w:pStyle w:val="TableParagraph"/>
              <w:spacing w:line="259" w:lineRule="exact"/>
              <w:ind w:left="110"/>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p>
        </w:tc>
        <w:tc>
          <w:tcPr>
            <w:tcW w:w="741" w:type="dxa"/>
          </w:tcPr>
          <w:p>
            <w:pPr>
              <w:pStyle w:val="TableParagraph"/>
              <w:rPr>
                <w:sz w:val="24"/>
              </w:rPr>
            </w:pPr>
          </w:p>
          <w:p>
            <w:pPr>
              <w:pStyle w:val="TableParagraph"/>
              <w:spacing w:before="131"/>
              <w:rPr>
                <w:sz w:val="24"/>
              </w:rPr>
            </w:pPr>
          </w:p>
          <w:p>
            <w:pPr>
              <w:pStyle w:val="TableParagraph"/>
              <w:spacing w:line="261" w:lineRule="exact"/>
              <w:ind w:left="72"/>
              <w:rPr>
                <w:sz w:val="24"/>
              </w:rPr>
            </w:pPr>
            <w:r>
              <w:rPr>
                <w:spacing w:val="-5"/>
                <w:sz w:val="24"/>
              </w:rPr>
              <w:t>41</w:t>
            </w:r>
          </w:p>
        </w:tc>
        <w:tc>
          <w:tcPr>
            <w:tcW w:w="917" w:type="dxa"/>
          </w:tcPr>
          <w:p>
            <w:pPr>
              <w:pStyle w:val="TableParagraph"/>
              <w:rPr>
                <w:sz w:val="24"/>
              </w:rPr>
            </w:pPr>
          </w:p>
          <w:p>
            <w:pPr>
              <w:pStyle w:val="TableParagraph"/>
              <w:spacing w:before="131"/>
              <w:rPr>
                <w:sz w:val="24"/>
              </w:rPr>
            </w:pPr>
          </w:p>
          <w:p>
            <w:pPr>
              <w:pStyle w:val="TableParagraph"/>
              <w:spacing w:line="261" w:lineRule="exact"/>
              <w:ind w:left="248"/>
              <w:rPr>
                <w:sz w:val="24"/>
              </w:rPr>
            </w:pPr>
            <w:r>
              <w:rPr>
                <w:spacing w:val="-5"/>
                <w:sz w:val="24"/>
              </w:rPr>
              <w:t>66</w:t>
            </w:r>
          </w:p>
        </w:tc>
        <w:tc>
          <w:tcPr>
            <w:tcW w:w="1375" w:type="dxa"/>
          </w:tcPr>
          <w:p>
            <w:pPr>
              <w:pStyle w:val="TableParagraph"/>
              <w:rPr>
                <w:sz w:val="24"/>
              </w:rPr>
            </w:pPr>
          </w:p>
          <w:p>
            <w:pPr>
              <w:pStyle w:val="TableParagraph"/>
              <w:spacing w:before="131"/>
              <w:rPr>
                <w:sz w:val="24"/>
              </w:rPr>
            </w:pPr>
          </w:p>
          <w:p>
            <w:pPr>
              <w:pStyle w:val="TableParagraph"/>
              <w:spacing w:line="261" w:lineRule="exact"/>
              <w:ind w:left="246"/>
              <w:rPr>
                <w:sz w:val="24"/>
              </w:rPr>
            </w:pPr>
            <w:r>
              <w:rPr>
                <w:spacing w:val="-5"/>
                <w:sz w:val="24"/>
              </w:rPr>
              <w:t>86</w:t>
            </w:r>
          </w:p>
        </w:tc>
        <w:tc>
          <w:tcPr>
            <w:tcW w:w="1177" w:type="dxa"/>
          </w:tcPr>
          <w:p>
            <w:pPr>
              <w:pStyle w:val="TableParagraph"/>
              <w:rPr>
                <w:sz w:val="24"/>
              </w:rPr>
            </w:pPr>
          </w:p>
          <w:p>
            <w:pPr>
              <w:pStyle w:val="TableParagraph"/>
              <w:spacing w:before="131"/>
              <w:rPr>
                <w:sz w:val="24"/>
              </w:rPr>
            </w:pPr>
          </w:p>
          <w:p>
            <w:pPr>
              <w:pStyle w:val="TableParagraph"/>
              <w:spacing w:line="261" w:lineRule="exact"/>
              <w:ind w:left="704"/>
              <w:rPr>
                <w:sz w:val="24"/>
              </w:rPr>
            </w:pPr>
            <w:r>
              <w:rPr>
                <w:spacing w:val="-5"/>
                <w:sz w:val="24"/>
              </w:rPr>
              <w:t>120</w:t>
            </w:r>
          </w:p>
        </w:tc>
      </w:tr>
      <w:tr>
        <w:trPr>
          <w:trHeight w:val="691" w:hRule="atLeast"/>
        </w:trPr>
        <w:tc>
          <w:tcPr>
            <w:tcW w:w="3641" w:type="dxa"/>
          </w:tcPr>
          <w:p>
            <w:pPr>
              <w:pStyle w:val="TableParagraph"/>
              <w:ind w:left="50" w:right="347" w:firstLine="60"/>
              <w:rPr>
                <w:sz w:val="24"/>
              </w:rPr>
            </w:pPr>
            <w:r>
              <w:rPr>
                <w:sz w:val="24"/>
              </w:rPr>
              <w:t>(2)</w:t>
            </w:r>
            <w:r>
              <w:rPr>
                <w:spacing w:val="-7"/>
                <w:sz w:val="24"/>
              </w:rPr>
              <w:t> </w:t>
            </w:r>
            <w:r>
              <w:rPr>
                <w:sz w:val="24"/>
              </w:rPr>
              <w:t>No.</w:t>
            </w:r>
            <w:r>
              <w:rPr>
                <w:spacing w:val="-7"/>
                <w:sz w:val="24"/>
              </w:rPr>
              <w:t> </w:t>
            </w:r>
            <w:r>
              <w:rPr>
                <w:sz w:val="24"/>
              </w:rPr>
              <w:t>of</w:t>
            </w:r>
            <w:r>
              <w:rPr>
                <w:spacing w:val="-7"/>
                <w:sz w:val="24"/>
              </w:rPr>
              <w:t> </w:t>
            </w:r>
            <w:r>
              <w:rPr>
                <w:sz w:val="24"/>
              </w:rPr>
              <w:t>girls</w:t>
            </w:r>
            <w:r>
              <w:rPr>
                <w:spacing w:val="-7"/>
                <w:sz w:val="24"/>
              </w:rPr>
              <w:t> </w:t>
            </w:r>
            <w:r>
              <w:rPr>
                <w:sz w:val="24"/>
              </w:rPr>
              <w:t>for</w:t>
            </w:r>
            <w:r>
              <w:rPr>
                <w:spacing w:val="-7"/>
                <w:sz w:val="24"/>
              </w:rPr>
              <w:t> </w:t>
            </w:r>
            <w:r>
              <w:rPr>
                <w:sz w:val="24"/>
              </w:rPr>
              <w:t>every</w:t>
            </w:r>
            <w:r>
              <w:rPr>
                <w:spacing w:val="-7"/>
                <w:sz w:val="24"/>
              </w:rPr>
              <w:t> </w:t>
            </w:r>
            <w:r>
              <w:rPr>
                <w:sz w:val="24"/>
              </w:rPr>
              <w:t>100 boys enrolled</w:t>
            </w:r>
          </w:p>
        </w:tc>
        <w:tc>
          <w:tcPr>
            <w:tcW w:w="741" w:type="dxa"/>
          </w:tcPr>
          <w:p>
            <w:pPr>
              <w:pStyle w:val="TableParagraph"/>
              <w:spacing w:before="271"/>
              <w:ind w:left="72"/>
              <w:rPr>
                <w:sz w:val="24"/>
              </w:rPr>
            </w:pPr>
            <w:r>
              <w:rPr>
                <w:spacing w:val="-5"/>
                <w:sz w:val="24"/>
              </w:rPr>
              <w:t>28</w:t>
            </w:r>
          </w:p>
        </w:tc>
        <w:tc>
          <w:tcPr>
            <w:tcW w:w="917" w:type="dxa"/>
          </w:tcPr>
          <w:p>
            <w:pPr>
              <w:pStyle w:val="TableParagraph"/>
              <w:spacing w:before="271"/>
              <w:ind w:left="248"/>
              <w:rPr>
                <w:sz w:val="24"/>
              </w:rPr>
            </w:pPr>
            <w:r>
              <w:rPr>
                <w:spacing w:val="-5"/>
                <w:sz w:val="24"/>
              </w:rPr>
              <w:t>31</w:t>
            </w:r>
          </w:p>
        </w:tc>
        <w:tc>
          <w:tcPr>
            <w:tcW w:w="1375" w:type="dxa"/>
          </w:tcPr>
          <w:p>
            <w:pPr>
              <w:pStyle w:val="TableParagraph"/>
              <w:spacing w:before="271"/>
              <w:ind w:left="247"/>
              <w:rPr>
                <w:sz w:val="24"/>
              </w:rPr>
            </w:pPr>
            <w:r>
              <w:rPr>
                <w:spacing w:val="-5"/>
                <w:sz w:val="24"/>
              </w:rPr>
              <w:t>25</w:t>
            </w:r>
          </w:p>
        </w:tc>
        <w:tc>
          <w:tcPr>
            <w:tcW w:w="1177" w:type="dxa"/>
          </w:tcPr>
          <w:p>
            <w:pPr>
              <w:pStyle w:val="TableParagraph"/>
              <w:spacing w:before="271"/>
              <w:ind w:left="704"/>
              <w:rPr>
                <w:sz w:val="24"/>
              </w:rPr>
            </w:pPr>
            <w:r>
              <w:rPr>
                <w:spacing w:val="-5"/>
                <w:sz w:val="24"/>
              </w:rPr>
              <w:t>23</w:t>
            </w:r>
          </w:p>
        </w:tc>
      </w:tr>
      <w:tr>
        <w:trPr>
          <w:trHeight w:val="964" w:hRule="atLeast"/>
        </w:trPr>
        <w:tc>
          <w:tcPr>
            <w:tcW w:w="3641" w:type="dxa"/>
          </w:tcPr>
          <w:p>
            <w:pPr>
              <w:pStyle w:val="TableParagraph"/>
              <w:spacing w:before="134"/>
              <w:ind w:left="50"/>
              <w:rPr>
                <w:b/>
                <w:sz w:val="24"/>
              </w:rPr>
            </w:pPr>
            <w:r>
              <w:rPr>
                <w:b/>
                <w:sz w:val="24"/>
              </w:rPr>
              <w:t>6.</w:t>
            </w:r>
            <w:r>
              <w:rPr>
                <w:b/>
                <w:spacing w:val="-8"/>
                <w:sz w:val="24"/>
              </w:rPr>
              <w:t> </w:t>
            </w:r>
            <w:r>
              <w:rPr>
                <w:b/>
                <w:sz w:val="24"/>
              </w:rPr>
              <w:t>Enrolment</w:t>
            </w:r>
            <w:r>
              <w:rPr>
                <w:b/>
                <w:spacing w:val="-8"/>
                <w:sz w:val="24"/>
              </w:rPr>
              <w:t> </w:t>
            </w:r>
            <w:r>
              <w:rPr>
                <w:b/>
                <w:sz w:val="24"/>
              </w:rPr>
              <w:t>of</w:t>
            </w:r>
            <w:r>
              <w:rPr>
                <w:b/>
                <w:spacing w:val="-8"/>
                <w:sz w:val="24"/>
              </w:rPr>
              <w:t> </w:t>
            </w:r>
            <w:r>
              <w:rPr>
                <w:b/>
                <w:sz w:val="24"/>
              </w:rPr>
              <w:t>Girls</w:t>
            </w:r>
            <w:r>
              <w:rPr>
                <w:b/>
                <w:spacing w:val="-8"/>
                <w:sz w:val="24"/>
              </w:rPr>
              <w:t> </w:t>
            </w:r>
            <w:r>
              <w:rPr>
                <w:b/>
                <w:sz w:val="24"/>
              </w:rPr>
              <w:t>in</w:t>
            </w:r>
            <w:r>
              <w:rPr>
                <w:b/>
                <w:spacing w:val="-8"/>
                <w:sz w:val="24"/>
              </w:rPr>
              <w:t> </w:t>
            </w:r>
            <w:r>
              <w:rPr>
                <w:b/>
                <w:sz w:val="24"/>
              </w:rPr>
              <w:t>Professio- nal</w:t>
            </w:r>
            <w:r>
              <w:rPr>
                <w:b/>
                <w:spacing w:val="-1"/>
                <w:sz w:val="24"/>
              </w:rPr>
              <w:t> </w:t>
            </w:r>
            <w:r>
              <w:rPr>
                <w:b/>
                <w:sz w:val="24"/>
              </w:rPr>
              <w:t>Courses</w:t>
            </w:r>
            <w:r>
              <w:rPr>
                <w:b/>
                <w:spacing w:val="-1"/>
                <w:sz w:val="24"/>
              </w:rPr>
              <w:t> </w:t>
            </w:r>
            <w:r>
              <w:rPr>
                <w:b/>
                <w:sz w:val="24"/>
              </w:rPr>
              <w:t>(Collegiate</w:t>
            </w:r>
            <w:r>
              <w:rPr>
                <w:b/>
                <w:spacing w:val="-1"/>
                <w:sz w:val="24"/>
              </w:rPr>
              <w:t> </w:t>
            </w:r>
            <w:r>
              <w:rPr>
                <w:b/>
                <w:spacing w:val="-2"/>
                <w:sz w:val="24"/>
              </w:rPr>
              <w:t>Standard)</w:t>
            </w:r>
          </w:p>
          <w:p>
            <w:pPr>
              <w:pStyle w:val="TableParagraph"/>
              <w:spacing w:line="259" w:lineRule="exact"/>
              <w:ind w:left="110"/>
              <w:rPr>
                <w:sz w:val="24"/>
              </w:rPr>
            </w:pPr>
            <w:r>
              <w:rPr>
                <w:sz w:val="24"/>
              </w:rPr>
              <w:t>(1)</w:t>
            </w:r>
            <w:r>
              <w:rPr>
                <w:spacing w:val="-1"/>
                <w:sz w:val="24"/>
              </w:rPr>
              <w:t> </w:t>
            </w:r>
            <w:r>
              <w:rPr>
                <w:sz w:val="24"/>
              </w:rPr>
              <w:t>Total enrolment</w:t>
            </w:r>
            <w:r>
              <w:rPr>
                <w:spacing w:val="-1"/>
                <w:sz w:val="24"/>
              </w:rPr>
              <w:t> </w:t>
            </w:r>
            <w:r>
              <w:rPr>
                <w:sz w:val="24"/>
              </w:rPr>
              <w:t>(in </w:t>
            </w:r>
            <w:r>
              <w:rPr>
                <w:spacing w:val="-2"/>
                <w:sz w:val="24"/>
              </w:rPr>
              <w:t>000's)</w:t>
            </w:r>
          </w:p>
        </w:tc>
        <w:tc>
          <w:tcPr>
            <w:tcW w:w="741" w:type="dxa"/>
          </w:tcPr>
          <w:p>
            <w:pPr>
              <w:pStyle w:val="TableParagraph"/>
              <w:rPr>
                <w:sz w:val="24"/>
              </w:rPr>
            </w:pPr>
          </w:p>
          <w:p>
            <w:pPr>
              <w:pStyle w:val="TableParagraph"/>
              <w:spacing w:before="131"/>
              <w:rPr>
                <w:sz w:val="24"/>
              </w:rPr>
            </w:pPr>
          </w:p>
          <w:p>
            <w:pPr>
              <w:pStyle w:val="TableParagraph"/>
              <w:spacing w:line="261" w:lineRule="exact"/>
              <w:ind w:left="72"/>
              <w:rPr>
                <w:sz w:val="24"/>
              </w:rPr>
            </w:pPr>
            <w:r>
              <w:rPr>
                <w:spacing w:val="-10"/>
                <w:sz w:val="24"/>
              </w:rPr>
              <w:t>5</w:t>
            </w:r>
          </w:p>
        </w:tc>
        <w:tc>
          <w:tcPr>
            <w:tcW w:w="917" w:type="dxa"/>
          </w:tcPr>
          <w:p>
            <w:pPr>
              <w:pStyle w:val="TableParagraph"/>
              <w:rPr>
                <w:sz w:val="24"/>
              </w:rPr>
            </w:pPr>
          </w:p>
          <w:p>
            <w:pPr>
              <w:pStyle w:val="TableParagraph"/>
              <w:spacing w:before="131"/>
              <w:rPr>
                <w:sz w:val="24"/>
              </w:rPr>
            </w:pPr>
          </w:p>
          <w:p>
            <w:pPr>
              <w:pStyle w:val="TableParagraph"/>
              <w:spacing w:line="261" w:lineRule="exact"/>
              <w:ind w:left="248"/>
              <w:rPr>
                <w:sz w:val="24"/>
              </w:rPr>
            </w:pPr>
            <w:r>
              <w:rPr>
                <w:spacing w:val="-10"/>
                <w:sz w:val="24"/>
              </w:rPr>
              <w:t>9</w:t>
            </w:r>
          </w:p>
        </w:tc>
        <w:tc>
          <w:tcPr>
            <w:tcW w:w="1375" w:type="dxa"/>
          </w:tcPr>
          <w:p>
            <w:pPr>
              <w:pStyle w:val="TableParagraph"/>
              <w:rPr>
                <w:sz w:val="24"/>
              </w:rPr>
            </w:pPr>
          </w:p>
          <w:p>
            <w:pPr>
              <w:pStyle w:val="TableParagraph"/>
              <w:spacing w:before="131"/>
              <w:rPr>
                <w:sz w:val="24"/>
              </w:rPr>
            </w:pPr>
          </w:p>
          <w:p>
            <w:pPr>
              <w:pStyle w:val="TableParagraph"/>
              <w:spacing w:line="261" w:lineRule="exact"/>
              <w:ind w:left="247"/>
              <w:rPr>
                <w:sz w:val="24"/>
              </w:rPr>
            </w:pPr>
            <w:r>
              <w:rPr>
                <w:spacing w:val="-5"/>
                <w:sz w:val="24"/>
              </w:rPr>
              <w:t>26</w:t>
            </w:r>
          </w:p>
        </w:tc>
        <w:tc>
          <w:tcPr>
            <w:tcW w:w="1177" w:type="dxa"/>
          </w:tcPr>
          <w:p>
            <w:pPr>
              <w:pStyle w:val="TableParagraph"/>
              <w:rPr>
                <w:sz w:val="24"/>
              </w:rPr>
            </w:pPr>
          </w:p>
          <w:p>
            <w:pPr>
              <w:pStyle w:val="TableParagraph"/>
              <w:spacing w:before="131"/>
              <w:rPr>
                <w:sz w:val="24"/>
              </w:rPr>
            </w:pPr>
          </w:p>
          <w:p>
            <w:pPr>
              <w:pStyle w:val="TableParagraph"/>
              <w:spacing w:line="261" w:lineRule="exact"/>
              <w:ind w:left="705"/>
              <w:rPr>
                <w:sz w:val="24"/>
              </w:rPr>
            </w:pPr>
            <w:r>
              <w:rPr>
                <w:spacing w:val="-5"/>
                <w:sz w:val="24"/>
              </w:rPr>
              <w:t>50</w:t>
            </w:r>
          </w:p>
        </w:tc>
      </w:tr>
      <w:tr>
        <w:trPr>
          <w:trHeight w:val="546" w:hRule="atLeast"/>
        </w:trPr>
        <w:tc>
          <w:tcPr>
            <w:tcW w:w="3641" w:type="dxa"/>
          </w:tcPr>
          <w:p>
            <w:pPr>
              <w:pStyle w:val="TableParagraph"/>
              <w:spacing w:line="271" w:lineRule="exact"/>
              <w:ind w:left="110"/>
              <w:rPr>
                <w:sz w:val="24"/>
              </w:rPr>
            </w:pPr>
            <w:r>
              <w:rPr>
                <w:sz w:val="24"/>
              </w:rPr>
              <w:t>(2) No. of girls for every </w:t>
            </w:r>
            <w:r>
              <w:rPr>
                <w:spacing w:val="-5"/>
                <w:sz w:val="24"/>
              </w:rPr>
              <w:t>100</w:t>
            </w:r>
          </w:p>
          <w:p>
            <w:pPr>
              <w:pStyle w:val="TableParagraph"/>
              <w:spacing w:line="256" w:lineRule="exact"/>
              <w:ind w:left="50"/>
              <w:rPr>
                <w:sz w:val="24"/>
              </w:rPr>
            </w:pPr>
            <w:r>
              <w:rPr>
                <w:sz w:val="24"/>
              </w:rPr>
              <w:t>boys </w:t>
            </w:r>
            <w:r>
              <w:rPr>
                <w:spacing w:val="-2"/>
                <w:sz w:val="24"/>
              </w:rPr>
              <w:t>enrolled</w:t>
            </w:r>
          </w:p>
        </w:tc>
        <w:tc>
          <w:tcPr>
            <w:tcW w:w="741" w:type="dxa"/>
          </w:tcPr>
          <w:p>
            <w:pPr>
              <w:pStyle w:val="TableParagraph"/>
              <w:spacing w:line="256" w:lineRule="exact" w:before="271"/>
              <w:ind w:left="72"/>
              <w:rPr>
                <w:sz w:val="24"/>
              </w:rPr>
            </w:pPr>
            <w:r>
              <w:rPr>
                <w:spacing w:val="-10"/>
                <w:sz w:val="24"/>
              </w:rPr>
              <w:t>5</w:t>
            </w:r>
          </w:p>
        </w:tc>
        <w:tc>
          <w:tcPr>
            <w:tcW w:w="917" w:type="dxa"/>
          </w:tcPr>
          <w:p>
            <w:pPr>
              <w:pStyle w:val="TableParagraph"/>
              <w:spacing w:line="256" w:lineRule="exact" w:before="271"/>
              <w:ind w:left="248"/>
              <w:rPr>
                <w:sz w:val="24"/>
              </w:rPr>
            </w:pPr>
            <w:r>
              <w:rPr>
                <w:spacing w:val="-10"/>
                <w:sz w:val="24"/>
              </w:rPr>
              <w:t>7</w:t>
            </w:r>
          </w:p>
        </w:tc>
        <w:tc>
          <w:tcPr>
            <w:tcW w:w="1375" w:type="dxa"/>
          </w:tcPr>
          <w:p>
            <w:pPr>
              <w:pStyle w:val="TableParagraph"/>
              <w:spacing w:line="256" w:lineRule="exact" w:before="271"/>
              <w:ind w:left="247"/>
              <w:rPr>
                <w:sz w:val="24"/>
              </w:rPr>
            </w:pPr>
            <w:r>
              <w:rPr>
                <w:spacing w:val="-5"/>
                <w:sz w:val="24"/>
              </w:rPr>
              <w:t>11</w:t>
            </w:r>
          </w:p>
        </w:tc>
        <w:tc>
          <w:tcPr>
            <w:tcW w:w="1177" w:type="dxa"/>
          </w:tcPr>
          <w:p>
            <w:pPr>
              <w:pStyle w:val="TableParagraph"/>
              <w:spacing w:line="256" w:lineRule="exact" w:before="271"/>
              <w:ind w:left="704"/>
              <w:rPr>
                <w:sz w:val="24"/>
              </w:rPr>
            </w:pPr>
            <w:r>
              <w:rPr>
                <w:spacing w:val="-5"/>
                <w:sz w:val="24"/>
              </w:rPr>
              <w:t>14</w:t>
            </w:r>
          </w:p>
        </w:tc>
      </w:tr>
    </w:tbl>
    <w:p>
      <w:pPr>
        <w:pStyle w:val="BodyText"/>
        <w:spacing w:before="6"/>
        <w:rPr>
          <w:sz w:val="15"/>
        </w:rPr>
      </w:pPr>
      <w:r>
        <w:rPr/>
        <mc:AlternateContent>
          <mc:Choice Requires="wps">
            <w:drawing>
              <wp:anchor distT="0" distB="0" distL="0" distR="0" allowOverlap="1" layoutInCell="1" locked="0" behindDoc="1" simplePos="0" relativeHeight="487635968">
                <wp:simplePos x="0" y="0"/>
                <wp:positionH relativeFrom="page">
                  <wp:posOffset>1143000</wp:posOffset>
                </wp:positionH>
                <wp:positionV relativeFrom="paragraph">
                  <wp:posOffset>129160</wp:posOffset>
                </wp:positionV>
                <wp:extent cx="5486400" cy="19050"/>
                <wp:effectExtent l="0" t="0" r="0" b="0"/>
                <wp:wrapTopAndBottom/>
                <wp:docPr id="528" name="Group 528"/>
                <wp:cNvGraphicFramePr>
                  <a:graphicFrameLocks/>
                </wp:cNvGraphicFramePr>
                <a:graphic>
                  <a:graphicData uri="http://schemas.microsoft.com/office/word/2010/wordprocessingGroup">
                    <wpg:wgp>
                      <wpg:cNvPr id="528" name="Group 528"/>
                      <wpg:cNvGrpSpPr/>
                      <wpg:grpSpPr>
                        <a:xfrm>
                          <a:off x="0" y="0"/>
                          <a:ext cx="5486400" cy="19050"/>
                          <a:chExt cx="5486400" cy="19050"/>
                        </a:xfrm>
                      </wpg:grpSpPr>
                      <wps:wsp>
                        <wps:cNvPr id="529" name="Graphic 529"/>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30" name="Graphic 530"/>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531" name="Graphic 531"/>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532" name="Graphic 532"/>
                        <wps:cNvSpPr/>
                        <wps:spPr>
                          <a:xfrm>
                            <a:off x="0" y="12"/>
                            <a:ext cx="5486400" cy="16510"/>
                          </a:xfrm>
                          <a:custGeom>
                            <a:avLst/>
                            <a:gdLst/>
                            <a:ahLst/>
                            <a:cxnLst/>
                            <a:rect l="l" t="t" r="r" b="b"/>
                            <a:pathLst>
                              <a:path w="5486400" h="16510">
                                <a:moveTo>
                                  <a:pt x="3048" y="3048"/>
                                </a:moveTo>
                                <a:lnTo>
                                  <a:pt x="0" y="3048"/>
                                </a:lnTo>
                                <a:lnTo>
                                  <a:pt x="0" y="15989"/>
                                </a:lnTo>
                                <a:lnTo>
                                  <a:pt x="3048" y="15989"/>
                                </a:lnTo>
                                <a:lnTo>
                                  <a:pt x="3048" y="3048"/>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533" name="Graphic 533"/>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34" name="Graphic 534"/>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35" name="Graphic 535"/>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170097pt;width:432pt;height:1.5pt;mso-position-horizontal-relative:page;mso-position-vertical-relative:paragraph;z-index:-15680512;mso-wrap-distance-left:0;mso-wrap-distance-right:0" id="docshapegroup506" coordorigin="1800,203" coordsize="8640,30">
                <v:rect style="position:absolute;left:1800;top:203;width:8640;height:30" id="docshape507" filled="true" fillcolor="#808080" stroked="false">
                  <v:fill type="solid"/>
                </v:rect>
                <v:shape style="position:absolute;left:1800;top:203;width:8636;height:5" id="docshape508" coordorigin="1800,203" coordsize="8636,5" path="m10435,203l1805,203,1800,203,1800,208,1805,208,10435,208,10435,203xe" filled="true" fillcolor="#aca89a" stroked="false">
                  <v:path arrowok="t"/>
                  <v:fill type="solid"/>
                </v:shape>
                <v:rect style="position:absolute;left:10435;top:203;width:5;height:5" id="docshape509" filled="true" fillcolor="#f1efe2" stroked="false">
                  <v:fill type="solid"/>
                </v:rect>
                <v:shape style="position:absolute;left:1800;top:203;width:8640;height:26" id="docshape510" coordorigin="1800,203" coordsize="8640,26" path="m1805,208l1800,208,1800,229,1805,229,1805,208xm10440,203l10435,203,10435,208,10440,208,10440,203xe" filled="true" fillcolor="#aca89a" stroked="false">
                  <v:path arrowok="t"/>
                  <v:fill type="solid"/>
                </v:shape>
                <v:rect style="position:absolute;left:10435;top:208;width:5;height:21" id="docshape511" filled="true" fillcolor="#f1efe2" stroked="false">
                  <v:fill type="solid"/>
                </v:rect>
                <v:rect style="position:absolute;left:1800;top:228;width:5;height:5" id="docshape512" filled="true" fillcolor="#aca89a" stroked="false">
                  <v:fill type="solid"/>
                </v:rect>
                <v:shape style="position:absolute;left:1800;top:228;width:8640;height:5" id="docshape513" coordorigin="1800,229" coordsize="8640,5" path="m10440,229l10435,229,1800,229,1800,233,10435,233,10440,233,10440,229xe" filled="true" fillcolor="#f1efe2" stroked="false">
                  <v:path arrowok="t"/>
                  <v:fill type="solid"/>
                </v:shape>
                <w10:wrap type="topAndBottom"/>
              </v:group>
            </w:pict>
          </mc:Fallback>
        </mc:AlternateContent>
      </w:r>
    </w:p>
    <w:p>
      <w:pPr>
        <w:pStyle w:val="BodyText"/>
        <w:spacing w:before="53"/>
      </w:pPr>
    </w:p>
    <w:p>
      <w:pPr>
        <w:pStyle w:val="BodyText"/>
        <w:ind w:left="159" w:right="498"/>
        <w:jc w:val="both"/>
      </w:pPr>
      <w:r>
        <w:rPr/>
        <w:t>Source. Ministry of Education, Form A, except for the year 1965-66 estimates for which were made in the Secretariat of the Education Commission.</w:t>
      </w:r>
    </w:p>
    <w:p>
      <w:pPr>
        <w:pStyle w:val="BodyText"/>
        <w:spacing w:before="2"/>
      </w:pPr>
    </w:p>
    <w:p>
      <w:pPr>
        <w:pStyle w:val="BodyText"/>
        <w:ind w:left="159" w:right="497"/>
        <w:jc w:val="both"/>
      </w:pPr>
      <w:r>
        <w:rPr/>
        <w:t>Some</w:t>
      </w:r>
      <w:r>
        <w:rPr>
          <w:spacing w:val="-1"/>
        </w:rPr>
        <w:t> </w:t>
      </w:r>
      <w:r>
        <w:rPr/>
        <w:t>interesting</w:t>
      </w:r>
      <w:r>
        <w:rPr>
          <w:spacing w:val="-3"/>
        </w:rPr>
        <w:t> </w:t>
      </w:r>
      <w:r>
        <w:rPr/>
        <w:t>points</w:t>
      </w:r>
      <w:r>
        <w:rPr>
          <w:spacing w:val="-1"/>
        </w:rPr>
        <w:t> </w:t>
      </w:r>
      <w:r>
        <w:rPr/>
        <w:t>emerge</w:t>
      </w:r>
      <w:r>
        <w:rPr>
          <w:spacing w:val="-1"/>
        </w:rPr>
        <w:t> </w:t>
      </w:r>
      <w:r>
        <w:rPr/>
        <w:t>from</w:t>
      </w:r>
      <w:r>
        <w:rPr>
          <w:spacing w:val="-3"/>
        </w:rPr>
        <w:t> </w:t>
      </w:r>
      <w:r>
        <w:rPr/>
        <w:t>this</w:t>
      </w:r>
      <w:r>
        <w:rPr>
          <w:spacing w:val="-1"/>
        </w:rPr>
        <w:t> </w:t>
      </w:r>
      <w:r>
        <w:rPr/>
        <w:t>data.</w:t>
      </w:r>
      <w:r>
        <w:rPr>
          <w:spacing w:val="-7"/>
        </w:rPr>
        <w:t> </w:t>
      </w:r>
      <w:r>
        <w:rPr/>
        <w:t>The</w:t>
      </w:r>
      <w:r>
        <w:rPr>
          <w:spacing w:val="-1"/>
        </w:rPr>
        <w:t> </w:t>
      </w:r>
      <w:r>
        <w:rPr/>
        <w:t>rate</w:t>
      </w:r>
      <w:r>
        <w:rPr>
          <w:spacing w:val="-1"/>
        </w:rPr>
        <w:t> </w:t>
      </w:r>
      <w:r>
        <w:rPr/>
        <w:t>of</w:t>
      </w:r>
      <w:r>
        <w:rPr>
          <w:spacing w:val="-1"/>
        </w:rPr>
        <w:t> </w:t>
      </w:r>
      <w:r>
        <w:rPr/>
        <w:t>expansion</w:t>
      </w:r>
      <w:r>
        <w:rPr>
          <w:spacing w:val="-4"/>
        </w:rPr>
        <w:t> </w:t>
      </w:r>
      <w:r>
        <w:rPr/>
        <w:t>of</w:t>
      </w:r>
      <w:r>
        <w:rPr>
          <w:spacing w:val="-2"/>
        </w:rPr>
        <w:t> </w:t>
      </w:r>
      <w:r>
        <w:rPr/>
        <w:t>education</w:t>
      </w:r>
      <w:r>
        <w:rPr>
          <w:spacing w:val="-2"/>
        </w:rPr>
        <w:t> </w:t>
      </w:r>
      <w:r>
        <w:rPr/>
        <w:t>of</w:t>
      </w:r>
      <w:r>
        <w:rPr>
          <w:spacing w:val="-2"/>
        </w:rPr>
        <w:t> </w:t>
      </w:r>
      <w:r>
        <w:rPr/>
        <w:t>girls is much faster than that among the boys so that the gap between them is gradually and steadily narrowing. At the lower primary stage, the number of girls enrolled per 100 boys has</w:t>
      </w:r>
      <w:r>
        <w:rPr>
          <w:spacing w:val="16"/>
        </w:rPr>
        <w:t> </w:t>
      </w:r>
      <w:r>
        <w:rPr/>
        <w:t>increased</w:t>
      </w:r>
      <w:r>
        <w:rPr>
          <w:spacing w:val="16"/>
        </w:rPr>
        <w:t> </w:t>
      </w:r>
      <w:r>
        <w:rPr/>
        <w:t>from</w:t>
      </w:r>
      <w:r>
        <w:rPr>
          <w:spacing w:val="14"/>
        </w:rPr>
        <w:t> </w:t>
      </w:r>
      <w:r>
        <w:rPr/>
        <w:t>12</w:t>
      </w:r>
      <w:r>
        <w:rPr>
          <w:spacing w:val="16"/>
        </w:rPr>
        <w:t> </w:t>
      </w:r>
      <w:r>
        <w:rPr/>
        <w:t>in</w:t>
      </w:r>
      <w:r>
        <w:rPr>
          <w:spacing w:val="16"/>
        </w:rPr>
        <w:t> </w:t>
      </w:r>
      <w:r>
        <w:rPr/>
        <w:t>1901</w:t>
      </w:r>
      <w:r>
        <w:rPr>
          <w:spacing w:val="16"/>
        </w:rPr>
        <w:t> </w:t>
      </w:r>
      <w:r>
        <w:rPr/>
        <w:t>to</w:t>
      </w:r>
      <w:r>
        <w:rPr>
          <w:spacing w:val="16"/>
        </w:rPr>
        <w:t> </w:t>
      </w:r>
      <w:r>
        <w:rPr/>
        <w:t>39</w:t>
      </w:r>
      <w:r>
        <w:rPr>
          <w:spacing w:val="16"/>
        </w:rPr>
        <w:t> </w:t>
      </w:r>
      <w:r>
        <w:rPr/>
        <w:t>in</w:t>
      </w:r>
      <w:r>
        <w:rPr>
          <w:spacing w:val="16"/>
        </w:rPr>
        <w:t> </w:t>
      </w:r>
      <w:r>
        <w:rPr/>
        <w:t>1950</w:t>
      </w:r>
      <w:r>
        <w:rPr>
          <w:spacing w:val="16"/>
        </w:rPr>
        <w:t> </w:t>
      </w:r>
      <w:r>
        <w:rPr/>
        <w:t>and</w:t>
      </w:r>
      <w:r>
        <w:rPr>
          <w:spacing w:val="16"/>
        </w:rPr>
        <w:t> </w:t>
      </w:r>
      <w:r>
        <w:rPr/>
        <w:t>to</w:t>
      </w:r>
      <w:r>
        <w:rPr>
          <w:spacing w:val="16"/>
        </w:rPr>
        <w:t> </w:t>
      </w:r>
      <w:r>
        <w:rPr/>
        <w:t>55</w:t>
      </w:r>
      <w:r>
        <w:rPr>
          <w:spacing w:val="16"/>
        </w:rPr>
        <w:t> </w:t>
      </w:r>
      <w:r>
        <w:rPr/>
        <w:t>in</w:t>
      </w:r>
      <w:r>
        <w:rPr>
          <w:spacing w:val="16"/>
        </w:rPr>
        <w:t> </w:t>
      </w:r>
      <w:r>
        <w:rPr/>
        <w:t>1965.</w:t>
      </w:r>
      <w:r>
        <w:rPr>
          <w:spacing w:val="16"/>
        </w:rPr>
        <w:t> </w:t>
      </w:r>
      <w:r>
        <w:rPr/>
        <w:t>At</w:t>
      </w:r>
      <w:r>
        <w:rPr>
          <w:spacing w:val="16"/>
        </w:rPr>
        <w:t> </w:t>
      </w:r>
      <w:r>
        <w:rPr/>
        <w:t>the</w:t>
      </w:r>
      <w:r>
        <w:rPr>
          <w:spacing w:val="16"/>
        </w:rPr>
        <w:t> </w:t>
      </w:r>
      <w:r>
        <w:rPr/>
        <w:t>secondary</w:t>
      </w:r>
      <w:r>
        <w:rPr>
          <w:spacing w:val="16"/>
        </w:rPr>
        <w:t> </w:t>
      </w:r>
      <w:r>
        <w:rPr>
          <w:spacing w:val="-2"/>
        </w:rPr>
        <w:t>stage,</w:t>
      </w:r>
    </w:p>
    <w:p>
      <w:pPr>
        <w:pStyle w:val="BodyText"/>
        <w:ind w:left="159" w:right="496"/>
        <w:jc w:val="both"/>
      </w:pPr>
      <w:r>
        <w:rPr/>
        <w:t>the corresponding figures are 4 in 1901, 15 in 1950 and 26 in 1965. In higher education, their enrolment has increased from a mere 264 in 1901 to 40,000 in 1950 and to 240,000 in 1965. Education in mixed schools is being accepted more at the lower primary stage where 85 per cent of the girls enrolled are in mixed schools and at the higher primary stage where the proportion is 78 per cent. But there is still a considerable resistance to it</w:t>
      </w:r>
      <w:r>
        <w:rPr>
          <w:spacing w:val="40"/>
        </w:rPr>
        <w:t> </w:t>
      </w:r>
      <w:r>
        <w:rPr/>
        <w:t>at the secondary stage where only 40 per cent of the girls enrolled are in mixed schools. These resistances, however, soften down to some extent at the university stage.</w:t>
      </w:r>
    </w:p>
    <w:p>
      <w:pPr>
        <w:pStyle w:val="BodyText"/>
        <w:spacing w:before="4"/>
      </w:pPr>
    </w:p>
    <w:p>
      <w:pPr>
        <w:pStyle w:val="ListParagraph"/>
        <w:numPr>
          <w:ilvl w:val="1"/>
          <w:numId w:val="128"/>
        </w:numPr>
        <w:tabs>
          <w:tab w:pos="673" w:val="left" w:leader="none"/>
        </w:tabs>
        <w:spacing w:line="240" w:lineRule="auto" w:before="0" w:after="0"/>
        <w:ind w:left="159" w:right="496" w:firstLine="0"/>
        <w:jc w:val="both"/>
        <w:rPr>
          <w:b/>
          <w:sz w:val="24"/>
        </w:rPr>
      </w:pPr>
      <w:r>
        <w:rPr>
          <w:b/>
          <w:sz w:val="24"/>
        </w:rPr>
        <w:t>Recommendations. </w:t>
      </w:r>
      <w:r>
        <w:rPr>
          <w:sz w:val="24"/>
        </w:rPr>
        <w:t>The problem of women's education has in recent years been examined by a number of committees: the National Committee on the Education of Women under the chairmanship of Smt. Durgabai Deshmukh; the Committee on Differentiation of Curricula between Boys and Girls under the chairmanship of Smt. Hansa Mehta; and the Committee under the chairmanship of Shri M. Bhaktavatsalam which</w:t>
      </w:r>
      <w:r>
        <w:rPr>
          <w:spacing w:val="-1"/>
          <w:sz w:val="24"/>
        </w:rPr>
        <w:t> </w:t>
      </w:r>
      <w:r>
        <w:rPr>
          <w:sz w:val="24"/>
        </w:rPr>
        <w:t>studied</w:t>
      </w:r>
      <w:r>
        <w:rPr>
          <w:spacing w:val="-1"/>
          <w:sz w:val="24"/>
        </w:rPr>
        <w:t> </w:t>
      </w:r>
      <w:r>
        <w:rPr>
          <w:sz w:val="24"/>
        </w:rPr>
        <w:t>the</w:t>
      </w:r>
      <w:r>
        <w:rPr>
          <w:spacing w:val="-1"/>
          <w:sz w:val="24"/>
        </w:rPr>
        <w:t> </w:t>
      </w:r>
      <w:r>
        <w:rPr>
          <w:sz w:val="24"/>
        </w:rPr>
        <w:t>problem</w:t>
      </w:r>
      <w:r>
        <w:rPr>
          <w:spacing w:val="-3"/>
          <w:sz w:val="24"/>
        </w:rPr>
        <w:t> </w:t>
      </w:r>
      <w:r>
        <w:rPr>
          <w:sz w:val="24"/>
        </w:rPr>
        <w:t>in</w:t>
      </w:r>
      <w:r>
        <w:rPr>
          <w:spacing w:val="-1"/>
          <w:sz w:val="24"/>
        </w:rPr>
        <w:t> </w:t>
      </w:r>
      <w:r>
        <w:rPr>
          <w:sz w:val="24"/>
        </w:rPr>
        <w:t>the</w:t>
      </w:r>
      <w:r>
        <w:rPr>
          <w:spacing w:val="-1"/>
          <w:sz w:val="24"/>
        </w:rPr>
        <w:t> </w:t>
      </w:r>
      <w:r>
        <w:rPr>
          <w:sz w:val="24"/>
        </w:rPr>
        <w:t>six</w:t>
      </w:r>
      <w:r>
        <w:rPr>
          <w:spacing w:val="-3"/>
          <w:sz w:val="24"/>
        </w:rPr>
        <w:t> </w:t>
      </w:r>
      <w:r>
        <w:rPr>
          <w:sz w:val="24"/>
        </w:rPr>
        <w:t>States</w:t>
      </w:r>
      <w:r>
        <w:rPr>
          <w:spacing w:val="-2"/>
          <w:sz w:val="24"/>
        </w:rPr>
        <w:t> </w:t>
      </w:r>
      <w:r>
        <w:rPr>
          <w:sz w:val="24"/>
        </w:rPr>
        <w:t>where</w:t>
      </w:r>
      <w:r>
        <w:rPr>
          <w:spacing w:val="-1"/>
          <w:sz w:val="24"/>
        </w:rPr>
        <w:t> </w:t>
      </w:r>
      <w:r>
        <w:rPr>
          <w:sz w:val="24"/>
        </w:rPr>
        <w:t>the</w:t>
      </w:r>
      <w:r>
        <w:rPr>
          <w:spacing w:val="-1"/>
          <w:sz w:val="24"/>
        </w:rPr>
        <w:t> </w:t>
      </w:r>
      <w:r>
        <w:rPr>
          <w:sz w:val="24"/>
        </w:rPr>
        <w:t>education of</w:t>
      </w:r>
      <w:r>
        <w:rPr>
          <w:spacing w:val="-1"/>
          <w:sz w:val="24"/>
        </w:rPr>
        <w:t> </w:t>
      </w:r>
      <w:r>
        <w:rPr>
          <w:sz w:val="24"/>
        </w:rPr>
        <w:t>girls</w:t>
      </w:r>
      <w:r>
        <w:rPr>
          <w:spacing w:val="-1"/>
          <w:sz w:val="24"/>
        </w:rPr>
        <w:t> </w:t>
      </w:r>
      <w:r>
        <w:rPr>
          <w:sz w:val="24"/>
        </w:rPr>
        <w:t>is</w:t>
      </w:r>
      <w:r>
        <w:rPr>
          <w:spacing w:val="-1"/>
          <w:sz w:val="24"/>
        </w:rPr>
        <w:t> </w:t>
      </w:r>
      <w:r>
        <w:rPr>
          <w:sz w:val="24"/>
        </w:rPr>
        <w:t>less</w:t>
      </w:r>
      <w:r>
        <w:rPr>
          <w:spacing w:val="-1"/>
          <w:sz w:val="24"/>
        </w:rPr>
        <w:t> </w:t>
      </w:r>
      <w:r>
        <w:rPr>
          <w:sz w:val="24"/>
        </w:rPr>
        <w:t>developed. We fully endorse the recommendations of these Committees.</w:t>
      </w:r>
    </w:p>
    <w:p>
      <w:pPr>
        <w:spacing w:after="0" w:line="240" w:lineRule="auto"/>
        <w:jc w:val="both"/>
        <w:rPr>
          <w:sz w:val="24"/>
        </w:rPr>
        <w:sectPr>
          <w:pgSz w:w="12240" w:h="15840"/>
          <w:pgMar w:header="0" w:footer="743" w:top="1420" w:bottom="940" w:left="1640" w:right="1300"/>
        </w:sectPr>
      </w:pPr>
    </w:p>
    <w:p>
      <w:pPr>
        <w:pStyle w:val="ListParagraph"/>
        <w:numPr>
          <w:ilvl w:val="1"/>
          <w:numId w:val="128"/>
        </w:numPr>
        <w:tabs>
          <w:tab w:pos="642" w:val="left" w:leader="none"/>
        </w:tabs>
        <w:spacing w:line="240" w:lineRule="auto" w:before="76" w:after="0"/>
        <w:ind w:left="160" w:right="495" w:firstLine="0"/>
        <w:jc w:val="both"/>
        <w:rPr>
          <w:sz w:val="24"/>
        </w:rPr>
      </w:pPr>
      <w:r>
        <w:rPr>
          <w:sz w:val="24"/>
        </w:rPr>
        <w:t>In</w:t>
      </w:r>
      <w:r>
        <w:rPr>
          <w:spacing w:val="-1"/>
          <w:sz w:val="24"/>
        </w:rPr>
        <w:t> </w:t>
      </w:r>
      <w:r>
        <w:rPr>
          <w:sz w:val="24"/>
        </w:rPr>
        <w:t>our</w:t>
      </w:r>
      <w:r>
        <w:rPr>
          <w:spacing w:val="-1"/>
          <w:sz w:val="24"/>
        </w:rPr>
        <w:t> </w:t>
      </w:r>
      <w:r>
        <w:rPr>
          <w:sz w:val="24"/>
        </w:rPr>
        <w:t>opinion,</w:t>
      </w:r>
      <w:r>
        <w:rPr>
          <w:spacing w:val="-1"/>
          <w:sz w:val="24"/>
        </w:rPr>
        <w:t> </w:t>
      </w:r>
      <w:r>
        <w:rPr>
          <w:sz w:val="24"/>
        </w:rPr>
        <w:t>the</w:t>
      </w:r>
      <w:r>
        <w:rPr>
          <w:spacing w:val="-1"/>
          <w:sz w:val="24"/>
        </w:rPr>
        <w:t> </w:t>
      </w:r>
      <w:r>
        <w:rPr>
          <w:sz w:val="24"/>
        </w:rPr>
        <w:t>strategy</w:t>
      </w:r>
      <w:r>
        <w:rPr>
          <w:spacing w:val="-1"/>
          <w:sz w:val="24"/>
        </w:rPr>
        <w:t> </w:t>
      </w:r>
      <w:r>
        <w:rPr>
          <w:sz w:val="24"/>
        </w:rPr>
        <w:t>for</w:t>
      </w:r>
      <w:r>
        <w:rPr>
          <w:spacing w:val="-1"/>
          <w:sz w:val="24"/>
        </w:rPr>
        <w:t> </w:t>
      </w:r>
      <w:r>
        <w:rPr>
          <w:sz w:val="24"/>
        </w:rPr>
        <w:t>the</w:t>
      </w:r>
      <w:r>
        <w:rPr>
          <w:spacing w:val="-1"/>
          <w:sz w:val="24"/>
        </w:rPr>
        <w:t> </w:t>
      </w:r>
      <w:r>
        <w:rPr>
          <w:sz w:val="24"/>
        </w:rPr>
        <w:t>development</w:t>
      </w:r>
      <w:r>
        <w:rPr>
          <w:spacing w:val="-1"/>
          <w:sz w:val="24"/>
        </w:rPr>
        <w:t> </w:t>
      </w:r>
      <w:r>
        <w:rPr>
          <w:sz w:val="24"/>
        </w:rPr>
        <w:t>of</w:t>
      </w:r>
      <w:r>
        <w:rPr>
          <w:spacing w:val="-1"/>
          <w:sz w:val="24"/>
        </w:rPr>
        <w:t> </w:t>
      </w:r>
      <w:r>
        <w:rPr>
          <w:sz w:val="24"/>
        </w:rPr>
        <w:t>the</w:t>
      </w:r>
      <w:r>
        <w:rPr>
          <w:spacing w:val="-1"/>
          <w:sz w:val="24"/>
        </w:rPr>
        <w:t> </w:t>
      </w:r>
      <w:r>
        <w:rPr>
          <w:sz w:val="24"/>
        </w:rPr>
        <w:t>education</w:t>
      </w:r>
      <w:r>
        <w:rPr>
          <w:spacing w:val="-1"/>
          <w:sz w:val="24"/>
        </w:rPr>
        <w:t> </w:t>
      </w:r>
      <w:r>
        <w:rPr>
          <w:sz w:val="24"/>
        </w:rPr>
        <w:t>of</w:t>
      </w:r>
      <w:r>
        <w:rPr>
          <w:spacing w:val="-1"/>
          <w:sz w:val="24"/>
        </w:rPr>
        <w:t> </w:t>
      </w:r>
      <w:r>
        <w:rPr>
          <w:sz w:val="24"/>
        </w:rPr>
        <w:t>girls</w:t>
      </w:r>
      <w:r>
        <w:rPr>
          <w:spacing w:val="-1"/>
          <w:sz w:val="24"/>
        </w:rPr>
        <w:t> </w:t>
      </w:r>
      <w:r>
        <w:rPr>
          <w:sz w:val="24"/>
        </w:rPr>
        <w:t>and</w:t>
      </w:r>
      <w:r>
        <w:rPr>
          <w:spacing w:val="-1"/>
          <w:sz w:val="24"/>
        </w:rPr>
        <w:t> </w:t>
      </w:r>
      <w:r>
        <w:rPr>
          <w:sz w:val="24"/>
        </w:rPr>
        <w:t>women will have to take two forms. The first is to emphasize the `special' programmes recommended by the National Committee on Women's Education; and the second is to give attention to the education of girls at all stages and in all sectors as an integral part of the general programmes for the expansion and improvement of education. With regard to the first, we recommend that, as suggested by the National Committee, action should be taken on the following lines:</w:t>
      </w:r>
    </w:p>
    <w:p>
      <w:pPr>
        <w:pStyle w:val="BodyText"/>
        <w:spacing w:before="4"/>
      </w:pPr>
    </w:p>
    <w:p>
      <w:pPr>
        <w:pStyle w:val="ListParagraph"/>
        <w:numPr>
          <w:ilvl w:val="0"/>
          <w:numId w:val="130"/>
        </w:numPr>
        <w:tabs>
          <w:tab w:pos="513" w:val="left" w:leader="none"/>
        </w:tabs>
        <w:spacing w:line="240" w:lineRule="auto" w:before="0" w:after="0"/>
        <w:ind w:left="160" w:right="497" w:firstLine="0"/>
        <w:jc w:val="both"/>
        <w:rPr>
          <w:sz w:val="24"/>
        </w:rPr>
      </w:pPr>
      <w:r>
        <w:rPr>
          <w:sz w:val="24"/>
        </w:rPr>
        <w:t>The education of women should be regarded as a major programme in education for some years to come and a bold and determined effort should be made to face the difficulties involved and to close the existing gap between the education of men and women in as short a time as possible;</w:t>
      </w:r>
    </w:p>
    <w:p>
      <w:pPr>
        <w:pStyle w:val="BodyText"/>
        <w:spacing w:before="4"/>
      </w:pPr>
    </w:p>
    <w:p>
      <w:pPr>
        <w:pStyle w:val="ListParagraph"/>
        <w:numPr>
          <w:ilvl w:val="0"/>
          <w:numId w:val="130"/>
        </w:numPr>
        <w:tabs>
          <w:tab w:pos="511" w:val="left" w:leader="none"/>
        </w:tabs>
        <w:spacing w:line="240" w:lineRule="auto" w:before="0" w:after="0"/>
        <w:ind w:left="160" w:right="497" w:firstLine="0"/>
        <w:jc w:val="both"/>
        <w:rPr>
          <w:sz w:val="24"/>
        </w:rPr>
      </w:pPr>
      <w:r>
        <w:rPr>
          <w:sz w:val="24"/>
        </w:rPr>
        <w:t>Special schemes should be prepared for this purpose and the funds required for them should be provided on a priority basis; and</w:t>
      </w:r>
    </w:p>
    <w:p>
      <w:pPr>
        <w:pStyle w:val="BodyText"/>
        <w:spacing w:before="5"/>
      </w:pPr>
    </w:p>
    <w:p>
      <w:pPr>
        <w:pStyle w:val="ListParagraph"/>
        <w:numPr>
          <w:ilvl w:val="0"/>
          <w:numId w:val="130"/>
        </w:numPr>
        <w:tabs>
          <w:tab w:pos="506" w:val="left" w:leader="none"/>
        </w:tabs>
        <w:spacing w:line="240" w:lineRule="auto" w:before="0" w:after="0"/>
        <w:ind w:left="160" w:right="497" w:firstLine="0"/>
        <w:jc w:val="both"/>
        <w:rPr>
          <w:sz w:val="24"/>
        </w:rPr>
      </w:pPr>
      <w:r>
        <w:rPr>
          <w:sz w:val="24"/>
        </w:rPr>
        <w:t>Both at the Centre and in the States, there should be a special machinery to look after the education of girls and women. It should bring together officials and non-officials in the planning and implementation of programmes for women's education.</w:t>
      </w:r>
    </w:p>
    <w:p>
      <w:pPr>
        <w:pStyle w:val="BodyText"/>
        <w:spacing w:before="3"/>
      </w:pPr>
    </w:p>
    <w:p>
      <w:pPr>
        <w:pStyle w:val="BodyText"/>
        <w:spacing w:before="1"/>
        <w:ind w:left="160" w:right="497"/>
        <w:jc w:val="both"/>
      </w:pPr>
      <w:r>
        <w:rPr/>
        <w:t>These special programmes, by their very nature, are temporary and will have to be pursued only till the gap between the education of boys and girls is almost bridged. But they should not be made an excuse for neglecting the second aspect of the strategy, viz., giving</w:t>
      </w:r>
      <w:r>
        <w:rPr>
          <w:spacing w:val="-2"/>
        </w:rPr>
        <w:t> </w:t>
      </w:r>
      <w:r>
        <w:rPr/>
        <w:t>adequate</w:t>
      </w:r>
      <w:r>
        <w:rPr>
          <w:spacing w:val="-2"/>
        </w:rPr>
        <w:t> </w:t>
      </w:r>
      <w:r>
        <w:rPr/>
        <w:t>attention</w:t>
      </w:r>
      <w:r>
        <w:rPr>
          <w:spacing w:val="-2"/>
        </w:rPr>
        <w:t> </w:t>
      </w:r>
      <w:r>
        <w:rPr/>
        <w:t>to</w:t>
      </w:r>
      <w:r>
        <w:rPr>
          <w:spacing w:val="-2"/>
        </w:rPr>
        <w:t> </w:t>
      </w:r>
      <w:r>
        <w:rPr/>
        <w:t>the</w:t>
      </w:r>
      <w:r>
        <w:rPr>
          <w:spacing w:val="-2"/>
        </w:rPr>
        <w:t> </w:t>
      </w:r>
      <w:r>
        <w:rPr/>
        <w:t>education</w:t>
      </w:r>
      <w:r>
        <w:rPr>
          <w:spacing w:val="-2"/>
        </w:rPr>
        <w:t> </w:t>
      </w:r>
      <w:r>
        <w:rPr/>
        <w:t>of</w:t>
      </w:r>
      <w:r>
        <w:rPr>
          <w:spacing w:val="-2"/>
        </w:rPr>
        <w:t> </w:t>
      </w:r>
      <w:r>
        <w:rPr/>
        <w:t>girls</w:t>
      </w:r>
      <w:r>
        <w:rPr>
          <w:spacing w:val="-2"/>
        </w:rPr>
        <w:t> </w:t>
      </w:r>
      <w:r>
        <w:rPr/>
        <w:t>at</w:t>
      </w:r>
      <w:r>
        <w:rPr>
          <w:spacing w:val="-2"/>
        </w:rPr>
        <w:t> </w:t>
      </w:r>
      <w:r>
        <w:rPr/>
        <w:t>all</w:t>
      </w:r>
      <w:r>
        <w:rPr>
          <w:spacing w:val="-2"/>
        </w:rPr>
        <w:t> </w:t>
      </w:r>
      <w:r>
        <w:rPr/>
        <w:t>stages</w:t>
      </w:r>
      <w:r>
        <w:rPr>
          <w:spacing w:val="-2"/>
        </w:rPr>
        <w:t> </w:t>
      </w:r>
      <w:r>
        <w:rPr/>
        <w:t>and</w:t>
      </w:r>
      <w:r>
        <w:rPr>
          <w:spacing w:val="-2"/>
        </w:rPr>
        <w:t> </w:t>
      </w:r>
      <w:r>
        <w:rPr/>
        <w:t>in</w:t>
      </w:r>
      <w:r>
        <w:rPr>
          <w:spacing w:val="-2"/>
        </w:rPr>
        <w:t> </w:t>
      </w:r>
      <w:r>
        <w:rPr/>
        <w:t>all</w:t>
      </w:r>
      <w:r>
        <w:rPr>
          <w:spacing w:val="-2"/>
        </w:rPr>
        <w:t> </w:t>
      </w:r>
      <w:r>
        <w:rPr/>
        <w:t>sectors.</w:t>
      </w:r>
      <w:r>
        <w:rPr>
          <w:spacing w:val="-2"/>
        </w:rPr>
        <w:t> </w:t>
      </w:r>
      <w:r>
        <w:rPr/>
        <w:t>In</w:t>
      </w:r>
      <w:r>
        <w:rPr>
          <w:spacing w:val="-2"/>
        </w:rPr>
        <w:t> </w:t>
      </w:r>
      <w:r>
        <w:rPr/>
        <w:t>fact,</w:t>
      </w:r>
      <w:r>
        <w:rPr>
          <w:spacing w:val="-2"/>
        </w:rPr>
        <w:t> </w:t>
      </w:r>
      <w:r>
        <w:rPr/>
        <w:t>if this had been done right from the beginning, the need for special programmes would hardly have arisen. in our opinion, a stage has now been reached when intensive effort should be made to develop this aspect of the strategy so that the need for special programmes will disappear in the course of a few years.</w:t>
      </w:r>
    </w:p>
    <w:p>
      <w:pPr>
        <w:pStyle w:val="BodyText"/>
        <w:spacing w:before="3"/>
      </w:pPr>
    </w:p>
    <w:p>
      <w:pPr>
        <w:pStyle w:val="ListParagraph"/>
        <w:numPr>
          <w:ilvl w:val="1"/>
          <w:numId w:val="128"/>
        </w:numPr>
        <w:tabs>
          <w:tab w:pos="653" w:val="left" w:leader="none"/>
        </w:tabs>
        <w:spacing w:line="240" w:lineRule="auto" w:before="0" w:after="0"/>
        <w:ind w:left="160" w:right="496" w:firstLine="0"/>
        <w:jc w:val="both"/>
        <w:rPr>
          <w:sz w:val="24"/>
        </w:rPr>
      </w:pPr>
      <w:r>
        <w:rPr>
          <w:sz w:val="24"/>
        </w:rPr>
        <w:t>The role of women outside the home has become an important feature of the social and economic life of the country and in the years to come, this will assume large proportions affecting a majority of women. it will, therefore, be necessary to pay</w:t>
      </w:r>
      <w:r>
        <w:rPr>
          <w:spacing w:val="40"/>
          <w:sz w:val="24"/>
        </w:rPr>
        <w:t> </w:t>
      </w:r>
      <w:r>
        <w:rPr>
          <w:sz w:val="24"/>
        </w:rPr>
        <w:t>adequate attention to the problems of training and employment of women.</w:t>
      </w:r>
    </w:p>
    <w:p>
      <w:pPr>
        <w:pStyle w:val="BodyText"/>
        <w:spacing w:before="4"/>
      </w:pPr>
    </w:p>
    <w:p>
      <w:pPr>
        <w:pStyle w:val="ListParagraph"/>
        <w:numPr>
          <w:ilvl w:val="0"/>
          <w:numId w:val="131"/>
        </w:numPr>
        <w:tabs>
          <w:tab w:pos="499" w:val="left" w:leader="none"/>
        </w:tabs>
        <w:spacing w:line="240" w:lineRule="auto" w:before="0" w:after="0"/>
        <w:ind w:left="160" w:right="495" w:firstLine="0"/>
        <w:jc w:val="both"/>
        <w:rPr>
          <w:sz w:val="24"/>
        </w:rPr>
      </w:pPr>
      <w:r>
        <w:rPr>
          <w:sz w:val="24"/>
        </w:rPr>
        <w:t>An</w:t>
      </w:r>
      <w:r>
        <w:rPr>
          <w:spacing w:val="-2"/>
          <w:sz w:val="24"/>
        </w:rPr>
        <w:t> </w:t>
      </w:r>
      <w:r>
        <w:rPr>
          <w:sz w:val="24"/>
        </w:rPr>
        <w:t>important</w:t>
      </w:r>
      <w:r>
        <w:rPr>
          <w:spacing w:val="-2"/>
          <w:sz w:val="24"/>
        </w:rPr>
        <w:t> </w:t>
      </w:r>
      <w:r>
        <w:rPr>
          <w:sz w:val="24"/>
        </w:rPr>
        <w:t>problem</w:t>
      </w:r>
      <w:r>
        <w:rPr>
          <w:spacing w:val="-2"/>
          <w:sz w:val="24"/>
        </w:rPr>
        <w:t> </w:t>
      </w:r>
      <w:r>
        <w:rPr>
          <w:sz w:val="24"/>
        </w:rPr>
        <w:t>is</w:t>
      </w:r>
      <w:r>
        <w:rPr>
          <w:spacing w:val="-2"/>
          <w:sz w:val="24"/>
        </w:rPr>
        <w:t> </w:t>
      </w:r>
      <w:r>
        <w:rPr>
          <w:sz w:val="24"/>
        </w:rPr>
        <w:t>to</w:t>
      </w:r>
      <w:r>
        <w:rPr>
          <w:spacing w:val="-2"/>
          <w:sz w:val="24"/>
        </w:rPr>
        <w:t> </w:t>
      </w:r>
      <w:r>
        <w:rPr>
          <w:sz w:val="24"/>
        </w:rPr>
        <w:t>enable</w:t>
      </w:r>
      <w:r>
        <w:rPr>
          <w:spacing w:val="-2"/>
          <w:sz w:val="24"/>
        </w:rPr>
        <w:t> </w:t>
      </w:r>
      <w:r>
        <w:rPr>
          <w:sz w:val="24"/>
        </w:rPr>
        <w:t>women</w:t>
      </w:r>
      <w:r>
        <w:rPr>
          <w:spacing w:val="-2"/>
          <w:sz w:val="24"/>
        </w:rPr>
        <w:t> </w:t>
      </w:r>
      <w:r>
        <w:rPr>
          <w:sz w:val="24"/>
        </w:rPr>
        <w:t>to</w:t>
      </w:r>
      <w:r>
        <w:rPr>
          <w:spacing w:val="-2"/>
          <w:sz w:val="24"/>
        </w:rPr>
        <w:t> </w:t>
      </w:r>
      <w:r>
        <w:rPr>
          <w:sz w:val="24"/>
        </w:rPr>
        <w:t>carry</w:t>
      </w:r>
      <w:r>
        <w:rPr>
          <w:spacing w:val="-2"/>
          <w:sz w:val="24"/>
        </w:rPr>
        <w:t> </w:t>
      </w:r>
      <w:r>
        <w:rPr>
          <w:sz w:val="24"/>
        </w:rPr>
        <w:t>out</w:t>
      </w:r>
      <w:r>
        <w:rPr>
          <w:spacing w:val="-2"/>
          <w:sz w:val="24"/>
        </w:rPr>
        <w:t> </w:t>
      </w:r>
      <w:r>
        <w:rPr>
          <w:sz w:val="24"/>
        </w:rPr>
        <w:t>their</w:t>
      </w:r>
      <w:r>
        <w:rPr>
          <w:spacing w:val="-2"/>
          <w:sz w:val="24"/>
        </w:rPr>
        <w:t> </w:t>
      </w:r>
      <w:r>
        <w:rPr>
          <w:sz w:val="24"/>
        </w:rPr>
        <w:t>dual</w:t>
      </w:r>
      <w:r>
        <w:rPr>
          <w:spacing w:val="-2"/>
          <w:sz w:val="24"/>
        </w:rPr>
        <w:t> </w:t>
      </w:r>
      <w:r>
        <w:rPr>
          <w:sz w:val="24"/>
        </w:rPr>
        <w:t>role</w:t>
      </w:r>
      <w:r>
        <w:rPr>
          <w:spacing w:val="-2"/>
          <w:sz w:val="24"/>
        </w:rPr>
        <w:t> </w:t>
      </w:r>
      <w:r>
        <w:rPr>
          <w:sz w:val="24"/>
        </w:rPr>
        <w:t>of</w:t>
      </w:r>
      <w:r>
        <w:rPr>
          <w:spacing w:val="-2"/>
          <w:sz w:val="24"/>
        </w:rPr>
        <w:t> </w:t>
      </w:r>
      <w:r>
        <w:rPr>
          <w:sz w:val="24"/>
        </w:rPr>
        <w:t>home-making and following a suitable career. The Census of 1961 shows that there are at present more than a million young women, below the age of 24 and with a minimum qualification of matriculation, who are working only as housewives-and this number will increase still further in the days ahead. To enable these women to participate in programmes of</w:t>
      </w:r>
      <w:r>
        <w:rPr>
          <w:spacing w:val="40"/>
          <w:sz w:val="24"/>
        </w:rPr>
        <w:t> </w:t>
      </w:r>
      <w:r>
        <w:rPr>
          <w:sz w:val="24"/>
        </w:rPr>
        <w:t>national reconstruction, opportunities for part-time employment will have to be greatly increased. In addition, they will have to be drawn, wherever possible, into all types of nation-building activities on an honorary basis as well.</w:t>
      </w:r>
    </w:p>
    <w:p>
      <w:pPr>
        <w:pStyle w:val="BodyText"/>
        <w:spacing w:before="5"/>
      </w:pPr>
    </w:p>
    <w:p>
      <w:pPr>
        <w:pStyle w:val="ListParagraph"/>
        <w:numPr>
          <w:ilvl w:val="0"/>
          <w:numId w:val="131"/>
        </w:numPr>
        <w:tabs>
          <w:tab w:pos="520" w:val="left" w:leader="none"/>
        </w:tabs>
        <w:spacing w:line="240" w:lineRule="auto" w:before="0" w:after="0"/>
        <w:ind w:left="160" w:right="496" w:firstLine="0"/>
        <w:jc w:val="both"/>
        <w:rPr>
          <w:sz w:val="24"/>
        </w:rPr>
      </w:pPr>
      <w:r>
        <w:rPr>
          <w:sz w:val="24"/>
        </w:rPr>
        <w:t>Side by side, opportunities for full-time employment will also have to be expanded. As the age of marriage continues to rise, full-time employment will have to be provided for</w:t>
      </w:r>
      <w:r>
        <w:rPr>
          <w:spacing w:val="67"/>
          <w:sz w:val="24"/>
        </w:rPr>
        <w:t> </w:t>
      </w:r>
      <w:r>
        <w:rPr>
          <w:sz w:val="24"/>
        </w:rPr>
        <w:t>almost</w:t>
      </w:r>
      <w:r>
        <w:rPr>
          <w:spacing w:val="67"/>
          <w:sz w:val="24"/>
        </w:rPr>
        <w:t> </w:t>
      </w:r>
      <w:r>
        <w:rPr>
          <w:sz w:val="24"/>
        </w:rPr>
        <w:t>all</w:t>
      </w:r>
      <w:r>
        <w:rPr>
          <w:spacing w:val="67"/>
          <w:sz w:val="24"/>
        </w:rPr>
        <w:t> </w:t>
      </w:r>
      <w:r>
        <w:rPr>
          <w:sz w:val="24"/>
        </w:rPr>
        <w:t>young</w:t>
      </w:r>
      <w:r>
        <w:rPr>
          <w:spacing w:val="67"/>
          <w:sz w:val="24"/>
        </w:rPr>
        <w:t> </w:t>
      </w:r>
      <w:r>
        <w:rPr>
          <w:sz w:val="24"/>
        </w:rPr>
        <w:t>unmarried</w:t>
      </w:r>
      <w:r>
        <w:rPr>
          <w:spacing w:val="67"/>
          <w:sz w:val="24"/>
        </w:rPr>
        <w:t> </w:t>
      </w:r>
      <w:r>
        <w:rPr>
          <w:sz w:val="24"/>
        </w:rPr>
        <w:t>women.</w:t>
      </w:r>
      <w:r>
        <w:rPr>
          <w:spacing w:val="67"/>
          <w:sz w:val="24"/>
        </w:rPr>
        <w:t> </w:t>
      </w:r>
      <w:r>
        <w:rPr>
          <w:sz w:val="24"/>
        </w:rPr>
        <w:t>it</w:t>
      </w:r>
      <w:r>
        <w:rPr>
          <w:spacing w:val="67"/>
          <w:sz w:val="24"/>
        </w:rPr>
        <w:t> </w:t>
      </w:r>
      <w:r>
        <w:rPr>
          <w:sz w:val="24"/>
        </w:rPr>
        <w:t>may</w:t>
      </w:r>
      <w:r>
        <w:rPr>
          <w:spacing w:val="67"/>
          <w:sz w:val="24"/>
        </w:rPr>
        <w:t> </w:t>
      </w:r>
      <w:r>
        <w:rPr>
          <w:sz w:val="24"/>
        </w:rPr>
        <w:t>also</w:t>
      </w:r>
      <w:r>
        <w:rPr>
          <w:spacing w:val="67"/>
          <w:sz w:val="24"/>
        </w:rPr>
        <w:t> </w:t>
      </w:r>
      <w:r>
        <w:rPr>
          <w:sz w:val="24"/>
        </w:rPr>
        <w:t>be</w:t>
      </w:r>
      <w:r>
        <w:rPr>
          <w:spacing w:val="67"/>
          <w:sz w:val="24"/>
        </w:rPr>
        <w:t> </w:t>
      </w:r>
      <w:r>
        <w:rPr>
          <w:sz w:val="24"/>
        </w:rPr>
        <w:t>expected</w:t>
      </w:r>
      <w:r>
        <w:rPr>
          <w:spacing w:val="67"/>
          <w:sz w:val="24"/>
        </w:rPr>
        <w:t> </w:t>
      </w:r>
      <w:r>
        <w:rPr>
          <w:sz w:val="24"/>
        </w:rPr>
        <w:t>that,</w:t>
      </w:r>
      <w:r>
        <w:rPr>
          <w:spacing w:val="67"/>
          <w:sz w:val="24"/>
        </w:rPr>
        <w:t> </w:t>
      </w:r>
      <w:r>
        <w:rPr>
          <w:sz w:val="24"/>
        </w:rPr>
        <w:t>as</w:t>
      </w:r>
      <w:r>
        <w:rPr>
          <w:spacing w:val="67"/>
          <w:sz w:val="24"/>
        </w:rPr>
        <w:t> </w:t>
      </w:r>
      <w:r>
        <w:rPr>
          <w:sz w:val="24"/>
        </w:rPr>
        <w:t>in</w:t>
      </w:r>
      <w:r>
        <w:rPr>
          <w:spacing w:val="67"/>
          <w:sz w:val="24"/>
        </w:rPr>
        <w:t> </w:t>
      </w:r>
      <w:r>
        <w:rPr>
          <w:sz w:val="24"/>
        </w:rPr>
        <w:t>other</w:t>
      </w:r>
    </w:p>
    <w:p>
      <w:pPr>
        <w:spacing w:after="0" w:line="240" w:lineRule="auto"/>
        <w:jc w:val="both"/>
        <w:rPr>
          <w:sz w:val="24"/>
        </w:rPr>
        <w:sectPr>
          <w:pgSz w:w="12240" w:h="15840"/>
          <w:pgMar w:header="0" w:footer="743" w:top="1360" w:bottom="940" w:left="1640" w:right="1300"/>
        </w:sectPr>
      </w:pPr>
    </w:p>
    <w:p>
      <w:pPr>
        <w:pStyle w:val="BodyText"/>
        <w:spacing w:before="76"/>
        <w:ind w:left="159" w:right="495"/>
        <w:jc w:val="both"/>
      </w:pPr>
      <w:r>
        <w:rPr/>
        <w:t>countries, once their children reach a school-going age, women will have a great deal of time on their hands and will desire to spend it usefully by taking up full-time employment. This need also will have to be satisfactorily met. Teaching, nursing and social service are well-recognized areas where women can have a useful role to play. Opportunities</w:t>
      </w:r>
      <w:r>
        <w:rPr>
          <w:spacing w:val="-1"/>
        </w:rPr>
        <w:t> </w:t>
      </w:r>
      <w:r>
        <w:rPr/>
        <w:t>for</w:t>
      </w:r>
      <w:r>
        <w:rPr>
          <w:spacing w:val="-1"/>
        </w:rPr>
        <w:t> </w:t>
      </w:r>
      <w:r>
        <w:rPr/>
        <w:t>women</w:t>
      </w:r>
      <w:r>
        <w:rPr>
          <w:spacing w:val="-1"/>
        </w:rPr>
        <w:t> </w:t>
      </w:r>
      <w:r>
        <w:rPr/>
        <w:t>will</w:t>
      </w:r>
      <w:r>
        <w:rPr>
          <w:spacing w:val="-1"/>
        </w:rPr>
        <w:t> </w:t>
      </w:r>
      <w:r>
        <w:rPr/>
        <w:t>have</w:t>
      </w:r>
      <w:r>
        <w:rPr>
          <w:spacing w:val="-1"/>
        </w:rPr>
        <w:t> </w:t>
      </w:r>
      <w:r>
        <w:rPr/>
        <w:t>to</w:t>
      </w:r>
      <w:r>
        <w:rPr>
          <w:spacing w:val="-2"/>
        </w:rPr>
        <w:t> </w:t>
      </w:r>
      <w:r>
        <w:rPr/>
        <w:t>be</w:t>
      </w:r>
      <w:r>
        <w:rPr>
          <w:spacing w:val="-1"/>
        </w:rPr>
        <w:t> </w:t>
      </w:r>
      <w:r>
        <w:rPr/>
        <w:t>largely</w:t>
      </w:r>
      <w:r>
        <w:rPr>
          <w:spacing w:val="-2"/>
        </w:rPr>
        <w:t> </w:t>
      </w:r>
      <w:r>
        <w:rPr/>
        <w:t>expanded</w:t>
      </w:r>
      <w:r>
        <w:rPr>
          <w:spacing w:val="-1"/>
        </w:rPr>
        <w:t> </w:t>
      </w:r>
      <w:r>
        <w:rPr/>
        <w:t>in</w:t>
      </w:r>
      <w:r>
        <w:rPr>
          <w:spacing w:val="-1"/>
        </w:rPr>
        <w:t> </w:t>
      </w:r>
      <w:r>
        <w:rPr/>
        <w:t>these</w:t>
      </w:r>
      <w:r>
        <w:rPr>
          <w:spacing w:val="-1"/>
        </w:rPr>
        <w:t> </w:t>
      </w:r>
      <w:r>
        <w:rPr/>
        <w:t>fields</w:t>
      </w:r>
      <w:r>
        <w:rPr>
          <w:spacing w:val="-1"/>
        </w:rPr>
        <w:t> </w:t>
      </w:r>
      <w:r>
        <w:rPr/>
        <w:t>and</w:t>
      </w:r>
      <w:r>
        <w:rPr>
          <w:spacing w:val="-1"/>
        </w:rPr>
        <w:t> </w:t>
      </w:r>
      <w:r>
        <w:rPr/>
        <w:t>several</w:t>
      </w:r>
      <w:r>
        <w:rPr>
          <w:spacing w:val="-1"/>
        </w:rPr>
        <w:t> </w:t>
      </w:r>
      <w:r>
        <w:rPr/>
        <w:t>new avenues, covering almost all the different walks of life, will have to opened out.</w:t>
      </w:r>
    </w:p>
    <w:p>
      <w:pPr>
        <w:pStyle w:val="BodyText"/>
        <w:spacing w:before="4"/>
      </w:pPr>
    </w:p>
    <w:p>
      <w:pPr>
        <w:pStyle w:val="ListParagraph"/>
        <w:numPr>
          <w:ilvl w:val="1"/>
          <w:numId w:val="128"/>
        </w:numPr>
        <w:tabs>
          <w:tab w:pos="661" w:val="left" w:leader="none"/>
        </w:tabs>
        <w:spacing w:line="240" w:lineRule="auto" w:before="0" w:after="0"/>
        <w:ind w:left="160" w:right="496" w:firstLine="0"/>
        <w:jc w:val="both"/>
        <w:rPr>
          <w:sz w:val="24"/>
        </w:rPr>
      </w:pPr>
      <w:r>
        <w:rPr>
          <w:sz w:val="24"/>
        </w:rPr>
        <w:t>Our recommendations regarding different aspects of women's education have been given, in the appropriate context in this Report, along with those for the education </w:t>
      </w:r>
      <w:r>
        <w:rPr>
          <w:sz w:val="24"/>
        </w:rPr>
        <w:t>of </w:t>
      </w:r>
      <w:r>
        <w:rPr>
          <w:spacing w:val="-2"/>
          <w:sz w:val="24"/>
        </w:rPr>
        <w:t>boys.</w:t>
      </w:r>
    </w:p>
    <w:p>
      <w:pPr>
        <w:pStyle w:val="BodyText"/>
        <w:spacing w:before="6"/>
      </w:pPr>
    </w:p>
    <w:p>
      <w:pPr>
        <w:pStyle w:val="Heading1"/>
        <w:ind w:left="291"/>
      </w:pPr>
      <w:r>
        <w:rPr/>
        <w:t>EDUCATION</w:t>
      </w:r>
      <w:r>
        <w:rPr>
          <w:spacing w:val="-6"/>
        </w:rPr>
        <w:t> </w:t>
      </w:r>
      <w:r>
        <w:rPr/>
        <w:t>OR</w:t>
      </w:r>
      <w:r>
        <w:rPr>
          <w:spacing w:val="-5"/>
        </w:rPr>
        <w:t> </w:t>
      </w:r>
      <w:r>
        <w:rPr/>
        <w:t>SCHEDULED</w:t>
      </w:r>
      <w:r>
        <w:rPr>
          <w:spacing w:val="-5"/>
        </w:rPr>
        <w:t> </w:t>
      </w:r>
      <w:r>
        <w:rPr>
          <w:spacing w:val="-2"/>
        </w:rPr>
        <w:t>TRIBES</w:t>
      </w:r>
    </w:p>
    <w:p>
      <w:pPr>
        <w:pStyle w:val="BodyText"/>
        <w:spacing w:before="3"/>
        <w:rPr>
          <w:b/>
        </w:rPr>
      </w:pPr>
    </w:p>
    <w:p>
      <w:pPr>
        <w:pStyle w:val="ListParagraph"/>
        <w:numPr>
          <w:ilvl w:val="1"/>
          <w:numId w:val="128"/>
        </w:numPr>
        <w:tabs>
          <w:tab w:pos="666" w:val="left" w:leader="none"/>
        </w:tabs>
        <w:spacing w:line="240" w:lineRule="auto" w:before="0" w:after="0"/>
        <w:ind w:left="160" w:right="497" w:firstLine="0"/>
        <w:jc w:val="both"/>
        <w:rPr>
          <w:b/>
          <w:sz w:val="24"/>
        </w:rPr>
      </w:pPr>
      <w:r>
        <w:rPr>
          <w:b/>
          <w:sz w:val="24"/>
        </w:rPr>
        <w:t>The Problem. </w:t>
      </w:r>
      <w:r>
        <w:rPr>
          <w:sz w:val="24"/>
        </w:rPr>
        <w:t>It is necessary to pay special attention to the education of children from the backward classes which include the Scheduled Castes, the Scheduled Tribes, denotified communities and a few nomadic and semi-nomadic groups.</w:t>
      </w:r>
    </w:p>
    <w:p>
      <w:pPr>
        <w:pStyle w:val="BodyText"/>
        <w:spacing w:before="3"/>
      </w:pPr>
    </w:p>
    <w:p>
      <w:pPr>
        <w:pStyle w:val="ListParagraph"/>
        <w:numPr>
          <w:ilvl w:val="0"/>
          <w:numId w:val="132"/>
        </w:numPr>
        <w:tabs>
          <w:tab w:pos="540" w:val="left" w:leader="none"/>
        </w:tabs>
        <w:spacing w:line="240" w:lineRule="auto" w:before="0" w:after="0"/>
        <w:ind w:left="160" w:right="495" w:firstLine="0"/>
        <w:jc w:val="both"/>
        <w:rPr>
          <w:sz w:val="24"/>
        </w:rPr>
      </w:pPr>
      <w:r>
        <w:rPr>
          <w:sz w:val="24"/>
        </w:rPr>
        <w:t>In so far as the Scheduled Castes are concerned, the problem has become a little</w:t>
      </w:r>
      <w:r>
        <w:rPr>
          <w:spacing w:val="40"/>
          <w:sz w:val="24"/>
        </w:rPr>
        <w:t> </w:t>
      </w:r>
      <w:r>
        <w:rPr>
          <w:sz w:val="24"/>
        </w:rPr>
        <w:t>easier because of the diminution in the rigour of untouchability. For its early solution, however,</w:t>
      </w:r>
      <w:r>
        <w:rPr>
          <w:spacing w:val="-2"/>
          <w:sz w:val="24"/>
        </w:rPr>
        <w:t> </w:t>
      </w:r>
      <w:r>
        <w:rPr>
          <w:sz w:val="24"/>
        </w:rPr>
        <w:t>we</w:t>
      </w:r>
      <w:r>
        <w:rPr>
          <w:spacing w:val="-2"/>
          <w:sz w:val="24"/>
        </w:rPr>
        <w:t> </w:t>
      </w:r>
      <w:r>
        <w:rPr>
          <w:sz w:val="24"/>
        </w:rPr>
        <w:t>recommend</w:t>
      </w:r>
      <w:r>
        <w:rPr>
          <w:spacing w:val="-2"/>
          <w:sz w:val="24"/>
        </w:rPr>
        <w:t> </w:t>
      </w:r>
      <w:r>
        <w:rPr>
          <w:sz w:val="24"/>
        </w:rPr>
        <w:t>that</w:t>
      </w:r>
      <w:r>
        <w:rPr>
          <w:spacing w:val="-2"/>
          <w:sz w:val="24"/>
        </w:rPr>
        <w:t> </w:t>
      </w:r>
      <w:r>
        <w:rPr>
          <w:sz w:val="24"/>
        </w:rPr>
        <w:t>the</w:t>
      </w:r>
      <w:r>
        <w:rPr>
          <w:spacing w:val="-2"/>
          <w:sz w:val="24"/>
        </w:rPr>
        <w:t> </w:t>
      </w:r>
      <w:r>
        <w:rPr>
          <w:sz w:val="24"/>
        </w:rPr>
        <w:t>existing</w:t>
      </w:r>
      <w:r>
        <w:rPr>
          <w:spacing w:val="-2"/>
          <w:sz w:val="24"/>
        </w:rPr>
        <w:t> </w:t>
      </w:r>
      <w:r>
        <w:rPr>
          <w:sz w:val="24"/>
        </w:rPr>
        <w:t>programmes</w:t>
      </w:r>
      <w:r>
        <w:rPr>
          <w:spacing w:val="-2"/>
          <w:sz w:val="24"/>
        </w:rPr>
        <w:t> </w:t>
      </w:r>
      <w:r>
        <w:rPr>
          <w:sz w:val="24"/>
        </w:rPr>
        <w:t>for</w:t>
      </w:r>
      <w:r>
        <w:rPr>
          <w:spacing w:val="-2"/>
          <w:sz w:val="24"/>
        </w:rPr>
        <w:t> </w:t>
      </w:r>
      <w:r>
        <w:rPr>
          <w:sz w:val="24"/>
        </w:rPr>
        <w:t>the</w:t>
      </w:r>
      <w:r>
        <w:rPr>
          <w:spacing w:val="-2"/>
          <w:sz w:val="24"/>
        </w:rPr>
        <w:t> </w:t>
      </w:r>
      <w:r>
        <w:rPr>
          <w:sz w:val="24"/>
        </w:rPr>
        <w:t>education</w:t>
      </w:r>
      <w:r>
        <w:rPr>
          <w:spacing w:val="-4"/>
          <w:sz w:val="24"/>
        </w:rPr>
        <w:t> </w:t>
      </w:r>
      <w:r>
        <w:rPr>
          <w:sz w:val="24"/>
        </w:rPr>
        <w:t>of</w:t>
      </w:r>
      <w:r>
        <w:rPr>
          <w:spacing w:val="-3"/>
          <w:sz w:val="24"/>
        </w:rPr>
        <w:t> </w:t>
      </w:r>
      <w:r>
        <w:rPr>
          <w:sz w:val="24"/>
        </w:rPr>
        <w:t>the</w:t>
      </w:r>
      <w:r>
        <w:rPr>
          <w:spacing w:val="-2"/>
          <w:sz w:val="24"/>
        </w:rPr>
        <w:t> </w:t>
      </w:r>
      <w:r>
        <w:rPr>
          <w:sz w:val="24"/>
        </w:rPr>
        <w:t>Scheduled Castes should continue and be expanded.</w:t>
      </w:r>
    </w:p>
    <w:p>
      <w:pPr>
        <w:pStyle w:val="BodyText"/>
        <w:spacing w:before="4"/>
      </w:pPr>
    </w:p>
    <w:p>
      <w:pPr>
        <w:pStyle w:val="ListParagraph"/>
        <w:numPr>
          <w:ilvl w:val="0"/>
          <w:numId w:val="132"/>
        </w:numPr>
        <w:tabs>
          <w:tab w:pos="516" w:val="left" w:leader="none"/>
        </w:tabs>
        <w:spacing w:line="240" w:lineRule="auto" w:before="0" w:after="0"/>
        <w:ind w:left="159" w:right="492" w:firstLine="0"/>
        <w:jc w:val="both"/>
        <w:rPr>
          <w:sz w:val="24"/>
        </w:rPr>
      </w:pPr>
      <w:r>
        <w:rPr>
          <w:sz w:val="24"/>
        </w:rPr>
        <w:t>With regard to the last category, it may be stated that there are several nomadic and semi-nomadic groups in the country whose educational needs have been hitherto neglected almost completely. It will not be easy to provide educational facilities for such groups.</w:t>
      </w:r>
      <w:r>
        <w:rPr>
          <w:spacing w:val="-1"/>
          <w:sz w:val="24"/>
        </w:rPr>
        <w:t> </w:t>
      </w:r>
      <w:r>
        <w:rPr>
          <w:sz w:val="24"/>
        </w:rPr>
        <w:t>To</w:t>
      </w:r>
      <w:r>
        <w:rPr>
          <w:spacing w:val="-1"/>
          <w:sz w:val="24"/>
        </w:rPr>
        <w:t> </w:t>
      </w:r>
      <w:r>
        <w:rPr>
          <w:sz w:val="24"/>
        </w:rPr>
        <w:t>the</w:t>
      </w:r>
      <w:r>
        <w:rPr>
          <w:spacing w:val="-1"/>
          <w:sz w:val="24"/>
        </w:rPr>
        <w:t> </w:t>
      </w:r>
      <w:r>
        <w:rPr>
          <w:sz w:val="24"/>
        </w:rPr>
        <w:t>extent</w:t>
      </w:r>
      <w:r>
        <w:rPr>
          <w:spacing w:val="-1"/>
          <w:sz w:val="24"/>
        </w:rPr>
        <w:t> </w:t>
      </w:r>
      <w:r>
        <w:rPr>
          <w:sz w:val="24"/>
        </w:rPr>
        <w:t>possible,</w:t>
      </w:r>
      <w:r>
        <w:rPr>
          <w:spacing w:val="-1"/>
          <w:sz w:val="24"/>
        </w:rPr>
        <w:t> </w:t>
      </w:r>
      <w:r>
        <w:rPr>
          <w:sz w:val="24"/>
        </w:rPr>
        <w:t>such</w:t>
      </w:r>
      <w:r>
        <w:rPr>
          <w:spacing w:val="-1"/>
          <w:sz w:val="24"/>
        </w:rPr>
        <w:t> </w:t>
      </w:r>
      <w:r>
        <w:rPr>
          <w:sz w:val="24"/>
        </w:rPr>
        <w:t>groups</w:t>
      </w:r>
      <w:r>
        <w:rPr>
          <w:spacing w:val="-1"/>
          <w:sz w:val="24"/>
        </w:rPr>
        <w:t> </w:t>
      </w:r>
      <w:r>
        <w:rPr>
          <w:sz w:val="24"/>
        </w:rPr>
        <w:t>have</w:t>
      </w:r>
      <w:r>
        <w:rPr>
          <w:spacing w:val="-7"/>
          <w:sz w:val="24"/>
        </w:rPr>
        <w:t> </w:t>
      </w:r>
      <w:r>
        <w:rPr>
          <w:sz w:val="24"/>
        </w:rPr>
        <w:t>to</w:t>
      </w:r>
      <w:r>
        <w:rPr>
          <w:spacing w:val="-1"/>
          <w:sz w:val="24"/>
        </w:rPr>
        <w:t> </w:t>
      </w:r>
      <w:r>
        <w:rPr>
          <w:sz w:val="24"/>
        </w:rPr>
        <w:t>be</w:t>
      </w:r>
      <w:r>
        <w:rPr>
          <w:spacing w:val="-1"/>
          <w:sz w:val="24"/>
        </w:rPr>
        <w:t> </w:t>
      </w:r>
      <w:r>
        <w:rPr>
          <w:sz w:val="24"/>
        </w:rPr>
        <w:t>assisted</w:t>
      </w:r>
      <w:r>
        <w:rPr>
          <w:spacing w:val="-1"/>
          <w:sz w:val="24"/>
        </w:rPr>
        <w:t> </w:t>
      </w:r>
      <w:r>
        <w:rPr>
          <w:sz w:val="24"/>
        </w:rPr>
        <w:t>in</w:t>
      </w:r>
      <w:r>
        <w:rPr>
          <w:spacing w:val="-1"/>
          <w:sz w:val="24"/>
        </w:rPr>
        <w:t> </w:t>
      </w:r>
      <w:r>
        <w:rPr>
          <w:sz w:val="24"/>
        </w:rPr>
        <w:t>developing</w:t>
      </w:r>
      <w:r>
        <w:rPr>
          <w:spacing w:val="-1"/>
          <w:sz w:val="24"/>
        </w:rPr>
        <w:t> </w:t>
      </w:r>
      <w:r>
        <w:rPr>
          <w:sz w:val="24"/>
        </w:rPr>
        <w:t>more</w:t>
      </w:r>
      <w:r>
        <w:rPr>
          <w:spacing w:val="-1"/>
          <w:sz w:val="24"/>
        </w:rPr>
        <w:t> </w:t>
      </w:r>
      <w:r>
        <w:rPr>
          <w:sz w:val="24"/>
        </w:rPr>
        <w:t>settled ways of living. This calls for a degree of fundamental reorganization in their economy</w:t>
      </w:r>
      <w:r>
        <w:rPr>
          <w:spacing w:val="40"/>
          <w:sz w:val="24"/>
        </w:rPr>
        <w:t> </w:t>
      </w:r>
      <w:r>
        <w:rPr>
          <w:sz w:val="24"/>
        </w:rPr>
        <w:t>and their way of life and, therefore, for close study of their problems with a view to evolving</w:t>
      </w:r>
      <w:r>
        <w:rPr>
          <w:spacing w:val="-1"/>
          <w:sz w:val="24"/>
        </w:rPr>
        <w:t> </w:t>
      </w:r>
      <w:r>
        <w:rPr>
          <w:sz w:val="24"/>
        </w:rPr>
        <w:t>solutions</w:t>
      </w:r>
      <w:r>
        <w:rPr>
          <w:spacing w:val="-1"/>
          <w:sz w:val="24"/>
        </w:rPr>
        <w:t> </w:t>
      </w:r>
      <w:r>
        <w:rPr>
          <w:sz w:val="24"/>
        </w:rPr>
        <w:t>which</w:t>
      </w:r>
      <w:r>
        <w:rPr>
          <w:spacing w:val="-1"/>
          <w:sz w:val="24"/>
        </w:rPr>
        <w:t> </w:t>
      </w:r>
      <w:r>
        <w:rPr>
          <w:sz w:val="24"/>
        </w:rPr>
        <w:t>will</w:t>
      </w:r>
      <w:r>
        <w:rPr>
          <w:spacing w:val="-1"/>
          <w:sz w:val="24"/>
        </w:rPr>
        <w:t> </w:t>
      </w:r>
      <w:r>
        <w:rPr>
          <w:sz w:val="24"/>
        </w:rPr>
        <w:t>meet</w:t>
      </w:r>
      <w:r>
        <w:rPr>
          <w:spacing w:val="-1"/>
          <w:sz w:val="24"/>
        </w:rPr>
        <w:t> </w:t>
      </w:r>
      <w:r>
        <w:rPr>
          <w:sz w:val="24"/>
        </w:rPr>
        <w:t>their</w:t>
      </w:r>
      <w:r>
        <w:rPr>
          <w:spacing w:val="-1"/>
          <w:sz w:val="24"/>
        </w:rPr>
        <w:t> </w:t>
      </w:r>
      <w:r>
        <w:rPr>
          <w:sz w:val="24"/>
        </w:rPr>
        <w:t>needs</w:t>
      </w:r>
      <w:r>
        <w:rPr>
          <w:spacing w:val="-4"/>
          <w:sz w:val="24"/>
        </w:rPr>
        <w:t> </w:t>
      </w:r>
      <w:r>
        <w:rPr>
          <w:sz w:val="24"/>
        </w:rPr>
        <w:t>and</w:t>
      </w:r>
      <w:r>
        <w:rPr>
          <w:spacing w:val="-1"/>
          <w:sz w:val="24"/>
        </w:rPr>
        <w:t> </w:t>
      </w:r>
      <w:r>
        <w:rPr>
          <w:sz w:val="24"/>
        </w:rPr>
        <w:t>secure</w:t>
      </w:r>
      <w:r>
        <w:rPr>
          <w:spacing w:val="-1"/>
          <w:sz w:val="24"/>
        </w:rPr>
        <w:t> </w:t>
      </w:r>
      <w:r>
        <w:rPr>
          <w:sz w:val="24"/>
        </w:rPr>
        <w:t>their</w:t>
      </w:r>
      <w:r>
        <w:rPr>
          <w:spacing w:val="-1"/>
          <w:sz w:val="24"/>
        </w:rPr>
        <w:t> </w:t>
      </w:r>
      <w:r>
        <w:rPr>
          <w:sz w:val="24"/>
        </w:rPr>
        <w:t>cooperation.</w:t>
      </w:r>
      <w:r>
        <w:rPr>
          <w:spacing w:val="-1"/>
          <w:sz w:val="24"/>
        </w:rPr>
        <w:t> </w:t>
      </w:r>
      <w:r>
        <w:rPr>
          <w:sz w:val="24"/>
        </w:rPr>
        <w:t>While</w:t>
      </w:r>
      <w:r>
        <w:rPr>
          <w:spacing w:val="-1"/>
          <w:sz w:val="24"/>
        </w:rPr>
        <w:t> </w:t>
      </w:r>
      <w:r>
        <w:rPr>
          <w:sz w:val="24"/>
        </w:rPr>
        <w:t>such</w:t>
      </w:r>
      <w:r>
        <w:rPr>
          <w:spacing w:val="-1"/>
          <w:sz w:val="24"/>
        </w:rPr>
        <w:t> </w:t>
      </w:r>
      <w:r>
        <w:rPr>
          <w:sz w:val="24"/>
        </w:rPr>
        <w:t>a process of change would only be carried out over several years, efforts have to be made</w:t>
      </w:r>
      <w:r>
        <w:rPr>
          <w:spacing w:val="40"/>
          <w:sz w:val="24"/>
        </w:rPr>
        <w:t> </w:t>
      </w:r>
      <w:r>
        <w:rPr>
          <w:sz w:val="24"/>
        </w:rPr>
        <w:t>to provide marketing, credit, health and educational facilities in a mobile form wherever there are sizable nomadic groups. Similar facilities are required for communities which migrate from their homes for several months in the year.</w:t>
      </w:r>
    </w:p>
    <w:p>
      <w:pPr>
        <w:pStyle w:val="BodyText"/>
        <w:spacing w:before="4"/>
      </w:pPr>
    </w:p>
    <w:p>
      <w:pPr>
        <w:pStyle w:val="ListParagraph"/>
        <w:numPr>
          <w:ilvl w:val="0"/>
          <w:numId w:val="132"/>
        </w:numPr>
        <w:tabs>
          <w:tab w:pos="499" w:val="left" w:leader="none"/>
        </w:tabs>
        <w:spacing w:line="240" w:lineRule="auto" w:before="0" w:after="0"/>
        <w:ind w:left="159" w:right="495" w:firstLine="0"/>
        <w:jc w:val="both"/>
        <w:rPr>
          <w:sz w:val="24"/>
        </w:rPr>
      </w:pPr>
      <w:r>
        <w:rPr>
          <w:sz w:val="24"/>
        </w:rPr>
        <w:t>The</w:t>
      </w:r>
      <w:r>
        <w:rPr>
          <w:spacing w:val="-2"/>
          <w:sz w:val="24"/>
        </w:rPr>
        <w:t> </w:t>
      </w:r>
      <w:r>
        <w:rPr>
          <w:sz w:val="24"/>
        </w:rPr>
        <w:t>problem</w:t>
      </w:r>
      <w:r>
        <w:rPr>
          <w:spacing w:val="-4"/>
          <w:sz w:val="24"/>
        </w:rPr>
        <w:t> </w:t>
      </w:r>
      <w:r>
        <w:rPr>
          <w:sz w:val="24"/>
        </w:rPr>
        <w:t>of</w:t>
      </w:r>
      <w:r>
        <w:rPr>
          <w:spacing w:val="-3"/>
          <w:sz w:val="24"/>
        </w:rPr>
        <w:t> </w:t>
      </w:r>
      <w:r>
        <w:rPr>
          <w:sz w:val="24"/>
        </w:rPr>
        <w:t>denotified</w:t>
      </w:r>
      <w:r>
        <w:rPr>
          <w:spacing w:val="-2"/>
          <w:sz w:val="24"/>
        </w:rPr>
        <w:t> </w:t>
      </w:r>
      <w:r>
        <w:rPr>
          <w:sz w:val="24"/>
        </w:rPr>
        <w:t>communities</w:t>
      </w:r>
      <w:r>
        <w:rPr>
          <w:spacing w:val="-2"/>
          <w:sz w:val="24"/>
        </w:rPr>
        <w:t> </w:t>
      </w:r>
      <w:r>
        <w:rPr>
          <w:sz w:val="24"/>
        </w:rPr>
        <w:t>is</w:t>
      </w:r>
      <w:r>
        <w:rPr>
          <w:spacing w:val="-4"/>
          <w:sz w:val="24"/>
        </w:rPr>
        <w:t> </w:t>
      </w:r>
      <w:r>
        <w:rPr>
          <w:sz w:val="24"/>
        </w:rPr>
        <w:t>small</w:t>
      </w:r>
      <w:r>
        <w:rPr>
          <w:spacing w:val="-2"/>
          <w:sz w:val="24"/>
        </w:rPr>
        <w:t> </w:t>
      </w:r>
      <w:r>
        <w:rPr>
          <w:sz w:val="24"/>
        </w:rPr>
        <w:t>in</w:t>
      </w:r>
      <w:r>
        <w:rPr>
          <w:spacing w:val="-2"/>
          <w:sz w:val="24"/>
        </w:rPr>
        <w:t> </w:t>
      </w:r>
      <w:r>
        <w:rPr>
          <w:sz w:val="24"/>
        </w:rPr>
        <w:t>magnitude,</w:t>
      </w:r>
      <w:r>
        <w:rPr>
          <w:spacing w:val="-2"/>
          <w:sz w:val="24"/>
        </w:rPr>
        <w:t> </w:t>
      </w:r>
      <w:r>
        <w:rPr>
          <w:sz w:val="24"/>
        </w:rPr>
        <w:t>but</w:t>
      </w:r>
      <w:r>
        <w:rPr>
          <w:spacing w:val="-2"/>
          <w:sz w:val="24"/>
        </w:rPr>
        <w:t> </w:t>
      </w:r>
      <w:r>
        <w:rPr>
          <w:sz w:val="24"/>
        </w:rPr>
        <w:t>extremely</w:t>
      </w:r>
      <w:r>
        <w:rPr>
          <w:spacing w:val="-2"/>
          <w:sz w:val="24"/>
        </w:rPr>
        <w:t> </w:t>
      </w:r>
      <w:r>
        <w:rPr>
          <w:sz w:val="24"/>
        </w:rPr>
        <w:t>difficult. Patient work over years is needed. Provision of hostels where the children from these communities can live and grow up in a proper atmosphere is probably the best solution in the long run. In this section, we shall deal mainly with the education of the Scheduled Tribes which, in our opinion, deserve special emphasis.</w:t>
      </w:r>
    </w:p>
    <w:p>
      <w:pPr>
        <w:spacing w:after="0" w:line="240" w:lineRule="auto"/>
        <w:jc w:val="both"/>
        <w:rPr>
          <w:sz w:val="24"/>
        </w:rPr>
        <w:sectPr>
          <w:pgSz w:w="12240" w:h="15840"/>
          <w:pgMar w:header="0" w:footer="743" w:top="1360" w:bottom="940" w:left="1640" w:right="1300"/>
        </w:sectPr>
      </w:pPr>
    </w:p>
    <w:p>
      <w:pPr>
        <w:pStyle w:val="ListParagraph"/>
        <w:numPr>
          <w:ilvl w:val="1"/>
          <w:numId w:val="128"/>
        </w:numPr>
        <w:tabs>
          <w:tab w:pos="647" w:val="left" w:leader="none"/>
        </w:tabs>
        <w:spacing w:line="240" w:lineRule="auto" w:before="116" w:after="0"/>
        <w:ind w:left="160" w:right="497" w:firstLine="0"/>
        <w:jc w:val="both"/>
        <w:rPr>
          <w:sz w:val="24"/>
        </w:rPr>
      </w:pPr>
      <w:r>
        <w:rPr>
          <w:sz w:val="24"/>
        </w:rPr>
        <w:t>Tribal people</w:t>
      </w:r>
      <w:r>
        <w:rPr>
          <w:b/>
          <w:sz w:val="24"/>
          <w:vertAlign w:val="superscript"/>
        </w:rPr>
        <w:t>56</w:t>
      </w:r>
      <w:r>
        <w:rPr>
          <w:b/>
          <w:sz w:val="24"/>
          <w:vertAlign w:val="baseline"/>
        </w:rPr>
        <w:t> </w:t>
      </w:r>
      <w:r>
        <w:rPr>
          <w:sz w:val="24"/>
          <w:vertAlign w:val="baseline"/>
        </w:rPr>
        <w:t>generally live in forest areas which are difficult of access and where conditions of life can be very trying. Some of them live in small concentrations in the midst of a non-tribal population; but the larger proportion of tribal people live in areas which are predominantly inhabited by the tribals themselves. Examples of these are groups of districts in Madhya Pradesh, Bihar, Orissa, the hill districts of Assam and other areas in the North-Eastern region.</w:t>
      </w:r>
    </w:p>
    <w:p>
      <w:pPr>
        <w:pStyle w:val="BodyText"/>
        <w:spacing w:before="4"/>
      </w:pPr>
    </w:p>
    <w:p>
      <w:pPr>
        <w:pStyle w:val="ListParagraph"/>
        <w:numPr>
          <w:ilvl w:val="1"/>
          <w:numId w:val="128"/>
        </w:numPr>
        <w:tabs>
          <w:tab w:pos="673" w:val="left" w:leader="none"/>
        </w:tabs>
        <w:spacing w:line="240" w:lineRule="auto" w:before="0" w:after="0"/>
        <w:ind w:left="673" w:right="0" w:hanging="513"/>
        <w:jc w:val="both"/>
        <w:rPr>
          <w:sz w:val="24"/>
        </w:rPr>
      </w:pPr>
      <w:r>
        <w:rPr>
          <w:sz w:val="24"/>
        </w:rPr>
        <w:t>The</w:t>
      </w:r>
      <w:r>
        <w:rPr>
          <w:spacing w:val="32"/>
          <w:sz w:val="24"/>
        </w:rPr>
        <w:t> </w:t>
      </w:r>
      <w:r>
        <w:rPr>
          <w:sz w:val="24"/>
        </w:rPr>
        <w:t>problem</w:t>
      </w:r>
      <w:r>
        <w:rPr>
          <w:spacing w:val="31"/>
          <w:sz w:val="24"/>
        </w:rPr>
        <w:t> </w:t>
      </w:r>
      <w:r>
        <w:rPr>
          <w:sz w:val="24"/>
        </w:rPr>
        <w:t>is</w:t>
      </w:r>
      <w:r>
        <w:rPr>
          <w:spacing w:val="33"/>
          <w:sz w:val="24"/>
        </w:rPr>
        <w:t> </w:t>
      </w:r>
      <w:r>
        <w:rPr>
          <w:sz w:val="24"/>
        </w:rPr>
        <w:t>comparatively</w:t>
      </w:r>
      <w:r>
        <w:rPr>
          <w:spacing w:val="32"/>
          <w:sz w:val="24"/>
        </w:rPr>
        <w:t> </w:t>
      </w:r>
      <w:r>
        <w:rPr>
          <w:sz w:val="24"/>
        </w:rPr>
        <w:t>simple</w:t>
      </w:r>
      <w:r>
        <w:rPr>
          <w:spacing w:val="33"/>
          <w:sz w:val="24"/>
        </w:rPr>
        <w:t> </w:t>
      </w:r>
      <w:r>
        <w:rPr>
          <w:sz w:val="24"/>
        </w:rPr>
        <w:t>in</w:t>
      </w:r>
      <w:r>
        <w:rPr>
          <w:spacing w:val="34"/>
          <w:sz w:val="24"/>
        </w:rPr>
        <w:t> </w:t>
      </w:r>
      <w:r>
        <w:rPr>
          <w:sz w:val="24"/>
        </w:rPr>
        <w:t>the</w:t>
      </w:r>
      <w:r>
        <w:rPr>
          <w:spacing w:val="32"/>
          <w:sz w:val="24"/>
        </w:rPr>
        <w:t> </w:t>
      </w:r>
      <w:r>
        <w:rPr>
          <w:sz w:val="24"/>
        </w:rPr>
        <w:t>former</w:t>
      </w:r>
      <w:r>
        <w:rPr>
          <w:spacing w:val="33"/>
          <w:sz w:val="24"/>
        </w:rPr>
        <w:t> </w:t>
      </w:r>
      <w:r>
        <w:rPr>
          <w:sz w:val="24"/>
        </w:rPr>
        <w:t>case</w:t>
      </w:r>
      <w:r>
        <w:rPr>
          <w:spacing w:val="33"/>
          <w:sz w:val="24"/>
        </w:rPr>
        <w:t> </w:t>
      </w:r>
      <w:r>
        <w:rPr>
          <w:sz w:val="24"/>
        </w:rPr>
        <w:t>where</w:t>
      </w:r>
      <w:r>
        <w:rPr>
          <w:spacing w:val="32"/>
          <w:sz w:val="24"/>
        </w:rPr>
        <w:t> </w:t>
      </w:r>
      <w:r>
        <w:rPr>
          <w:sz w:val="24"/>
        </w:rPr>
        <w:t>the</w:t>
      </w:r>
      <w:r>
        <w:rPr>
          <w:spacing w:val="33"/>
          <w:sz w:val="24"/>
        </w:rPr>
        <w:t> </w:t>
      </w:r>
      <w:r>
        <w:rPr>
          <w:sz w:val="24"/>
        </w:rPr>
        <w:t>tribals</w:t>
      </w:r>
      <w:r>
        <w:rPr>
          <w:spacing w:val="33"/>
          <w:sz w:val="24"/>
        </w:rPr>
        <w:t> </w:t>
      </w:r>
      <w:r>
        <w:rPr>
          <w:sz w:val="24"/>
        </w:rPr>
        <w:t>live</w:t>
      </w:r>
      <w:r>
        <w:rPr>
          <w:spacing w:val="33"/>
          <w:sz w:val="24"/>
        </w:rPr>
        <w:t> </w:t>
      </w:r>
      <w:r>
        <w:rPr>
          <w:spacing w:val="-5"/>
          <w:sz w:val="24"/>
        </w:rPr>
        <w:t>in</w:t>
      </w:r>
    </w:p>
    <w:p>
      <w:pPr>
        <w:pStyle w:val="BodyText"/>
        <w:ind w:left="160" w:right="496"/>
        <w:jc w:val="both"/>
      </w:pPr>
      <w:r>
        <w:rPr/>
        <w:t>`small pockets' or they are mixed up as it were with the rest of the population and constitute a smaller part. In such cases, special attention will have to be paid to the needs of the tribals to ensure that they receive a fair share of the benefits of educational development. But the situation becomes uniquely challenging in the predominantly tribal areas because here is presented an ideal opportunity for an integrated development to which we referred earlier.</w:t>
      </w:r>
      <w:r>
        <w:rPr>
          <w:b/>
          <w:vertAlign w:val="superscript"/>
        </w:rPr>
        <w:t>57</w:t>
      </w:r>
      <w:r>
        <w:rPr>
          <w:b/>
          <w:vertAlign w:val="baseline"/>
        </w:rPr>
        <w:t> </w:t>
      </w:r>
      <w:r>
        <w:rPr>
          <w:vertAlign w:val="baseline"/>
        </w:rPr>
        <w:t>In all these areas, three tasks stand out above all others.</w:t>
      </w:r>
      <w:r>
        <w:rPr>
          <w:spacing w:val="40"/>
          <w:vertAlign w:val="baseline"/>
        </w:rPr>
        <w:t> </w:t>
      </w:r>
      <w:r>
        <w:rPr>
          <w:vertAlign w:val="baseline"/>
        </w:rPr>
        <w:t>These are, firstly, development of communications; secondly, transformation of the present system of shifting cultivation into a developing agricultural economy, including care of forests, improved systems of shifting cultivation, settled cultivation and pasture; and thirdly, development of a system of education related to the scheme of economic and social development and responsive to the cultural and economic needs of the people.</w:t>
      </w:r>
    </w:p>
    <w:p>
      <w:pPr>
        <w:pStyle w:val="BodyText"/>
        <w:spacing w:before="4"/>
      </w:pPr>
    </w:p>
    <w:p>
      <w:pPr>
        <w:pStyle w:val="ListParagraph"/>
        <w:numPr>
          <w:ilvl w:val="1"/>
          <w:numId w:val="128"/>
        </w:numPr>
        <w:tabs>
          <w:tab w:pos="647" w:val="left" w:leader="none"/>
        </w:tabs>
        <w:spacing w:line="240" w:lineRule="auto" w:before="0" w:after="0"/>
        <w:ind w:left="160" w:right="497" w:firstLine="0"/>
        <w:jc w:val="both"/>
        <w:rPr>
          <w:sz w:val="24"/>
        </w:rPr>
      </w:pPr>
      <w:r>
        <w:rPr>
          <w:sz w:val="24"/>
        </w:rPr>
        <w:t>The problems of education among the tribals have received a good deal of attention in recent years. They were examined in detail by the Commission on Scheduled Areas and Scheduled Tribes under the chairmanship of Shri U. N. Dhebar. They were also discussed in two seminars organized by the Planning Commission in New Delhi and by the NCERT at Udaipur. We broadly agree with their re-commendations.</w:t>
      </w:r>
    </w:p>
    <w:p>
      <w:pPr>
        <w:pStyle w:val="BodyText"/>
        <w:spacing w:before="5"/>
      </w:pPr>
    </w:p>
    <w:p>
      <w:pPr>
        <w:pStyle w:val="ListParagraph"/>
        <w:numPr>
          <w:ilvl w:val="1"/>
          <w:numId w:val="128"/>
        </w:numPr>
        <w:tabs>
          <w:tab w:pos="661" w:val="left" w:leader="none"/>
        </w:tabs>
        <w:spacing w:line="240" w:lineRule="auto" w:before="0" w:after="0"/>
        <w:ind w:left="159" w:right="496" w:firstLine="0"/>
        <w:jc w:val="both"/>
        <w:rPr>
          <w:b/>
          <w:sz w:val="24"/>
        </w:rPr>
      </w:pPr>
      <w:r>
        <w:rPr>
          <w:b/>
          <w:sz w:val="24"/>
        </w:rPr>
        <w:t>Present Position. </w:t>
      </w:r>
      <w:r>
        <w:rPr>
          <w:sz w:val="24"/>
        </w:rPr>
        <w:t>The latest available statistics for the education of the Scheduled Tribes are for 1960-61 and have been summarized in Table 6.16. The principal object of the table to compare the education of the Scheduled Tribes with that of the general population of the</w:t>
      </w:r>
      <w:r>
        <w:rPr>
          <w:spacing w:val="-1"/>
          <w:sz w:val="24"/>
        </w:rPr>
        <w:t> </w:t>
      </w:r>
      <w:r>
        <w:rPr>
          <w:sz w:val="24"/>
        </w:rPr>
        <w:t>State. For instance,</w:t>
      </w:r>
      <w:r>
        <w:rPr>
          <w:spacing w:val="-1"/>
          <w:sz w:val="24"/>
        </w:rPr>
        <w:t> </w:t>
      </w:r>
      <w:r>
        <w:rPr>
          <w:sz w:val="24"/>
        </w:rPr>
        <w:t>if the proportion</w:t>
      </w:r>
      <w:r>
        <w:rPr>
          <w:spacing w:val="-1"/>
          <w:sz w:val="24"/>
        </w:rPr>
        <w:t> </w:t>
      </w:r>
      <w:r>
        <w:rPr>
          <w:sz w:val="24"/>
        </w:rPr>
        <w:t>of the Scheduled</w:t>
      </w:r>
      <w:r>
        <w:rPr>
          <w:spacing w:val="-1"/>
          <w:sz w:val="24"/>
        </w:rPr>
        <w:t> </w:t>
      </w:r>
      <w:r>
        <w:rPr>
          <w:sz w:val="24"/>
        </w:rPr>
        <w:t>Tribes population in Madhya Pradesh is 20.6 per cent, and if their educational progress were the same as that of the general population, we should expect that the percentage of enrolment would also be the same. But this is never the case. In some cases (e.g. , primary education in Assam), the enrolment of tribal children is greater than that of the general populations,</w:t>
      </w:r>
      <w:r>
        <w:rPr>
          <w:b/>
          <w:sz w:val="24"/>
          <w:vertAlign w:val="superscript"/>
        </w:rPr>
        <w:t>58</w:t>
      </w:r>
      <w:r>
        <w:rPr>
          <w:b/>
          <w:sz w:val="24"/>
          <w:vertAlign w:val="baseline"/>
        </w:rPr>
        <w:t> </w:t>
      </w:r>
      <w:r>
        <w:rPr>
          <w:sz w:val="24"/>
          <w:vertAlign w:val="baseline"/>
        </w:rPr>
        <w:t>showing thereby that the tribals are a little more educationally advanced than the average citizen. On the other hand, the percentage of their enrolment is very much lower in most areas and shows the extent of their educational backwardness.</w:t>
      </w:r>
    </w:p>
    <w:p>
      <w:pPr>
        <w:spacing w:line="242" w:lineRule="auto" w:before="247"/>
        <w:ind w:left="160" w:right="496" w:firstLine="0"/>
        <w:jc w:val="both"/>
        <w:rPr>
          <w:sz w:val="20"/>
        </w:rPr>
      </w:pPr>
      <w:r>
        <w:rPr>
          <w:b/>
          <w:position w:val="11"/>
          <w:sz w:val="16"/>
        </w:rPr>
        <w:t>56</w:t>
      </w:r>
      <w:r>
        <w:rPr>
          <w:sz w:val="20"/>
        </w:rPr>
        <w:t>We are not very happy with the word `tribal'. It has certain overtones which are resented, and rightly so, by the tribal people. We recommend that the Government of India should adopt a suitable alternative</w:t>
      </w:r>
      <w:r>
        <w:rPr>
          <w:spacing w:val="40"/>
          <w:sz w:val="20"/>
        </w:rPr>
        <w:t> </w:t>
      </w:r>
      <w:r>
        <w:rPr>
          <w:sz w:val="20"/>
        </w:rPr>
        <w:t>phrase to describe these brethren of ours In the meanwhile, we have reluctantly retained the use of the</w:t>
      </w:r>
      <w:r>
        <w:rPr>
          <w:spacing w:val="40"/>
          <w:sz w:val="20"/>
        </w:rPr>
        <w:t> </w:t>
      </w:r>
      <w:r>
        <w:rPr>
          <w:spacing w:val="-2"/>
          <w:sz w:val="20"/>
        </w:rPr>
        <w:t>word.</w:t>
      </w:r>
    </w:p>
    <w:p>
      <w:pPr>
        <w:pStyle w:val="BodyText"/>
        <w:spacing w:before="48"/>
        <w:rPr>
          <w:sz w:val="20"/>
        </w:rPr>
      </w:pPr>
    </w:p>
    <w:p>
      <w:pPr>
        <w:pStyle w:val="BodyText"/>
        <w:ind w:left="160"/>
        <w:jc w:val="both"/>
      </w:pPr>
      <w:r>
        <w:rPr>
          <w:b/>
          <w:vertAlign w:val="superscript"/>
        </w:rPr>
        <w:t>57</w:t>
      </w:r>
      <w:r>
        <w:rPr>
          <w:vertAlign w:val="baseline"/>
        </w:rPr>
        <w:t>Chapter</w:t>
      </w:r>
      <w:r>
        <w:rPr>
          <w:spacing w:val="-9"/>
          <w:vertAlign w:val="baseline"/>
        </w:rPr>
        <w:t> </w:t>
      </w:r>
      <w:r>
        <w:rPr>
          <w:spacing w:val="-5"/>
          <w:vertAlign w:val="baseline"/>
        </w:rPr>
        <w:t>V.</w:t>
      </w:r>
    </w:p>
    <w:p>
      <w:pPr>
        <w:spacing w:line="247" w:lineRule="auto" w:before="245"/>
        <w:ind w:left="159" w:right="498" w:firstLine="0"/>
        <w:jc w:val="both"/>
        <w:rPr>
          <w:sz w:val="20"/>
        </w:rPr>
      </w:pPr>
      <w:r>
        <w:rPr>
          <w:b/>
          <w:position w:val="11"/>
          <w:sz w:val="16"/>
        </w:rPr>
        <w:t>58</w:t>
      </w:r>
      <w:r>
        <w:rPr>
          <w:sz w:val="20"/>
        </w:rPr>
        <w:t>This does not mean that all tribes are equally advanced. Even in Assam, there are extremely backward tribes like Mikirs and educationally advanced tribes like the Mizos.</w:t>
      </w:r>
    </w:p>
    <w:p>
      <w:pPr>
        <w:spacing w:after="0" w:line="247" w:lineRule="auto"/>
        <w:jc w:val="both"/>
        <w:rPr>
          <w:sz w:val="20"/>
        </w:rPr>
        <w:sectPr>
          <w:pgSz w:w="12240" w:h="15840"/>
          <w:pgMar w:header="0" w:footer="743" w:top="1320" w:bottom="940" w:left="1640" w:right="1300"/>
        </w:sectPr>
      </w:pPr>
    </w:p>
    <w:p>
      <w:pPr>
        <w:pStyle w:val="BodyText"/>
        <w:spacing w:before="76"/>
        <w:ind w:left="159" w:right="495"/>
        <w:jc w:val="both"/>
      </w:pPr>
      <w:r>
        <w:rPr/>
        <w:t>It will be seen from Table 6.16 that the education of tribals is relatively better developed at the lower primary stage only in some States, e.g., Assam, Gujarat or Maharashtra.</w:t>
      </w:r>
      <w:r>
        <w:rPr>
          <w:spacing w:val="40"/>
        </w:rPr>
        <w:t> </w:t>
      </w:r>
      <w:r>
        <w:rPr/>
        <w:t>Even at this stage, the position is far from happy in States like Madhya Pradesh or Rajasthan. There is a sudden drop in enrolments after the lower primary stage in all parts of the country- This shows that the wastage among the tribals is much greater than in the population as a whole. The principal weakness in tribal education is really in the age- group 11- 17 or higher primary and lower secondary education where the programme of scholarships and other assistance is not adequately development and in our where talent</w:t>
      </w:r>
      <w:r>
        <w:rPr>
          <w:spacing w:val="80"/>
        </w:rPr>
        <w:t> </w:t>
      </w:r>
      <w:r>
        <w:rPr/>
        <w:t>is either eliminated or remains underdeveloped and, in our opinion , it is this area to which greater attention will have to be paid in the future. There is a slight improvement</w:t>
      </w:r>
      <w:r>
        <w:rPr>
          <w:spacing w:val="40"/>
        </w:rPr>
        <w:t> </w:t>
      </w:r>
      <w:r>
        <w:rPr/>
        <w:t>of enrolments in higher education because of the Central programme of scholarships. Vocational education is obviously more popular with the tribal students everywhere. The tribals have a natural aptitude for such practical programmes and these deserve every </w:t>
      </w:r>
      <w:r>
        <w:rPr>
          <w:spacing w:val="-2"/>
        </w:rPr>
        <w:t>encouragement.</w:t>
      </w:r>
    </w:p>
    <w:p>
      <w:pPr>
        <w:pStyle w:val="BodyText"/>
        <w:spacing w:before="5"/>
      </w:pPr>
    </w:p>
    <w:p>
      <w:pPr>
        <w:pStyle w:val="ListParagraph"/>
        <w:numPr>
          <w:ilvl w:val="1"/>
          <w:numId w:val="128"/>
        </w:numPr>
        <w:tabs>
          <w:tab w:pos="640" w:val="left" w:leader="none"/>
        </w:tabs>
        <w:spacing w:line="240" w:lineRule="auto" w:before="1" w:after="0"/>
        <w:ind w:left="640" w:right="0" w:hanging="480"/>
        <w:jc w:val="left"/>
        <w:rPr>
          <w:sz w:val="24"/>
        </w:rPr>
      </w:pPr>
      <w:r>
        <w:rPr>
          <w:sz w:val="24"/>
        </w:rPr>
        <w:t>Primary</w:t>
      </w:r>
      <w:r>
        <w:rPr>
          <w:spacing w:val="-1"/>
          <w:sz w:val="24"/>
        </w:rPr>
        <w:t> </w:t>
      </w:r>
      <w:r>
        <w:rPr>
          <w:sz w:val="24"/>
        </w:rPr>
        <w:t>Education.</w:t>
      </w:r>
      <w:r>
        <w:rPr>
          <w:spacing w:val="-3"/>
          <w:sz w:val="24"/>
        </w:rPr>
        <w:t> </w:t>
      </w:r>
      <w:r>
        <w:rPr>
          <w:sz w:val="24"/>
        </w:rPr>
        <w:t>Intensive</w:t>
      </w:r>
      <w:r>
        <w:rPr>
          <w:spacing w:val="-1"/>
          <w:sz w:val="24"/>
        </w:rPr>
        <w:t> </w:t>
      </w:r>
      <w:r>
        <w:rPr>
          <w:sz w:val="24"/>
        </w:rPr>
        <w:t>efforts</w:t>
      </w:r>
      <w:r>
        <w:rPr>
          <w:spacing w:val="-1"/>
          <w:sz w:val="24"/>
        </w:rPr>
        <w:t> </w:t>
      </w:r>
      <w:r>
        <w:rPr>
          <w:sz w:val="24"/>
        </w:rPr>
        <w:t>will</w:t>
      </w:r>
      <w:r>
        <w:rPr>
          <w:spacing w:val="-1"/>
          <w:sz w:val="24"/>
        </w:rPr>
        <w:t> </w:t>
      </w:r>
      <w:r>
        <w:rPr>
          <w:sz w:val="24"/>
        </w:rPr>
        <w:t>have</w:t>
      </w:r>
      <w:r>
        <w:rPr>
          <w:spacing w:val="-1"/>
          <w:sz w:val="24"/>
        </w:rPr>
        <w:t> </w:t>
      </w:r>
      <w:r>
        <w:rPr>
          <w:sz w:val="24"/>
        </w:rPr>
        <w:t>to</w:t>
      </w:r>
      <w:r>
        <w:rPr>
          <w:spacing w:val="-1"/>
          <w:sz w:val="24"/>
        </w:rPr>
        <w:t> </w:t>
      </w:r>
      <w:r>
        <w:rPr>
          <w:sz w:val="24"/>
        </w:rPr>
        <w:t>be</w:t>
      </w:r>
      <w:r>
        <w:rPr>
          <w:spacing w:val="-1"/>
          <w:sz w:val="24"/>
        </w:rPr>
        <w:t> </w:t>
      </w:r>
      <w:r>
        <w:rPr>
          <w:spacing w:val="-4"/>
          <w:sz w:val="24"/>
        </w:rPr>
        <w:t>made</w:t>
      </w:r>
    </w:p>
    <w:p>
      <w:pPr>
        <w:pStyle w:val="BodyText"/>
        <w:spacing w:before="2"/>
      </w:pPr>
    </w:p>
    <w:p>
      <w:pPr>
        <w:spacing w:before="0"/>
        <w:ind w:left="292" w:right="629" w:firstLine="0"/>
        <w:jc w:val="center"/>
        <w:rPr>
          <w:sz w:val="20"/>
        </w:rPr>
      </w:pPr>
      <w:r>
        <w:rPr>
          <w:sz w:val="20"/>
        </w:rPr>
        <w:t>TABLE</w:t>
      </w:r>
      <w:r>
        <w:rPr>
          <w:spacing w:val="-6"/>
          <w:sz w:val="20"/>
        </w:rPr>
        <w:t> </w:t>
      </w:r>
      <w:r>
        <w:rPr>
          <w:sz w:val="20"/>
        </w:rPr>
        <w:t>6.16</w:t>
      </w:r>
      <w:r>
        <w:rPr>
          <w:spacing w:val="-2"/>
          <w:sz w:val="20"/>
        </w:rPr>
        <w:t> </w:t>
      </w:r>
      <w:r>
        <w:rPr>
          <w:sz w:val="20"/>
        </w:rPr>
        <w:t>EDUCATION</w:t>
      </w:r>
      <w:r>
        <w:rPr>
          <w:spacing w:val="-4"/>
          <w:sz w:val="20"/>
        </w:rPr>
        <w:t> </w:t>
      </w:r>
      <w:r>
        <w:rPr>
          <w:sz w:val="20"/>
        </w:rPr>
        <w:t>AMONG</w:t>
      </w:r>
      <w:r>
        <w:rPr>
          <w:spacing w:val="-3"/>
          <w:sz w:val="20"/>
        </w:rPr>
        <w:t> </w:t>
      </w:r>
      <w:r>
        <w:rPr>
          <w:sz w:val="20"/>
        </w:rPr>
        <w:t>THE</w:t>
      </w:r>
      <w:r>
        <w:rPr>
          <w:spacing w:val="-4"/>
          <w:sz w:val="20"/>
        </w:rPr>
        <w:t> </w:t>
      </w:r>
      <w:r>
        <w:rPr>
          <w:sz w:val="20"/>
        </w:rPr>
        <w:t>SCHEDULED</w:t>
      </w:r>
      <w:r>
        <w:rPr>
          <w:spacing w:val="-3"/>
          <w:sz w:val="20"/>
        </w:rPr>
        <w:t> </w:t>
      </w:r>
      <w:r>
        <w:rPr>
          <w:sz w:val="20"/>
        </w:rPr>
        <w:t>TRIBES</w:t>
      </w:r>
      <w:r>
        <w:rPr>
          <w:spacing w:val="-3"/>
          <w:sz w:val="20"/>
        </w:rPr>
        <w:t> </w:t>
      </w:r>
      <w:r>
        <w:rPr>
          <w:spacing w:val="-2"/>
          <w:sz w:val="20"/>
        </w:rPr>
        <w:t>(1961)</w:t>
      </w:r>
    </w:p>
    <w:p>
      <w:pPr>
        <w:pStyle w:val="BodyText"/>
        <w:spacing w:before="1"/>
        <w:rPr>
          <w:sz w:val="15"/>
        </w:rPr>
      </w:pPr>
      <w:r>
        <w:rPr/>
        <mc:AlternateContent>
          <mc:Choice Requires="wps">
            <w:drawing>
              <wp:anchor distT="0" distB="0" distL="0" distR="0" allowOverlap="1" layoutInCell="1" locked="0" behindDoc="1" simplePos="0" relativeHeight="487636480">
                <wp:simplePos x="0" y="0"/>
                <wp:positionH relativeFrom="page">
                  <wp:posOffset>1143000</wp:posOffset>
                </wp:positionH>
                <wp:positionV relativeFrom="paragraph">
                  <wp:posOffset>125995</wp:posOffset>
                </wp:positionV>
                <wp:extent cx="5486400" cy="19050"/>
                <wp:effectExtent l="0" t="0" r="0" b="0"/>
                <wp:wrapTopAndBottom/>
                <wp:docPr id="536" name="Group 536"/>
                <wp:cNvGraphicFramePr>
                  <a:graphicFrameLocks/>
                </wp:cNvGraphicFramePr>
                <a:graphic>
                  <a:graphicData uri="http://schemas.microsoft.com/office/word/2010/wordprocessingGroup">
                    <wpg:wgp>
                      <wpg:cNvPr id="536" name="Group 536"/>
                      <wpg:cNvGrpSpPr/>
                      <wpg:grpSpPr>
                        <a:xfrm>
                          <a:off x="0" y="0"/>
                          <a:ext cx="5486400" cy="19050"/>
                          <a:chExt cx="5486400" cy="19050"/>
                        </a:xfrm>
                      </wpg:grpSpPr>
                      <wps:wsp>
                        <wps:cNvPr id="537" name="Graphic 537"/>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38" name="Graphic 538"/>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39" name="Graphic 539"/>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40" name="Graphic 540"/>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41" name="Graphic 541"/>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42" name="Graphic 542"/>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43" name="Graphic 543"/>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20878pt;width:432pt;height:1.5pt;mso-position-horizontal-relative:page;mso-position-vertical-relative:paragraph;z-index:-15680000;mso-wrap-distance-left:0;mso-wrap-distance-right:0" id="docshapegroup514" coordorigin="1800,198" coordsize="8640,30">
                <v:rect style="position:absolute;left:1800;top:198;width:8640;height:30" id="docshape515" filled="true" fillcolor="#808080" stroked="false">
                  <v:fill type="solid"/>
                </v:rect>
                <v:shape style="position:absolute;left:1800;top:198;width:8636;height:5" id="docshape516" coordorigin="1800,198" coordsize="8636,5" path="m10435,198l1805,198,1800,198,1800,203,1805,203,10435,203,10435,198xe" filled="true" fillcolor="#aca89a" stroked="false">
                  <v:path arrowok="t"/>
                  <v:fill type="solid"/>
                </v:shape>
                <v:rect style="position:absolute;left:10435;top:198;width:5;height:5" id="docshape517" filled="true" fillcolor="#f1efe2" stroked="false">
                  <v:fill type="solid"/>
                </v:rect>
                <v:shape style="position:absolute;left:1800;top:198;width:8640;height:26" id="docshape518" coordorigin="1800,198" coordsize="8640,26" path="m1805,203l1800,203,1800,224,1805,224,1805,203xm10440,198l10435,198,10435,203,10440,203,10440,198xe" filled="true" fillcolor="#aca89a" stroked="false">
                  <v:path arrowok="t"/>
                  <v:fill type="solid"/>
                </v:shape>
                <v:rect style="position:absolute;left:10435;top:203;width:5;height:21" id="docshape519" filled="true" fillcolor="#f1efe2" stroked="false">
                  <v:fill type="solid"/>
                </v:rect>
                <v:rect style="position:absolute;left:1800;top:223;width:5;height:5" id="docshape520" filled="true" fillcolor="#aca89a" stroked="false">
                  <v:fill type="solid"/>
                </v:rect>
                <v:shape style="position:absolute;left:1800;top:223;width:8640;height:5" id="docshape521" coordorigin="1800,224" coordsize="8640,5" path="m10440,224l10435,224,1800,224,1800,228,10435,228,10440,228,10440,224xe" filled="true" fillcolor="#f1efe2" stroked="false">
                  <v:path arrowok="t"/>
                  <v:fill type="solid"/>
                </v:shape>
                <w10:wrap type="topAndBottom"/>
              </v:group>
            </w:pict>
          </mc:Fallback>
        </mc:AlternateContent>
      </w:r>
    </w:p>
    <w:p>
      <w:pPr>
        <w:tabs>
          <w:tab w:pos="4181" w:val="left" w:leader="none"/>
        </w:tabs>
        <w:spacing w:before="47"/>
        <w:ind w:left="1992" w:right="1047" w:firstLine="0"/>
        <w:jc w:val="left"/>
        <w:rPr>
          <w:sz w:val="16"/>
        </w:rPr>
      </w:pPr>
      <w:r>
        <w:rPr>
          <w:sz w:val="16"/>
        </w:rPr>
        <w:t>Percentage</w:t>
      </w:r>
      <w:r>
        <w:rPr>
          <w:spacing w:val="-3"/>
          <w:sz w:val="16"/>
        </w:rPr>
        <w:t> </w:t>
      </w:r>
      <w:r>
        <w:rPr>
          <w:sz w:val="16"/>
        </w:rPr>
        <w:t>of</w:t>
        <w:tab/>
        <w:t>Percentage</w:t>
      </w:r>
      <w:r>
        <w:rPr>
          <w:spacing w:val="-6"/>
          <w:sz w:val="16"/>
        </w:rPr>
        <w:t> </w:t>
      </w:r>
      <w:r>
        <w:rPr>
          <w:sz w:val="16"/>
        </w:rPr>
        <w:t>of</w:t>
      </w:r>
      <w:r>
        <w:rPr>
          <w:spacing w:val="-4"/>
          <w:sz w:val="16"/>
        </w:rPr>
        <w:t> </w:t>
      </w:r>
      <w:r>
        <w:rPr>
          <w:sz w:val="16"/>
        </w:rPr>
        <w:t>enrolment</w:t>
      </w:r>
      <w:r>
        <w:rPr>
          <w:spacing w:val="-5"/>
          <w:sz w:val="16"/>
        </w:rPr>
        <w:t> </w:t>
      </w:r>
      <w:r>
        <w:rPr>
          <w:sz w:val="16"/>
        </w:rPr>
        <w:t>of</w:t>
      </w:r>
      <w:r>
        <w:rPr>
          <w:spacing w:val="-5"/>
          <w:sz w:val="16"/>
        </w:rPr>
        <w:t> </w:t>
      </w:r>
      <w:r>
        <w:rPr>
          <w:sz w:val="16"/>
        </w:rPr>
        <w:t>Scheduled</w:t>
      </w:r>
      <w:r>
        <w:rPr>
          <w:spacing w:val="-5"/>
          <w:sz w:val="16"/>
        </w:rPr>
        <w:t> </w:t>
      </w:r>
      <w:r>
        <w:rPr>
          <w:sz w:val="16"/>
        </w:rPr>
        <w:t>Tribes</w:t>
      </w:r>
      <w:r>
        <w:rPr>
          <w:spacing w:val="-6"/>
          <w:sz w:val="16"/>
        </w:rPr>
        <w:t> </w:t>
      </w:r>
      <w:r>
        <w:rPr>
          <w:sz w:val="16"/>
        </w:rPr>
        <w:t>to</w:t>
      </w:r>
      <w:r>
        <w:rPr>
          <w:spacing w:val="-6"/>
          <w:sz w:val="16"/>
        </w:rPr>
        <w:t> </w:t>
      </w:r>
      <w:r>
        <w:rPr>
          <w:sz w:val="16"/>
        </w:rPr>
        <w:t>total</w:t>
      </w:r>
      <w:r>
        <w:rPr>
          <w:spacing w:val="-6"/>
          <w:sz w:val="16"/>
        </w:rPr>
        <w:t> </w:t>
      </w:r>
      <w:r>
        <w:rPr>
          <w:sz w:val="16"/>
        </w:rPr>
        <w:t>enrolment</w:t>
      </w:r>
      <w:r>
        <w:rPr>
          <w:spacing w:val="40"/>
          <w:sz w:val="16"/>
        </w:rPr>
        <w:t> </w:t>
      </w:r>
      <w:r>
        <w:rPr>
          <w:spacing w:val="-2"/>
          <w:sz w:val="16"/>
        </w:rPr>
        <w:t>Scheduled</w:t>
      </w:r>
    </w:p>
    <w:p>
      <w:pPr>
        <w:tabs>
          <w:tab w:pos="1993" w:val="left" w:leader="none"/>
          <w:tab w:pos="2909" w:val="left" w:leader="none"/>
          <w:tab w:pos="2950" w:val="left" w:leader="none"/>
          <w:tab w:pos="5654" w:val="left" w:leader="none"/>
          <w:tab w:pos="6571" w:val="left" w:leader="none"/>
          <w:tab w:pos="7489" w:val="left" w:leader="none"/>
        </w:tabs>
        <w:spacing w:before="1"/>
        <w:ind w:left="798" w:right="1408" w:firstLine="1193"/>
        <w:jc w:val="left"/>
        <w:rPr>
          <w:sz w:val="16"/>
        </w:rPr>
      </w:pPr>
      <w:r>
        <w:rPr>
          <w:spacing w:val="-2"/>
          <w:sz w:val="16"/>
        </w:rPr>
        <w:t>Tribes</w:t>
      </w:r>
      <w:r>
        <w:rPr>
          <w:sz w:val="16"/>
        </w:rPr>
        <w:tab/>
        <w:t>Lower</w:t>
      </w:r>
      <w:r>
        <w:rPr>
          <w:spacing w:val="80"/>
          <w:w w:val="150"/>
          <w:sz w:val="16"/>
        </w:rPr>
        <w:t> </w:t>
      </w:r>
      <w:r>
        <w:rPr>
          <w:sz w:val="16"/>
        </w:rPr>
        <w:t>Higher</w:t>
      </w:r>
      <w:r>
        <w:rPr>
          <w:spacing w:val="80"/>
          <w:w w:val="150"/>
          <w:sz w:val="16"/>
        </w:rPr>
        <w:t> </w:t>
      </w:r>
      <w:r>
        <w:rPr>
          <w:sz w:val="16"/>
        </w:rPr>
        <w:t>Secondary</w:t>
        <w:tab/>
      </w:r>
      <w:r>
        <w:rPr>
          <w:spacing w:val="-40"/>
          <w:sz w:val="16"/>
        </w:rPr>
        <w:t> </w:t>
      </w:r>
      <w:r>
        <w:rPr>
          <w:spacing w:val="-2"/>
          <w:sz w:val="16"/>
        </w:rPr>
        <w:t>Higher</w:t>
      </w:r>
      <w:r>
        <w:rPr>
          <w:sz w:val="16"/>
        </w:rPr>
        <w:tab/>
      </w:r>
      <w:r>
        <w:rPr>
          <w:spacing w:val="-2"/>
          <w:sz w:val="16"/>
        </w:rPr>
        <w:t>Vocational</w:t>
      </w:r>
      <w:r>
        <w:rPr>
          <w:sz w:val="16"/>
        </w:rPr>
        <w:tab/>
      </w:r>
      <w:r>
        <w:rPr>
          <w:spacing w:val="-2"/>
          <w:sz w:val="16"/>
        </w:rPr>
        <w:t>Grand</w:t>
      </w:r>
      <w:r>
        <w:rPr>
          <w:spacing w:val="40"/>
          <w:sz w:val="16"/>
        </w:rPr>
        <w:t> </w:t>
      </w:r>
      <w:r>
        <w:rPr>
          <w:spacing w:val="-4"/>
          <w:sz w:val="16"/>
        </w:rPr>
        <w:t>State</w:t>
      </w:r>
      <w:r>
        <w:rPr>
          <w:sz w:val="16"/>
        </w:rPr>
        <w:tab/>
      </w:r>
      <w:r>
        <w:rPr>
          <w:spacing w:val="-2"/>
          <w:sz w:val="16"/>
        </w:rPr>
        <w:t>population</w:t>
      </w:r>
      <w:r>
        <w:rPr>
          <w:sz w:val="16"/>
        </w:rPr>
        <w:tab/>
        <w:tab/>
        <w:t>primary</w:t>
      </w:r>
      <w:r>
        <w:rPr>
          <w:spacing w:val="40"/>
          <w:sz w:val="16"/>
        </w:rPr>
        <w:t> </w:t>
      </w:r>
      <w:r>
        <w:rPr>
          <w:sz w:val="16"/>
        </w:rPr>
        <w:t>primary</w:t>
        <w:tab/>
      </w:r>
      <w:r>
        <w:rPr>
          <w:spacing w:val="-2"/>
          <w:sz w:val="16"/>
        </w:rPr>
        <w:t>education</w:t>
      </w:r>
      <w:r>
        <w:rPr>
          <w:sz w:val="16"/>
        </w:rPr>
        <w:tab/>
      </w:r>
      <w:r>
        <w:rPr>
          <w:spacing w:val="-4"/>
          <w:sz w:val="16"/>
        </w:rPr>
        <w:t>and</w:t>
      </w:r>
      <w:r>
        <w:rPr>
          <w:sz w:val="16"/>
        </w:rPr>
        <w:tab/>
      </w:r>
      <w:r>
        <w:rPr>
          <w:spacing w:val="-2"/>
          <w:sz w:val="16"/>
        </w:rPr>
        <w:t>total</w:t>
      </w:r>
    </w:p>
    <w:p>
      <w:pPr>
        <w:tabs>
          <w:tab w:pos="5654" w:val="left" w:leader="none"/>
        </w:tabs>
        <w:spacing w:line="183" w:lineRule="exact" w:before="0"/>
        <w:ind w:left="1992" w:right="0" w:firstLine="0"/>
        <w:jc w:val="left"/>
        <w:rPr>
          <w:sz w:val="16"/>
        </w:rPr>
      </w:pPr>
      <w:r>
        <w:rPr>
          <w:sz w:val="16"/>
        </w:rPr>
        <w:t>to</w:t>
      </w:r>
      <w:r>
        <w:rPr>
          <w:spacing w:val="-3"/>
          <w:sz w:val="16"/>
        </w:rPr>
        <w:t> </w:t>
      </w:r>
      <w:r>
        <w:rPr>
          <w:spacing w:val="-2"/>
          <w:sz w:val="16"/>
        </w:rPr>
        <w:t>total</w:t>
      </w:r>
      <w:r>
        <w:rPr>
          <w:sz w:val="16"/>
        </w:rPr>
        <w:tab/>
      </w:r>
      <w:r>
        <w:rPr>
          <w:spacing w:val="-2"/>
          <w:sz w:val="16"/>
        </w:rPr>
        <w:t>professional</w:t>
      </w:r>
    </w:p>
    <w:p>
      <w:pPr>
        <w:tabs>
          <w:tab w:pos="5657" w:val="left" w:leader="none"/>
        </w:tabs>
        <w:spacing w:line="184" w:lineRule="exact" w:before="0"/>
        <w:ind w:left="1992" w:right="0" w:firstLine="0"/>
        <w:jc w:val="left"/>
        <w:rPr>
          <w:sz w:val="16"/>
        </w:rPr>
      </w:pPr>
      <w:r>
        <w:rPr>
          <w:spacing w:val="-2"/>
          <w:sz w:val="16"/>
        </w:rPr>
        <w:t>population</w:t>
      </w:r>
      <w:r>
        <w:rPr>
          <w:sz w:val="16"/>
        </w:rPr>
        <w:tab/>
      </w:r>
      <w:r>
        <w:rPr>
          <w:spacing w:val="-2"/>
          <w:sz w:val="16"/>
        </w:rPr>
        <w:t>education</w:t>
      </w:r>
    </w:p>
    <w:p>
      <w:pPr>
        <w:spacing w:before="0"/>
        <w:ind w:left="1992" w:right="0" w:firstLine="0"/>
        <w:jc w:val="left"/>
        <w:rPr>
          <w:sz w:val="16"/>
        </w:rPr>
      </w:pPr>
      <w:r>
        <w:rPr>
          <w:sz w:val="16"/>
        </w:rPr>
        <w:t>of</w:t>
      </w:r>
      <w:r>
        <w:rPr>
          <w:spacing w:val="-3"/>
          <w:sz w:val="16"/>
        </w:rPr>
        <w:t> </w:t>
      </w:r>
      <w:r>
        <w:rPr>
          <w:sz w:val="16"/>
        </w:rPr>
        <w:t>the</w:t>
      </w:r>
      <w:r>
        <w:rPr>
          <w:spacing w:val="-3"/>
          <w:sz w:val="16"/>
        </w:rPr>
        <w:t> </w:t>
      </w:r>
      <w:r>
        <w:rPr>
          <w:spacing w:val="-2"/>
          <w:sz w:val="16"/>
        </w:rPr>
        <w:t>State</w:t>
      </w:r>
    </w:p>
    <w:p>
      <w:pPr>
        <w:pStyle w:val="BodyText"/>
        <w:spacing w:before="2"/>
        <w:rPr>
          <w:sz w:val="15"/>
        </w:rPr>
      </w:pPr>
      <w:r>
        <w:rPr/>
        <mc:AlternateContent>
          <mc:Choice Requires="wps">
            <w:drawing>
              <wp:anchor distT="0" distB="0" distL="0" distR="0" allowOverlap="1" layoutInCell="1" locked="0" behindDoc="1" simplePos="0" relativeHeight="487636992">
                <wp:simplePos x="0" y="0"/>
                <wp:positionH relativeFrom="page">
                  <wp:posOffset>1143000</wp:posOffset>
                </wp:positionH>
                <wp:positionV relativeFrom="paragraph">
                  <wp:posOffset>126149</wp:posOffset>
                </wp:positionV>
                <wp:extent cx="5486400" cy="19050"/>
                <wp:effectExtent l="0" t="0" r="0" b="0"/>
                <wp:wrapTopAndBottom/>
                <wp:docPr id="544" name="Group 544"/>
                <wp:cNvGraphicFramePr>
                  <a:graphicFrameLocks/>
                </wp:cNvGraphicFramePr>
                <a:graphic>
                  <a:graphicData uri="http://schemas.microsoft.com/office/word/2010/wordprocessingGroup">
                    <wpg:wgp>
                      <wpg:cNvPr id="544" name="Group 544"/>
                      <wpg:cNvGrpSpPr/>
                      <wpg:grpSpPr>
                        <a:xfrm>
                          <a:off x="0" y="0"/>
                          <a:ext cx="5486400" cy="19050"/>
                          <a:chExt cx="5486400" cy="19050"/>
                        </a:xfrm>
                      </wpg:grpSpPr>
                      <wps:wsp>
                        <wps:cNvPr id="545" name="Graphic 545"/>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46" name="Graphic 546"/>
                        <wps:cNvSpPr/>
                        <wps:spPr>
                          <a:xfrm>
                            <a:off x="0" y="12"/>
                            <a:ext cx="5483860" cy="3175"/>
                          </a:xfrm>
                          <a:custGeom>
                            <a:avLst/>
                            <a:gdLst/>
                            <a:ahLst/>
                            <a:cxnLst/>
                            <a:rect l="l" t="t" r="r" b="b"/>
                            <a:pathLst>
                              <a:path w="5483860" h="3175">
                                <a:moveTo>
                                  <a:pt x="5483352" y="0"/>
                                </a:moveTo>
                                <a:lnTo>
                                  <a:pt x="3048" y="0"/>
                                </a:lnTo>
                                <a:lnTo>
                                  <a:pt x="0" y="0"/>
                                </a:lnTo>
                                <a:lnTo>
                                  <a:pt x="0" y="3035"/>
                                </a:lnTo>
                                <a:lnTo>
                                  <a:pt x="3048" y="3035"/>
                                </a:lnTo>
                                <a:lnTo>
                                  <a:pt x="5483352" y="3035"/>
                                </a:lnTo>
                                <a:lnTo>
                                  <a:pt x="5483352" y="0"/>
                                </a:lnTo>
                                <a:close/>
                              </a:path>
                            </a:pathLst>
                          </a:custGeom>
                          <a:solidFill>
                            <a:srgbClr val="ACA89A"/>
                          </a:solidFill>
                        </wps:spPr>
                        <wps:bodyPr wrap="square" lIns="0" tIns="0" rIns="0" bIns="0" rtlCol="0">
                          <a:prstTxWarp prst="textNoShape">
                            <a:avLst/>
                          </a:prstTxWarp>
                          <a:noAutofit/>
                        </wps:bodyPr>
                      </wps:wsp>
                      <wps:wsp>
                        <wps:cNvPr id="547" name="Graphic 547"/>
                        <wps:cNvSpPr/>
                        <wps:spPr>
                          <a:xfrm>
                            <a:off x="5483352"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F1EFE2"/>
                          </a:solidFill>
                        </wps:spPr>
                        <wps:bodyPr wrap="square" lIns="0" tIns="0" rIns="0" bIns="0" rtlCol="0">
                          <a:prstTxWarp prst="textNoShape">
                            <a:avLst/>
                          </a:prstTxWarp>
                          <a:noAutofit/>
                        </wps:bodyPr>
                      </wps:wsp>
                      <wps:wsp>
                        <wps:cNvPr id="548" name="Graphic 548"/>
                        <wps:cNvSpPr/>
                        <wps:spPr>
                          <a:xfrm>
                            <a:off x="0" y="12"/>
                            <a:ext cx="5486400" cy="16510"/>
                          </a:xfrm>
                          <a:custGeom>
                            <a:avLst/>
                            <a:gdLst/>
                            <a:ahLst/>
                            <a:cxnLst/>
                            <a:rect l="l" t="t" r="r" b="b"/>
                            <a:pathLst>
                              <a:path w="5486400" h="16510">
                                <a:moveTo>
                                  <a:pt x="3048" y="3035"/>
                                </a:moveTo>
                                <a:lnTo>
                                  <a:pt x="0" y="3035"/>
                                </a:lnTo>
                                <a:lnTo>
                                  <a:pt x="0" y="15989"/>
                                </a:lnTo>
                                <a:lnTo>
                                  <a:pt x="3048" y="15989"/>
                                </a:lnTo>
                                <a:lnTo>
                                  <a:pt x="3048" y="3035"/>
                                </a:lnTo>
                                <a:close/>
                              </a:path>
                              <a:path w="5486400" h="16510">
                                <a:moveTo>
                                  <a:pt x="5486387" y="0"/>
                                </a:moveTo>
                                <a:lnTo>
                                  <a:pt x="5483352" y="0"/>
                                </a:lnTo>
                                <a:lnTo>
                                  <a:pt x="5483352" y="3035"/>
                                </a:lnTo>
                                <a:lnTo>
                                  <a:pt x="5486387" y="3035"/>
                                </a:lnTo>
                                <a:lnTo>
                                  <a:pt x="5486387" y="0"/>
                                </a:lnTo>
                                <a:close/>
                              </a:path>
                            </a:pathLst>
                          </a:custGeom>
                          <a:solidFill>
                            <a:srgbClr val="ACA89A"/>
                          </a:solidFill>
                        </wps:spPr>
                        <wps:bodyPr wrap="square" lIns="0" tIns="0" rIns="0" bIns="0" rtlCol="0">
                          <a:prstTxWarp prst="textNoShape">
                            <a:avLst/>
                          </a:prstTxWarp>
                          <a:noAutofit/>
                        </wps:bodyPr>
                      </wps:wsp>
                      <wps:wsp>
                        <wps:cNvPr id="549" name="Graphic 549"/>
                        <wps:cNvSpPr/>
                        <wps:spPr>
                          <a:xfrm>
                            <a:off x="5483352"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50" name="Graphic 550"/>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51" name="Graphic 551"/>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933045pt;width:432pt;height:1.5pt;mso-position-horizontal-relative:page;mso-position-vertical-relative:paragraph;z-index:-15679488;mso-wrap-distance-left:0;mso-wrap-distance-right:0" id="docshapegroup522" coordorigin="1800,199" coordsize="8640,30">
                <v:rect style="position:absolute;left:1800;top:198;width:8640;height:30" id="docshape523" filled="true" fillcolor="#808080" stroked="false">
                  <v:fill type="solid"/>
                </v:rect>
                <v:shape style="position:absolute;left:1800;top:198;width:8636;height:5" id="docshape524" coordorigin="1800,199" coordsize="8636,5" path="m10435,199l1805,199,1800,199,1800,203,1805,203,10435,203,10435,199xe" filled="true" fillcolor="#aca89a" stroked="false">
                  <v:path arrowok="t"/>
                  <v:fill type="solid"/>
                </v:shape>
                <v:rect style="position:absolute;left:10435;top:198;width:5;height:5" id="docshape525" filled="true" fillcolor="#f1efe2" stroked="false">
                  <v:fill type="solid"/>
                </v:rect>
                <v:shape style="position:absolute;left:1800;top:198;width:8640;height:26" id="docshape526" coordorigin="1800,199" coordsize="8640,26" path="m1805,203l1800,203,1800,224,1805,224,1805,203xm10440,199l10435,199,10435,203,10440,203,10440,199xe" filled="true" fillcolor="#aca89a" stroked="false">
                  <v:path arrowok="t"/>
                  <v:fill type="solid"/>
                </v:shape>
                <v:rect style="position:absolute;left:10435;top:203;width:5;height:21" id="docshape527" filled="true" fillcolor="#f1efe2" stroked="false">
                  <v:fill type="solid"/>
                </v:rect>
                <v:rect style="position:absolute;left:1800;top:223;width:5;height:5" id="docshape528" filled="true" fillcolor="#aca89a" stroked="false">
                  <v:fill type="solid"/>
                </v:rect>
                <v:shape style="position:absolute;left:1800;top:223;width:8640;height:5" id="docshape529" coordorigin="1800,224" coordsize="8640,5" path="m10440,224l10435,224,1800,224,1800,229,10435,229,10440,229,10440,224xe" filled="true" fillcolor="#f1efe2" stroked="false">
                  <v:path arrowok="t"/>
                  <v:fill type="solid"/>
                </v:shape>
                <w10:wrap type="topAndBottom"/>
              </v:group>
            </w:pict>
          </mc:Fallback>
        </mc:AlternateContent>
      </w:r>
    </w:p>
    <w:p>
      <w:pPr>
        <w:pStyle w:val="BodyText"/>
        <w:tabs>
          <w:tab w:pos="1992" w:val="left" w:leader="none"/>
          <w:tab w:pos="2907" w:val="left" w:leader="none"/>
          <w:tab w:pos="3627" w:val="left" w:leader="none"/>
          <w:tab w:pos="4467" w:val="left" w:leader="none"/>
          <w:tab w:pos="5655" w:val="left" w:leader="none"/>
          <w:tab w:pos="6495" w:val="left" w:leader="none"/>
          <w:tab w:pos="7155" w:val="left" w:leader="none"/>
        </w:tabs>
        <w:spacing w:before="48"/>
        <w:ind w:left="159"/>
      </w:pPr>
      <w:r>
        <w:rPr/>
        <w:t>Andhra </w:t>
      </w:r>
      <w:r>
        <w:rPr>
          <w:spacing w:val="-2"/>
        </w:rPr>
        <w:t>Pradesh</w:t>
      </w:r>
      <w:r>
        <w:rPr/>
        <w:tab/>
      </w:r>
      <w:r>
        <w:rPr>
          <w:spacing w:val="-5"/>
        </w:rPr>
        <w:t>3.7</w:t>
      </w:r>
      <w:r>
        <w:rPr/>
        <w:tab/>
      </w:r>
      <w:r>
        <w:rPr>
          <w:spacing w:val="-5"/>
        </w:rPr>
        <w:t>2.3</w:t>
      </w:r>
      <w:r>
        <w:rPr/>
        <w:tab/>
      </w:r>
      <w:r>
        <w:rPr>
          <w:spacing w:val="-5"/>
        </w:rPr>
        <w:t>0.7</w:t>
      </w:r>
      <w:r>
        <w:rPr/>
        <w:tab/>
      </w:r>
      <w:r>
        <w:rPr>
          <w:spacing w:val="-5"/>
        </w:rPr>
        <w:t>0.6</w:t>
      </w:r>
      <w:r>
        <w:rPr/>
        <w:tab/>
      </w:r>
      <w:r>
        <w:rPr>
          <w:spacing w:val="-5"/>
        </w:rPr>
        <w:t>0.4</w:t>
      </w:r>
      <w:r>
        <w:rPr/>
        <w:tab/>
      </w:r>
      <w:r>
        <w:rPr>
          <w:spacing w:val="-5"/>
        </w:rPr>
        <w:t>1.8</w:t>
      </w:r>
      <w:r>
        <w:rPr/>
        <w:tab/>
      </w:r>
      <w:r>
        <w:rPr>
          <w:spacing w:val="-5"/>
        </w:rPr>
        <w:t>1.9</w:t>
      </w:r>
    </w:p>
    <w:p>
      <w:pPr>
        <w:pStyle w:val="BodyText"/>
      </w:pPr>
    </w:p>
    <w:p>
      <w:pPr>
        <w:pStyle w:val="BodyText"/>
        <w:tabs>
          <w:tab w:pos="1991" w:val="left" w:leader="none"/>
          <w:tab w:pos="2906" w:val="left" w:leader="none"/>
          <w:tab w:pos="3686" w:val="left" w:leader="none"/>
          <w:tab w:pos="4646" w:val="left" w:leader="none"/>
          <w:tab w:pos="5655" w:val="left" w:leader="none"/>
          <w:tab w:pos="6435" w:val="left" w:leader="none"/>
          <w:tab w:pos="7215" w:val="left" w:leader="none"/>
        </w:tabs>
        <w:ind w:left="159"/>
      </w:pPr>
      <w:r>
        <w:rPr>
          <w:spacing w:val="-2"/>
        </w:rPr>
        <w:t>Assam</w:t>
      </w:r>
      <w:r>
        <w:rPr/>
        <w:tab/>
      </w:r>
      <w:r>
        <w:rPr>
          <w:spacing w:val="-4"/>
        </w:rPr>
        <w:t>17.4</w:t>
      </w:r>
      <w:r>
        <w:rPr/>
        <w:tab/>
      </w:r>
      <w:r>
        <w:rPr>
          <w:spacing w:val="-4"/>
        </w:rPr>
        <w:t>24.0</w:t>
      </w:r>
      <w:r>
        <w:rPr/>
        <w:tab/>
      </w:r>
      <w:r>
        <w:rPr>
          <w:spacing w:val="-4"/>
        </w:rPr>
        <w:t>16.2</w:t>
      </w:r>
      <w:r>
        <w:rPr/>
        <w:tab/>
      </w:r>
      <w:r>
        <w:rPr>
          <w:spacing w:val="-5"/>
        </w:rPr>
        <w:t>9.3</w:t>
      </w:r>
      <w:r>
        <w:rPr/>
        <w:tab/>
      </w:r>
      <w:r>
        <w:rPr>
          <w:spacing w:val="-5"/>
        </w:rPr>
        <w:t>9.8</w:t>
      </w:r>
      <w:r>
        <w:rPr/>
        <w:tab/>
      </w:r>
      <w:r>
        <w:rPr>
          <w:spacing w:val="-4"/>
        </w:rPr>
        <w:t>32.9</w:t>
      </w:r>
      <w:r>
        <w:rPr/>
        <w:tab/>
      </w:r>
      <w:r>
        <w:rPr>
          <w:spacing w:val="-4"/>
        </w:rPr>
        <w:t>20.9</w:t>
      </w:r>
    </w:p>
    <w:p>
      <w:pPr>
        <w:pStyle w:val="BodyText"/>
      </w:pPr>
    </w:p>
    <w:p>
      <w:pPr>
        <w:pStyle w:val="BodyText"/>
        <w:tabs>
          <w:tab w:pos="1992" w:val="left" w:leader="none"/>
          <w:tab w:pos="2908" w:val="left" w:leader="none"/>
          <w:tab w:pos="3628" w:val="left" w:leader="none"/>
          <w:tab w:pos="4528" w:val="left" w:leader="none"/>
          <w:tab w:pos="5656" w:val="left" w:leader="none"/>
          <w:tab w:pos="6496" w:val="left" w:leader="none"/>
          <w:tab w:pos="7216" w:val="left" w:leader="none"/>
        </w:tabs>
        <w:ind w:left="159"/>
      </w:pPr>
      <w:r>
        <w:rPr>
          <w:spacing w:val="-2"/>
        </w:rPr>
        <w:t>Bihar</w:t>
      </w:r>
      <w:r>
        <w:rPr/>
        <w:tab/>
      </w:r>
      <w:r>
        <w:rPr>
          <w:spacing w:val="-5"/>
        </w:rPr>
        <w:t>9.1</w:t>
      </w:r>
      <w:r>
        <w:rPr/>
        <w:tab/>
      </w:r>
      <w:r>
        <w:rPr>
          <w:spacing w:val="-5"/>
        </w:rPr>
        <w:t>8.7</w:t>
      </w:r>
      <w:r>
        <w:rPr/>
        <w:tab/>
      </w:r>
      <w:r>
        <w:rPr>
          <w:spacing w:val="-5"/>
        </w:rPr>
        <w:t>7.4</w:t>
      </w:r>
      <w:r>
        <w:rPr/>
        <w:tab/>
      </w:r>
      <w:r>
        <w:rPr>
          <w:spacing w:val="-5"/>
        </w:rPr>
        <w:t>3.7</w:t>
      </w:r>
      <w:r>
        <w:rPr/>
        <w:tab/>
      </w:r>
      <w:r>
        <w:rPr>
          <w:spacing w:val="-5"/>
        </w:rPr>
        <w:t>2.4</w:t>
      </w:r>
      <w:r>
        <w:rPr/>
        <w:tab/>
      </w:r>
      <w:r>
        <w:rPr>
          <w:spacing w:val="-5"/>
        </w:rPr>
        <w:t>7.1</w:t>
      </w:r>
      <w:r>
        <w:rPr/>
        <w:tab/>
      </w:r>
      <w:r>
        <w:rPr>
          <w:spacing w:val="-5"/>
        </w:rPr>
        <w:t>7.6</w:t>
      </w:r>
    </w:p>
    <w:p>
      <w:pPr>
        <w:pStyle w:val="BodyText"/>
      </w:pPr>
    </w:p>
    <w:p>
      <w:pPr>
        <w:pStyle w:val="BodyText"/>
        <w:tabs>
          <w:tab w:pos="1991" w:val="left" w:leader="none"/>
          <w:tab w:pos="2907" w:val="left" w:leader="none"/>
          <w:tab w:pos="3747" w:val="left" w:leader="none"/>
          <w:tab w:pos="4587" w:val="left" w:leader="none"/>
          <w:tab w:pos="5655" w:val="left" w:leader="none"/>
          <w:tab w:pos="6435" w:val="left" w:leader="none"/>
          <w:tab w:pos="7275" w:val="left" w:leader="none"/>
        </w:tabs>
        <w:ind w:left="159"/>
      </w:pPr>
      <w:r>
        <w:rPr>
          <w:spacing w:val="-2"/>
        </w:rPr>
        <w:t>Gujarat</w:t>
      </w:r>
      <w:r>
        <w:rPr/>
        <w:tab/>
      </w:r>
      <w:r>
        <w:rPr>
          <w:spacing w:val="-4"/>
        </w:rPr>
        <w:t>13.3</w:t>
      </w:r>
      <w:r>
        <w:rPr/>
        <w:tab/>
      </w:r>
      <w:r>
        <w:rPr>
          <w:spacing w:val="-4"/>
        </w:rPr>
        <w:t>12.4</w:t>
      </w:r>
      <w:r>
        <w:rPr/>
        <w:tab/>
      </w:r>
      <w:r>
        <w:rPr>
          <w:spacing w:val="-5"/>
        </w:rPr>
        <w:t>7.5</w:t>
      </w:r>
      <w:r>
        <w:rPr/>
        <w:tab/>
      </w:r>
      <w:r>
        <w:rPr>
          <w:spacing w:val="-5"/>
        </w:rPr>
        <w:t>1.9</w:t>
      </w:r>
      <w:r>
        <w:rPr/>
        <w:tab/>
      </w:r>
      <w:r>
        <w:rPr>
          <w:spacing w:val="-5"/>
        </w:rPr>
        <w:t>0.2</w:t>
      </w:r>
      <w:r>
        <w:rPr/>
        <w:tab/>
      </w:r>
      <w:r>
        <w:rPr>
          <w:spacing w:val="-4"/>
        </w:rPr>
        <w:t>12.0</w:t>
      </w:r>
      <w:r>
        <w:rPr/>
        <w:tab/>
      </w:r>
      <w:r>
        <w:rPr>
          <w:spacing w:val="-5"/>
        </w:rPr>
        <w:t>8.1</w:t>
      </w:r>
    </w:p>
    <w:p>
      <w:pPr>
        <w:pStyle w:val="BodyText"/>
      </w:pPr>
    </w:p>
    <w:p>
      <w:pPr>
        <w:pStyle w:val="BodyText"/>
        <w:tabs>
          <w:tab w:pos="1992" w:val="left" w:leader="none"/>
          <w:tab w:pos="2906" w:val="left" w:leader="none"/>
          <w:tab w:pos="3627" w:val="left" w:leader="none"/>
          <w:tab w:pos="3822" w:val="left" w:leader="none"/>
          <w:tab w:pos="4542" w:val="left" w:leader="none"/>
          <w:tab w:pos="4587" w:val="left" w:leader="none"/>
          <w:tab w:pos="5655" w:val="left" w:leader="none"/>
          <w:tab w:pos="6570" w:val="left" w:leader="none"/>
          <w:tab w:pos="7170" w:val="left" w:leader="none"/>
          <w:tab w:pos="7291" w:val="left" w:leader="none"/>
        </w:tabs>
        <w:spacing w:line="480" w:lineRule="auto" w:after="11"/>
        <w:ind w:left="159" w:right="1886"/>
      </w:pPr>
      <w:r>
        <w:rPr/>
        <w:t>Jammu &amp; Kashmir..</w:t>
        <w:tab/>
      </w:r>
      <w:r>
        <w:rPr>
          <w:spacing w:val="-6"/>
        </w:rPr>
        <w:t>..</w:t>
      </w:r>
      <w:r>
        <w:rPr/>
        <w:tab/>
        <w:tab/>
      </w:r>
      <w:r>
        <w:rPr>
          <w:spacing w:val="-6"/>
        </w:rPr>
        <w:t>..</w:t>
      </w:r>
      <w:r>
        <w:rPr/>
        <w:tab/>
      </w:r>
      <w:r>
        <w:rPr>
          <w:spacing w:val="-6"/>
        </w:rPr>
        <w:t>..</w:t>
      </w:r>
      <w:r>
        <w:rPr/>
        <w:tab/>
      </w:r>
      <w:r>
        <w:rPr>
          <w:spacing w:val="-6"/>
        </w:rPr>
        <w:t>..</w:t>
      </w:r>
      <w:r>
        <w:rPr/>
        <w:tab/>
      </w:r>
      <w:r>
        <w:rPr>
          <w:spacing w:val="-6"/>
        </w:rPr>
        <w:t>..</w:t>
      </w:r>
      <w:r>
        <w:rPr/>
        <w:tab/>
      </w:r>
      <w:r>
        <w:rPr>
          <w:spacing w:val="-6"/>
        </w:rPr>
        <w:t>.. </w:t>
      </w:r>
      <w:r>
        <w:rPr>
          <w:spacing w:val="-2"/>
        </w:rPr>
        <w:t>Kerala</w:t>
      </w:r>
      <w:r>
        <w:rPr/>
        <w:tab/>
      </w:r>
      <w:r>
        <w:rPr>
          <w:spacing w:val="-5"/>
        </w:rPr>
        <w:t>1.2</w:t>
      </w:r>
      <w:r>
        <w:rPr/>
        <w:tab/>
      </w:r>
      <w:r>
        <w:rPr>
          <w:spacing w:val="-60"/>
        </w:rPr>
        <w:t> </w:t>
      </w:r>
      <w:r>
        <w:rPr>
          <w:spacing w:val="-5"/>
        </w:rPr>
        <w:t>0.5</w:t>
      </w:r>
      <w:r>
        <w:rPr/>
        <w:tab/>
      </w:r>
      <w:r>
        <w:rPr>
          <w:spacing w:val="-5"/>
        </w:rPr>
        <w:t>0.4</w:t>
      </w:r>
      <w:r>
        <w:rPr/>
        <w:tab/>
        <w:tab/>
      </w:r>
      <w:r>
        <w:rPr>
          <w:spacing w:val="-5"/>
        </w:rPr>
        <w:t>0.2</w:t>
      </w:r>
      <w:r>
        <w:rPr/>
        <w:tab/>
      </w:r>
      <w:r>
        <w:rPr>
          <w:spacing w:val="-5"/>
        </w:rPr>
        <w:t>..</w:t>
      </w:r>
      <w:r>
        <w:rPr/>
        <w:tab/>
      </w:r>
      <w:r>
        <w:rPr>
          <w:spacing w:val="-60"/>
        </w:rPr>
        <w:t> </w:t>
      </w:r>
      <w:r>
        <w:rPr>
          <w:spacing w:val="-5"/>
        </w:rPr>
        <w:t>0.1</w:t>
      </w:r>
      <w:r>
        <w:rPr/>
        <w:tab/>
        <w:tab/>
      </w:r>
      <w:r>
        <w:rPr>
          <w:spacing w:val="-5"/>
        </w:rPr>
        <w:t>..</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9"/>
        <w:gridCol w:w="787"/>
        <w:gridCol w:w="810"/>
        <w:gridCol w:w="839"/>
        <w:gridCol w:w="1013"/>
        <w:gridCol w:w="893"/>
        <w:gridCol w:w="779"/>
        <w:gridCol w:w="559"/>
      </w:tblGrid>
      <w:tr>
        <w:trPr>
          <w:trHeight w:val="408" w:hRule="atLeast"/>
        </w:trPr>
        <w:tc>
          <w:tcPr>
            <w:tcW w:w="1769" w:type="dxa"/>
          </w:tcPr>
          <w:p>
            <w:pPr>
              <w:pStyle w:val="TableParagraph"/>
              <w:spacing w:line="266" w:lineRule="exact"/>
              <w:ind w:left="50"/>
              <w:rPr>
                <w:sz w:val="24"/>
              </w:rPr>
            </w:pPr>
            <w:r>
              <w:rPr>
                <w:sz w:val="24"/>
              </w:rPr>
              <w:t>Madhya </w:t>
            </w:r>
            <w:r>
              <w:rPr>
                <w:spacing w:val="-2"/>
                <w:sz w:val="24"/>
              </w:rPr>
              <w:t>Pradesh</w:t>
            </w:r>
          </w:p>
        </w:tc>
        <w:tc>
          <w:tcPr>
            <w:tcW w:w="787" w:type="dxa"/>
          </w:tcPr>
          <w:p>
            <w:pPr>
              <w:pStyle w:val="TableParagraph"/>
              <w:spacing w:line="266" w:lineRule="exact"/>
              <w:ind w:left="127"/>
              <w:rPr>
                <w:sz w:val="24"/>
              </w:rPr>
            </w:pPr>
            <w:r>
              <w:rPr>
                <w:spacing w:val="-4"/>
                <w:sz w:val="24"/>
              </w:rPr>
              <w:t>20.6</w:t>
            </w:r>
          </w:p>
        </w:tc>
        <w:tc>
          <w:tcPr>
            <w:tcW w:w="810" w:type="dxa"/>
          </w:tcPr>
          <w:p>
            <w:pPr>
              <w:pStyle w:val="TableParagraph"/>
              <w:spacing w:line="266" w:lineRule="exact"/>
              <w:ind w:left="116" w:right="24"/>
              <w:jc w:val="center"/>
              <w:rPr>
                <w:sz w:val="24"/>
              </w:rPr>
            </w:pPr>
            <w:r>
              <w:rPr>
                <w:spacing w:val="-4"/>
                <w:sz w:val="24"/>
              </w:rPr>
              <w:t>12.3</w:t>
            </w:r>
          </w:p>
        </w:tc>
        <w:tc>
          <w:tcPr>
            <w:tcW w:w="839" w:type="dxa"/>
          </w:tcPr>
          <w:p>
            <w:pPr>
              <w:pStyle w:val="TableParagraph"/>
              <w:spacing w:line="266" w:lineRule="exact"/>
              <w:ind w:left="271"/>
              <w:rPr>
                <w:sz w:val="24"/>
              </w:rPr>
            </w:pPr>
            <w:r>
              <w:rPr>
                <w:spacing w:val="-5"/>
                <w:sz w:val="24"/>
              </w:rPr>
              <w:t>6.5</w:t>
            </w:r>
          </w:p>
        </w:tc>
        <w:tc>
          <w:tcPr>
            <w:tcW w:w="1013" w:type="dxa"/>
          </w:tcPr>
          <w:p>
            <w:pPr>
              <w:pStyle w:val="TableParagraph"/>
              <w:spacing w:line="266" w:lineRule="exact"/>
              <w:ind w:left="392"/>
              <w:rPr>
                <w:sz w:val="24"/>
              </w:rPr>
            </w:pPr>
            <w:r>
              <w:rPr>
                <w:spacing w:val="-5"/>
                <w:sz w:val="24"/>
              </w:rPr>
              <w:t>2.2</w:t>
            </w:r>
          </w:p>
        </w:tc>
        <w:tc>
          <w:tcPr>
            <w:tcW w:w="893" w:type="dxa"/>
          </w:tcPr>
          <w:p>
            <w:pPr>
              <w:pStyle w:val="TableParagraph"/>
              <w:spacing w:line="266" w:lineRule="exact"/>
              <w:ind w:left="63" w:right="2"/>
              <w:jc w:val="center"/>
              <w:rPr>
                <w:sz w:val="24"/>
              </w:rPr>
            </w:pPr>
            <w:r>
              <w:rPr>
                <w:spacing w:val="-5"/>
                <w:sz w:val="24"/>
              </w:rPr>
              <w:t>2.2</w:t>
            </w:r>
          </w:p>
        </w:tc>
        <w:tc>
          <w:tcPr>
            <w:tcW w:w="779" w:type="dxa"/>
          </w:tcPr>
          <w:p>
            <w:pPr>
              <w:pStyle w:val="TableParagraph"/>
              <w:spacing w:line="266" w:lineRule="exact"/>
              <w:ind w:left="71" w:right="2"/>
              <w:jc w:val="center"/>
              <w:rPr>
                <w:sz w:val="24"/>
              </w:rPr>
            </w:pPr>
            <w:r>
              <w:rPr>
                <w:spacing w:val="-5"/>
                <w:sz w:val="24"/>
              </w:rPr>
              <w:t>5.0</w:t>
            </w:r>
          </w:p>
        </w:tc>
        <w:tc>
          <w:tcPr>
            <w:tcW w:w="559" w:type="dxa"/>
          </w:tcPr>
          <w:p>
            <w:pPr>
              <w:pStyle w:val="TableParagraph"/>
              <w:spacing w:line="266" w:lineRule="exact"/>
              <w:ind w:right="41"/>
              <w:jc w:val="right"/>
              <w:rPr>
                <w:sz w:val="24"/>
              </w:rPr>
            </w:pPr>
            <w:r>
              <w:rPr>
                <w:spacing w:val="-5"/>
                <w:sz w:val="24"/>
              </w:rPr>
              <w:t>9.0</w:t>
            </w:r>
          </w:p>
        </w:tc>
      </w:tr>
      <w:tr>
        <w:trPr>
          <w:trHeight w:val="552" w:hRule="atLeast"/>
        </w:trPr>
        <w:tc>
          <w:tcPr>
            <w:tcW w:w="1769" w:type="dxa"/>
          </w:tcPr>
          <w:p>
            <w:pPr>
              <w:pStyle w:val="TableParagraph"/>
              <w:spacing w:before="133"/>
              <w:ind w:left="50"/>
              <w:rPr>
                <w:sz w:val="24"/>
              </w:rPr>
            </w:pPr>
            <w:r>
              <w:rPr>
                <w:spacing w:val="-2"/>
                <w:sz w:val="24"/>
              </w:rPr>
              <w:t>Madras</w:t>
            </w:r>
          </w:p>
        </w:tc>
        <w:tc>
          <w:tcPr>
            <w:tcW w:w="787" w:type="dxa"/>
          </w:tcPr>
          <w:p>
            <w:pPr>
              <w:pStyle w:val="TableParagraph"/>
              <w:spacing w:before="133"/>
              <w:ind w:left="113"/>
              <w:rPr>
                <w:sz w:val="24"/>
              </w:rPr>
            </w:pPr>
            <w:r>
              <w:rPr>
                <w:spacing w:val="-5"/>
                <w:sz w:val="24"/>
              </w:rPr>
              <w:t>0.7</w:t>
            </w:r>
          </w:p>
        </w:tc>
        <w:tc>
          <w:tcPr>
            <w:tcW w:w="810" w:type="dxa"/>
          </w:tcPr>
          <w:p>
            <w:pPr>
              <w:pStyle w:val="TableParagraph"/>
              <w:spacing w:before="133"/>
              <w:ind w:left="92" w:right="116"/>
              <w:jc w:val="center"/>
              <w:rPr>
                <w:sz w:val="24"/>
              </w:rPr>
            </w:pPr>
            <w:r>
              <w:rPr>
                <w:spacing w:val="-5"/>
                <w:sz w:val="24"/>
              </w:rPr>
              <w:t>0.5</w:t>
            </w:r>
          </w:p>
        </w:tc>
        <w:tc>
          <w:tcPr>
            <w:tcW w:w="839" w:type="dxa"/>
          </w:tcPr>
          <w:p>
            <w:pPr>
              <w:pStyle w:val="TableParagraph"/>
              <w:spacing w:before="133"/>
              <w:ind w:left="151"/>
              <w:rPr>
                <w:sz w:val="24"/>
              </w:rPr>
            </w:pPr>
            <w:r>
              <w:rPr>
                <w:spacing w:val="-5"/>
                <w:sz w:val="24"/>
              </w:rPr>
              <w:t>0.1</w:t>
            </w:r>
          </w:p>
        </w:tc>
        <w:tc>
          <w:tcPr>
            <w:tcW w:w="1013" w:type="dxa"/>
          </w:tcPr>
          <w:p>
            <w:pPr>
              <w:pStyle w:val="TableParagraph"/>
              <w:spacing w:before="133"/>
              <w:ind w:left="272"/>
              <w:rPr>
                <w:sz w:val="24"/>
              </w:rPr>
            </w:pPr>
            <w:r>
              <w:rPr>
                <w:spacing w:val="-5"/>
                <w:sz w:val="24"/>
              </w:rPr>
              <w:t>0.2</w:t>
            </w:r>
          </w:p>
        </w:tc>
        <w:tc>
          <w:tcPr>
            <w:tcW w:w="893" w:type="dxa"/>
          </w:tcPr>
          <w:p>
            <w:pPr>
              <w:pStyle w:val="TableParagraph"/>
              <w:spacing w:before="133"/>
              <w:ind w:left="63" w:right="1"/>
              <w:jc w:val="center"/>
              <w:rPr>
                <w:sz w:val="24"/>
              </w:rPr>
            </w:pPr>
            <w:r>
              <w:rPr>
                <w:spacing w:val="-5"/>
                <w:sz w:val="24"/>
              </w:rPr>
              <w:t>0.8</w:t>
            </w:r>
          </w:p>
        </w:tc>
        <w:tc>
          <w:tcPr>
            <w:tcW w:w="779" w:type="dxa"/>
          </w:tcPr>
          <w:p>
            <w:pPr>
              <w:pStyle w:val="TableParagraph"/>
              <w:spacing w:before="133"/>
              <w:ind w:left="71" w:right="1"/>
              <w:jc w:val="center"/>
              <w:rPr>
                <w:sz w:val="24"/>
              </w:rPr>
            </w:pPr>
            <w:r>
              <w:rPr>
                <w:spacing w:val="-5"/>
                <w:sz w:val="24"/>
              </w:rPr>
              <w:t>0.3</w:t>
            </w:r>
          </w:p>
        </w:tc>
        <w:tc>
          <w:tcPr>
            <w:tcW w:w="559" w:type="dxa"/>
          </w:tcPr>
          <w:p>
            <w:pPr>
              <w:pStyle w:val="TableParagraph"/>
              <w:spacing w:before="133"/>
              <w:ind w:right="41"/>
              <w:jc w:val="right"/>
              <w:rPr>
                <w:sz w:val="24"/>
              </w:rPr>
            </w:pPr>
            <w:r>
              <w:rPr>
                <w:spacing w:val="-5"/>
                <w:sz w:val="24"/>
              </w:rPr>
              <w:t>0.4</w:t>
            </w:r>
          </w:p>
        </w:tc>
      </w:tr>
      <w:tr>
        <w:trPr>
          <w:trHeight w:val="552" w:hRule="atLeast"/>
        </w:trPr>
        <w:tc>
          <w:tcPr>
            <w:tcW w:w="1769" w:type="dxa"/>
          </w:tcPr>
          <w:p>
            <w:pPr>
              <w:pStyle w:val="TableParagraph"/>
              <w:spacing w:before="133"/>
              <w:ind w:left="50"/>
              <w:rPr>
                <w:sz w:val="24"/>
              </w:rPr>
            </w:pPr>
            <w:r>
              <w:rPr>
                <w:spacing w:val="-2"/>
                <w:sz w:val="24"/>
              </w:rPr>
              <w:t>Maharashtra</w:t>
            </w:r>
          </w:p>
        </w:tc>
        <w:tc>
          <w:tcPr>
            <w:tcW w:w="787" w:type="dxa"/>
          </w:tcPr>
          <w:p>
            <w:pPr>
              <w:pStyle w:val="TableParagraph"/>
              <w:spacing w:before="133"/>
              <w:ind w:left="113"/>
              <w:rPr>
                <w:sz w:val="24"/>
              </w:rPr>
            </w:pPr>
            <w:r>
              <w:rPr>
                <w:spacing w:val="-5"/>
                <w:sz w:val="24"/>
              </w:rPr>
              <w:t>6.1</w:t>
            </w:r>
          </w:p>
        </w:tc>
        <w:tc>
          <w:tcPr>
            <w:tcW w:w="810" w:type="dxa"/>
          </w:tcPr>
          <w:p>
            <w:pPr>
              <w:pStyle w:val="TableParagraph"/>
              <w:spacing w:before="133"/>
              <w:ind w:left="92" w:right="115"/>
              <w:jc w:val="center"/>
              <w:rPr>
                <w:sz w:val="24"/>
              </w:rPr>
            </w:pPr>
            <w:r>
              <w:rPr>
                <w:spacing w:val="-5"/>
                <w:sz w:val="24"/>
              </w:rPr>
              <w:t>6.6</w:t>
            </w:r>
          </w:p>
        </w:tc>
        <w:tc>
          <w:tcPr>
            <w:tcW w:w="839" w:type="dxa"/>
          </w:tcPr>
          <w:p>
            <w:pPr>
              <w:pStyle w:val="TableParagraph"/>
              <w:spacing w:before="133"/>
              <w:ind w:left="152"/>
              <w:rPr>
                <w:sz w:val="24"/>
              </w:rPr>
            </w:pPr>
            <w:r>
              <w:rPr>
                <w:spacing w:val="-5"/>
                <w:sz w:val="24"/>
              </w:rPr>
              <w:t>0.1</w:t>
            </w:r>
          </w:p>
        </w:tc>
        <w:tc>
          <w:tcPr>
            <w:tcW w:w="1013" w:type="dxa"/>
          </w:tcPr>
          <w:p>
            <w:pPr>
              <w:pStyle w:val="TableParagraph"/>
              <w:spacing w:before="133"/>
              <w:ind w:left="273"/>
              <w:rPr>
                <w:sz w:val="24"/>
              </w:rPr>
            </w:pPr>
            <w:r>
              <w:rPr>
                <w:spacing w:val="-5"/>
                <w:sz w:val="24"/>
              </w:rPr>
              <w:t>1.0</w:t>
            </w:r>
          </w:p>
        </w:tc>
        <w:tc>
          <w:tcPr>
            <w:tcW w:w="893" w:type="dxa"/>
          </w:tcPr>
          <w:p>
            <w:pPr>
              <w:pStyle w:val="TableParagraph"/>
              <w:spacing w:before="133"/>
              <w:ind w:left="63"/>
              <w:jc w:val="center"/>
              <w:rPr>
                <w:sz w:val="24"/>
              </w:rPr>
            </w:pPr>
            <w:r>
              <w:rPr>
                <w:spacing w:val="-5"/>
                <w:sz w:val="24"/>
              </w:rPr>
              <w:t>0.6</w:t>
            </w:r>
          </w:p>
        </w:tc>
        <w:tc>
          <w:tcPr>
            <w:tcW w:w="779" w:type="dxa"/>
          </w:tcPr>
          <w:p>
            <w:pPr>
              <w:pStyle w:val="TableParagraph"/>
              <w:spacing w:before="133"/>
              <w:ind w:left="71" w:right="1"/>
              <w:jc w:val="center"/>
              <w:rPr>
                <w:sz w:val="24"/>
              </w:rPr>
            </w:pPr>
            <w:r>
              <w:rPr>
                <w:spacing w:val="-5"/>
                <w:sz w:val="24"/>
              </w:rPr>
              <w:t>2.6</w:t>
            </w:r>
          </w:p>
        </w:tc>
        <w:tc>
          <w:tcPr>
            <w:tcW w:w="559" w:type="dxa"/>
          </w:tcPr>
          <w:p>
            <w:pPr>
              <w:pStyle w:val="TableParagraph"/>
              <w:spacing w:before="133"/>
              <w:ind w:right="41"/>
              <w:jc w:val="right"/>
              <w:rPr>
                <w:sz w:val="24"/>
              </w:rPr>
            </w:pPr>
            <w:r>
              <w:rPr>
                <w:spacing w:val="-5"/>
                <w:sz w:val="24"/>
              </w:rPr>
              <w:t>3.4</w:t>
            </w:r>
          </w:p>
        </w:tc>
      </w:tr>
      <w:tr>
        <w:trPr>
          <w:trHeight w:val="408" w:hRule="atLeast"/>
        </w:trPr>
        <w:tc>
          <w:tcPr>
            <w:tcW w:w="1769" w:type="dxa"/>
          </w:tcPr>
          <w:p>
            <w:pPr>
              <w:pStyle w:val="TableParagraph"/>
              <w:spacing w:line="256" w:lineRule="exact" w:before="133"/>
              <w:ind w:left="50"/>
              <w:rPr>
                <w:sz w:val="24"/>
              </w:rPr>
            </w:pPr>
            <w:r>
              <w:rPr>
                <w:spacing w:val="-2"/>
                <w:sz w:val="24"/>
              </w:rPr>
              <w:t>Mysore</w:t>
            </w:r>
          </w:p>
        </w:tc>
        <w:tc>
          <w:tcPr>
            <w:tcW w:w="787" w:type="dxa"/>
          </w:tcPr>
          <w:p>
            <w:pPr>
              <w:pStyle w:val="TableParagraph"/>
              <w:spacing w:line="256" w:lineRule="exact" w:before="133"/>
              <w:ind w:left="113"/>
              <w:rPr>
                <w:sz w:val="24"/>
              </w:rPr>
            </w:pPr>
            <w:r>
              <w:rPr>
                <w:spacing w:val="-5"/>
                <w:sz w:val="24"/>
              </w:rPr>
              <w:t>0.1</w:t>
            </w:r>
          </w:p>
        </w:tc>
        <w:tc>
          <w:tcPr>
            <w:tcW w:w="810" w:type="dxa"/>
          </w:tcPr>
          <w:p>
            <w:pPr>
              <w:pStyle w:val="TableParagraph"/>
              <w:spacing w:line="256" w:lineRule="exact" w:before="133"/>
              <w:ind w:left="92" w:right="115"/>
              <w:jc w:val="center"/>
              <w:rPr>
                <w:sz w:val="24"/>
              </w:rPr>
            </w:pPr>
            <w:r>
              <w:rPr>
                <w:spacing w:val="-5"/>
                <w:sz w:val="24"/>
              </w:rPr>
              <w:t>0.7</w:t>
            </w:r>
          </w:p>
        </w:tc>
        <w:tc>
          <w:tcPr>
            <w:tcW w:w="839" w:type="dxa"/>
          </w:tcPr>
          <w:p>
            <w:pPr>
              <w:pStyle w:val="TableParagraph"/>
              <w:spacing w:line="256" w:lineRule="exact" w:before="133"/>
              <w:ind w:left="152"/>
              <w:rPr>
                <w:sz w:val="24"/>
              </w:rPr>
            </w:pPr>
            <w:r>
              <w:rPr>
                <w:spacing w:val="-5"/>
                <w:sz w:val="24"/>
              </w:rPr>
              <w:t>0.2</w:t>
            </w:r>
          </w:p>
        </w:tc>
        <w:tc>
          <w:tcPr>
            <w:tcW w:w="1013" w:type="dxa"/>
          </w:tcPr>
          <w:p>
            <w:pPr>
              <w:pStyle w:val="TableParagraph"/>
              <w:spacing w:line="256" w:lineRule="exact" w:before="133"/>
              <w:ind w:left="273"/>
              <w:rPr>
                <w:sz w:val="24"/>
              </w:rPr>
            </w:pPr>
            <w:r>
              <w:rPr>
                <w:spacing w:val="-5"/>
                <w:sz w:val="24"/>
              </w:rPr>
              <w:t>0.2</w:t>
            </w:r>
          </w:p>
        </w:tc>
        <w:tc>
          <w:tcPr>
            <w:tcW w:w="893" w:type="dxa"/>
          </w:tcPr>
          <w:p>
            <w:pPr>
              <w:pStyle w:val="TableParagraph"/>
              <w:spacing w:line="256" w:lineRule="exact" w:before="133"/>
              <w:ind w:left="63"/>
              <w:jc w:val="center"/>
              <w:rPr>
                <w:sz w:val="24"/>
              </w:rPr>
            </w:pPr>
            <w:r>
              <w:rPr>
                <w:spacing w:val="-5"/>
                <w:sz w:val="24"/>
              </w:rPr>
              <w:t>0.1</w:t>
            </w:r>
          </w:p>
        </w:tc>
        <w:tc>
          <w:tcPr>
            <w:tcW w:w="779" w:type="dxa"/>
          </w:tcPr>
          <w:p>
            <w:pPr>
              <w:pStyle w:val="TableParagraph"/>
              <w:spacing w:line="256" w:lineRule="exact" w:before="133"/>
              <w:ind w:left="71"/>
              <w:jc w:val="center"/>
              <w:rPr>
                <w:sz w:val="24"/>
              </w:rPr>
            </w:pPr>
            <w:r>
              <w:rPr>
                <w:spacing w:val="-5"/>
                <w:sz w:val="24"/>
              </w:rPr>
              <w:t>0.4</w:t>
            </w:r>
          </w:p>
        </w:tc>
        <w:tc>
          <w:tcPr>
            <w:tcW w:w="559" w:type="dxa"/>
          </w:tcPr>
          <w:p>
            <w:pPr>
              <w:pStyle w:val="TableParagraph"/>
              <w:spacing w:line="256" w:lineRule="exact" w:before="133"/>
              <w:ind w:right="40"/>
              <w:jc w:val="right"/>
              <w:rPr>
                <w:sz w:val="24"/>
              </w:rPr>
            </w:pPr>
            <w:r>
              <w:rPr>
                <w:spacing w:val="-5"/>
                <w:sz w:val="24"/>
              </w:rPr>
              <w:t>0.6</w:t>
            </w:r>
          </w:p>
        </w:tc>
      </w:tr>
    </w:tbl>
    <w:p>
      <w:pPr>
        <w:pStyle w:val="BodyText"/>
        <w:spacing w:before="1"/>
      </w:pPr>
    </w:p>
    <w:p>
      <w:pPr>
        <w:pStyle w:val="BodyText"/>
        <w:tabs>
          <w:tab w:pos="1992" w:val="left" w:leader="none"/>
          <w:tab w:pos="2907" w:val="left" w:leader="none"/>
          <w:tab w:pos="3507" w:val="left" w:leader="none"/>
          <w:tab w:pos="4287" w:val="left" w:leader="none"/>
          <w:tab w:pos="4887" w:val="left" w:leader="none"/>
          <w:tab w:pos="5607" w:val="left" w:leader="none"/>
          <w:tab w:pos="6147" w:val="left" w:leader="none"/>
        </w:tabs>
        <w:spacing w:before="1"/>
        <w:ind w:left="159"/>
      </w:pPr>
      <w:r>
        <w:rPr>
          <w:spacing w:val="-2"/>
        </w:rPr>
        <w:t>Orissa</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r>
        <w:rPr/>
        <w:tab/>
      </w:r>
      <w:r>
        <w:rPr>
          <w:spacing w:val="-5"/>
        </w:rPr>
        <w:t>..</w:t>
      </w:r>
    </w:p>
    <w:p>
      <w:pPr>
        <w:spacing w:after="0"/>
        <w:sectPr>
          <w:pgSz w:w="12240" w:h="15840"/>
          <w:pgMar w:header="0" w:footer="743" w:top="1360" w:bottom="940" w:left="1640" w:right="1300"/>
        </w:sectPr>
      </w:pPr>
    </w:p>
    <w:p>
      <w:pPr>
        <w:pStyle w:val="BodyText"/>
        <w:spacing w:before="3"/>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2"/>
        <w:gridCol w:w="927"/>
        <w:gridCol w:w="728"/>
        <w:gridCol w:w="848"/>
        <w:gridCol w:w="1036"/>
        <w:gridCol w:w="954"/>
        <w:gridCol w:w="728"/>
        <w:gridCol w:w="552"/>
      </w:tblGrid>
      <w:tr>
        <w:trPr>
          <w:trHeight w:val="408" w:hRule="atLeast"/>
        </w:trPr>
        <w:tc>
          <w:tcPr>
            <w:tcW w:w="1622" w:type="dxa"/>
          </w:tcPr>
          <w:p>
            <w:pPr>
              <w:pStyle w:val="TableParagraph"/>
              <w:spacing w:line="266" w:lineRule="exact"/>
              <w:ind w:left="50"/>
              <w:rPr>
                <w:sz w:val="24"/>
              </w:rPr>
            </w:pPr>
            <w:r>
              <w:rPr>
                <w:spacing w:val="-2"/>
                <w:sz w:val="24"/>
              </w:rPr>
              <w:t>Punjab</w:t>
            </w:r>
          </w:p>
        </w:tc>
        <w:tc>
          <w:tcPr>
            <w:tcW w:w="927" w:type="dxa"/>
          </w:tcPr>
          <w:p>
            <w:pPr>
              <w:pStyle w:val="TableParagraph"/>
              <w:spacing w:line="266" w:lineRule="exact"/>
              <w:ind w:left="259"/>
              <w:rPr>
                <w:sz w:val="24"/>
              </w:rPr>
            </w:pPr>
            <w:r>
              <w:rPr>
                <w:spacing w:val="-5"/>
                <w:sz w:val="24"/>
              </w:rPr>
              <w:t>0.1</w:t>
            </w:r>
          </w:p>
        </w:tc>
        <w:tc>
          <w:tcPr>
            <w:tcW w:w="728" w:type="dxa"/>
          </w:tcPr>
          <w:p>
            <w:pPr>
              <w:pStyle w:val="TableParagraph"/>
              <w:spacing w:line="266" w:lineRule="exact"/>
              <w:ind w:left="248"/>
              <w:rPr>
                <w:sz w:val="24"/>
              </w:rPr>
            </w:pPr>
            <w:r>
              <w:rPr>
                <w:spacing w:val="-5"/>
                <w:sz w:val="24"/>
              </w:rPr>
              <w:t>0.1</w:t>
            </w:r>
          </w:p>
        </w:tc>
        <w:tc>
          <w:tcPr>
            <w:tcW w:w="848" w:type="dxa"/>
          </w:tcPr>
          <w:p>
            <w:pPr>
              <w:pStyle w:val="TableParagraph"/>
              <w:spacing w:line="266" w:lineRule="exact"/>
              <w:ind w:left="240"/>
              <w:rPr>
                <w:sz w:val="24"/>
              </w:rPr>
            </w:pPr>
            <w:r>
              <w:rPr>
                <w:spacing w:val="-5"/>
                <w:sz w:val="24"/>
              </w:rPr>
              <w:t>0.1</w:t>
            </w:r>
          </w:p>
        </w:tc>
        <w:tc>
          <w:tcPr>
            <w:tcW w:w="1036" w:type="dxa"/>
          </w:tcPr>
          <w:p>
            <w:pPr>
              <w:pStyle w:val="TableParagraph"/>
              <w:spacing w:line="266" w:lineRule="exact"/>
              <w:ind w:left="292"/>
              <w:rPr>
                <w:sz w:val="24"/>
              </w:rPr>
            </w:pPr>
            <w:r>
              <w:rPr>
                <w:spacing w:val="-5"/>
                <w:sz w:val="24"/>
              </w:rPr>
              <w:t>0.1</w:t>
            </w:r>
          </w:p>
        </w:tc>
        <w:tc>
          <w:tcPr>
            <w:tcW w:w="954" w:type="dxa"/>
          </w:tcPr>
          <w:p>
            <w:pPr>
              <w:pStyle w:val="TableParagraph"/>
              <w:spacing w:line="266" w:lineRule="exact"/>
              <w:ind w:left="384"/>
              <w:rPr>
                <w:sz w:val="24"/>
              </w:rPr>
            </w:pPr>
            <w:r>
              <w:rPr>
                <w:spacing w:val="-5"/>
                <w:sz w:val="24"/>
              </w:rPr>
              <w:t>0.2</w:t>
            </w:r>
          </w:p>
        </w:tc>
        <w:tc>
          <w:tcPr>
            <w:tcW w:w="728" w:type="dxa"/>
          </w:tcPr>
          <w:p>
            <w:pPr>
              <w:pStyle w:val="TableParagraph"/>
              <w:spacing w:line="266" w:lineRule="exact"/>
              <w:ind w:left="113" w:right="1"/>
              <w:jc w:val="center"/>
              <w:rPr>
                <w:sz w:val="24"/>
              </w:rPr>
            </w:pPr>
            <w:r>
              <w:rPr>
                <w:spacing w:val="-5"/>
                <w:sz w:val="24"/>
              </w:rPr>
              <w:t>0.3</w:t>
            </w:r>
          </w:p>
        </w:tc>
        <w:tc>
          <w:tcPr>
            <w:tcW w:w="552" w:type="dxa"/>
          </w:tcPr>
          <w:p>
            <w:pPr>
              <w:pStyle w:val="TableParagraph"/>
              <w:spacing w:line="266" w:lineRule="exact"/>
              <w:ind w:left="202"/>
              <w:rPr>
                <w:sz w:val="24"/>
              </w:rPr>
            </w:pPr>
            <w:r>
              <w:rPr>
                <w:spacing w:val="-5"/>
                <w:sz w:val="24"/>
              </w:rPr>
              <w:t>0.1</w:t>
            </w:r>
          </w:p>
        </w:tc>
      </w:tr>
      <w:tr>
        <w:trPr>
          <w:trHeight w:val="551" w:hRule="atLeast"/>
        </w:trPr>
        <w:tc>
          <w:tcPr>
            <w:tcW w:w="1622" w:type="dxa"/>
          </w:tcPr>
          <w:p>
            <w:pPr>
              <w:pStyle w:val="TableParagraph"/>
              <w:spacing w:before="133"/>
              <w:ind w:left="50"/>
              <w:rPr>
                <w:sz w:val="24"/>
              </w:rPr>
            </w:pPr>
            <w:r>
              <w:rPr>
                <w:spacing w:val="-2"/>
                <w:sz w:val="24"/>
              </w:rPr>
              <w:t>Rajasthan</w:t>
            </w:r>
          </w:p>
        </w:tc>
        <w:tc>
          <w:tcPr>
            <w:tcW w:w="927" w:type="dxa"/>
          </w:tcPr>
          <w:p>
            <w:pPr>
              <w:pStyle w:val="TableParagraph"/>
              <w:spacing w:before="133"/>
              <w:ind w:left="260"/>
              <w:rPr>
                <w:sz w:val="24"/>
              </w:rPr>
            </w:pPr>
            <w:r>
              <w:rPr>
                <w:spacing w:val="-4"/>
                <w:sz w:val="24"/>
              </w:rPr>
              <w:t>11.5</w:t>
            </w:r>
          </w:p>
        </w:tc>
        <w:tc>
          <w:tcPr>
            <w:tcW w:w="728" w:type="dxa"/>
          </w:tcPr>
          <w:p>
            <w:pPr>
              <w:pStyle w:val="TableParagraph"/>
              <w:spacing w:before="133"/>
              <w:ind w:left="248"/>
              <w:rPr>
                <w:sz w:val="24"/>
              </w:rPr>
            </w:pPr>
            <w:r>
              <w:rPr>
                <w:spacing w:val="-5"/>
                <w:sz w:val="24"/>
              </w:rPr>
              <w:t>2.3</w:t>
            </w:r>
          </w:p>
        </w:tc>
        <w:tc>
          <w:tcPr>
            <w:tcW w:w="848" w:type="dxa"/>
          </w:tcPr>
          <w:p>
            <w:pPr>
              <w:pStyle w:val="TableParagraph"/>
              <w:spacing w:before="133"/>
              <w:ind w:left="240"/>
              <w:rPr>
                <w:sz w:val="24"/>
              </w:rPr>
            </w:pPr>
            <w:r>
              <w:rPr>
                <w:spacing w:val="-5"/>
                <w:sz w:val="24"/>
              </w:rPr>
              <w:t>0.9</w:t>
            </w:r>
          </w:p>
        </w:tc>
        <w:tc>
          <w:tcPr>
            <w:tcW w:w="1036" w:type="dxa"/>
          </w:tcPr>
          <w:p>
            <w:pPr>
              <w:pStyle w:val="TableParagraph"/>
              <w:spacing w:before="133"/>
              <w:ind w:left="352"/>
              <w:rPr>
                <w:sz w:val="24"/>
              </w:rPr>
            </w:pPr>
            <w:r>
              <w:rPr>
                <w:spacing w:val="-5"/>
                <w:sz w:val="24"/>
              </w:rPr>
              <w:t>0.6</w:t>
            </w:r>
          </w:p>
        </w:tc>
        <w:tc>
          <w:tcPr>
            <w:tcW w:w="954" w:type="dxa"/>
          </w:tcPr>
          <w:p>
            <w:pPr>
              <w:pStyle w:val="TableParagraph"/>
              <w:spacing w:before="133"/>
              <w:ind w:left="384"/>
              <w:rPr>
                <w:sz w:val="24"/>
              </w:rPr>
            </w:pPr>
            <w:r>
              <w:rPr>
                <w:spacing w:val="-5"/>
                <w:sz w:val="24"/>
              </w:rPr>
              <w:t>0.5</w:t>
            </w:r>
          </w:p>
        </w:tc>
        <w:tc>
          <w:tcPr>
            <w:tcW w:w="728" w:type="dxa"/>
          </w:tcPr>
          <w:p>
            <w:pPr>
              <w:pStyle w:val="TableParagraph"/>
              <w:spacing w:before="133"/>
              <w:ind w:left="113"/>
              <w:jc w:val="center"/>
              <w:rPr>
                <w:sz w:val="24"/>
              </w:rPr>
            </w:pPr>
            <w:r>
              <w:rPr>
                <w:spacing w:val="-5"/>
                <w:sz w:val="24"/>
              </w:rPr>
              <w:t>4.5</w:t>
            </w:r>
          </w:p>
        </w:tc>
        <w:tc>
          <w:tcPr>
            <w:tcW w:w="552" w:type="dxa"/>
          </w:tcPr>
          <w:p>
            <w:pPr>
              <w:pStyle w:val="TableParagraph"/>
              <w:spacing w:before="133"/>
              <w:ind w:left="202"/>
              <w:rPr>
                <w:sz w:val="24"/>
              </w:rPr>
            </w:pPr>
            <w:r>
              <w:rPr>
                <w:spacing w:val="-5"/>
                <w:sz w:val="24"/>
              </w:rPr>
              <w:t>1.9</w:t>
            </w:r>
          </w:p>
        </w:tc>
      </w:tr>
      <w:tr>
        <w:trPr>
          <w:trHeight w:val="551" w:hRule="atLeast"/>
        </w:trPr>
        <w:tc>
          <w:tcPr>
            <w:tcW w:w="1622" w:type="dxa"/>
          </w:tcPr>
          <w:p>
            <w:pPr>
              <w:pStyle w:val="TableParagraph"/>
              <w:spacing w:before="133"/>
              <w:ind w:left="50"/>
              <w:rPr>
                <w:sz w:val="24"/>
              </w:rPr>
            </w:pPr>
            <w:r>
              <w:rPr>
                <w:sz w:val="24"/>
              </w:rPr>
              <w:t>Uttar </w:t>
            </w:r>
            <w:r>
              <w:rPr>
                <w:spacing w:val="-2"/>
                <w:sz w:val="24"/>
              </w:rPr>
              <w:t>Pradesh</w:t>
            </w:r>
          </w:p>
        </w:tc>
        <w:tc>
          <w:tcPr>
            <w:tcW w:w="927" w:type="dxa"/>
          </w:tcPr>
          <w:p>
            <w:pPr>
              <w:pStyle w:val="TableParagraph"/>
              <w:spacing w:before="133"/>
              <w:ind w:left="260"/>
              <w:rPr>
                <w:sz w:val="24"/>
              </w:rPr>
            </w:pPr>
            <w:r>
              <w:rPr>
                <w:spacing w:val="-5"/>
                <w:sz w:val="24"/>
              </w:rPr>
              <w:t>..</w:t>
            </w:r>
          </w:p>
        </w:tc>
        <w:tc>
          <w:tcPr>
            <w:tcW w:w="728" w:type="dxa"/>
          </w:tcPr>
          <w:p>
            <w:pPr>
              <w:pStyle w:val="TableParagraph"/>
              <w:spacing w:before="133"/>
              <w:ind w:left="249"/>
              <w:rPr>
                <w:sz w:val="24"/>
              </w:rPr>
            </w:pPr>
            <w:r>
              <w:rPr>
                <w:spacing w:val="-5"/>
                <w:sz w:val="24"/>
              </w:rPr>
              <w:t>..</w:t>
            </w:r>
          </w:p>
        </w:tc>
        <w:tc>
          <w:tcPr>
            <w:tcW w:w="848" w:type="dxa"/>
          </w:tcPr>
          <w:p>
            <w:pPr>
              <w:pStyle w:val="TableParagraph"/>
              <w:spacing w:before="133"/>
              <w:ind w:left="145"/>
              <w:jc w:val="center"/>
              <w:rPr>
                <w:sz w:val="24"/>
              </w:rPr>
            </w:pPr>
            <w:r>
              <w:rPr>
                <w:spacing w:val="-5"/>
                <w:sz w:val="24"/>
              </w:rPr>
              <w:t>..</w:t>
            </w:r>
          </w:p>
        </w:tc>
        <w:tc>
          <w:tcPr>
            <w:tcW w:w="1036" w:type="dxa"/>
          </w:tcPr>
          <w:p>
            <w:pPr>
              <w:pStyle w:val="TableParagraph"/>
              <w:spacing w:before="133"/>
              <w:ind w:right="56"/>
              <w:jc w:val="center"/>
              <w:rPr>
                <w:sz w:val="24"/>
              </w:rPr>
            </w:pPr>
            <w:r>
              <w:rPr>
                <w:spacing w:val="-5"/>
                <w:sz w:val="24"/>
              </w:rPr>
              <w:t>..</w:t>
            </w:r>
          </w:p>
        </w:tc>
        <w:tc>
          <w:tcPr>
            <w:tcW w:w="954" w:type="dxa"/>
          </w:tcPr>
          <w:p>
            <w:pPr>
              <w:pStyle w:val="TableParagraph"/>
              <w:spacing w:before="133"/>
              <w:ind w:left="385"/>
              <w:rPr>
                <w:sz w:val="24"/>
              </w:rPr>
            </w:pPr>
            <w:r>
              <w:rPr>
                <w:spacing w:val="-5"/>
                <w:sz w:val="24"/>
              </w:rPr>
              <w:t>..</w:t>
            </w:r>
          </w:p>
        </w:tc>
        <w:tc>
          <w:tcPr>
            <w:tcW w:w="728" w:type="dxa"/>
          </w:tcPr>
          <w:p>
            <w:pPr>
              <w:pStyle w:val="TableParagraph"/>
              <w:spacing w:before="133"/>
              <w:ind w:left="113" w:right="28"/>
              <w:jc w:val="center"/>
              <w:rPr>
                <w:sz w:val="24"/>
              </w:rPr>
            </w:pPr>
            <w:r>
              <w:rPr>
                <w:spacing w:val="-5"/>
                <w:sz w:val="24"/>
              </w:rPr>
              <w:t>..</w:t>
            </w:r>
          </w:p>
        </w:tc>
        <w:tc>
          <w:tcPr>
            <w:tcW w:w="552" w:type="dxa"/>
          </w:tcPr>
          <w:p>
            <w:pPr>
              <w:pStyle w:val="TableParagraph"/>
              <w:spacing w:before="133"/>
              <w:ind w:left="158"/>
              <w:rPr>
                <w:sz w:val="24"/>
              </w:rPr>
            </w:pPr>
            <w:r>
              <w:rPr>
                <w:spacing w:val="-5"/>
                <w:sz w:val="24"/>
              </w:rPr>
              <w:t>..</w:t>
            </w:r>
          </w:p>
        </w:tc>
      </w:tr>
      <w:tr>
        <w:trPr>
          <w:trHeight w:val="408" w:hRule="atLeast"/>
        </w:trPr>
        <w:tc>
          <w:tcPr>
            <w:tcW w:w="1622" w:type="dxa"/>
          </w:tcPr>
          <w:p>
            <w:pPr>
              <w:pStyle w:val="TableParagraph"/>
              <w:spacing w:line="256" w:lineRule="exact" w:before="133"/>
              <w:ind w:left="50"/>
              <w:rPr>
                <w:sz w:val="24"/>
              </w:rPr>
            </w:pPr>
            <w:r>
              <w:rPr>
                <w:sz w:val="24"/>
              </w:rPr>
              <w:t>West </w:t>
            </w:r>
            <w:r>
              <w:rPr>
                <w:spacing w:val="-2"/>
                <w:sz w:val="24"/>
              </w:rPr>
              <w:t>Bengal</w:t>
            </w:r>
          </w:p>
        </w:tc>
        <w:tc>
          <w:tcPr>
            <w:tcW w:w="927" w:type="dxa"/>
          </w:tcPr>
          <w:p>
            <w:pPr>
              <w:pStyle w:val="TableParagraph"/>
              <w:spacing w:line="256" w:lineRule="exact" w:before="133"/>
              <w:ind w:left="259"/>
              <w:rPr>
                <w:sz w:val="24"/>
              </w:rPr>
            </w:pPr>
            <w:r>
              <w:rPr>
                <w:spacing w:val="-5"/>
                <w:sz w:val="24"/>
              </w:rPr>
              <w:t>5.9</w:t>
            </w:r>
          </w:p>
        </w:tc>
        <w:tc>
          <w:tcPr>
            <w:tcW w:w="728" w:type="dxa"/>
          </w:tcPr>
          <w:p>
            <w:pPr>
              <w:pStyle w:val="TableParagraph"/>
              <w:spacing w:line="256" w:lineRule="exact" w:before="133"/>
              <w:ind w:left="248"/>
              <w:rPr>
                <w:sz w:val="24"/>
              </w:rPr>
            </w:pPr>
            <w:r>
              <w:rPr>
                <w:spacing w:val="-5"/>
                <w:sz w:val="24"/>
              </w:rPr>
              <w:t>3.5</w:t>
            </w:r>
          </w:p>
        </w:tc>
        <w:tc>
          <w:tcPr>
            <w:tcW w:w="848" w:type="dxa"/>
          </w:tcPr>
          <w:p>
            <w:pPr>
              <w:pStyle w:val="TableParagraph"/>
              <w:spacing w:line="256" w:lineRule="exact" w:before="133"/>
              <w:ind w:left="180"/>
              <w:rPr>
                <w:sz w:val="24"/>
              </w:rPr>
            </w:pPr>
            <w:r>
              <w:rPr>
                <w:spacing w:val="-5"/>
                <w:sz w:val="24"/>
              </w:rPr>
              <w:t>3.2</w:t>
            </w:r>
          </w:p>
        </w:tc>
        <w:tc>
          <w:tcPr>
            <w:tcW w:w="1036" w:type="dxa"/>
          </w:tcPr>
          <w:p>
            <w:pPr>
              <w:pStyle w:val="TableParagraph"/>
              <w:spacing w:line="256" w:lineRule="exact" w:before="133"/>
              <w:ind w:left="352"/>
              <w:rPr>
                <w:sz w:val="24"/>
              </w:rPr>
            </w:pPr>
            <w:r>
              <w:rPr>
                <w:spacing w:val="-5"/>
                <w:sz w:val="24"/>
              </w:rPr>
              <w:t>1.4</w:t>
            </w:r>
          </w:p>
        </w:tc>
        <w:tc>
          <w:tcPr>
            <w:tcW w:w="954" w:type="dxa"/>
          </w:tcPr>
          <w:p>
            <w:pPr>
              <w:pStyle w:val="TableParagraph"/>
              <w:spacing w:line="256" w:lineRule="exact" w:before="133"/>
              <w:ind w:left="384"/>
              <w:rPr>
                <w:sz w:val="24"/>
              </w:rPr>
            </w:pPr>
            <w:r>
              <w:rPr>
                <w:spacing w:val="-5"/>
                <w:sz w:val="24"/>
              </w:rPr>
              <w:t>0.3</w:t>
            </w:r>
          </w:p>
        </w:tc>
        <w:tc>
          <w:tcPr>
            <w:tcW w:w="728" w:type="dxa"/>
          </w:tcPr>
          <w:p>
            <w:pPr>
              <w:pStyle w:val="TableParagraph"/>
              <w:spacing w:line="256" w:lineRule="exact" w:before="133"/>
              <w:ind w:left="113"/>
              <w:jc w:val="center"/>
              <w:rPr>
                <w:sz w:val="24"/>
              </w:rPr>
            </w:pPr>
            <w:r>
              <w:rPr>
                <w:spacing w:val="-5"/>
                <w:sz w:val="24"/>
              </w:rPr>
              <w:t>8.5</w:t>
            </w:r>
          </w:p>
        </w:tc>
        <w:tc>
          <w:tcPr>
            <w:tcW w:w="552" w:type="dxa"/>
          </w:tcPr>
          <w:p>
            <w:pPr>
              <w:pStyle w:val="TableParagraph"/>
              <w:spacing w:line="256" w:lineRule="exact" w:before="133"/>
              <w:ind w:left="203"/>
              <w:rPr>
                <w:sz w:val="24"/>
              </w:rPr>
            </w:pPr>
            <w:r>
              <w:rPr>
                <w:spacing w:val="-5"/>
                <w:sz w:val="24"/>
              </w:rPr>
              <w:t>3.4</w:t>
            </w:r>
          </w:p>
        </w:tc>
      </w:tr>
    </w:tbl>
    <w:p>
      <w:pPr>
        <w:pStyle w:val="BodyText"/>
        <w:spacing w:before="5"/>
        <w:rPr>
          <w:sz w:val="15"/>
        </w:rPr>
      </w:pPr>
      <w:r>
        <w:rPr/>
        <mc:AlternateContent>
          <mc:Choice Requires="wps">
            <w:drawing>
              <wp:anchor distT="0" distB="0" distL="0" distR="0" allowOverlap="1" layoutInCell="1" locked="0" behindDoc="1" simplePos="0" relativeHeight="487637504">
                <wp:simplePos x="0" y="0"/>
                <wp:positionH relativeFrom="page">
                  <wp:posOffset>1143000</wp:posOffset>
                </wp:positionH>
                <wp:positionV relativeFrom="paragraph">
                  <wp:posOffset>128524</wp:posOffset>
                </wp:positionV>
                <wp:extent cx="5486400" cy="19050"/>
                <wp:effectExtent l="0" t="0" r="0" b="0"/>
                <wp:wrapTopAndBottom/>
                <wp:docPr id="552" name="Group 552"/>
                <wp:cNvGraphicFramePr>
                  <a:graphicFrameLocks/>
                </wp:cNvGraphicFramePr>
                <a:graphic>
                  <a:graphicData uri="http://schemas.microsoft.com/office/word/2010/wordprocessingGroup">
                    <wpg:wgp>
                      <wpg:cNvPr id="552" name="Group 552"/>
                      <wpg:cNvGrpSpPr/>
                      <wpg:grpSpPr>
                        <a:xfrm>
                          <a:off x="0" y="0"/>
                          <a:ext cx="5486400" cy="19050"/>
                          <a:chExt cx="5486400" cy="19050"/>
                        </a:xfrm>
                      </wpg:grpSpPr>
                      <wps:wsp>
                        <wps:cNvPr id="553" name="Graphic 55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54" name="Graphic 554"/>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55" name="Graphic 555"/>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56" name="Graphic 556"/>
                        <wps:cNvSpPr/>
                        <wps:spPr>
                          <a:xfrm>
                            <a:off x="0" y="0"/>
                            <a:ext cx="5486400" cy="16510"/>
                          </a:xfrm>
                          <a:custGeom>
                            <a:avLst/>
                            <a:gdLst/>
                            <a:ahLst/>
                            <a:cxnLst/>
                            <a:rect l="l" t="t" r="r" b="b"/>
                            <a:pathLst>
                              <a:path w="5486400" h="16510">
                                <a:moveTo>
                                  <a:pt x="3048" y="3060"/>
                                </a:moveTo>
                                <a:lnTo>
                                  <a:pt x="0" y="3060"/>
                                </a:lnTo>
                                <a:lnTo>
                                  <a:pt x="0" y="16002"/>
                                </a:lnTo>
                                <a:lnTo>
                                  <a:pt x="3048" y="16002"/>
                                </a:lnTo>
                                <a:lnTo>
                                  <a:pt x="3048" y="3060"/>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57" name="Graphic 557"/>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58" name="Graphic 558"/>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59" name="Graphic 559"/>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120048pt;width:432pt;height:1.5pt;mso-position-horizontal-relative:page;mso-position-vertical-relative:paragraph;z-index:-15678976;mso-wrap-distance-left:0;mso-wrap-distance-right:0" id="docshapegroup530" coordorigin="1800,202" coordsize="8640,30">
                <v:rect style="position:absolute;left:1800;top:202;width:8640;height:30" id="docshape531" filled="true" fillcolor="#808080" stroked="false">
                  <v:fill type="solid"/>
                </v:rect>
                <v:shape style="position:absolute;left:1800;top:202;width:8636;height:5" id="docshape532" coordorigin="1800,202" coordsize="8636,5" path="m10435,202l1805,202,1800,202,1800,207,1805,207,10435,207,10435,202xe" filled="true" fillcolor="#aca89a" stroked="false">
                  <v:path arrowok="t"/>
                  <v:fill type="solid"/>
                </v:shape>
                <v:rect style="position:absolute;left:10435;top:202;width:5;height:5" id="docshape533" filled="true" fillcolor="#f1efe2" stroked="false">
                  <v:fill type="solid"/>
                </v:rect>
                <v:shape style="position:absolute;left:1800;top:202;width:8640;height:26" id="docshape534" coordorigin="1800,202" coordsize="8640,26" path="m1805,207l1800,207,1800,228,1805,228,1805,207xm10440,202l10435,202,10435,207,10440,207,10440,202xe" filled="true" fillcolor="#aca89a" stroked="false">
                  <v:path arrowok="t"/>
                  <v:fill type="solid"/>
                </v:shape>
                <v:rect style="position:absolute;left:10435;top:207;width:5;height:21" id="docshape535" filled="true" fillcolor="#f1efe2" stroked="false">
                  <v:fill type="solid"/>
                </v:rect>
                <v:rect style="position:absolute;left:1800;top:227;width:5;height:5" id="docshape536" filled="true" fillcolor="#aca89a" stroked="false">
                  <v:fill type="solid"/>
                </v:rect>
                <v:shape style="position:absolute;left:1800;top:227;width:8640;height:5" id="docshape537" coordorigin="1800,228" coordsize="8640,5" path="m10440,228l10435,228,1800,228,1800,232,10435,232,10440,232,10440,228xe" filled="true" fillcolor="#f1efe2" stroked="false">
                  <v:path arrowok="t"/>
                  <v:fill type="solid"/>
                </v:shape>
                <w10:wrap type="topAndBottom"/>
              </v:group>
            </w:pict>
          </mc:Fallback>
        </mc:AlternateContent>
      </w:r>
    </w:p>
    <w:p>
      <w:pPr>
        <w:pStyle w:val="BodyText"/>
        <w:spacing w:before="53"/>
      </w:pPr>
    </w:p>
    <w:p>
      <w:pPr>
        <w:pStyle w:val="BodyText"/>
        <w:ind w:left="159" w:right="497"/>
        <w:jc w:val="both"/>
      </w:pPr>
      <w:r>
        <w:rPr/>
        <w:t>Source.</w:t>
      </w:r>
      <w:r>
        <w:rPr>
          <w:spacing w:val="-1"/>
        </w:rPr>
        <w:t> </w:t>
      </w:r>
      <w:r>
        <w:rPr/>
        <w:t>Ministry</w:t>
      </w:r>
      <w:r>
        <w:rPr>
          <w:spacing w:val="-1"/>
        </w:rPr>
        <w:t> </w:t>
      </w:r>
      <w:r>
        <w:rPr/>
        <w:t>of</w:t>
      </w:r>
      <w:r>
        <w:rPr>
          <w:spacing w:val="-1"/>
        </w:rPr>
        <w:t> </w:t>
      </w:r>
      <w:r>
        <w:rPr/>
        <w:t>Education,</w:t>
      </w:r>
      <w:r>
        <w:rPr>
          <w:spacing w:val="-1"/>
        </w:rPr>
        <w:t> </w:t>
      </w:r>
      <w:r>
        <w:rPr/>
        <w:t>Form</w:t>
      </w:r>
      <w:r>
        <w:rPr>
          <w:spacing w:val="-1"/>
        </w:rPr>
        <w:t> </w:t>
      </w:r>
      <w:r>
        <w:rPr/>
        <w:t>A.</w:t>
      </w:r>
      <w:r>
        <w:rPr>
          <w:spacing w:val="-1"/>
        </w:rPr>
        <w:t> </w:t>
      </w:r>
      <w:r>
        <w:rPr/>
        <w:t>Data</w:t>
      </w:r>
      <w:r>
        <w:rPr>
          <w:spacing w:val="-1"/>
        </w:rPr>
        <w:t> </w:t>
      </w:r>
      <w:r>
        <w:rPr/>
        <w:t>for</w:t>
      </w:r>
      <w:r>
        <w:rPr>
          <w:spacing w:val="-1"/>
        </w:rPr>
        <w:t> </w:t>
      </w:r>
      <w:r>
        <w:rPr/>
        <w:t>Orissa</w:t>
      </w:r>
      <w:r>
        <w:rPr>
          <w:spacing w:val="-1"/>
        </w:rPr>
        <w:t> </w:t>
      </w:r>
      <w:r>
        <w:rPr/>
        <w:t>were</w:t>
      </w:r>
      <w:r>
        <w:rPr>
          <w:spacing w:val="-1"/>
        </w:rPr>
        <w:t> </w:t>
      </w:r>
      <w:r>
        <w:rPr/>
        <w:t>not</w:t>
      </w:r>
      <w:r>
        <w:rPr>
          <w:spacing w:val="-1"/>
        </w:rPr>
        <w:t> </w:t>
      </w:r>
      <w:r>
        <w:rPr/>
        <w:t>available.</w:t>
      </w:r>
      <w:r>
        <w:rPr>
          <w:spacing w:val="-1"/>
        </w:rPr>
        <w:t> </w:t>
      </w:r>
      <w:r>
        <w:rPr/>
        <w:t>Population</w:t>
      </w:r>
      <w:r>
        <w:rPr>
          <w:spacing w:val="-1"/>
        </w:rPr>
        <w:t> </w:t>
      </w:r>
      <w:r>
        <w:rPr/>
        <w:t>of Scheduled Tribes in Jammu and Kashmir and Uttar Pradesh was negligible.</w:t>
      </w:r>
    </w:p>
    <w:p>
      <w:pPr>
        <w:pStyle w:val="BodyText"/>
        <w:spacing w:before="2"/>
      </w:pPr>
    </w:p>
    <w:p>
      <w:pPr>
        <w:pStyle w:val="BodyText"/>
        <w:ind w:left="159" w:right="498"/>
        <w:jc w:val="both"/>
        <w:rPr>
          <w:b/>
        </w:rPr>
      </w:pPr>
      <w:r>
        <w:rPr/>
        <w:t>among the tribal people to provide five years' effective education for all children by</w:t>
      </w:r>
      <w:r>
        <w:rPr>
          <w:spacing w:val="40"/>
        </w:rPr>
        <w:t> </w:t>
      </w:r>
      <w:r>
        <w:rPr/>
        <w:t>1975-76. This will need an intensive programme of parental education. Special encouragement should be given to the education of girls and this will not be difficult because women have a good status in tribal life. The teachers should be invariably conversant with the tribal languages. The medium of education in the first two years of the school should be the tribal language and books should be specially prepared in these languages (using the script of the regional language) for use at this stage. During this period, the children should be given oral instruction in the regional language and their familiarity and command over it should be improved. By the third year, the regional language should be the medium of education. There will be no difficulty in this because the children will already have learnt the script and become familiar with the language.</w:t>
      </w:r>
      <w:r>
        <w:rPr>
          <w:b/>
          <w:vertAlign w:val="superscript"/>
        </w:rPr>
        <w:t>59</w:t>
      </w:r>
    </w:p>
    <w:p>
      <w:pPr>
        <w:pStyle w:val="BodyText"/>
        <w:spacing w:before="5"/>
        <w:rPr>
          <w:b/>
        </w:rPr>
      </w:pPr>
    </w:p>
    <w:p>
      <w:pPr>
        <w:pStyle w:val="ListParagraph"/>
        <w:numPr>
          <w:ilvl w:val="1"/>
          <w:numId w:val="128"/>
        </w:numPr>
        <w:tabs>
          <w:tab w:pos="640" w:val="left" w:leader="none"/>
        </w:tabs>
        <w:spacing w:line="240" w:lineRule="auto" w:before="0" w:after="0"/>
        <w:ind w:left="159" w:right="496" w:firstLine="0"/>
        <w:jc w:val="both"/>
        <w:rPr>
          <w:sz w:val="24"/>
        </w:rPr>
      </w:pPr>
      <w:r>
        <w:rPr>
          <w:sz w:val="24"/>
        </w:rPr>
        <w:t>It</w:t>
      </w:r>
      <w:r>
        <w:rPr>
          <w:spacing w:val="-1"/>
          <w:sz w:val="24"/>
        </w:rPr>
        <w:t> </w:t>
      </w:r>
      <w:r>
        <w:rPr>
          <w:sz w:val="24"/>
        </w:rPr>
        <w:t>is</w:t>
      </w:r>
      <w:r>
        <w:rPr>
          <w:spacing w:val="-1"/>
          <w:sz w:val="24"/>
        </w:rPr>
        <w:t> </w:t>
      </w:r>
      <w:r>
        <w:rPr>
          <w:sz w:val="24"/>
        </w:rPr>
        <w:t>necessary</w:t>
      </w:r>
      <w:r>
        <w:rPr>
          <w:spacing w:val="-1"/>
          <w:sz w:val="24"/>
        </w:rPr>
        <w:t> </w:t>
      </w:r>
      <w:r>
        <w:rPr>
          <w:sz w:val="24"/>
        </w:rPr>
        <w:t>to</w:t>
      </w:r>
      <w:r>
        <w:rPr>
          <w:spacing w:val="-1"/>
          <w:sz w:val="24"/>
        </w:rPr>
        <w:t> </w:t>
      </w:r>
      <w:r>
        <w:rPr>
          <w:sz w:val="24"/>
        </w:rPr>
        <w:t>improve</w:t>
      </w:r>
      <w:r>
        <w:rPr>
          <w:spacing w:val="-1"/>
          <w:sz w:val="24"/>
        </w:rPr>
        <w:t> </w:t>
      </w:r>
      <w:r>
        <w:rPr>
          <w:sz w:val="24"/>
        </w:rPr>
        <w:t>the</w:t>
      </w:r>
      <w:r>
        <w:rPr>
          <w:spacing w:val="-1"/>
          <w:sz w:val="24"/>
        </w:rPr>
        <w:t> </w:t>
      </w:r>
      <w:r>
        <w:rPr>
          <w:sz w:val="24"/>
        </w:rPr>
        <w:t>provision</w:t>
      </w:r>
      <w:r>
        <w:rPr>
          <w:spacing w:val="-1"/>
          <w:sz w:val="24"/>
        </w:rPr>
        <w:t> </w:t>
      </w:r>
      <w:r>
        <w:rPr>
          <w:sz w:val="24"/>
        </w:rPr>
        <w:t>of</w:t>
      </w:r>
      <w:r>
        <w:rPr>
          <w:spacing w:val="-7"/>
          <w:sz w:val="24"/>
        </w:rPr>
        <w:t> </w:t>
      </w:r>
      <w:r>
        <w:rPr>
          <w:sz w:val="24"/>
        </w:rPr>
        <w:t>educational</w:t>
      </w:r>
      <w:r>
        <w:rPr>
          <w:spacing w:val="-1"/>
          <w:sz w:val="24"/>
        </w:rPr>
        <w:t> </w:t>
      </w:r>
      <w:r>
        <w:rPr>
          <w:sz w:val="24"/>
        </w:rPr>
        <w:t>facilities</w:t>
      </w:r>
      <w:r>
        <w:rPr>
          <w:spacing w:val="-1"/>
          <w:sz w:val="24"/>
        </w:rPr>
        <w:t> </w:t>
      </w:r>
      <w:r>
        <w:rPr>
          <w:sz w:val="24"/>
        </w:rPr>
        <w:t>which</w:t>
      </w:r>
      <w:r>
        <w:rPr>
          <w:spacing w:val="-1"/>
          <w:sz w:val="24"/>
        </w:rPr>
        <w:t> </w:t>
      </w:r>
      <w:r>
        <w:rPr>
          <w:sz w:val="24"/>
        </w:rPr>
        <w:t>are</w:t>
      </w:r>
      <w:r>
        <w:rPr>
          <w:spacing w:val="-1"/>
          <w:sz w:val="24"/>
        </w:rPr>
        <w:t> </w:t>
      </w:r>
      <w:r>
        <w:rPr>
          <w:sz w:val="24"/>
        </w:rPr>
        <w:t>often</w:t>
      </w:r>
      <w:r>
        <w:rPr>
          <w:spacing w:val="-1"/>
          <w:sz w:val="24"/>
        </w:rPr>
        <w:t> </w:t>
      </w:r>
      <w:r>
        <w:rPr>
          <w:sz w:val="24"/>
        </w:rPr>
        <w:t>very meagre. In very sparsely populated areas, Ashram Schools will have to be established in large numbers. To attract children to schools and to hold them, the working and programmes of the schools should be made to harmonize with the </w:t>
      </w:r>
      <w:r>
        <w:rPr>
          <w:sz w:val="24"/>
        </w:rPr>
        <w:t>environment.</w:t>
      </w:r>
      <w:r>
        <w:rPr>
          <w:spacing w:val="40"/>
          <w:sz w:val="24"/>
        </w:rPr>
        <w:t> </w:t>
      </w:r>
      <w:r>
        <w:rPr>
          <w:sz w:val="24"/>
        </w:rPr>
        <w:t>Vacations and holidays should coincide with agricultural and forest operations and social festivities. The school hours should be fixed to suit the work the children are required to do for their families. These measures are needed for the rural population as a whole. But they are of special significance for tribal education. Moreover, the introduction of work experience and an emphasis on art education would attract the tribal children as would</w:t>
      </w:r>
      <w:r>
        <w:rPr>
          <w:spacing w:val="40"/>
          <w:sz w:val="24"/>
        </w:rPr>
        <w:t> </w:t>
      </w:r>
      <w:r>
        <w:rPr>
          <w:sz w:val="24"/>
        </w:rPr>
        <w:t>the teaching of folk songs, stories and riddles which are so popular with the tribal. Tribal games and archery as well as tribal music and dances should be introduced as extra- curricular activities.</w:t>
      </w:r>
    </w:p>
    <w:p>
      <w:pPr>
        <w:pStyle w:val="BodyText"/>
        <w:spacing w:before="4"/>
      </w:pPr>
    </w:p>
    <w:p>
      <w:pPr>
        <w:pStyle w:val="ListParagraph"/>
        <w:numPr>
          <w:ilvl w:val="1"/>
          <w:numId w:val="128"/>
        </w:numPr>
        <w:tabs>
          <w:tab w:pos="638" w:val="left" w:leader="none"/>
        </w:tabs>
        <w:spacing w:line="240" w:lineRule="auto" w:before="0" w:after="0"/>
        <w:ind w:left="159" w:right="495" w:firstLine="0"/>
        <w:jc w:val="both"/>
        <w:rPr>
          <w:b/>
          <w:sz w:val="24"/>
        </w:rPr>
      </w:pPr>
      <w:r>
        <w:rPr>
          <w:b/>
          <w:sz w:val="24"/>
        </w:rPr>
        <w:t>Secondary Education</w:t>
      </w:r>
      <w:r>
        <w:rPr>
          <w:sz w:val="24"/>
        </w:rPr>
        <w:t>. Far greater attention will have to</w:t>
      </w:r>
      <w:r>
        <w:rPr>
          <w:spacing w:val="-5"/>
          <w:sz w:val="24"/>
        </w:rPr>
        <w:t> </w:t>
      </w:r>
      <w:r>
        <w:rPr>
          <w:sz w:val="24"/>
        </w:rPr>
        <w:t>be paid,</w:t>
      </w:r>
      <w:r>
        <w:rPr>
          <w:spacing w:val="-1"/>
          <w:sz w:val="24"/>
        </w:rPr>
        <w:t> </w:t>
      </w:r>
      <w:r>
        <w:rPr>
          <w:sz w:val="24"/>
        </w:rPr>
        <w:t>as stated</w:t>
      </w:r>
      <w:r>
        <w:rPr>
          <w:spacing w:val="-1"/>
          <w:sz w:val="24"/>
        </w:rPr>
        <w:t> </w:t>
      </w:r>
      <w:r>
        <w:rPr>
          <w:sz w:val="24"/>
        </w:rPr>
        <w:t>earlier,</w:t>
      </w:r>
      <w:r>
        <w:rPr>
          <w:spacing w:val="-1"/>
          <w:sz w:val="24"/>
        </w:rPr>
        <w:t> </w:t>
      </w:r>
      <w:r>
        <w:rPr>
          <w:sz w:val="24"/>
        </w:rPr>
        <w:t>to the development of higher primary and secondary education among the tribals. For this a programme</w:t>
      </w:r>
      <w:r>
        <w:rPr>
          <w:spacing w:val="-1"/>
          <w:sz w:val="24"/>
        </w:rPr>
        <w:t> </w:t>
      </w:r>
      <w:r>
        <w:rPr>
          <w:sz w:val="24"/>
        </w:rPr>
        <w:t>of</w:t>
      </w:r>
      <w:r>
        <w:rPr>
          <w:spacing w:val="-1"/>
          <w:sz w:val="24"/>
        </w:rPr>
        <w:t> </w:t>
      </w:r>
      <w:r>
        <w:rPr>
          <w:sz w:val="24"/>
        </w:rPr>
        <w:t>hostels</w:t>
      </w:r>
      <w:r>
        <w:rPr>
          <w:spacing w:val="-1"/>
          <w:sz w:val="24"/>
        </w:rPr>
        <w:t> </w:t>
      </w:r>
      <w:r>
        <w:rPr>
          <w:sz w:val="24"/>
        </w:rPr>
        <w:t>is</w:t>
      </w:r>
      <w:r>
        <w:rPr>
          <w:spacing w:val="-5"/>
          <w:sz w:val="24"/>
        </w:rPr>
        <w:t> </w:t>
      </w:r>
      <w:r>
        <w:rPr>
          <w:sz w:val="24"/>
        </w:rPr>
        <w:t>very</w:t>
      </w:r>
      <w:r>
        <w:rPr>
          <w:spacing w:val="-2"/>
          <w:sz w:val="24"/>
        </w:rPr>
        <w:t> </w:t>
      </w:r>
      <w:r>
        <w:rPr>
          <w:sz w:val="24"/>
        </w:rPr>
        <w:t>essential.</w:t>
      </w:r>
      <w:r>
        <w:rPr>
          <w:spacing w:val="-2"/>
          <w:sz w:val="24"/>
        </w:rPr>
        <w:t> </w:t>
      </w:r>
      <w:r>
        <w:rPr>
          <w:sz w:val="24"/>
        </w:rPr>
        <w:t>Brighter</w:t>
      </w:r>
      <w:r>
        <w:rPr>
          <w:spacing w:val="-2"/>
          <w:sz w:val="24"/>
        </w:rPr>
        <w:t> </w:t>
      </w:r>
      <w:r>
        <w:rPr>
          <w:sz w:val="24"/>
        </w:rPr>
        <w:t>children</w:t>
      </w:r>
      <w:r>
        <w:rPr>
          <w:spacing w:val="-3"/>
          <w:sz w:val="24"/>
        </w:rPr>
        <w:t> </w:t>
      </w:r>
      <w:r>
        <w:rPr>
          <w:sz w:val="24"/>
        </w:rPr>
        <w:t>should</w:t>
      </w:r>
      <w:r>
        <w:rPr>
          <w:spacing w:val="-2"/>
          <w:sz w:val="24"/>
        </w:rPr>
        <w:t> </w:t>
      </w:r>
      <w:r>
        <w:rPr>
          <w:sz w:val="24"/>
        </w:rPr>
        <w:t>be</w:t>
      </w:r>
      <w:r>
        <w:rPr>
          <w:spacing w:val="-2"/>
          <w:sz w:val="24"/>
        </w:rPr>
        <w:t> </w:t>
      </w:r>
      <w:r>
        <w:rPr>
          <w:sz w:val="24"/>
        </w:rPr>
        <w:t>picked</w:t>
      </w:r>
      <w:r>
        <w:rPr>
          <w:spacing w:val="-2"/>
          <w:sz w:val="24"/>
        </w:rPr>
        <w:t> </w:t>
      </w:r>
      <w:r>
        <w:rPr>
          <w:sz w:val="24"/>
        </w:rPr>
        <w:t>up</w:t>
      </w:r>
      <w:r>
        <w:rPr>
          <w:spacing w:val="-2"/>
          <w:sz w:val="24"/>
        </w:rPr>
        <w:t> </w:t>
      </w:r>
      <w:r>
        <w:rPr>
          <w:sz w:val="24"/>
        </w:rPr>
        <w:t>at</w:t>
      </w:r>
      <w:r>
        <w:rPr>
          <w:spacing w:val="-2"/>
          <w:sz w:val="24"/>
        </w:rPr>
        <w:t> </w:t>
      </w:r>
      <w:r>
        <w:rPr>
          <w:sz w:val="24"/>
        </w:rPr>
        <w:t>the</w:t>
      </w:r>
      <w:r>
        <w:rPr>
          <w:spacing w:val="-2"/>
          <w:sz w:val="24"/>
        </w:rPr>
        <w:t> </w:t>
      </w:r>
      <w:r>
        <w:rPr>
          <w:sz w:val="24"/>
        </w:rPr>
        <w:t>lower primary stage and admitted to hostels. Careful arrangements should also be made for</w:t>
      </w:r>
    </w:p>
    <w:p>
      <w:pPr>
        <w:pStyle w:val="BodyText"/>
        <w:spacing w:before="4"/>
      </w:pPr>
    </w:p>
    <w:p>
      <w:pPr>
        <w:pStyle w:val="BodyText"/>
        <w:ind w:left="160" w:right="498"/>
        <w:jc w:val="both"/>
      </w:pPr>
      <w:r>
        <w:rPr>
          <w:b/>
          <w:vertAlign w:val="superscript"/>
        </w:rPr>
        <w:t>59</w:t>
      </w:r>
      <w:r>
        <w:rPr>
          <w:vertAlign w:val="baseline"/>
        </w:rPr>
        <w:t>Where the Roman script is already being used for tribal languages, the practice may be </w:t>
      </w:r>
      <w:r>
        <w:rPr>
          <w:spacing w:val="-2"/>
          <w:vertAlign w:val="baseline"/>
        </w:rPr>
        <w:t>continued.</w:t>
      </w:r>
    </w:p>
    <w:p>
      <w:pPr>
        <w:spacing w:after="0"/>
        <w:jc w:val="both"/>
        <w:sectPr>
          <w:pgSz w:w="12240" w:h="15840"/>
          <w:pgMar w:header="0" w:footer="743" w:top="1420" w:bottom="940" w:left="1640" w:right="1300"/>
        </w:sectPr>
      </w:pPr>
    </w:p>
    <w:p>
      <w:pPr>
        <w:pStyle w:val="BodyText"/>
        <w:spacing w:before="76"/>
        <w:ind w:left="160" w:right="495"/>
        <w:jc w:val="both"/>
      </w:pPr>
      <w:r>
        <w:rPr/>
        <w:t>giving personal guidance</w:t>
      </w:r>
      <w:r>
        <w:rPr>
          <w:spacing w:val="-1"/>
        </w:rPr>
        <w:t> </w:t>
      </w:r>
      <w:r>
        <w:rPr/>
        <w:t>and some extra tuition to these children so that they will be able to perform better in comparison with the non-tribal students. The additional expenditure on such extra tuition will be small; but it will greatly enhance the effectiveness of the large</w:t>
      </w:r>
      <w:r>
        <w:rPr>
          <w:spacing w:val="-1"/>
        </w:rPr>
        <w:t> </w:t>
      </w:r>
      <w:r>
        <w:rPr/>
        <w:t>expenditure</w:t>
      </w:r>
      <w:r>
        <w:rPr>
          <w:spacing w:val="-1"/>
        </w:rPr>
        <w:t> </w:t>
      </w:r>
      <w:r>
        <w:rPr/>
        <w:t>on</w:t>
      </w:r>
      <w:r>
        <w:rPr>
          <w:spacing w:val="-1"/>
        </w:rPr>
        <w:t> </w:t>
      </w:r>
      <w:r>
        <w:rPr/>
        <w:t>hostels</w:t>
      </w:r>
      <w:r>
        <w:rPr>
          <w:spacing w:val="-1"/>
        </w:rPr>
        <w:t> </w:t>
      </w:r>
      <w:r>
        <w:rPr/>
        <w:t>which</w:t>
      </w:r>
      <w:r>
        <w:rPr>
          <w:spacing w:val="-1"/>
        </w:rPr>
        <w:t> </w:t>
      </w:r>
      <w:r>
        <w:rPr/>
        <w:t>we</w:t>
      </w:r>
      <w:r>
        <w:rPr>
          <w:spacing w:val="-1"/>
        </w:rPr>
        <w:t> </w:t>
      </w:r>
      <w:r>
        <w:rPr/>
        <w:t>incur</w:t>
      </w:r>
      <w:r>
        <w:rPr>
          <w:spacing w:val="-1"/>
        </w:rPr>
        <w:t> </w:t>
      </w:r>
      <w:r>
        <w:rPr/>
        <w:t>at</w:t>
      </w:r>
      <w:r>
        <w:rPr>
          <w:spacing w:val="-4"/>
        </w:rPr>
        <w:t> </w:t>
      </w:r>
      <w:r>
        <w:rPr/>
        <w:t>present.</w:t>
      </w:r>
      <w:r>
        <w:rPr>
          <w:spacing w:val="-1"/>
        </w:rPr>
        <w:t> </w:t>
      </w:r>
      <w:r>
        <w:rPr/>
        <w:t>The</w:t>
      </w:r>
      <w:r>
        <w:rPr>
          <w:spacing w:val="-1"/>
        </w:rPr>
        <w:t> </w:t>
      </w:r>
      <w:r>
        <w:rPr/>
        <w:t>scheme</w:t>
      </w:r>
      <w:r>
        <w:rPr>
          <w:spacing w:val="-1"/>
        </w:rPr>
        <w:t> </w:t>
      </w:r>
      <w:r>
        <w:rPr/>
        <w:t>of</w:t>
      </w:r>
      <w:r>
        <w:rPr>
          <w:spacing w:val="-1"/>
        </w:rPr>
        <w:t> </w:t>
      </w:r>
      <w:r>
        <w:rPr/>
        <w:t>Ashram</w:t>
      </w:r>
      <w:r>
        <w:rPr>
          <w:spacing w:val="-1"/>
        </w:rPr>
        <w:t> </w:t>
      </w:r>
      <w:r>
        <w:rPr/>
        <w:t>Schools</w:t>
      </w:r>
      <w:r>
        <w:rPr>
          <w:spacing w:val="-1"/>
        </w:rPr>
        <w:t> </w:t>
      </w:r>
      <w:r>
        <w:rPr/>
        <w:t>is very good from this point of view. It should be developed as largely as possible.</w:t>
      </w:r>
    </w:p>
    <w:p>
      <w:pPr>
        <w:pStyle w:val="BodyText"/>
        <w:spacing w:before="4"/>
      </w:pPr>
    </w:p>
    <w:p>
      <w:pPr>
        <w:pStyle w:val="ListParagraph"/>
        <w:numPr>
          <w:ilvl w:val="1"/>
          <w:numId w:val="128"/>
        </w:numPr>
        <w:tabs>
          <w:tab w:pos="691" w:val="left" w:leader="none"/>
        </w:tabs>
        <w:spacing w:line="240" w:lineRule="auto" w:before="0" w:after="0"/>
        <w:ind w:left="159" w:right="497" w:firstLine="0"/>
        <w:jc w:val="both"/>
        <w:rPr>
          <w:sz w:val="24"/>
        </w:rPr>
      </w:pPr>
      <w:r>
        <w:rPr>
          <w:sz w:val="24"/>
        </w:rPr>
        <w:t>Tribal children find difficulties in getting admission to good higher primary or secondary schools. The Education Departments would have to make special efforts to secure such admission and, if necessary, offer some inducements to the schools for this purpose. Where admission to such schools requires a better preparation on the part of the students, special measures should be taken to provide this coaching to tribal students and to bring them up to the required standard. As stated earlier, tribals are fond of vocational courses. Special efforts should, therefore, be made to place them in good vocational schools, the junior technical schools, the industrial training institutes, polytechnics, etc. Special vocational schools should also be organized for the grown-up children who leave school at the end of the lower primary stage.</w:t>
      </w:r>
    </w:p>
    <w:p>
      <w:pPr>
        <w:pStyle w:val="BodyText"/>
        <w:spacing w:before="4"/>
      </w:pPr>
    </w:p>
    <w:p>
      <w:pPr>
        <w:pStyle w:val="ListParagraph"/>
        <w:numPr>
          <w:ilvl w:val="1"/>
          <w:numId w:val="128"/>
        </w:numPr>
        <w:tabs>
          <w:tab w:pos="741" w:val="left" w:leader="none"/>
        </w:tabs>
        <w:spacing w:line="240" w:lineRule="auto" w:before="0" w:after="0"/>
        <w:ind w:left="159" w:right="497" w:firstLine="0"/>
        <w:jc w:val="both"/>
        <w:rPr>
          <w:b/>
          <w:sz w:val="24"/>
        </w:rPr>
      </w:pPr>
      <w:r>
        <w:rPr>
          <w:b/>
          <w:sz w:val="24"/>
        </w:rPr>
        <w:t>Higher Education. </w:t>
      </w:r>
      <w:r>
        <w:rPr>
          <w:sz w:val="24"/>
        </w:rPr>
        <w:t>It is necessary to streamline the administration of the scholarships programme instituted by the Government of India. In this context, we make the following recommendations:</w:t>
      </w:r>
    </w:p>
    <w:p>
      <w:pPr>
        <w:pStyle w:val="BodyText"/>
        <w:spacing w:before="5"/>
      </w:pPr>
    </w:p>
    <w:p>
      <w:pPr>
        <w:pStyle w:val="ListParagraph"/>
        <w:numPr>
          <w:ilvl w:val="0"/>
          <w:numId w:val="133"/>
        </w:numPr>
        <w:tabs>
          <w:tab w:pos="525" w:val="left" w:leader="none"/>
        </w:tabs>
        <w:spacing w:line="240" w:lineRule="auto" w:before="0" w:after="0"/>
        <w:ind w:left="159" w:right="496" w:firstLine="0"/>
        <w:jc w:val="both"/>
        <w:rPr>
          <w:sz w:val="24"/>
        </w:rPr>
      </w:pPr>
      <w:r>
        <w:rPr>
          <w:sz w:val="24"/>
        </w:rPr>
        <w:t>The administration of scholarships and other aids needs to be decentralized a great deal. Heads of institutions should be authorized to grant scholarships, along with admission, on their own authority. For this purpose, the necessary amount should be placed at their disposal well in advance of the academic year. This could be done on the basis of the previous year's expenditure with a margin for increase.</w:t>
      </w:r>
    </w:p>
    <w:p>
      <w:pPr>
        <w:pStyle w:val="BodyText"/>
        <w:spacing w:before="3"/>
      </w:pPr>
    </w:p>
    <w:p>
      <w:pPr>
        <w:pStyle w:val="ListParagraph"/>
        <w:numPr>
          <w:ilvl w:val="0"/>
          <w:numId w:val="133"/>
        </w:numPr>
        <w:tabs>
          <w:tab w:pos="502" w:val="left" w:leader="none"/>
        </w:tabs>
        <w:spacing w:line="240" w:lineRule="auto" w:before="1" w:after="0"/>
        <w:ind w:left="159" w:right="497" w:firstLine="0"/>
        <w:jc w:val="both"/>
        <w:rPr>
          <w:sz w:val="24"/>
        </w:rPr>
      </w:pPr>
      <w:r>
        <w:rPr>
          <w:sz w:val="24"/>
        </w:rPr>
        <w:t>The scope of the programme should be expanded to include, not only the provision of funds but also the provision of such additional coaching facilities as may be required, watching of progress, planning ahead of careers and ensuring placement in appropriate institutions, or in other words to provide for a personal follow-up. The staff necessary for this purpose should be made available.</w:t>
      </w:r>
    </w:p>
    <w:p>
      <w:pPr>
        <w:pStyle w:val="BodyText"/>
        <w:spacing w:before="3"/>
      </w:pPr>
    </w:p>
    <w:p>
      <w:pPr>
        <w:pStyle w:val="ListParagraph"/>
        <w:numPr>
          <w:ilvl w:val="0"/>
          <w:numId w:val="133"/>
        </w:numPr>
        <w:tabs>
          <w:tab w:pos="543" w:val="left" w:leader="none"/>
        </w:tabs>
        <w:spacing w:line="240" w:lineRule="auto" w:before="0" w:after="0"/>
        <w:ind w:left="159" w:right="497" w:firstLine="0"/>
        <w:jc w:val="both"/>
        <w:rPr>
          <w:sz w:val="24"/>
        </w:rPr>
      </w:pPr>
      <w:r>
        <w:rPr>
          <w:sz w:val="24"/>
        </w:rPr>
        <w:t>The scope of scholarships should cover all courses available to secondary school leavers; and special preference should be given to vocational and technical courses, including those at industrial training institutes.</w:t>
      </w:r>
    </w:p>
    <w:p>
      <w:pPr>
        <w:pStyle w:val="BodyText"/>
        <w:spacing w:before="4"/>
      </w:pPr>
    </w:p>
    <w:p>
      <w:pPr>
        <w:pStyle w:val="ListParagraph"/>
        <w:numPr>
          <w:ilvl w:val="1"/>
          <w:numId w:val="128"/>
        </w:numPr>
        <w:tabs>
          <w:tab w:pos="687" w:val="left" w:leader="none"/>
        </w:tabs>
        <w:spacing w:line="240" w:lineRule="auto" w:before="0" w:after="0"/>
        <w:ind w:left="159" w:right="496" w:firstLine="0"/>
        <w:jc w:val="both"/>
        <w:rPr>
          <w:b/>
          <w:sz w:val="24"/>
        </w:rPr>
      </w:pPr>
      <w:r>
        <w:rPr>
          <w:b/>
          <w:sz w:val="24"/>
        </w:rPr>
        <w:t>General. </w:t>
      </w:r>
      <w:r>
        <w:rPr>
          <w:sz w:val="24"/>
        </w:rPr>
        <w:t>The basic issue in the development of tribal life and education is the provision of leadership of the right type. For the next few years at any rate, this</w:t>
      </w:r>
      <w:r>
        <w:rPr>
          <w:spacing w:val="40"/>
          <w:sz w:val="24"/>
        </w:rPr>
        <w:t> </w:t>
      </w:r>
      <w:r>
        <w:rPr>
          <w:sz w:val="24"/>
        </w:rPr>
        <w:t>leadership will have to come from the non-tribal people-officials and non-officials-but</w:t>
      </w:r>
      <w:r>
        <w:rPr>
          <w:spacing w:val="80"/>
          <w:sz w:val="24"/>
        </w:rPr>
        <w:t> </w:t>
      </w:r>
      <w:r>
        <w:rPr>
          <w:sz w:val="24"/>
        </w:rPr>
        <w:t>the ultimate solution of the problem requires the development of a proper leadership among the tribals themselves. Our attempt in this field should, therefore, be directed to both these objectives.</w:t>
      </w:r>
    </w:p>
    <w:p>
      <w:pPr>
        <w:pStyle w:val="BodyText"/>
        <w:spacing w:before="5"/>
      </w:pPr>
    </w:p>
    <w:p>
      <w:pPr>
        <w:pStyle w:val="ListParagraph"/>
        <w:numPr>
          <w:ilvl w:val="1"/>
          <w:numId w:val="128"/>
        </w:numPr>
        <w:tabs>
          <w:tab w:pos="644" w:val="left" w:leader="none"/>
        </w:tabs>
        <w:spacing w:line="240" w:lineRule="auto" w:before="0" w:after="0"/>
        <w:ind w:left="159" w:right="497" w:firstLine="0"/>
        <w:jc w:val="both"/>
        <w:rPr>
          <w:sz w:val="24"/>
        </w:rPr>
      </w:pPr>
      <w:r>
        <w:rPr>
          <w:sz w:val="24"/>
        </w:rPr>
        <w:t>There are not many non-tribal persons who want to live and work among the tribals. But</w:t>
      </w:r>
      <w:r>
        <w:rPr>
          <w:spacing w:val="76"/>
          <w:sz w:val="24"/>
        </w:rPr>
        <w:t> </w:t>
      </w:r>
      <w:r>
        <w:rPr>
          <w:sz w:val="24"/>
        </w:rPr>
        <w:t>a</w:t>
      </w:r>
      <w:r>
        <w:rPr>
          <w:spacing w:val="76"/>
          <w:sz w:val="24"/>
        </w:rPr>
        <w:t> </w:t>
      </w:r>
      <w:r>
        <w:rPr>
          <w:sz w:val="24"/>
        </w:rPr>
        <w:t>few</w:t>
      </w:r>
      <w:r>
        <w:rPr>
          <w:spacing w:val="76"/>
          <w:sz w:val="24"/>
        </w:rPr>
        <w:t> </w:t>
      </w:r>
      <w:r>
        <w:rPr>
          <w:sz w:val="24"/>
        </w:rPr>
        <w:t>individuals</w:t>
      </w:r>
      <w:r>
        <w:rPr>
          <w:spacing w:val="76"/>
          <w:sz w:val="24"/>
        </w:rPr>
        <w:t> </w:t>
      </w:r>
      <w:r>
        <w:rPr>
          <w:sz w:val="24"/>
        </w:rPr>
        <w:t>and</w:t>
      </w:r>
      <w:r>
        <w:rPr>
          <w:spacing w:val="76"/>
          <w:sz w:val="24"/>
        </w:rPr>
        <w:t> </w:t>
      </w:r>
      <w:r>
        <w:rPr>
          <w:sz w:val="24"/>
        </w:rPr>
        <w:t>institutions</w:t>
      </w:r>
      <w:r>
        <w:rPr>
          <w:spacing w:val="76"/>
          <w:sz w:val="24"/>
        </w:rPr>
        <w:t> </w:t>
      </w:r>
      <w:r>
        <w:rPr>
          <w:sz w:val="24"/>
        </w:rPr>
        <w:t>are</w:t>
      </w:r>
      <w:r>
        <w:rPr>
          <w:spacing w:val="76"/>
          <w:sz w:val="24"/>
        </w:rPr>
        <w:t> </w:t>
      </w:r>
      <w:r>
        <w:rPr>
          <w:sz w:val="24"/>
        </w:rPr>
        <w:t>devoted</w:t>
      </w:r>
      <w:r>
        <w:rPr>
          <w:spacing w:val="75"/>
          <w:sz w:val="24"/>
        </w:rPr>
        <w:t> </w:t>
      </w:r>
      <w:r>
        <w:rPr>
          <w:sz w:val="24"/>
        </w:rPr>
        <w:t>to</w:t>
      </w:r>
      <w:r>
        <w:rPr>
          <w:spacing w:val="75"/>
          <w:sz w:val="24"/>
        </w:rPr>
        <w:t> </w:t>
      </w:r>
      <w:r>
        <w:rPr>
          <w:sz w:val="24"/>
        </w:rPr>
        <w:t>this</w:t>
      </w:r>
      <w:r>
        <w:rPr>
          <w:spacing w:val="75"/>
          <w:sz w:val="24"/>
        </w:rPr>
        <w:t> </w:t>
      </w:r>
      <w:r>
        <w:rPr>
          <w:sz w:val="24"/>
        </w:rPr>
        <w:t>cause.</w:t>
      </w:r>
      <w:r>
        <w:rPr>
          <w:spacing w:val="75"/>
          <w:sz w:val="24"/>
        </w:rPr>
        <w:t> </w:t>
      </w:r>
      <w:r>
        <w:rPr>
          <w:sz w:val="24"/>
        </w:rPr>
        <w:t>They</w:t>
      </w:r>
      <w:r>
        <w:rPr>
          <w:spacing w:val="75"/>
          <w:sz w:val="24"/>
        </w:rPr>
        <w:t> </w:t>
      </w:r>
      <w:r>
        <w:rPr>
          <w:sz w:val="24"/>
        </w:rPr>
        <w:t>should</w:t>
      </w:r>
      <w:r>
        <w:rPr>
          <w:spacing w:val="75"/>
          <w:sz w:val="24"/>
        </w:rPr>
        <w:t> </w:t>
      </w:r>
      <w:r>
        <w:rPr>
          <w:sz w:val="24"/>
        </w:rPr>
        <w:t>be</w:t>
      </w:r>
    </w:p>
    <w:p>
      <w:pPr>
        <w:spacing w:after="0" w:line="240" w:lineRule="auto"/>
        <w:jc w:val="both"/>
        <w:rPr>
          <w:sz w:val="24"/>
        </w:rPr>
        <w:sectPr>
          <w:pgSz w:w="12240" w:h="15840"/>
          <w:pgMar w:header="0" w:footer="743" w:top="1360" w:bottom="940" w:left="1640" w:right="1300"/>
        </w:sectPr>
      </w:pPr>
    </w:p>
    <w:p>
      <w:pPr>
        <w:pStyle w:val="BodyText"/>
        <w:spacing w:before="76"/>
        <w:ind w:left="160" w:right="495"/>
        <w:jc w:val="both"/>
        <w:rPr>
          <w:b/>
        </w:rPr>
      </w:pPr>
      <w:r>
        <w:rPr/>
        <w:t>encouraged</w:t>
      </w:r>
      <w:r>
        <w:rPr>
          <w:spacing w:val="-3"/>
        </w:rPr>
        <w:t> </w:t>
      </w:r>
      <w:r>
        <w:rPr/>
        <w:t>and</w:t>
      </w:r>
      <w:r>
        <w:rPr>
          <w:spacing w:val="-3"/>
        </w:rPr>
        <w:t> </w:t>
      </w:r>
      <w:r>
        <w:rPr/>
        <w:t>provided</w:t>
      </w:r>
      <w:r>
        <w:rPr>
          <w:spacing w:val="-3"/>
        </w:rPr>
        <w:t> </w:t>
      </w:r>
      <w:r>
        <w:rPr/>
        <w:t>with</w:t>
      </w:r>
      <w:r>
        <w:rPr>
          <w:spacing w:val="-3"/>
        </w:rPr>
        <w:t> </w:t>
      </w:r>
      <w:r>
        <w:rPr/>
        <w:t>necessary</w:t>
      </w:r>
      <w:r>
        <w:rPr>
          <w:spacing w:val="-2"/>
        </w:rPr>
        <w:t> </w:t>
      </w:r>
      <w:r>
        <w:rPr/>
        <w:t>funds</w:t>
      </w:r>
      <w:r>
        <w:rPr>
          <w:spacing w:val="-2"/>
        </w:rPr>
        <w:t> </w:t>
      </w:r>
      <w:r>
        <w:rPr/>
        <w:t>so</w:t>
      </w:r>
      <w:r>
        <w:rPr>
          <w:spacing w:val="-2"/>
        </w:rPr>
        <w:t> </w:t>
      </w:r>
      <w:r>
        <w:rPr/>
        <w:t>that</w:t>
      </w:r>
      <w:r>
        <w:rPr>
          <w:spacing w:val="-2"/>
        </w:rPr>
        <w:t> </w:t>
      </w:r>
      <w:r>
        <w:rPr/>
        <w:t>they</w:t>
      </w:r>
      <w:r>
        <w:rPr>
          <w:spacing w:val="-2"/>
        </w:rPr>
        <w:t> </w:t>
      </w:r>
      <w:r>
        <w:rPr/>
        <w:t>could</w:t>
      </w:r>
      <w:r>
        <w:rPr>
          <w:spacing w:val="-3"/>
        </w:rPr>
        <w:t> </w:t>
      </w:r>
      <w:r>
        <w:rPr/>
        <w:t>recruit</w:t>
      </w:r>
      <w:r>
        <w:rPr>
          <w:spacing w:val="-3"/>
        </w:rPr>
        <w:t> </w:t>
      </w:r>
      <w:r>
        <w:rPr/>
        <w:t>and</w:t>
      </w:r>
      <w:r>
        <w:rPr>
          <w:spacing w:val="-3"/>
        </w:rPr>
        <w:t> </w:t>
      </w:r>
      <w:r>
        <w:rPr/>
        <w:t>train</w:t>
      </w:r>
      <w:r>
        <w:rPr>
          <w:spacing w:val="-3"/>
        </w:rPr>
        <w:t> </w:t>
      </w:r>
      <w:r>
        <w:rPr/>
        <w:t>batches of young persons who would be willing to adopt the service of the tribals as their mission in life. Among the officials, the main difficulty is that of continuous transfers. No officer remains long enough in the tribal areas to understand their problems and to be able to identify himself with the tribal interests. Many of them are not even aware of the tribal language. In several tribal areas, we found a lack of rapport between the officials and the tribal people which probably was a major reason for the inadequate implementation of developmental schemes. To overcome this difficulty, it is necessary to have sub-cadres amongst officers in all departments. The persons in these sub-cadres will be selected for their competence and aptitude for work among the tribals. Once an officer is recruited to this cadre, his work should be watched for an year or two in the first instance and if it is found satisfactory, he should be retained in it for a period of 10 to 15 years at least and posted to work with the tribals. There should be special allowances or privileges to go with the cadre which should be attractive enough for the better type of officers </w:t>
      </w:r>
      <w:r>
        <w:rPr/>
        <w:t>to</w:t>
      </w:r>
      <w:r>
        <w:rPr>
          <w:spacing w:val="40"/>
        </w:rPr>
        <w:t> </w:t>
      </w:r>
      <w:r>
        <w:rPr/>
        <w:t>compete</w:t>
      </w:r>
      <w:r>
        <w:rPr>
          <w:spacing w:val="-1"/>
        </w:rPr>
        <w:t> </w:t>
      </w:r>
      <w:r>
        <w:rPr/>
        <w:t>for</w:t>
      </w:r>
      <w:r>
        <w:rPr>
          <w:spacing w:val="-1"/>
        </w:rPr>
        <w:t> </w:t>
      </w:r>
      <w:r>
        <w:rPr/>
        <w:t>admission</w:t>
      </w:r>
      <w:r>
        <w:rPr>
          <w:spacing w:val="-1"/>
        </w:rPr>
        <w:t> </w:t>
      </w:r>
      <w:r>
        <w:rPr/>
        <w:t>to</w:t>
      </w:r>
      <w:r>
        <w:rPr>
          <w:spacing w:val="-2"/>
        </w:rPr>
        <w:t> </w:t>
      </w:r>
      <w:r>
        <w:rPr/>
        <w:t>it.</w:t>
      </w:r>
      <w:r>
        <w:rPr>
          <w:spacing w:val="-1"/>
        </w:rPr>
        <w:t> </w:t>
      </w:r>
      <w:r>
        <w:rPr/>
        <w:t>Such</w:t>
      </w:r>
      <w:r>
        <w:rPr>
          <w:spacing w:val="-1"/>
        </w:rPr>
        <w:t> </w:t>
      </w:r>
      <w:r>
        <w:rPr/>
        <w:t>special</w:t>
      </w:r>
      <w:r>
        <w:rPr>
          <w:spacing w:val="-1"/>
        </w:rPr>
        <w:t> </w:t>
      </w:r>
      <w:r>
        <w:rPr/>
        <w:t>cadres</w:t>
      </w:r>
      <w:r>
        <w:rPr>
          <w:spacing w:val="-1"/>
        </w:rPr>
        <w:t> </w:t>
      </w:r>
      <w:r>
        <w:rPr/>
        <w:t>are</w:t>
      </w:r>
      <w:r>
        <w:rPr>
          <w:spacing w:val="-1"/>
        </w:rPr>
        <w:t> </w:t>
      </w:r>
      <w:r>
        <w:rPr/>
        <w:t>very</w:t>
      </w:r>
      <w:r>
        <w:rPr>
          <w:spacing w:val="-1"/>
        </w:rPr>
        <w:t> </w:t>
      </w:r>
      <w:r>
        <w:rPr/>
        <w:t>necessary</w:t>
      </w:r>
      <w:r>
        <w:rPr>
          <w:spacing w:val="-1"/>
        </w:rPr>
        <w:t> </w:t>
      </w:r>
      <w:r>
        <w:rPr/>
        <w:t>for</w:t>
      </w:r>
      <w:r>
        <w:rPr>
          <w:spacing w:val="-1"/>
        </w:rPr>
        <w:t> </w:t>
      </w:r>
      <w:r>
        <w:rPr/>
        <w:t>teachers.</w:t>
      </w:r>
      <w:r>
        <w:rPr>
          <w:spacing w:val="-1"/>
        </w:rPr>
        <w:t> </w:t>
      </w:r>
      <w:r>
        <w:rPr/>
        <w:t>We</w:t>
      </w:r>
      <w:r>
        <w:rPr>
          <w:spacing w:val="-1"/>
        </w:rPr>
        <w:t> </w:t>
      </w:r>
      <w:r>
        <w:rPr/>
        <w:t>have discussed this problem elsewhere.</w:t>
      </w:r>
      <w:r>
        <w:rPr>
          <w:b/>
          <w:vertAlign w:val="superscript"/>
        </w:rPr>
        <w:t>60</w:t>
      </w:r>
    </w:p>
    <w:p>
      <w:pPr>
        <w:pStyle w:val="BodyText"/>
        <w:spacing w:before="4"/>
        <w:rPr>
          <w:b/>
        </w:rPr>
      </w:pPr>
    </w:p>
    <w:p>
      <w:pPr>
        <w:pStyle w:val="BodyText"/>
        <w:ind w:left="160" w:right="495"/>
        <w:jc w:val="both"/>
      </w:pPr>
      <w:r>
        <w:rPr/>
        <w:t>6.71. To develop leadership among the tribal people themselves, some unorthodox approaches</w:t>
      </w:r>
      <w:r>
        <w:rPr>
          <w:spacing w:val="-3"/>
        </w:rPr>
        <w:t> </w:t>
      </w:r>
      <w:r>
        <w:rPr/>
        <w:t>are</w:t>
      </w:r>
      <w:r>
        <w:rPr>
          <w:spacing w:val="-3"/>
        </w:rPr>
        <w:t> </w:t>
      </w:r>
      <w:r>
        <w:rPr/>
        <w:t>necessary.</w:t>
      </w:r>
      <w:r>
        <w:rPr>
          <w:spacing w:val="-3"/>
        </w:rPr>
        <w:t> </w:t>
      </w:r>
      <w:r>
        <w:rPr/>
        <w:t>It</w:t>
      </w:r>
      <w:r>
        <w:rPr>
          <w:spacing w:val="-3"/>
        </w:rPr>
        <w:t> </w:t>
      </w:r>
      <w:r>
        <w:rPr/>
        <w:t>is</w:t>
      </w:r>
      <w:r>
        <w:rPr>
          <w:spacing w:val="-3"/>
        </w:rPr>
        <w:t> </w:t>
      </w:r>
      <w:r>
        <w:rPr/>
        <w:t>but</w:t>
      </w:r>
      <w:r>
        <w:rPr>
          <w:spacing w:val="-3"/>
        </w:rPr>
        <w:t> </w:t>
      </w:r>
      <w:r>
        <w:rPr/>
        <w:t>natural</w:t>
      </w:r>
      <w:r>
        <w:rPr>
          <w:spacing w:val="-4"/>
        </w:rPr>
        <w:t> </w:t>
      </w:r>
      <w:r>
        <w:rPr/>
        <w:t>that</w:t>
      </w:r>
      <w:r>
        <w:rPr>
          <w:spacing w:val="-4"/>
        </w:rPr>
        <w:t> </w:t>
      </w:r>
      <w:r>
        <w:rPr/>
        <w:t>young</w:t>
      </w:r>
      <w:r>
        <w:rPr>
          <w:spacing w:val="-4"/>
        </w:rPr>
        <w:t> </w:t>
      </w:r>
      <w:r>
        <w:rPr/>
        <w:t>tribals</w:t>
      </w:r>
      <w:r>
        <w:rPr>
          <w:spacing w:val="-4"/>
        </w:rPr>
        <w:t> </w:t>
      </w:r>
      <w:r>
        <w:rPr/>
        <w:t>who</w:t>
      </w:r>
      <w:r>
        <w:rPr>
          <w:spacing w:val="-4"/>
        </w:rPr>
        <w:t> </w:t>
      </w:r>
      <w:r>
        <w:rPr/>
        <w:t>have</w:t>
      </w:r>
      <w:r>
        <w:rPr>
          <w:spacing w:val="-3"/>
        </w:rPr>
        <w:t> </w:t>
      </w:r>
      <w:r>
        <w:rPr/>
        <w:t>received</w:t>
      </w:r>
      <w:r>
        <w:rPr>
          <w:spacing w:val="-3"/>
        </w:rPr>
        <w:t> </w:t>
      </w:r>
      <w:r>
        <w:rPr/>
        <w:t>secondary or higher education should go out of their areas in search of employment. The work among the tribal areas would, therefore, have to be done, for some years to come, by tribals who have received comparatively less formal education but whose identification with their people would be deeper and greater. It is necessary to pick up such young persons, give them training through specially organized courses and use them as our workers for tribal uplift. In doing so, several of the formal rules of recruitment will have to be set aside. But probably this is the only way in which some tangible progress can be made in the immediate future.</w:t>
      </w:r>
    </w:p>
    <w:p>
      <w:pPr>
        <w:pStyle w:val="BodyText"/>
        <w:spacing w:before="4"/>
      </w:pPr>
    </w:p>
    <w:p>
      <w:pPr>
        <w:pStyle w:val="ListParagraph"/>
        <w:numPr>
          <w:ilvl w:val="1"/>
          <w:numId w:val="134"/>
        </w:numPr>
        <w:tabs>
          <w:tab w:pos="654" w:val="left" w:leader="none"/>
        </w:tabs>
        <w:spacing w:line="240" w:lineRule="auto" w:before="0" w:after="0"/>
        <w:ind w:left="160" w:right="496" w:firstLine="0"/>
        <w:jc w:val="both"/>
        <w:rPr>
          <w:sz w:val="24"/>
        </w:rPr>
      </w:pPr>
      <w:r>
        <w:rPr>
          <w:sz w:val="24"/>
        </w:rPr>
        <w:t>Different tribal people are at varying stages of economic and cultural development. There is much difference in the skills they have attained and in the technology they employ. Therefore, in predominantly tribal areas, each group and the area in which it lives, should be studied closely, and appropriate patterns of development worked out in close cooperation with the people. It is in terms of such a design of development that educational programmes, institutions and priorities should be proposed. A uniform approach as between different tribal areas, applied in a mechanical manner, will not secure the purpose in view.</w:t>
      </w:r>
    </w:p>
    <w:p>
      <w:pPr>
        <w:pStyle w:val="BodyText"/>
        <w:spacing w:before="4"/>
      </w:pPr>
    </w:p>
    <w:p>
      <w:pPr>
        <w:pStyle w:val="ListParagraph"/>
        <w:numPr>
          <w:ilvl w:val="1"/>
          <w:numId w:val="134"/>
        </w:numPr>
        <w:tabs>
          <w:tab w:pos="647" w:val="left" w:leader="none"/>
        </w:tabs>
        <w:spacing w:line="240" w:lineRule="auto" w:before="0" w:after="0"/>
        <w:ind w:left="160" w:right="498" w:firstLine="0"/>
        <w:jc w:val="both"/>
        <w:rPr>
          <w:sz w:val="24"/>
        </w:rPr>
      </w:pPr>
      <w:r>
        <w:rPr>
          <w:sz w:val="24"/>
        </w:rPr>
        <w:t>To be able to do justice to the tasks and problems of tribal education, it is important that the Ministry of Education at the Centre and the Departments of Education in those States which have sizable tribal populations, should be equipped with special sections or units whose task it would be to study the needs of the tribal people and assist in</w:t>
      </w:r>
    </w:p>
    <w:p>
      <w:pPr>
        <w:pStyle w:val="BodyText"/>
      </w:pPr>
    </w:p>
    <w:p>
      <w:pPr>
        <w:pStyle w:val="BodyText"/>
      </w:pPr>
    </w:p>
    <w:p>
      <w:pPr>
        <w:pStyle w:val="BodyText"/>
        <w:spacing w:before="10"/>
      </w:pPr>
    </w:p>
    <w:p>
      <w:pPr>
        <w:pStyle w:val="BodyText"/>
        <w:ind w:left="160"/>
        <w:jc w:val="both"/>
      </w:pPr>
      <w:r>
        <w:rPr>
          <w:b/>
          <w:vertAlign w:val="superscript"/>
        </w:rPr>
        <w:t>60</w:t>
      </w:r>
      <w:r>
        <w:rPr>
          <w:vertAlign w:val="baseline"/>
        </w:rPr>
        <w:t>Chapter</w:t>
      </w:r>
      <w:r>
        <w:rPr>
          <w:spacing w:val="-3"/>
          <w:vertAlign w:val="baseline"/>
        </w:rPr>
        <w:t> </w:t>
      </w:r>
      <w:r>
        <w:rPr>
          <w:spacing w:val="-4"/>
          <w:vertAlign w:val="baseline"/>
        </w:rPr>
        <w:t>III.</w:t>
      </w:r>
    </w:p>
    <w:p>
      <w:pPr>
        <w:spacing w:after="0"/>
        <w:jc w:val="both"/>
        <w:sectPr>
          <w:pgSz w:w="12240" w:h="15840"/>
          <w:pgMar w:header="0" w:footer="743" w:top="1360" w:bottom="940" w:left="1640" w:right="1300"/>
        </w:sectPr>
      </w:pPr>
    </w:p>
    <w:p>
      <w:pPr>
        <w:pStyle w:val="BodyText"/>
        <w:spacing w:before="76"/>
        <w:ind w:left="159" w:right="497"/>
        <w:jc w:val="both"/>
      </w:pPr>
      <w:r>
        <w:rPr/>
        <w:t>developing educational systems best calculated to promote their welfare and</w:t>
      </w:r>
      <w:r>
        <w:rPr>
          <w:spacing w:val="40"/>
        </w:rPr>
        <w:t> </w:t>
      </w:r>
      <w:r>
        <w:rPr/>
        <w:t>development. These sections or units should work in close collaboration with other Ministries or Departments involved in the programme. Aspects of tribal education which might call for special attention will vary from area to area, and no pains should be spared in understanding the problems which arise in different contexts.</w:t>
      </w:r>
    </w:p>
    <w:p>
      <w:pPr>
        <w:pStyle w:val="BodyText"/>
        <w:spacing w:before="4"/>
      </w:pPr>
    </w:p>
    <w:p>
      <w:pPr>
        <w:pStyle w:val="ListParagraph"/>
        <w:numPr>
          <w:ilvl w:val="1"/>
          <w:numId w:val="134"/>
        </w:numPr>
        <w:tabs>
          <w:tab w:pos="702" w:val="left" w:leader="none"/>
        </w:tabs>
        <w:spacing w:line="240" w:lineRule="auto" w:before="0" w:after="0"/>
        <w:ind w:left="159" w:right="497" w:firstLine="0"/>
        <w:jc w:val="both"/>
        <w:rPr>
          <w:sz w:val="24"/>
        </w:rPr>
      </w:pPr>
      <w:r>
        <w:rPr>
          <w:sz w:val="24"/>
        </w:rPr>
        <w:t>There is a very great dearth of statistical information regarding the spread of education among the tribal people. It is necessary to collect this data, and we welcome</w:t>
      </w:r>
      <w:r>
        <w:rPr>
          <w:spacing w:val="80"/>
          <w:sz w:val="24"/>
        </w:rPr>
        <w:t> </w:t>
      </w:r>
      <w:r>
        <w:rPr>
          <w:sz w:val="24"/>
        </w:rPr>
        <w:t>the introduction of the new forms designed for this purpose by the Ministry of Education. In addition, it is necessary to carry out special investigations regarding important aspects of the spread of education amongst the tribals and their effect. A: continuous programme of research and evaluation has to be developed for this purpose. Although the </w:t>
      </w:r>
      <w:r>
        <w:rPr>
          <w:sz w:val="24"/>
        </w:rPr>
        <w:t>tribal research institutes have a special role to play in this, it would be desirable to involve the universities also. We recommend that the UGC should set aside a fund for such research to be conducted through selected universities and special institutions.</w:t>
      </w:r>
    </w:p>
    <w:p>
      <w:pPr>
        <w:pStyle w:val="BodyText"/>
        <w:spacing w:before="4"/>
      </w:pPr>
    </w:p>
    <w:p>
      <w:pPr>
        <w:pStyle w:val="ListParagraph"/>
        <w:numPr>
          <w:ilvl w:val="1"/>
          <w:numId w:val="134"/>
        </w:numPr>
        <w:tabs>
          <w:tab w:pos="702" w:val="left" w:leader="none"/>
        </w:tabs>
        <w:spacing w:line="240" w:lineRule="auto" w:before="0" w:after="0"/>
        <w:ind w:left="160" w:right="495" w:firstLine="0"/>
        <w:jc w:val="both"/>
        <w:rPr>
          <w:sz w:val="24"/>
        </w:rPr>
      </w:pPr>
      <w:r>
        <w:rPr>
          <w:sz w:val="24"/>
        </w:rPr>
        <w:t>The education of the backward classes in general and of the tribal people in particular</w:t>
      </w:r>
      <w:r>
        <w:rPr>
          <w:spacing w:val="-2"/>
          <w:sz w:val="24"/>
        </w:rPr>
        <w:t> </w:t>
      </w:r>
      <w:r>
        <w:rPr>
          <w:sz w:val="24"/>
        </w:rPr>
        <w:t>is</w:t>
      </w:r>
      <w:r>
        <w:rPr>
          <w:spacing w:val="-2"/>
          <w:sz w:val="24"/>
        </w:rPr>
        <w:t> </w:t>
      </w:r>
      <w:r>
        <w:rPr>
          <w:sz w:val="24"/>
        </w:rPr>
        <w:t>a</w:t>
      </w:r>
      <w:r>
        <w:rPr>
          <w:spacing w:val="-2"/>
          <w:sz w:val="24"/>
        </w:rPr>
        <w:t> </w:t>
      </w:r>
      <w:r>
        <w:rPr>
          <w:sz w:val="24"/>
        </w:rPr>
        <w:t>major</w:t>
      </w:r>
      <w:r>
        <w:rPr>
          <w:spacing w:val="-2"/>
          <w:sz w:val="24"/>
        </w:rPr>
        <w:t> </w:t>
      </w:r>
      <w:r>
        <w:rPr>
          <w:sz w:val="24"/>
        </w:rPr>
        <w:t>programme</w:t>
      </w:r>
      <w:r>
        <w:rPr>
          <w:spacing w:val="-4"/>
          <w:sz w:val="24"/>
        </w:rPr>
        <w:t> </w:t>
      </w:r>
      <w:r>
        <w:rPr>
          <w:sz w:val="24"/>
        </w:rPr>
        <w:t>of</w:t>
      </w:r>
      <w:r>
        <w:rPr>
          <w:spacing w:val="-2"/>
          <w:sz w:val="24"/>
        </w:rPr>
        <w:t> </w:t>
      </w:r>
      <w:r>
        <w:rPr>
          <w:sz w:val="24"/>
        </w:rPr>
        <w:t>equalization</w:t>
      </w:r>
      <w:r>
        <w:rPr>
          <w:spacing w:val="-2"/>
          <w:sz w:val="24"/>
        </w:rPr>
        <w:t> </w:t>
      </w:r>
      <w:r>
        <w:rPr>
          <w:sz w:val="24"/>
        </w:rPr>
        <w:t>and</w:t>
      </w:r>
      <w:r>
        <w:rPr>
          <w:spacing w:val="-2"/>
          <w:sz w:val="24"/>
        </w:rPr>
        <w:t> </w:t>
      </w:r>
      <w:r>
        <w:rPr>
          <w:sz w:val="24"/>
        </w:rPr>
        <w:t>of</w:t>
      </w:r>
      <w:r>
        <w:rPr>
          <w:spacing w:val="-2"/>
          <w:sz w:val="24"/>
        </w:rPr>
        <w:t> </w:t>
      </w:r>
      <w:r>
        <w:rPr>
          <w:sz w:val="24"/>
        </w:rPr>
        <w:t>social</w:t>
      </w:r>
      <w:r>
        <w:rPr>
          <w:spacing w:val="-4"/>
          <w:sz w:val="24"/>
        </w:rPr>
        <w:t> </w:t>
      </w:r>
      <w:r>
        <w:rPr>
          <w:sz w:val="24"/>
        </w:rPr>
        <w:t>and</w:t>
      </w:r>
      <w:r>
        <w:rPr>
          <w:spacing w:val="-2"/>
          <w:sz w:val="24"/>
        </w:rPr>
        <w:t> </w:t>
      </w:r>
      <w:r>
        <w:rPr>
          <w:sz w:val="24"/>
        </w:rPr>
        <w:t>national</w:t>
      </w:r>
      <w:r>
        <w:rPr>
          <w:spacing w:val="-2"/>
          <w:sz w:val="24"/>
        </w:rPr>
        <w:t> </w:t>
      </w:r>
      <w:r>
        <w:rPr>
          <w:sz w:val="24"/>
        </w:rPr>
        <w:t>integration.</w:t>
      </w:r>
      <w:r>
        <w:rPr>
          <w:spacing w:val="-2"/>
          <w:sz w:val="24"/>
        </w:rPr>
        <w:t> </w:t>
      </w:r>
      <w:r>
        <w:rPr>
          <w:sz w:val="24"/>
        </w:rPr>
        <w:t>No expenditure is too great for the purpose.</w:t>
      </w:r>
    </w:p>
    <w:p>
      <w:pPr>
        <w:spacing w:after="0" w:line="240" w:lineRule="auto"/>
        <w:jc w:val="both"/>
        <w:rPr>
          <w:sz w:val="24"/>
        </w:rPr>
        <w:sectPr>
          <w:pgSz w:w="12240" w:h="15840"/>
          <w:pgMar w:header="0" w:footer="743" w:top="1360" w:bottom="940" w:left="1640" w:right="1300"/>
        </w:sectPr>
      </w:pPr>
    </w:p>
    <w:p>
      <w:pPr>
        <w:pStyle w:val="Heading1"/>
        <w:spacing w:before="79"/>
        <w:ind w:left="3522" w:right="3860"/>
      </w:pPr>
      <w:bookmarkStart w:name="_TOC_250000" w:id="29"/>
      <w:bookmarkEnd w:id="29"/>
      <w:r>
        <w:rPr>
          <w:spacing w:val="-2"/>
        </w:rPr>
        <w:t>SUMMARY</w:t>
      </w:r>
    </w:p>
    <w:p>
      <w:pPr>
        <w:pStyle w:val="BodyText"/>
        <w:spacing w:before="2"/>
        <w:rPr>
          <w:b/>
        </w:rPr>
      </w:pPr>
    </w:p>
    <w:p>
      <w:pPr>
        <w:pStyle w:val="ListParagraph"/>
        <w:numPr>
          <w:ilvl w:val="0"/>
          <w:numId w:val="135"/>
        </w:numPr>
        <w:tabs>
          <w:tab w:pos="340" w:val="left" w:leader="none"/>
        </w:tabs>
        <w:spacing w:line="240" w:lineRule="auto" w:before="0" w:after="0"/>
        <w:ind w:left="159" w:right="497" w:firstLine="0"/>
        <w:jc w:val="both"/>
        <w:rPr>
          <w:b/>
          <w:sz w:val="24"/>
        </w:rPr>
      </w:pPr>
      <w:r>
        <w:rPr>
          <w:b/>
          <w:sz w:val="24"/>
        </w:rPr>
        <w:t>Fees</w:t>
      </w:r>
      <w:r>
        <w:rPr>
          <w:b/>
          <w:spacing w:val="-1"/>
          <w:sz w:val="24"/>
        </w:rPr>
        <w:t> </w:t>
      </w:r>
      <w:r>
        <w:rPr>
          <w:b/>
          <w:sz w:val="24"/>
        </w:rPr>
        <w:t>in</w:t>
      </w:r>
      <w:r>
        <w:rPr>
          <w:b/>
          <w:spacing w:val="-1"/>
          <w:sz w:val="24"/>
        </w:rPr>
        <w:t> </w:t>
      </w:r>
      <w:r>
        <w:rPr>
          <w:b/>
          <w:sz w:val="24"/>
        </w:rPr>
        <w:t>Education.</w:t>
      </w:r>
      <w:r>
        <w:rPr>
          <w:b/>
          <w:spacing w:val="-1"/>
          <w:sz w:val="24"/>
        </w:rPr>
        <w:t> </w:t>
      </w:r>
      <w:r>
        <w:rPr>
          <w:sz w:val="24"/>
        </w:rPr>
        <w:t>The</w:t>
      </w:r>
      <w:r>
        <w:rPr>
          <w:spacing w:val="-1"/>
          <w:sz w:val="24"/>
        </w:rPr>
        <w:t> </w:t>
      </w:r>
      <w:r>
        <w:rPr>
          <w:sz w:val="24"/>
        </w:rPr>
        <w:t>country</w:t>
      </w:r>
      <w:r>
        <w:rPr>
          <w:spacing w:val="-1"/>
          <w:sz w:val="24"/>
        </w:rPr>
        <w:t> </w:t>
      </w:r>
      <w:r>
        <w:rPr>
          <w:sz w:val="24"/>
        </w:rPr>
        <w:t>should</w:t>
      </w:r>
      <w:r>
        <w:rPr>
          <w:spacing w:val="-1"/>
          <w:sz w:val="24"/>
        </w:rPr>
        <w:t> </w:t>
      </w:r>
      <w:r>
        <w:rPr>
          <w:sz w:val="24"/>
        </w:rPr>
        <w:t>work</w:t>
      </w:r>
      <w:r>
        <w:rPr>
          <w:spacing w:val="-1"/>
          <w:sz w:val="24"/>
        </w:rPr>
        <w:t> </w:t>
      </w:r>
      <w:r>
        <w:rPr>
          <w:sz w:val="24"/>
        </w:rPr>
        <w:t>towards</w:t>
      </w:r>
      <w:r>
        <w:rPr>
          <w:spacing w:val="-4"/>
          <w:sz w:val="24"/>
        </w:rPr>
        <w:t> </w:t>
      </w:r>
      <w:r>
        <w:rPr>
          <w:sz w:val="24"/>
        </w:rPr>
        <w:t>a</w:t>
      </w:r>
      <w:r>
        <w:rPr>
          <w:spacing w:val="-1"/>
          <w:sz w:val="24"/>
        </w:rPr>
        <w:t> </w:t>
      </w:r>
      <w:r>
        <w:rPr>
          <w:sz w:val="24"/>
        </w:rPr>
        <w:t>stage</w:t>
      </w:r>
      <w:r>
        <w:rPr>
          <w:spacing w:val="-1"/>
          <w:sz w:val="24"/>
        </w:rPr>
        <w:t> </w:t>
      </w:r>
      <w:r>
        <w:rPr>
          <w:sz w:val="24"/>
        </w:rPr>
        <w:t>when</w:t>
      </w:r>
      <w:r>
        <w:rPr>
          <w:spacing w:val="-1"/>
          <w:sz w:val="24"/>
        </w:rPr>
        <w:t> </w:t>
      </w:r>
      <w:r>
        <w:rPr>
          <w:sz w:val="24"/>
        </w:rPr>
        <w:t>all</w:t>
      </w:r>
      <w:r>
        <w:rPr>
          <w:spacing w:val="-1"/>
          <w:sz w:val="24"/>
        </w:rPr>
        <w:t> </w:t>
      </w:r>
      <w:r>
        <w:rPr>
          <w:sz w:val="24"/>
        </w:rPr>
        <w:t>education</w:t>
      </w:r>
      <w:r>
        <w:rPr>
          <w:spacing w:val="-1"/>
          <w:sz w:val="24"/>
        </w:rPr>
        <w:t> </w:t>
      </w:r>
      <w:r>
        <w:rPr>
          <w:sz w:val="24"/>
        </w:rPr>
        <w:t>would be tuition-free. From this point of view:</w:t>
      </w:r>
    </w:p>
    <w:p>
      <w:pPr>
        <w:pStyle w:val="BodyText"/>
        <w:spacing w:before="4"/>
      </w:pPr>
    </w:p>
    <w:p>
      <w:pPr>
        <w:pStyle w:val="ListParagraph"/>
        <w:numPr>
          <w:ilvl w:val="1"/>
          <w:numId w:val="135"/>
        </w:numPr>
        <w:tabs>
          <w:tab w:pos="501" w:val="left" w:leader="none"/>
        </w:tabs>
        <w:spacing w:line="240" w:lineRule="auto" w:before="0" w:after="0"/>
        <w:ind w:left="160" w:right="497" w:firstLine="0"/>
        <w:jc w:val="both"/>
        <w:rPr>
          <w:sz w:val="24"/>
        </w:rPr>
      </w:pPr>
      <w:r>
        <w:rPr>
          <w:sz w:val="24"/>
        </w:rPr>
        <w:t>tuition</w:t>
      </w:r>
      <w:r>
        <w:rPr>
          <w:spacing w:val="-1"/>
          <w:sz w:val="24"/>
        </w:rPr>
        <w:t> </w:t>
      </w:r>
      <w:r>
        <w:rPr>
          <w:sz w:val="24"/>
        </w:rPr>
        <w:t>fees</w:t>
      </w:r>
      <w:r>
        <w:rPr>
          <w:spacing w:val="-1"/>
          <w:sz w:val="24"/>
        </w:rPr>
        <w:t> </w:t>
      </w:r>
      <w:r>
        <w:rPr>
          <w:sz w:val="24"/>
        </w:rPr>
        <w:t>at</w:t>
      </w:r>
      <w:r>
        <w:rPr>
          <w:spacing w:val="-1"/>
          <w:sz w:val="24"/>
        </w:rPr>
        <w:t> </w:t>
      </w:r>
      <w:r>
        <w:rPr>
          <w:sz w:val="24"/>
        </w:rPr>
        <w:t>the</w:t>
      </w:r>
      <w:r>
        <w:rPr>
          <w:spacing w:val="-1"/>
          <w:sz w:val="24"/>
        </w:rPr>
        <w:t> </w:t>
      </w:r>
      <w:r>
        <w:rPr>
          <w:sz w:val="24"/>
        </w:rPr>
        <w:t>primary</w:t>
      </w:r>
      <w:r>
        <w:rPr>
          <w:spacing w:val="-1"/>
          <w:sz w:val="24"/>
        </w:rPr>
        <w:t> </w:t>
      </w:r>
      <w:r>
        <w:rPr>
          <w:sz w:val="24"/>
        </w:rPr>
        <w:t>stage</w:t>
      </w:r>
      <w:r>
        <w:rPr>
          <w:spacing w:val="-1"/>
          <w:sz w:val="24"/>
        </w:rPr>
        <w:t> </w:t>
      </w:r>
      <w:r>
        <w:rPr>
          <w:sz w:val="24"/>
        </w:rPr>
        <w:t>should</w:t>
      </w:r>
      <w:r>
        <w:rPr>
          <w:spacing w:val="-1"/>
          <w:sz w:val="24"/>
        </w:rPr>
        <w:t> </w:t>
      </w:r>
      <w:r>
        <w:rPr>
          <w:sz w:val="24"/>
        </w:rPr>
        <w:t>be</w:t>
      </w:r>
      <w:r>
        <w:rPr>
          <w:spacing w:val="-1"/>
          <w:sz w:val="24"/>
        </w:rPr>
        <w:t> </w:t>
      </w:r>
      <w:r>
        <w:rPr>
          <w:sz w:val="24"/>
        </w:rPr>
        <w:t>abolished</w:t>
      </w:r>
      <w:r>
        <w:rPr>
          <w:spacing w:val="-1"/>
          <w:sz w:val="24"/>
        </w:rPr>
        <w:t> </w:t>
      </w:r>
      <w:r>
        <w:rPr>
          <w:sz w:val="24"/>
        </w:rPr>
        <w:t>in</w:t>
      </w:r>
      <w:r>
        <w:rPr>
          <w:spacing w:val="-1"/>
          <w:sz w:val="24"/>
        </w:rPr>
        <w:t> </w:t>
      </w:r>
      <w:r>
        <w:rPr>
          <w:sz w:val="24"/>
        </w:rPr>
        <w:t>all</w:t>
      </w:r>
      <w:r>
        <w:rPr>
          <w:spacing w:val="-1"/>
          <w:sz w:val="24"/>
        </w:rPr>
        <w:t> </w:t>
      </w:r>
      <w:r>
        <w:rPr>
          <w:sz w:val="24"/>
        </w:rPr>
        <w:t>government,</w:t>
      </w:r>
      <w:r>
        <w:rPr>
          <w:spacing w:val="-1"/>
          <w:sz w:val="24"/>
        </w:rPr>
        <w:t> </w:t>
      </w:r>
      <w:r>
        <w:rPr>
          <w:sz w:val="24"/>
        </w:rPr>
        <w:t>local</w:t>
      </w:r>
      <w:r>
        <w:rPr>
          <w:spacing w:val="-1"/>
          <w:sz w:val="24"/>
        </w:rPr>
        <w:t> </w:t>
      </w:r>
      <w:r>
        <w:rPr>
          <w:sz w:val="24"/>
        </w:rPr>
        <w:t>authority and aided private schools as early as possible and preferably before the end of the Fourth </w:t>
      </w:r>
      <w:r>
        <w:rPr>
          <w:spacing w:val="-2"/>
          <w:sz w:val="24"/>
        </w:rPr>
        <w:t>Plan;</w:t>
      </w:r>
    </w:p>
    <w:p>
      <w:pPr>
        <w:pStyle w:val="BodyText"/>
        <w:spacing w:before="3"/>
      </w:pPr>
    </w:p>
    <w:p>
      <w:pPr>
        <w:pStyle w:val="ListParagraph"/>
        <w:numPr>
          <w:ilvl w:val="1"/>
          <w:numId w:val="135"/>
        </w:numPr>
        <w:tabs>
          <w:tab w:pos="561" w:val="left" w:leader="none"/>
        </w:tabs>
        <w:spacing w:line="240" w:lineRule="auto" w:before="1" w:after="0"/>
        <w:ind w:left="160" w:right="495" w:firstLine="0"/>
        <w:jc w:val="both"/>
        <w:rPr>
          <w:sz w:val="24"/>
        </w:rPr>
      </w:pPr>
      <w:r>
        <w:rPr>
          <w:sz w:val="24"/>
        </w:rPr>
        <w:t>lower secondary education should be made tuition-free in all government, </w:t>
      </w:r>
      <w:r>
        <w:rPr>
          <w:sz w:val="24"/>
        </w:rPr>
        <w:t>local authority</w:t>
      </w:r>
      <w:r>
        <w:rPr>
          <w:spacing w:val="-1"/>
          <w:sz w:val="24"/>
        </w:rPr>
        <w:t> </w:t>
      </w:r>
      <w:r>
        <w:rPr>
          <w:sz w:val="24"/>
        </w:rPr>
        <w:t>or</w:t>
      </w:r>
      <w:r>
        <w:rPr>
          <w:spacing w:val="-1"/>
          <w:sz w:val="24"/>
        </w:rPr>
        <w:t> </w:t>
      </w:r>
      <w:r>
        <w:rPr>
          <w:sz w:val="24"/>
        </w:rPr>
        <w:t>aided</w:t>
      </w:r>
      <w:r>
        <w:rPr>
          <w:spacing w:val="-1"/>
          <w:sz w:val="24"/>
        </w:rPr>
        <w:t> </w:t>
      </w:r>
      <w:r>
        <w:rPr>
          <w:sz w:val="24"/>
        </w:rPr>
        <w:t>private</w:t>
      </w:r>
      <w:r>
        <w:rPr>
          <w:spacing w:val="-1"/>
          <w:sz w:val="24"/>
        </w:rPr>
        <w:t> </w:t>
      </w:r>
      <w:r>
        <w:rPr>
          <w:sz w:val="24"/>
        </w:rPr>
        <w:t>institutions</w:t>
      </w:r>
      <w:r>
        <w:rPr>
          <w:spacing w:val="-1"/>
          <w:sz w:val="24"/>
        </w:rPr>
        <w:t> </w:t>
      </w:r>
      <w:r>
        <w:rPr>
          <w:sz w:val="24"/>
        </w:rPr>
        <w:t>as</w:t>
      </w:r>
      <w:r>
        <w:rPr>
          <w:spacing w:val="-1"/>
          <w:sz w:val="24"/>
        </w:rPr>
        <w:t> </w:t>
      </w:r>
      <w:r>
        <w:rPr>
          <w:sz w:val="24"/>
        </w:rPr>
        <w:t>early</w:t>
      </w:r>
      <w:r>
        <w:rPr>
          <w:spacing w:val="-2"/>
          <w:sz w:val="24"/>
        </w:rPr>
        <w:t> </w:t>
      </w:r>
      <w:r>
        <w:rPr>
          <w:sz w:val="24"/>
        </w:rPr>
        <w:t>as</w:t>
      </w:r>
      <w:r>
        <w:rPr>
          <w:spacing w:val="-1"/>
          <w:sz w:val="24"/>
        </w:rPr>
        <w:t> </w:t>
      </w:r>
      <w:r>
        <w:rPr>
          <w:sz w:val="24"/>
        </w:rPr>
        <w:t>possible</w:t>
      </w:r>
      <w:r>
        <w:rPr>
          <w:spacing w:val="-2"/>
          <w:sz w:val="24"/>
        </w:rPr>
        <w:t> </w:t>
      </w:r>
      <w:r>
        <w:rPr>
          <w:sz w:val="24"/>
        </w:rPr>
        <w:t>and</w:t>
      </w:r>
      <w:r>
        <w:rPr>
          <w:spacing w:val="-2"/>
          <w:sz w:val="24"/>
        </w:rPr>
        <w:t> </w:t>
      </w:r>
      <w:r>
        <w:rPr>
          <w:sz w:val="24"/>
        </w:rPr>
        <w:t>preferably</w:t>
      </w:r>
      <w:r>
        <w:rPr>
          <w:spacing w:val="-1"/>
          <w:sz w:val="24"/>
        </w:rPr>
        <w:t> </w:t>
      </w:r>
      <w:r>
        <w:rPr>
          <w:sz w:val="24"/>
        </w:rPr>
        <w:t>before</w:t>
      </w:r>
      <w:r>
        <w:rPr>
          <w:spacing w:val="-1"/>
          <w:sz w:val="24"/>
        </w:rPr>
        <w:t> </w:t>
      </w:r>
      <w:r>
        <w:rPr>
          <w:sz w:val="24"/>
        </w:rPr>
        <w:t>the</w:t>
      </w:r>
      <w:r>
        <w:rPr>
          <w:spacing w:val="-1"/>
          <w:sz w:val="24"/>
        </w:rPr>
        <w:t> </w:t>
      </w:r>
      <w:r>
        <w:rPr>
          <w:sz w:val="24"/>
        </w:rPr>
        <w:t>end</w:t>
      </w:r>
      <w:r>
        <w:rPr>
          <w:spacing w:val="-1"/>
          <w:sz w:val="24"/>
        </w:rPr>
        <w:t> </w:t>
      </w:r>
      <w:r>
        <w:rPr>
          <w:sz w:val="24"/>
        </w:rPr>
        <w:t>of the Fifth Plan. if necessary, a phased programme may be drawn up for the purpose;</w:t>
      </w:r>
    </w:p>
    <w:p>
      <w:pPr>
        <w:pStyle w:val="BodyText"/>
        <w:spacing w:before="3"/>
      </w:pPr>
    </w:p>
    <w:p>
      <w:pPr>
        <w:pStyle w:val="ListParagraph"/>
        <w:numPr>
          <w:ilvl w:val="1"/>
          <w:numId w:val="135"/>
        </w:numPr>
        <w:tabs>
          <w:tab w:pos="531" w:val="left" w:leader="none"/>
        </w:tabs>
        <w:spacing w:line="240" w:lineRule="auto" w:before="0" w:after="0"/>
        <w:ind w:left="160" w:right="495" w:firstLine="0"/>
        <w:jc w:val="both"/>
        <w:rPr>
          <w:sz w:val="24"/>
        </w:rPr>
      </w:pPr>
      <w:r>
        <w:rPr>
          <w:sz w:val="24"/>
        </w:rPr>
        <w:t>for the next ten years, the main effort with regard to fees in higher secondary and university education should be to extend provision of tuition-free education to all needy and deserving students. As a first step, the proportion of free-studentships should be increased to 30 per cent of the enrolment. 6.08-15</w:t>
      </w:r>
    </w:p>
    <w:p>
      <w:pPr>
        <w:pStyle w:val="BodyText"/>
        <w:spacing w:before="4"/>
      </w:pPr>
    </w:p>
    <w:p>
      <w:pPr>
        <w:pStyle w:val="ListParagraph"/>
        <w:numPr>
          <w:ilvl w:val="0"/>
          <w:numId w:val="135"/>
        </w:numPr>
        <w:tabs>
          <w:tab w:pos="352" w:val="left" w:leader="none"/>
        </w:tabs>
        <w:spacing w:line="240" w:lineRule="auto" w:before="0" w:after="0"/>
        <w:ind w:left="160" w:right="498" w:firstLine="0"/>
        <w:jc w:val="both"/>
        <w:rPr>
          <w:b/>
          <w:sz w:val="24"/>
        </w:rPr>
      </w:pPr>
      <w:r>
        <w:rPr>
          <w:b/>
          <w:sz w:val="24"/>
        </w:rPr>
        <w:t>Other Private Costs. </w:t>
      </w:r>
      <w:r>
        <w:rPr>
          <w:sz w:val="24"/>
        </w:rPr>
        <w:t>Other private costs in education have increased greatly in recent years and not necessarily for educational reasons. Efforts are needed to reduce them to</w:t>
      </w:r>
      <w:r>
        <w:rPr>
          <w:spacing w:val="40"/>
          <w:sz w:val="24"/>
        </w:rPr>
        <w:t> </w:t>
      </w:r>
      <w:r>
        <w:rPr>
          <w:sz w:val="24"/>
        </w:rPr>
        <w:t>the minimum.</w:t>
      </w:r>
    </w:p>
    <w:p>
      <w:pPr>
        <w:pStyle w:val="BodyText"/>
        <w:spacing w:before="5"/>
      </w:pPr>
    </w:p>
    <w:p>
      <w:pPr>
        <w:pStyle w:val="ListParagraph"/>
        <w:numPr>
          <w:ilvl w:val="0"/>
          <w:numId w:val="136"/>
        </w:numPr>
        <w:tabs>
          <w:tab w:pos="570" w:val="left" w:leader="none"/>
        </w:tabs>
        <w:spacing w:line="240" w:lineRule="auto" w:before="0" w:after="0"/>
        <w:ind w:left="160" w:right="497" w:firstLine="0"/>
        <w:jc w:val="both"/>
        <w:rPr>
          <w:sz w:val="24"/>
        </w:rPr>
      </w:pPr>
      <w:r>
        <w:rPr>
          <w:sz w:val="24"/>
        </w:rPr>
        <w:t>Free textbooks and writing materials should be provided at the primary stage. Children freshly joining schools should be welcomed at a school function and presented with a set of books. Others should be presented with a complete set of books for the next year as soon as the results of the annual examinations are declared and before the long vacation starts so that they can use the vacations for further study.</w:t>
      </w:r>
    </w:p>
    <w:p>
      <w:pPr>
        <w:pStyle w:val="BodyText"/>
        <w:spacing w:before="4"/>
      </w:pPr>
    </w:p>
    <w:p>
      <w:pPr>
        <w:pStyle w:val="ListParagraph"/>
        <w:numPr>
          <w:ilvl w:val="0"/>
          <w:numId w:val="136"/>
        </w:numPr>
        <w:tabs>
          <w:tab w:pos="591" w:val="left" w:leader="none"/>
        </w:tabs>
        <w:spacing w:line="240" w:lineRule="auto" w:before="0" w:after="0"/>
        <w:ind w:left="160" w:right="497" w:firstLine="0"/>
        <w:jc w:val="both"/>
        <w:rPr>
          <w:sz w:val="24"/>
        </w:rPr>
      </w:pPr>
      <w:r>
        <w:rPr>
          <w:sz w:val="24"/>
        </w:rPr>
        <w:t>A programme of book-banks should be developed in secondary schools and institutions of higher education. The State Education Departments should have a fund at their disposal from which they can encourage the establishment of book-banks in secondary schools and a similar fund should be placed at the disposal of the UGC for organizing them in the universities and affiliated colleges.</w:t>
      </w:r>
    </w:p>
    <w:p>
      <w:pPr>
        <w:pStyle w:val="BodyText"/>
        <w:spacing w:before="3"/>
      </w:pPr>
    </w:p>
    <w:p>
      <w:pPr>
        <w:pStyle w:val="ListParagraph"/>
        <w:numPr>
          <w:ilvl w:val="0"/>
          <w:numId w:val="136"/>
        </w:numPr>
        <w:tabs>
          <w:tab w:pos="505" w:val="left" w:leader="none"/>
        </w:tabs>
        <w:spacing w:line="240" w:lineRule="auto" w:before="0" w:after="0"/>
        <w:ind w:left="160" w:right="497" w:firstLine="0"/>
        <w:jc w:val="both"/>
        <w:rPr>
          <w:sz w:val="24"/>
        </w:rPr>
      </w:pPr>
      <w:r>
        <w:rPr>
          <w:sz w:val="24"/>
        </w:rPr>
        <w:t>The libraries of secondary schools and institutions of higher education should contain an adequate number of sets of textbooks so that the students can have easy access to</w:t>
      </w:r>
      <w:r>
        <w:rPr>
          <w:spacing w:val="40"/>
          <w:sz w:val="24"/>
        </w:rPr>
        <w:t> </w:t>
      </w:r>
      <w:r>
        <w:rPr>
          <w:spacing w:val="-2"/>
          <w:sz w:val="24"/>
        </w:rPr>
        <w:t>them.</w:t>
      </w:r>
    </w:p>
    <w:p>
      <w:pPr>
        <w:pStyle w:val="BodyText"/>
        <w:spacing w:before="4"/>
      </w:pPr>
    </w:p>
    <w:p>
      <w:pPr>
        <w:pStyle w:val="ListParagraph"/>
        <w:numPr>
          <w:ilvl w:val="0"/>
          <w:numId w:val="136"/>
        </w:numPr>
        <w:tabs>
          <w:tab w:pos="507" w:val="left" w:leader="none"/>
        </w:tabs>
        <w:spacing w:line="240" w:lineRule="auto" w:before="0" w:after="0"/>
        <w:ind w:left="160" w:right="496" w:firstLine="0"/>
        <w:jc w:val="both"/>
        <w:rPr>
          <w:sz w:val="24"/>
        </w:rPr>
      </w:pPr>
      <w:r>
        <w:rPr>
          <w:sz w:val="24"/>
        </w:rPr>
        <w:t>Grants for the purchase of books, which need not necessarily be textbooks, should be made to talented students-the top 10 per cent- in educational institutions. The scheme should begin in the universities and later on be extended to affiliated colleges and secondary schools.</w:t>
      </w:r>
    </w:p>
    <w:p>
      <w:pPr>
        <w:spacing w:after="0" w:line="240" w:lineRule="auto"/>
        <w:jc w:val="both"/>
        <w:rPr>
          <w:sz w:val="24"/>
        </w:rPr>
        <w:sectPr>
          <w:pgSz w:w="12240" w:h="15840"/>
          <w:pgMar w:header="0" w:footer="743" w:top="1360" w:bottom="940" w:left="1640" w:right="1300"/>
        </w:sectPr>
      </w:pPr>
    </w:p>
    <w:p>
      <w:pPr>
        <w:pStyle w:val="ListParagraph"/>
        <w:numPr>
          <w:ilvl w:val="0"/>
          <w:numId w:val="135"/>
        </w:numPr>
        <w:tabs>
          <w:tab w:pos="366" w:val="left" w:leader="none"/>
        </w:tabs>
        <w:spacing w:line="240" w:lineRule="auto" w:before="76" w:after="0"/>
        <w:ind w:left="160" w:right="498" w:firstLine="0"/>
        <w:jc w:val="left"/>
        <w:rPr>
          <w:b/>
          <w:sz w:val="24"/>
        </w:rPr>
      </w:pPr>
      <w:r>
        <w:rPr>
          <w:b/>
          <w:sz w:val="24"/>
        </w:rPr>
        <w:t>Scholarships. </w:t>
      </w:r>
      <w:r>
        <w:rPr>
          <w:sz w:val="24"/>
        </w:rPr>
        <w:t>The programme of scholarships has received considerable emphasis in recent years, but it needs reorganization on the following lines:</w:t>
      </w:r>
    </w:p>
    <w:p>
      <w:pPr>
        <w:pStyle w:val="BodyText"/>
        <w:spacing w:before="4"/>
      </w:pPr>
    </w:p>
    <w:p>
      <w:pPr>
        <w:pStyle w:val="BodyText"/>
        <w:ind w:left="159" w:right="495"/>
        <w:jc w:val="both"/>
      </w:pPr>
      <w:r>
        <w:rPr/>
        <w:t>(1) The scholarships programme is a continuous process and has to be organized at all stages of education. At present, the programme is weak and needs to be strengthened at the school stage. (2) It is necessary to evolve a more equitable and egalitarian basis for</w:t>
      </w:r>
      <w:r>
        <w:rPr>
          <w:spacing w:val="40"/>
        </w:rPr>
        <w:t> </w:t>
      </w:r>
      <w:r>
        <w:rPr/>
        <w:t>the award of scholarships. (3) A scholarships programme will yield better results it is accompanied by a programme to maintain an adequate number of quality institutions at every stage and in every sector and an attempt is made to place the talented students in these institutions.</w:t>
      </w:r>
    </w:p>
    <w:p>
      <w:pPr>
        <w:pStyle w:val="BodyText"/>
        <w:spacing w:before="4"/>
      </w:pPr>
    </w:p>
    <w:p>
      <w:pPr>
        <w:pStyle w:val="ListParagraph"/>
        <w:numPr>
          <w:ilvl w:val="0"/>
          <w:numId w:val="137"/>
        </w:numPr>
        <w:tabs>
          <w:tab w:pos="504" w:val="left" w:leader="none"/>
        </w:tabs>
        <w:spacing w:line="240" w:lineRule="auto" w:before="0" w:after="0"/>
        <w:ind w:left="159" w:right="498" w:firstLine="0"/>
        <w:jc w:val="both"/>
        <w:rPr>
          <w:sz w:val="24"/>
        </w:rPr>
      </w:pPr>
      <w:r>
        <w:rPr>
          <w:sz w:val="24"/>
        </w:rPr>
        <w:t>A careful watch should be kept at all points of transfer from one stage or sub-stage of education to another to ensure that all the abler students continue their studies further.</w:t>
      </w:r>
    </w:p>
    <w:p>
      <w:pPr>
        <w:pStyle w:val="BodyText"/>
        <w:spacing w:before="5"/>
      </w:pPr>
    </w:p>
    <w:p>
      <w:pPr>
        <w:pStyle w:val="ListParagraph"/>
        <w:numPr>
          <w:ilvl w:val="0"/>
          <w:numId w:val="137"/>
        </w:numPr>
        <w:tabs>
          <w:tab w:pos="613" w:val="left" w:leader="none"/>
        </w:tabs>
        <w:spacing w:line="240" w:lineRule="auto" w:before="0" w:after="0"/>
        <w:ind w:left="159" w:right="496" w:firstLine="0"/>
        <w:jc w:val="both"/>
        <w:rPr>
          <w:sz w:val="24"/>
        </w:rPr>
      </w:pPr>
      <w:r>
        <w:rPr>
          <w:sz w:val="24"/>
        </w:rPr>
        <w:t>An adequate machinery should be created for administering this combined programme of scholarships, placement and maintenance of quality institutions. 6.18</w:t>
      </w:r>
    </w:p>
    <w:p>
      <w:pPr>
        <w:pStyle w:val="BodyText"/>
        <w:spacing w:before="3"/>
      </w:pPr>
    </w:p>
    <w:p>
      <w:pPr>
        <w:pStyle w:val="ListParagraph"/>
        <w:numPr>
          <w:ilvl w:val="0"/>
          <w:numId w:val="135"/>
        </w:numPr>
        <w:tabs>
          <w:tab w:pos="412" w:val="left" w:leader="none"/>
        </w:tabs>
        <w:spacing w:line="240" w:lineRule="auto" w:before="0" w:after="0"/>
        <w:ind w:left="159" w:right="497" w:firstLine="0"/>
        <w:jc w:val="both"/>
        <w:rPr>
          <w:sz w:val="24"/>
        </w:rPr>
      </w:pPr>
      <w:r>
        <w:rPr>
          <w:sz w:val="24"/>
        </w:rPr>
        <w:t>The following programme of scholarships is proposed at the different stages </w:t>
      </w:r>
      <w:r>
        <w:rPr>
          <w:sz w:val="24"/>
        </w:rPr>
        <w:t>of </w:t>
      </w:r>
      <w:r>
        <w:rPr>
          <w:spacing w:val="-2"/>
          <w:sz w:val="24"/>
        </w:rPr>
        <w:t>education:</w:t>
      </w:r>
    </w:p>
    <w:p>
      <w:pPr>
        <w:pStyle w:val="BodyText"/>
        <w:spacing w:before="4"/>
      </w:pPr>
    </w:p>
    <w:p>
      <w:pPr>
        <w:pStyle w:val="ListParagraph"/>
        <w:numPr>
          <w:ilvl w:val="1"/>
          <w:numId w:val="135"/>
        </w:numPr>
        <w:tabs>
          <w:tab w:pos="505" w:val="left" w:leader="none"/>
        </w:tabs>
        <w:spacing w:line="240" w:lineRule="auto" w:before="0" w:after="0"/>
        <w:ind w:left="159" w:right="497" w:firstLine="0"/>
        <w:jc w:val="both"/>
        <w:rPr>
          <w:b/>
          <w:sz w:val="24"/>
        </w:rPr>
      </w:pPr>
      <w:r>
        <w:rPr>
          <w:b/>
          <w:sz w:val="24"/>
        </w:rPr>
        <w:t>Primary Stage. </w:t>
      </w:r>
      <w:r>
        <w:rPr>
          <w:sz w:val="24"/>
        </w:rPr>
        <w:t>Steps should be taken to ensure that, at the end of the lower primary stage, no promising child is prevented from</w:t>
      </w:r>
      <w:r>
        <w:rPr>
          <w:spacing w:val="-1"/>
          <w:sz w:val="24"/>
        </w:rPr>
        <w:t> </w:t>
      </w:r>
      <w:r>
        <w:rPr>
          <w:sz w:val="24"/>
        </w:rPr>
        <w:t>continuing-his studies further and to this end, a scholarship of an adequate amount will have to be provided to every child that may</w:t>
      </w:r>
      <w:r>
        <w:rPr>
          <w:spacing w:val="40"/>
          <w:sz w:val="24"/>
        </w:rPr>
        <w:t> </w:t>
      </w:r>
      <w:r>
        <w:rPr>
          <w:sz w:val="24"/>
        </w:rPr>
        <w:t>need it. It has been assumed that the target should be to provide scholarships for 2.5 per cent of the enrolment at the higher primary stage by 1975-76 and to 5 per cent of the</w:t>
      </w:r>
      <w:r>
        <w:rPr>
          <w:spacing w:val="40"/>
          <w:sz w:val="24"/>
        </w:rPr>
        <w:t> </w:t>
      </w:r>
      <w:r>
        <w:rPr>
          <w:sz w:val="24"/>
        </w:rPr>
        <w:t>same enrolment</w:t>
      </w:r>
    </w:p>
    <w:p>
      <w:pPr>
        <w:pStyle w:val="BodyText"/>
        <w:spacing w:before="5"/>
      </w:pPr>
    </w:p>
    <w:p>
      <w:pPr>
        <w:pStyle w:val="ListParagraph"/>
        <w:numPr>
          <w:ilvl w:val="1"/>
          <w:numId w:val="135"/>
        </w:numPr>
        <w:tabs>
          <w:tab w:pos="537" w:val="left" w:leader="none"/>
        </w:tabs>
        <w:spacing w:line="240" w:lineRule="auto" w:before="0" w:after="0"/>
        <w:ind w:left="160" w:right="497" w:firstLine="0"/>
        <w:jc w:val="both"/>
        <w:rPr>
          <w:b/>
          <w:sz w:val="24"/>
        </w:rPr>
      </w:pPr>
      <w:r>
        <w:rPr>
          <w:b/>
          <w:sz w:val="24"/>
        </w:rPr>
        <w:t>Secondary stage. </w:t>
      </w:r>
      <w:r>
        <w:rPr>
          <w:sz w:val="24"/>
        </w:rPr>
        <w:t>Steps should be taken to ensure that the top 15 per cent of the children in the age-group do get scholarships from</w:t>
      </w:r>
      <w:r>
        <w:rPr>
          <w:spacing w:val="-1"/>
          <w:sz w:val="24"/>
        </w:rPr>
        <w:t> </w:t>
      </w:r>
      <w:r>
        <w:rPr>
          <w:sz w:val="24"/>
        </w:rPr>
        <w:t>higher primary to the secondary stage. To this end, the necessary financial assistance should be provided to about 10 per cent of the top students in class VII or VIII in each higher primary school. At least one good secondary school, with adequate residential facilities, should be developed in each community development block and admission to such institutions should be regulated </w:t>
      </w:r>
      <w:r>
        <w:rPr>
          <w:sz w:val="24"/>
        </w:rPr>
        <w:t>on the basis of merit. 6.20-23</w:t>
      </w:r>
    </w:p>
    <w:p>
      <w:pPr>
        <w:pStyle w:val="BodyText"/>
        <w:spacing w:before="4"/>
      </w:pPr>
    </w:p>
    <w:p>
      <w:pPr>
        <w:pStyle w:val="ListParagraph"/>
        <w:numPr>
          <w:ilvl w:val="1"/>
          <w:numId w:val="135"/>
        </w:numPr>
        <w:tabs>
          <w:tab w:pos="557" w:val="left" w:leader="none"/>
        </w:tabs>
        <w:spacing w:line="240" w:lineRule="auto" w:before="0" w:after="0"/>
        <w:ind w:left="160" w:right="497" w:firstLine="0"/>
        <w:jc w:val="both"/>
        <w:rPr>
          <w:sz w:val="24"/>
        </w:rPr>
      </w:pPr>
      <w:r>
        <w:rPr>
          <w:sz w:val="24"/>
        </w:rPr>
        <w:t>In every school, there should be a programme for the identification of talented students who should be provided with special enrichment programmes to suit their needs and to help in their growth.</w:t>
      </w:r>
    </w:p>
    <w:p>
      <w:pPr>
        <w:pStyle w:val="BodyText"/>
        <w:spacing w:before="3"/>
      </w:pPr>
    </w:p>
    <w:p>
      <w:pPr>
        <w:pStyle w:val="ListParagraph"/>
        <w:numPr>
          <w:ilvl w:val="1"/>
          <w:numId w:val="135"/>
        </w:numPr>
        <w:tabs>
          <w:tab w:pos="508" w:val="left" w:leader="none"/>
        </w:tabs>
        <w:spacing w:line="240" w:lineRule="auto" w:before="1" w:after="0"/>
        <w:ind w:left="160" w:right="496" w:firstLine="0"/>
        <w:jc w:val="both"/>
        <w:rPr>
          <w:b/>
          <w:sz w:val="24"/>
        </w:rPr>
      </w:pPr>
      <w:r>
        <w:rPr>
          <w:b/>
          <w:sz w:val="24"/>
        </w:rPr>
        <w:t>University Stage. </w:t>
      </w:r>
      <w:r>
        <w:rPr>
          <w:sz w:val="24"/>
        </w:rPr>
        <w:t>At the university stage the target for the provision for scholarships should be as follows:</w:t>
      </w:r>
    </w:p>
    <w:p>
      <w:pPr>
        <w:pStyle w:val="BodyText"/>
        <w:spacing w:before="3"/>
      </w:pPr>
    </w:p>
    <w:p>
      <w:pPr>
        <w:pStyle w:val="ListParagraph"/>
        <w:numPr>
          <w:ilvl w:val="2"/>
          <w:numId w:val="135"/>
        </w:numPr>
        <w:tabs>
          <w:tab w:pos="541" w:val="left" w:leader="none"/>
        </w:tabs>
        <w:spacing w:line="240" w:lineRule="auto" w:before="0" w:after="0"/>
        <w:ind w:left="160" w:right="496" w:firstLine="0"/>
        <w:jc w:val="both"/>
        <w:rPr>
          <w:sz w:val="24"/>
        </w:rPr>
      </w:pPr>
      <w:r>
        <w:rPr>
          <w:sz w:val="24"/>
        </w:rPr>
        <w:t>Scholarships should be available to at least 15 per cent of the enrolment at the undergraduate stage by 1976 and to 25 per cent of such enrolment by 1986; and (b) scholarships should be available to at least 25 per cent of the enrolment at the postgraduate</w:t>
      </w:r>
      <w:r>
        <w:rPr>
          <w:spacing w:val="36"/>
          <w:sz w:val="24"/>
        </w:rPr>
        <w:t> </w:t>
      </w:r>
      <w:r>
        <w:rPr>
          <w:sz w:val="24"/>
        </w:rPr>
        <w:t>stage</w:t>
      </w:r>
      <w:r>
        <w:rPr>
          <w:spacing w:val="36"/>
          <w:sz w:val="24"/>
        </w:rPr>
        <w:t> </w:t>
      </w:r>
      <w:r>
        <w:rPr>
          <w:sz w:val="24"/>
        </w:rPr>
        <w:t>by</w:t>
      </w:r>
      <w:r>
        <w:rPr>
          <w:spacing w:val="36"/>
          <w:sz w:val="24"/>
        </w:rPr>
        <w:t> </w:t>
      </w:r>
      <w:r>
        <w:rPr>
          <w:sz w:val="24"/>
        </w:rPr>
        <w:t>1976</w:t>
      </w:r>
      <w:r>
        <w:rPr>
          <w:spacing w:val="36"/>
          <w:sz w:val="24"/>
        </w:rPr>
        <w:t> </w:t>
      </w:r>
      <w:r>
        <w:rPr>
          <w:sz w:val="24"/>
        </w:rPr>
        <w:t>and</w:t>
      </w:r>
      <w:r>
        <w:rPr>
          <w:spacing w:val="36"/>
          <w:sz w:val="24"/>
        </w:rPr>
        <w:t> </w:t>
      </w:r>
      <w:r>
        <w:rPr>
          <w:sz w:val="24"/>
        </w:rPr>
        <w:t>to</w:t>
      </w:r>
      <w:r>
        <w:rPr>
          <w:spacing w:val="36"/>
          <w:sz w:val="24"/>
        </w:rPr>
        <w:t> </w:t>
      </w:r>
      <w:r>
        <w:rPr>
          <w:sz w:val="24"/>
        </w:rPr>
        <w:t>50</w:t>
      </w:r>
      <w:r>
        <w:rPr>
          <w:spacing w:val="36"/>
          <w:sz w:val="24"/>
        </w:rPr>
        <w:t> </w:t>
      </w:r>
      <w:r>
        <w:rPr>
          <w:sz w:val="24"/>
        </w:rPr>
        <w:t>per</w:t>
      </w:r>
      <w:r>
        <w:rPr>
          <w:spacing w:val="36"/>
          <w:sz w:val="24"/>
        </w:rPr>
        <w:t> </w:t>
      </w:r>
      <w:r>
        <w:rPr>
          <w:sz w:val="24"/>
        </w:rPr>
        <w:t>cent</w:t>
      </w:r>
      <w:r>
        <w:rPr>
          <w:spacing w:val="36"/>
          <w:sz w:val="24"/>
        </w:rPr>
        <w:t> </w:t>
      </w:r>
      <w:r>
        <w:rPr>
          <w:sz w:val="24"/>
        </w:rPr>
        <w:t>of</w:t>
      </w:r>
      <w:r>
        <w:rPr>
          <w:spacing w:val="36"/>
          <w:sz w:val="24"/>
        </w:rPr>
        <w:t> </w:t>
      </w:r>
      <w:r>
        <w:rPr>
          <w:sz w:val="24"/>
        </w:rPr>
        <w:t>such</w:t>
      </w:r>
      <w:r>
        <w:rPr>
          <w:spacing w:val="35"/>
          <w:sz w:val="24"/>
        </w:rPr>
        <w:t> </w:t>
      </w:r>
      <w:r>
        <w:rPr>
          <w:sz w:val="24"/>
        </w:rPr>
        <w:t>enrolment</w:t>
      </w:r>
      <w:r>
        <w:rPr>
          <w:spacing w:val="36"/>
          <w:sz w:val="24"/>
        </w:rPr>
        <w:t> </w:t>
      </w:r>
      <w:r>
        <w:rPr>
          <w:sz w:val="24"/>
        </w:rPr>
        <w:t>by</w:t>
      </w:r>
      <w:r>
        <w:rPr>
          <w:spacing w:val="36"/>
          <w:sz w:val="24"/>
        </w:rPr>
        <w:t> </w:t>
      </w:r>
      <w:r>
        <w:rPr>
          <w:sz w:val="24"/>
        </w:rPr>
        <w:t>1986.</w:t>
      </w:r>
      <w:r>
        <w:rPr>
          <w:spacing w:val="36"/>
          <w:sz w:val="24"/>
        </w:rPr>
        <w:t> </w:t>
      </w:r>
      <w:r>
        <w:rPr>
          <w:sz w:val="24"/>
        </w:rPr>
        <w:t>(5)</w:t>
      </w:r>
      <w:r>
        <w:rPr>
          <w:spacing w:val="36"/>
          <w:sz w:val="24"/>
        </w:rPr>
        <w:t> </w:t>
      </w:r>
      <w:r>
        <w:rPr>
          <w:sz w:val="24"/>
        </w:rPr>
        <w:t>There</w:t>
      </w:r>
    </w:p>
    <w:p>
      <w:pPr>
        <w:spacing w:after="0" w:line="240" w:lineRule="auto"/>
        <w:jc w:val="both"/>
        <w:rPr>
          <w:sz w:val="24"/>
        </w:rPr>
        <w:sectPr>
          <w:pgSz w:w="12240" w:h="15840"/>
          <w:pgMar w:header="0" w:footer="743" w:top="1360" w:bottom="940" w:left="1640" w:right="1300"/>
        </w:sectPr>
      </w:pPr>
    </w:p>
    <w:p>
      <w:pPr>
        <w:pStyle w:val="BodyText"/>
        <w:spacing w:before="76"/>
        <w:ind w:left="159" w:right="496"/>
        <w:jc w:val="both"/>
      </w:pPr>
      <w:r>
        <w:rPr/>
        <w:t>should be two kinds of scholarships: (a) for those who have to stay in hostels; these should cover all the direct and indirect costs of education, such as tuition fees, books, supplies, etc.; and (b) for those who can stay at home and attend schools or colleges;</w:t>
      </w:r>
      <w:r>
        <w:rPr>
          <w:spacing w:val="40"/>
        </w:rPr>
        <w:t> </w:t>
      </w:r>
      <w:r>
        <w:rPr/>
        <w:t>these should mainly cover direct and indirect costs. At the lower stages, the scholarships of the second type would be most needed. As one goes up the educational ladder, the proportion of scholarships of the first type would have to be increased.</w:t>
      </w:r>
    </w:p>
    <w:p>
      <w:pPr>
        <w:pStyle w:val="BodyText"/>
        <w:spacing w:before="4"/>
      </w:pPr>
    </w:p>
    <w:p>
      <w:pPr>
        <w:pStyle w:val="ListParagraph"/>
        <w:numPr>
          <w:ilvl w:val="0"/>
          <w:numId w:val="137"/>
        </w:numPr>
        <w:tabs>
          <w:tab w:pos="512" w:val="left" w:leader="none"/>
        </w:tabs>
        <w:spacing w:line="240" w:lineRule="auto" w:before="0" w:after="0"/>
        <w:ind w:left="159" w:right="498" w:firstLine="0"/>
        <w:jc w:val="both"/>
        <w:rPr>
          <w:sz w:val="24"/>
        </w:rPr>
      </w:pPr>
      <w:r>
        <w:rPr>
          <w:sz w:val="24"/>
        </w:rPr>
        <w:t>Steps should be taken to study the indirect costs of education and living costs and to reduce them</w:t>
      </w:r>
      <w:r>
        <w:rPr>
          <w:spacing w:val="-1"/>
          <w:sz w:val="24"/>
        </w:rPr>
        <w:t> </w:t>
      </w:r>
      <w:r>
        <w:rPr>
          <w:sz w:val="24"/>
        </w:rPr>
        <w:t>to the minimum. In particular, it is necessary to cut down hostel expenses by reducing the number of servants, etc.</w:t>
      </w:r>
    </w:p>
    <w:p>
      <w:pPr>
        <w:pStyle w:val="BodyText"/>
        <w:spacing w:before="4"/>
      </w:pPr>
    </w:p>
    <w:p>
      <w:pPr>
        <w:pStyle w:val="ListParagraph"/>
        <w:numPr>
          <w:ilvl w:val="0"/>
          <w:numId w:val="137"/>
        </w:numPr>
        <w:tabs>
          <w:tab w:pos="498" w:val="left" w:leader="none"/>
        </w:tabs>
        <w:spacing w:line="240" w:lineRule="auto" w:before="0" w:after="0"/>
        <w:ind w:left="159" w:right="497" w:firstLine="0"/>
        <w:jc w:val="both"/>
        <w:rPr>
          <w:sz w:val="24"/>
        </w:rPr>
      </w:pPr>
      <w:r>
        <w:rPr>
          <w:sz w:val="24"/>
        </w:rPr>
        <w:t>The</w:t>
      </w:r>
      <w:r>
        <w:rPr>
          <w:spacing w:val="-2"/>
          <w:sz w:val="24"/>
        </w:rPr>
        <w:t> </w:t>
      </w:r>
      <w:r>
        <w:rPr>
          <w:sz w:val="24"/>
        </w:rPr>
        <w:t>amount</w:t>
      </w:r>
      <w:r>
        <w:rPr>
          <w:spacing w:val="-2"/>
          <w:sz w:val="24"/>
        </w:rPr>
        <w:t> </w:t>
      </w:r>
      <w:r>
        <w:rPr>
          <w:sz w:val="24"/>
        </w:rPr>
        <w:t>of</w:t>
      </w:r>
      <w:r>
        <w:rPr>
          <w:spacing w:val="-2"/>
          <w:sz w:val="24"/>
        </w:rPr>
        <w:t> </w:t>
      </w:r>
      <w:r>
        <w:rPr>
          <w:sz w:val="24"/>
        </w:rPr>
        <w:t>scholarships</w:t>
      </w:r>
      <w:r>
        <w:rPr>
          <w:spacing w:val="-2"/>
          <w:sz w:val="24"/>
        </w:rPr>
        <w:t> </w:t>
      </w:r>
      <w:r>
        <w:rPr>
          <w:sz w:val="24"/>
        </w:rPr>
        <w:t>should</w:t>
      </w:r>
      <w:r>
        <w:rPr>
          <w:spacing w:val="-2"/>
          <w:sz w:val="24"/>
        </w:rPr>
        <w:t> </w:t>
      </w:r>
      <w:r>
        <w:rPr>
          <w:sz w:val="24"/>
        </w:rPr>
        <w:t>be</w:t>
      </w:r>
      <w:r>
        <w:rPr>
          <w:spacing w:val="-2"/>
          <w:sz w:val="24"/>
        </w:rPr>
        <w:t> </w:t>
      </w:r>
      <w:r>
        <w:rPr>
          <w:sz w:val="24"/>
        </w:rPr>
        <w:t>regulated</w:t>
      </w:r>
      <w:r>
        <w:rPr>
          <w:spacing w:val="-2"/>
          <w:sz w:val="24"/>
        </w:rPr>
        <w:t> </w:t>
      </w:r>
      <w:r>
        <w:rPr>
          <w:sz w:val="24"/>
        </w:rPr>
        <w:t>in</w:t>
      </w:r>
      <w:r>
        <w:rPr>
          <w:spacing w:val="-2"/>
          <w:sz w:val="24"/>
        </w:rPr>
        <w:t> </w:t>
      </w:r>
      <w:r>
        <w:rPr>
          <w:sz w:val="24"/>
        </w:rPr>
        <w:t>such</w:t>
      </w:r>
      <w:r>
        <w:rPr>
          <w:spacing w:val="-2"/>
          <w:sz w:val="24"/>
        </w:rPr>
        <w:t> </w:t>
      </w:r>
      <w:r>
        <w:rPr>
          <w:sz w:val="24"/>
        </w:rPr>
        <w:t>a</w:t>
      </w:r>
      <w:r>
        <w:rPr>
          <w:spacing w:val="-2"/>
          <w:sz w:val="24"/>
        </w:rPr>
        <w:t> </w:t>
      </w:r>
      <w:r>
        <w:rPr>
          <w:sz w:val="24"/>
        </w:rPr>
        <w:t>manner</w:t>
      </w:r>
      <w:r>
        <w:rPr>
          <w:spacing w:val="-2"/>
          <w:sz w:val="24"/>
        </w:rPr>
        <w:t> </w:t>
      </w:r>
      <w:r>
        <w:rPr>
          <w:sz w:val="24"/>
        </w:rPr>
        <w:t>as</w:t>
      </w:r>
      <w:r>
        <w:rPr>
          <w:spacing w:val="-2"/>
          <w:sz w:val="24"/>
        </w:rPr>
        <w:t> </w:t>
      </w:r>
      <w:r>
        <w:rPr>
          <w:sz w:val="24"/>
        </w:rPr>
        <w:t>to</w:t>
      </w:r>
      <w:r>
        <w:rPr>
          <w:spacing w:val="-2"/>
          <w:sz w:val="24"/>
        </w:rPr>
        <w:t> </w:t>
      </w:r>
      <w:r>
        <w:rPr>
          <w:sz w:val="24"/>
        </w:rPr>
        <w:t>cover</w:t>
      </w:r>
      <w:r>
        <w:rPr>
          <w:spacing w:val="-2"/>
          <w:sz w:val="24"/>
        </w:rPr>
        <w:t> </w:t>
      </w:r>
      <w:r>
        <w:rPr>
          <w:sz w:val="24"/>
        </w:rPr>
        <w:t>all</w:t>
      </w:r>
      <w:r>
        <w:rPr>
          <w:spacing w:val="-2"/>
          <w:sz w:val="24"/>
        </w:rPr>
        <w:t> </w:t>
      </w:r>
      <w:r>
        <w:rPr>
          <w:sz w:val="24"/>
        </w:rPr>
        <w:t>costs. </w:t>
      </w:r>
      <w:r>
        <w:rPr>
          <w:spacing w:val="-2"/>
          <w:sz w:val="24"/>
        </w:rPr>
        <w:t>6.24-26</w:t>
      </w:r>
    </w:p>
    <w:p>
      <w:pPr>
        <w:pStyle w:val="BodyText"/>
        <w:spacing w:before="5"/>
      </w:pPr>
    </w:p>
    <w:p>
      <w:pPr>
        <w:pStyle w:val="ListParagraph"/>
        <w:numPr>
          <w:ilvl w:val="0"/>
          <w:numId w:val="135"/>
        </w:numPr>
        <w:tabs>
          <w:tab w:pos="360" w:val="left" w:leader="none"/>
        </w:tabs>
        <w:spacing w:line="240" w:lineRule="auto" w:before="0" w:after="0"/>
        <w:ind w:left="159" w:right="496" w:firstLine="0"/>
        <w:jc w:val="both"/>
        <w:rPr>
          <w:b/>
          <w:sz w:val="24"/>
        </w:rPr>
      </w:pPr>
      <w:r>
        <w:rPr>
          <w:b/>
          <w:sz w:val="24"/>
        </w:rPr>
        <w:t>National Scholarships. </w:t>
      </w:r>
      <w:r>
        <w:rPr>
          <w:sz w:val="24"/>
        </w:rPr>
        <w:t>(1) The scheme of national scholarships should be expanded. The target to be reached should be to cover the top 5 per cent of the students who pass</w:t>
      </w:r>
      <w:r>
        <w:rPr>
          <w:spacing w:val="80"/>
          <w:sz w:val="24"/>
        </w:rPr>
        <w:t> </w:t>
      </w:r>
      <w:r>
        <w:rPr>
          <w:sz w:val="24"/>
        </w:rPr>
        <w:t>out of the examinations by 1975-76 and 10 per cent of such students by 1985-86. The administration of the scheme should be still further simplified and decentralized. In particular, the power to issue entitlement cards should be delegated to the authorities holding the examinations at which these scholarships have been instituted.</w:t>
      </w:r>
    </w:p>
    <w:p>
      <w:pPr>
        <w:pStyle w:val="BodyText"/>
        <w:spacing w:before="3"/>
      </w:pPr>
    </w:p>
    <w:p>
      <w:pPr>
        <w:pStyle w:val="BodyText"/>
        <w:spacing w:before="1"/>
        <w:ind w:left="159" w:right="497"/>
        <w:jc w:val="both"/>
      </w:pPr>
      <w:r>
        <w:rPr/>
        <w:t>(2) With a view to introducing a greater egalitarian element in the award of these scholarships, it is suggested that 50 per cent of these scholarships should be awarded, as at</w:t>
      </w:r>
      <w:r>
        <w:rPr>
          <w:spacing w:val="49"/>
        </w:rPr>
        <w:t> </w:t>
      </w:r>
      <w:r>
        <w:rPr/>
        <w:t>present,</w:t>
      </w:r>
      <w:r>
        <w:rPr>
          <w:spacing w:val="50"/>
        </w:rPr>
        <w:t> </w:t>
      </w:r>
      <w:r>
        <w:rPr/>
        <w:t>on</w:t>
      </w:r>
      <w:r>
        <w:rPr>
          <w:spacing w:val="50"/>
        </w:rPr>
        <w:t> </w:t>
      </w:r>
      <w:r>
        <w:rPr/>
        <w:t>the</w:t>
      </w:r>
      <w:r>
        <w:rPr>
          <w:spacing w:val="50"/>
        </w:rPr>
        <w:t> </w:t>
      </w:r>
      <w:r>
        <w:rPr/>
        <w:t>State</w:t>
      </w:r>
      <w:r>
        <w:rPr>
          <w:spacing w:val="50"/>
        </w:rPr>
        <w:t> </w:t>
      </w:r>
      <w:r>
        <w:rPr/>
        <w:t>basis.</w:t>
      </w:r>
      <w:r>
        <w:rPr>
          <w:spacing w:val="50"/>
        </w:rPr>
        <w:t> </w:t>
      </w:r>
      <w:r>
        <w:rPr/>
        <w:t>The</w:t>
      </w:r>
      <w:r>
        <w:rPr>
          <w:spacing w:val="50"/>
        </w:rPr>
        <w:t> </w:t>
      </w:r>
      <w:r>
        <w:rPr/>
        <w:t>remaining</w:t>
      </w:r>
      <w:r>
        <w:rPr>
          <w:spacing w:val="49"/>
        </w:rPr>
        <w:t> </w:t>
      </w:r>
      <w:r>
        <w:rPr/>
        <w:t>50</w:t>
      </w:r>
      <w:r>
        <w:rPr>
          <w:spacing w:val="50"/>
        </w:rPr>
        <w:t> </w:t>
      </w:r>
      <w:r>
        <w:rPr/>
        <w:t>per</w:t>
      </w:r>
      <w:r>
        <w:rPr>
          <w:spacing w:val="50"/>
        </w:rPr>
        <w:t> </w:t>
      </w:r>
      <w:r>
        <w:rPr/>
        <w:t>cent</w:t>
      </w:r>
      <w:r>
        <w:rPr>
          <w:spacing w:val="50"/>
        </w:rPr>
        <w:t> </w:t>
      </w:r>
      <w:r>
        <w:rPr/>
        <w:t>should</w:t>
      </w:r>
      <w:r>
        <w:rPr>
          <w:spacing w:val="50"/>
        </w:rPr>
        <w:t> </w:t>
      </w:r>
      <w:r>
        <w:rPr/>
        <w:t>be</w:t>
      </w:r>
      <w:r>
        <w:rPr>
          <w:spacing w:val="50"/>
        </w:rPr>
        <w:t> </w:t>
      </w:r>
      <w:r>
        <w:rPr/>
        <w:t>awarded</w:t>
      </w:r>
      <w:r>
        <w:rPr>
          <w:spacing w:val="50"/>
        </w:rPr>
        <w:t> </w:t>
      </w:r>
      <w:r>
        <w:rPr/>
        <w:t>on</w:t>
      </w:r>
      <w:r>
        <w:rPr>
          <w:spacing w:val="50"/>
        </w:rPr>
        <w:t> </w:t>
      </w:r>
      <w:r>
        <w:rPr>
          <w:spacing w:val="-5"/>
        </w:rPr>
        <w:t>the</w:t>
      </w:r>
    </w:p>
    <w:p>
      <w:pPr>
        <w:pStyle w:val="BodyText"/>
        <w:ind w:left="159" w:right="497"/>
        <w:jc w:val="both"/>
      </w:pPr>
      <w:r>
        <w:rPr/>
        <w:t>`school- cluster' basis in which a group of schools with similar socioeconomic background of students are grouped into a cluster and the top students from each cluster are awarded the scholarships. 6.27</w:t>
      </w:r>
    </w:p>
    <w:p>
      <w:pPr>
        <w:pStyle w:val="BodyText"/>
        <w:spacing w:before="3"/>
      </w:pPr>
    </w:p>
    <w:p>
      <w:pPr>
        <w:pStyle w:val="ListParagraph"/>
        <w:numPr>
          <w:ilvl w:val="0"/>
          <w:numId w:val="135"/>
        </w:numPr>
        <w:tabs>
          <w:tab w:pos="459" w:val="left" w:leader="none"/>
        </w:tabs>
        <w:spacing w:line="240" w:lineRule="auto" w:before="0" w:after="0"/>
        <w:ind w:left="159" w:right="495" w:firstLine="0"/>
        <w:jc w:val="both"/>
        <w:rPr>
          <w:b/>
          <w:sz w:val="24"/>
        </w:rPr>
      </w:pPr>
      <w:r>
        <w:rPr>
          <w:b/>
          <w:sz w:val="24"/>
        </w:rPr>
        <w:t>University Scholarships. </w:t>
      </w:r>
      <w:r>
        <w:rPr>
          <w:sz w:val="24"/>
        </w:rPr>
        <w:t>To supplement the above, a scheme of university scholarships should be instituted and implemented through the UGC. The target to be reached</w:t>
      </w:r>
      <w:r>
        <w:rPr>
          <w:spacing w:val="-1"/>
          <w:sz w:val="24"/>
        </w:rPr>
        <w:t> </w:t>
      </w:r>
      <w:r>
        <w:rPr>
          <w:sz w:val="24"/>
        </w:rPr>
        <w:t>should</w:t>
      </w:r>
      <w:r>
        <w:rPr>
          <w:spacing w:val="-1"/>
          <w:sz w:val="24"/>
        </w:rPr>
        <w:t> </w:t>
      </w:r>
      <w:r>
        <w:rPr>
          <w:sz w:val="24"/>
        </w:rPr>
        <w:t>be</w:t>
      </w:r>
      <w:r>
        <w:rPr>
          <w:spacing w:val="-1"/>
          <w:sz w:val="24"/>
        </w:rPr>
        <w:t> </w:t>
      </w:r>
      <w:r>
        <w:rPr>
          <w:sz w:val="24"/>
        </w:rPr>
        <w:t>to</w:t>
      </w:r>
      <w:r>
        <w:rPr>
          <w:spacing w:val="-3"/>
          <w:sz w:val="24"/>
        </w:rPr>
        <w:t> </w:t>
      </w:r>
      <w:r>
        <w:rPr>
          <w:sz w:val="24"/>
        </w:rPr>
        <w:t>cover</w:t>
      </w:r>
      <w:r>
        <w:rPr>
          <w:spacing w:val="-1"/>
          <w:sz w:val="24"/>
        </w:rPr>
        <w:t> </w:t>
      </w:r>
      <w:r>
        <w:rPr>
          <w:sz w:val="24"/>
        </w:rPr>
        <w:t>10</w:t>
      </w:r>
      <w:r>
        <w:rPr>
          <w:spacing w:val="-1"/>
          <w:sz w:val="24"/>
        </w:rPr>
        <w:t> </w:t>
      </w:r>
      <w:r>
        <w:rPr>
          <w:sz w:val="24"/>
        </w:rPr>
        <w:t>per</w:t>
      </w:r>
      <w:r>
        <w:rPr>
          <w:spacing w:val="-1"/>
          <w:sz w:val="24"/>
        </w:rPr>
        <w:t> </w:t>
      </w:r>
      <w:r>
        <w:rPr>
          <w:sz w:val="24"/>
        </w:rPr>
        <w:t>cent</w:t>
      </w:r>
      <w:r>
        <w:rPr>
          <w:spacing w:val="-1"/>
          <w:sz w:val="24"/>
        </w:rPr>
        <w:t> </w:t>
      </w:r>
      <w:r>
        <w:rPr>
          <w:sz w:val="24"/>
        </w:rPr>
        <w:t>of</w:t>
      </w:r>
      <w:r>
        <w:rPr>
          <w:spacing w:val="-6"/>
          <w:sz w:val="24"/>
        </w:rPr>
        <w:t> </w:t>
      </w:r>
      <w:r>
        <w:rPr>
          <w:sz w:val="24"/>
        </w:rPr>
        <w:t>the</w:t>
      </w:r>
      <w:r>
        <w:rPr>
          <w:spacing w:val="-1"/>
          <w:sz w:val="24"/>
        </w:rPr>
        <w:t> </w:t>
      </w:r>
      <w:r>
        <w:rPr>
          <w:sz w:val="24"/>
        </w:rPr>
        <w:t>enrolment</w:t>
      </w:r>
      <w:r>
        <w:rPr>
          <w:spacing w:val="-1"/>
          <w:sz w:val="24"/>
        </w:rPr>
        <w:t> </w:t>
      </w:r>
      <w:r>
        <w:rPr>
          <w:sz w:val="24"/>
        </w:rPr>
        <w:t>at</w:t>
      </w:r>
      <w:r>
        <w:rPr>
          <w:spacing w:val="-1"/>
          <w:sz w:val="24"/>
        </w:rPr>
        <w:t> </w:t>
      </w:r>
      <w:r>
        <w:rPr>
          <w:sz w:val="24"/>
        </w:rPr>
        <w:t>the</w:t>
      </w:r>
      <w:r>
        <w:rPr>
          <w:spacing w:val="-1"/>
          <w:sz w:val="24"/>
        </w:rPr>
        <w:t> </w:t>
      </w:r>
      <w:r>
        <w:rPr>
          <w:sz w:val="24"/>
        </w:rPr>
        <w:t>undergraduate</w:t>
      </w:r>
      <w:r>
        <w:rPr>
          <w:spacing w:val="-1"/>
          <w:sz w:val="24"/>
        </w:rPr>
        <w:t> </w:t>
      </w:r>
      <w:r>
        <w:rPr>
          <w:sz w:val="24"/>
        </w:rPr>
        <w:t>stage</w:t>
      </w:r>
      <w:r>
        <w:rPr>
          <w:spacing w:val="-1"/>
          <w:sz w:val="24"/>
        </w:rPr>
        <w:t> </w:t>
      </w:r>
      <w:r>
        <w:rPr>
          <w:sz w:val="24"/>
        </w:rPr>
        <w:t>and</w:t>
      </w:r>
      <w:r>
        <w:rPr>
          <w:spacing w:val="-1"/>
          <w:sz w:val="24"/>
        </w:rPr>
        <w:t> </w:t>
      </w:r>
      <w:r>
        <w:rPr>
          <w:sz w:val="24"/>
        </w:rPr>
        <w:t>20 per cent of the enrolment at the postgraduate stage by 1976.</w:t>
      </w:r>
    </w:p>
    <w:p>
      <w:pPr>
        <w:pStyle w:val="BodyText"/>
        <w:spacing w:before="4"/>
      </w:pPr>
    </w:p>
    <w:p>
      <w:pPr>
        <w:pStyle w:val="ListParagraph"/>
        <w:numPr>
          <w:ilvl w:val="0"/>
          <w:numId w:val="135"/>
        </w:numPr>
        <w:tabs>
          <w:tab w:pos="353" w:val="left" w:leader="none"/>
        </w:tabs>
        <w:spacing w:line="240" w:lineRule="auto" w:before="0" w:after="0"/>
        <w:ind w:left="160" w:right="497" w:firstLine="0"/>
        <w:jc w:val="both"/>
        <w:rPr>
          <w:sz w:val="24"/>
        </w:rPr>
      </w:pPr>
      <w:r>
        <w:rPr>
          <w:sz w:val="24"/>
        </w:rPr>
        <w:t>A Standing Committee on Postgraduate and Research Scholarships should be set up at the national level in the Ministry of Education. It should consist of the representatives of the Ministries which award scholarships at the postgraduate stage and its main function </w:t>
      </w:r>
      <w:r>
        <w:rPr>
          <w:b/>
          <w:sz w:val="24"/>
        </w:rPr>
        <w:t>would be to coordinate the different scholarship programmes. 6.28-30</w:t>
      </w:r>
    </w:p>
    <w:p>
      <w:pPr>
        <w:pStyle w:val="BodyText"/>
        <w:spacing w:before="5"/>
        <w:rPr>
          <w:b/>
        </w:rPr>
      </w:pPr>
    </w:p>
    <w:p>
      <w:pPr>
        <w:pStyle w:val="ListParagraph"/>
        <w:numPr>
          <w:ilvl w:val="0"/>
          <w:numId w:val="135"/>
        </w:numPr>
        <w:tabs>
          <w:tab w:pos="393" w:val="left" w:leader="none"/>
        </w:tabs>
        <w:spacing w:line="240" w:lineRule="auto" w:before="0" w:after="0"/>
        <w:ind w:left="160" w:right="497" w:firstLine="0"/>
        <w:jc w:val="both"/>
        <w:rPr>
          <w:b/>
          <w:sz w:val="24"/>
        </w:rPr>
      </w:pPr>
      <w:r>
        <w:rPr>
          <w:b/>
          <w:sz w:val="24"/>
        </w:rPr>
        <w:t>Scholarships in Vocational Education. </w:t>
      </w:r>
      <w:r>
        <w:rPr>
          <w:sz w:val="24"/>
        </w:rPr>
        <w:t>With regard to scholarships in vocational education, the following reforms are necessary:</w:t>
      </w:r>
    </w:p>
    <w:p>
      <w:pPr>
        <w:pStyle w:val="BodyText"/>
        <w:spacing w:before="3"/>
      </w:pPr>
    </w:p>
    <w:p>
      <w:pPr>
        <w:pStyle w:val="ListParagraph"/>
        <w:numPr>
          <w:ilvl w:val="1"/>
          <w:numId w:val="135"/>
        </w:numPr>
        <w:tabs>
          <w:tab w:pos="514" w:val="left" w:leader="none"/>
        </w:tabs>
        <w:spacing w:line="240" w:lineRule="auto" w:before="1" w:after="0"/>
        <w:ind w:left="160" w:right="495" w:firstLine="0"/>
        <w:jc w:val="both"/>
        <w:rPr>
          <w:sz w:val="24"/>
        </w:rPr>
      </w:pPr>
      <w:r>
        <w:rPr>
          <w:sz w:val="24"/>
        </w:rPr>
        <w:t>It is necessary to make a more intensive effort to introduce an egalitarian element in </w:t>
      </w:r>
      <w:r>
        <w:rPr>
          <w:spacing w:val="-2"/>
          <w:sz w:val="24"/>
        </w:rPr>
        <w:t>admissions.</w:t>
      </w:r>
    </w:p>
    <w:p>
      <w:pPr>
        <w:pStyle w:val="BodyText"/>
        <w:spacing w:before="3"/>
      </w:pPr>
    </w:p>
    <w:p>
      <w:pPr>
        <w:pStyle w:val="ListParagraph"/>
        <w:numPr>
          <w:ilvl w:val="1"/>
          <w:numId w:val="135"/>
        </w:numPr>
        <w:tabs>
          <w:tab w:pos="528" w:val="left" w:leader="none"/>
        </w:tabs>
        <w:spacing w:line="240" w:lineRule="auto" w:before="0" w:after="0"/>
        <w:ind w:left="160" w:right="497" w:firstLine="0"/>
        <w:jc w:val="both"/>
        <w:rPr>
          <w:sz w:val="24"/>
        </w:rPr>
      </w:pPr>
      <w:r>
        <w:rPr>
          <w:sz w:val="24"/>
        </w:rPr>
        <w:t>The admission examinations to IITs should be held in English and also in regional languages</w:t>
      </w:r>
      <w:r>
        <w:rPr>
          <w:spacing w:val="77"/>
          <w:sz w:val="24"/>
        </w:rPr>
        <w:t> </w:t>
      </w:r>
      <w:r>
        <w:rPr>
          <w:sz w:val="24"/>
        </w:rPr>
        <w:t>and</w:t>
      </w:r>
      <w:r>
        <w:rPr>
          <w:spacing w:val="78"/>
          <w:sz w:val="24"/>
        </w:rPr>
        <w:t> </w:t>
      </w:r>
      <w:r>
        <w:rPr>
          <w:sz w:val="24"/>
        </w:rPr>
        <w:t>the</w:t>
      </w:r>
      <w:r>
        <w:rPr>
          <w:spacing w:val="78"/>
          <w:sz w:val="24"/>
        </w:rPr>
        <w:t> </w:t>
      </w:r>
      <w:r>
        <w:rPr>
          <w:sz w:val="24"/>
        </w:rPr>
        <w:t>best</w:t>
      </w:r>
      <w:r>
        <w:rPr>
          <w:spacing w:val="78"/>
          <w:sz w:val="24"/>
        </w:rPr>
        <w:t> </w:t>
      </w:r>
      <w:r>
        <w:rPr>
          <w:sz w:val="24"/>
        </w:rPr>
        <w:t>students</w:t>
      </w:r>
      <w:r>
        <w:rPr>
          <w:spacing w:val="78"/>
          <w:sz w:val="24"/>
        </w:rPr>
        <w:t> </w:t>
      </w:r>
      <w:r>
        <w:rPr>
          <w:sz w:val="24"/>
        </w:rPr>
        <w:t>from</w:t>
      </w:r>
      <w:r>
        <w:rPr>
          <w:spacing w:val="76"/>
          <w:sz w:val="24"/>
        </w:rPr>
        <w:t> </w:t>
      </w:r>
      <w:r>
        <w:rPr>
          <w:sz w:val="24"/>
        </w:rPr>
        <w:t>each</w:t>
      </w:r>
      <w:r>
        <w:rPr>
          <w:spacing w:val="77"/>
          <w:sz w:val="24"/>
        </w:rPr>
        <w:t> </w:t>
      </w:r>
      <w:r>
        <w:rPr>
          <w:sz w:val="24"/>
        </w:rPr>
        <w:t>linguistic</w:t>
      </w:r>
      <w:r>
        <w:rPr>
          <w:spacing w:val="78"/>
          <w:sz w:val="24"/>
        </w:rPr>
        <w:t> </w:t>
      </w:r>
      <w:r>
        <w:rPr>
          <w:sz w:val="24"/>
        </w:rPr>
        <w:t>group</w:t>
      </w:r>
      <w:r>
        <w:rPr>
          <w:spacing w:val="78"/>
          <w:sz w:val="24"/>
        </w:rPr>
        <w:t> </w:t>
      </w:r>
      <w:r>
        <w:rPr>
          <w:sz w:val="24"/>
        </w:rPr>
        <w:t>should</w:t>
      </w:r>
      <w:r>
        <w:rPr>
          <w:spacing w:val="78"/>
          <w:sz w:val="24"/>
        </w:rPr>
        <w:t> </w:t>
      </w:r>
      <w:r>
        <w:rPr>
          <w:sz w:val="24"/>
        </w:rPr>
        <w:t>be</w:t>
      </w:r>
      <w:r>
        <w:rPr>
          <w:spacing w:val="78"/>
          <w:sz w:val="24"/>
        </w:rPr>
        <w:t> </w:t>
      </w:r>
      <w:r>
        <w:rPr>
          <w:sz w:val="24"/>
        </w:rPr>
        <w:t>selected,</w:t>
      </w:r>
      <w:r>
        <w:rPr>
          <w:spacing w:val="76"/>
          <w:sz w:val="24"/>
        </w:rPr>
        <w:t> </w:t>
      </w:r>
      <w:r>
        <w:rPr>
          <w:spacing w:val="-7"/>
          <w:sz w:val="24"/>
        </w:rPr>
        <w:t>if</w:t>
      </w:r>
    </w:p>
    <w:p>
      <w:pPr>
        <w:spacing w:after="0" w:line="240" w:lineRule="auto"/>
        <w:jc w:val="both"/>
        <w:rPr>
          <w:sz w:val="24"/>
        </w:rPr>
        <w:sectPr>
          <w:pgSz w:w="12240" w:h="15840"/>
          <w:pgMar w:header="0" w:footer="743" w:top="1360" w:bottom="940" w:left="1640" w:right="1300"/>
        </w:sectPr>
      </w:pPr>
    </w:p>
    <w:p>
      <w:pPr>
        <w:pStyle w:val="BodyText"/>
        <w:spacing w:before="76"/>
        <w:ind w:left="160" w:right="497"/>
        <w:jc w:val="both"/>
      </w:pPr>
      <w:r>
        <w:rPr/>
        <w:t>necessary, on the basis of quota related to population. If some of these students are not quit up to the standard in English, this deficiency should be overcome by giving </w:t>
      </w:r>
      <w:r>
        <w:rPr/>
        <w:t>an intensive training in English to the selected students in their first year at the institute.</w:t>
      </w:r>
    </w:p>
    <w:p>
      <w:pPr>
        <w:pStyle w:val="BodyText"/>
        <w:spacing w:before="4"/>
      </w:pPr>
    </w:p>
    <w:p>
      <w:pPr>
        <w:pStyle w:val="ListParagraph"/>
        <w:numPr>
          <w:ilvl w:val="1"/>
          <w:numId w:val="135"/>
        </w:numPr>
        <w:tabs>
          <w:tab w:pos="519" w:val="left" w:leader="none"/>
        </w:tabs>
        <w:spacing w:line="240" w:lineRule="auto" w:before="0" w:after="0"/>
        <w:ind w:left="160" w:right="498" w:firstLine="0"/>
        <w:jc w:val="both"/>
        <w:rPr>
          <w:sz w:val="24"/>
        </w:rPr>
      </w:pPr>
      <w:r>
        <w:rPr>
          <w:sz w:val="24"/>
        </w:rPr>
        <w:t>At the school stage, about 30 per cent of the students should be given scholarships; and this proportion should be increased to 50 per cent at the collegiate stage. 6.31-33</w:t>
      </w:r>
    </w:p>
    <w:p>
      <w:pPr>
        <w:pStyle w:val="BodyText"/>
        <w:spacing w:before="5"/>
      </w:pPr>
    </w:p>
    <w:p>
      <w:pPr>
        <w:pStyle w:val="ListParagraph"/>
        <w:numPr>
          <w:ilvl w:val="0"/>
          <w:numId w:val="135"/>
        </w:numPr>
        <w:tabs>
          <w:tab w:pos="348" w:val="left" w:leader="none"/>
        </w:tabs>
        <w:spacing w:line="240" w:lineRule="auto" w:before="0" w:after="0"/>
        <w:ind w:left="160" w:right="497" w:firstLine="0"/>
        <w:jc w:val="both"/>
        <w:rPr>
          <w:b/>
          <w:sz w:val="24"/>
        </w:rPr>
      </w:pPr>
      <w:r>
        <w:rPr>
          <w:b/>
          <w:sz w:val="24"/>
        </w:rPr>
        <w:t>Scholarships for Study Abroad. </w:t>
      </w:r>
      <w:r>
        <w:rPr>
          <w:sz w:val="24"/>
        </w:rPr>
        <w:t>There should be a national programme for the award of scholarships to the best talented students for study abroad. About 500 </w:t>
      </w:r>
      <w:r>
        <w:rPr>
          <w:sz w:val="24"/>
        </w:rPr>
        <w:t>scholarships should be awarded each year. 6.34</w:t>
      </w:r>
    </w:p>
    <w:p>
      <w:pPr>
        <w:pStyle w:val="BodyText"/>
        <w:spacing w:before="4"/>
      </w:pPr>
    </w:p>
    <w:p>
      <w:pPr>
        <w:pStyle w:val="ListParagraph"/>
        <w:numPr>
          <w:ilvl w:val="0"/>
          <w:numId w:val="135"/>
        </w:numPr>
        <w:tabs>
          <w:tab w:pos="485" w:val="left" w:leader="none"/>
        </w:tabs>
        <w:spacing w:line="240" w:lineRule="auto" w:before="0" w:after="0"/>
        <w:ind w:left="160" w:right="496" w:firstLine="0"/>
        <w:jc w:val="both"/>
        <w:rPr>
          <w:b/>
          <w:sz w:val="24"/>
        </w:rPr>
      </w:pPr>
      <w:r>
        <w:rPr>
          <w:b/>
          <w:sz w:val="24"/>
        </w:rPr>
        <w:t>Loan Scholarships. </w:t>
      </w:r>
      <w:r>
        <w:rPr>
          <w:sz w:val="24"/>
        </w:rPr>
        <w:t>It is necessary to institute a programme of loan scholarships to supplement the outright grant of scholarships described above. it should be organized on the following lines:</w:t>
      </w:r>
    </w:p>
    <w:p>
      <w:pPr>
        <w:pStyle w:val="BodyText"/>
        <w:spacing w:before="3"/>
      </w:pPr>
    </w:p>
    <w:p>
      <w:pPr>
        <w:pStyle w:val="ListParagraph"/>
        <w:numPr>
          <w:ilvl w:val="1"/>
          <w:numId w:val="135"/>
        </w:numPr>
        <w:tabs>
          <w:tab w:pos="510" w:val="left" w:leader="none"/>
        </w:tabs>
        <w:spacing w:line="240" w:lineRule="auto" w:before="0" w:after="0"/>
        <w:ind w:left="160" w:right="497" w:firstLine="0"/>
        <w:jc w:val="both"/>
        <w:rPr>
          <w:sz w:val="24"/>
        </w:rPr>
      </w:pPr>
      <w:r>
        <w:rPr>
          <w:sz w:val="24"/>
        </w:rPr>
        <w:t>The programme would be a supplement to that of outright scholarships which should be provided on the scale we have suggested.</w:t>
      </w:r>
    </w:p>
    <w:p>
      <w:pPr>
        <w:pStyle w:val="BodyText"/>
        <w:spacing w:before="4"/>
      </w:pPr>
    </w:p>
    <w:p>
      <w:pPr>
        <w:pStyle w:val="ListParagraph"/>
        <w:numPr>
          <w:ilvl w:val="1"/>
          <w:numId w:val="135"/>
        </w:numPr>
        <w:tabs>
          <w:tab w:pos="504" w:val="left" w:leader="none"/>
        </w:tabs>
        <w:spacing w:line="240" w:lineRule="auto" w:before="0" w:after="0"/>
        <w:ind w:left="160" w:right="497" w:firstLine="0"/>
        <w:jc w:val="both"/>
        <w:rPr>
          <w:sz w:val="24"/>
        </w:rPr>
      </w:pPr>
      <w:r>
        <w:rPr>
          <w:sz w:val="24"/>
        </w:rPr>
        <w:t>It would be essentially meant for students</w:t>
      </w:r>
      <w:r>
        <w:rPr>
          <w:spacing w:val="-1"/>
          <w:sz w:val="24"/>
        </w:rPr>
        <w:t> </w:t>
      </w:r>
      <w:r>
        <w:rPr>
          <w:sz w:val="24"/>
        </w:rPr>
        <w:t>in the sciences and the professional courses where the chances of employment and levels of earning are comparatively better and are more likely to make the scheme successful. There should be no upper limit to the number of such loan scholarships in this sector and an attempt should be made to </w:t>
      </w:r>
      <w:r>
        <w:rPr>
          <w:sz w:val="24"/>
        </w:rPr>
        <w:t>provide financial assistance to every needy student. To a limited extent and in deserving cases,</w:t>
      </w:r>
      <w:r>
        <w:rPr>
          <w:spacing w:val="40"/>
          <w:sz w:val="24"/>
        </w:rPr>
        <w:t> </w:t>
      </w:r>
      <w:r>
        <w:rPr>
          <w:sz w:val="24"/>
        </w:rPr>
        <w:t>the programme should be extended to cover arts students also.</w:t>
      </w:r>
    </w:p>
    <w:p>
      <w:pPr>
        <w:pStyle w:val="BodyText"/>
        <w:spacing w:before="5"/>
      </w:pPr>
    </w:p>
    <w:p>
      <w:pPr>
        <w:pStyle w:val="ListParagraph"/>
        <w:numPr>
          <w:ilvl w:val="1"/>
          <w:numId w:val="135"/>
        </w:numPr>
        <w:tabs>
          <w:tab w:pos="522" w:val="left" w:leader="none"/>
        </w:tabs>
        <w:spacing w:line="240" w:lineRule="auto" w:before="0" w:after="0"/>
        <w:ind w:left="160" w:right="497" w:firstLine="0"/>
        <w:jc w:val="both"/>
        <w:rPr>
          <w:sz w:val="24"/>
        </w:rPr>
      </w:pPr>
      <w:r>
        <w:rPr>
          <w:sz w:val="24"/>
        </w:rPr>
        <w:t>If a person who holds a loan scholarship joins the teaching profession, one-tenth of the loan should be written off for each year of service. This will encourage good students to join this profession.</w:t>
      </w:r>
    </w:p>
    <w:p>
      <w:pPr>
        <w:pStyle w:val="BodyText"/>
        <w:spacing w:before="4"/>
      </w:pPr>
    </w:p>
    <w:p>
      <w:pPr>
        <w:pStyle w:val="ListParagraph"/>
        <w:numPr>
          <w:ilvl w:val="1"/>
          <w:numId w:val="135"/>
        </w:numPr>
        <w:tabs>
          <w:tab w:pos="520" w:val="left" w:leader="none"/>
        </w:tabs>
        <w:spacing w:line="240" w:lineRule="auto" w:before="0" w:after="0"/>
        <w:ind w:left="160" w:right="498" w:firstLine="0"/>
        <w:jc w:val="both"/>
        <w:rPr>
          <w:sz w:val="24"/>
        </w:rPr>
      </w:pPr>
      <w:r>
        <w:rPr>
          <w:sz w:val="24"/>
        </w:rPr>
        <w:t>For convenient administration of the loan scholarships programme, a National Loan Scholarships Board may be set up as re- commended in the Report.</w:t>
      </w:r>
    </w:p>
    <w:p>
      <w:pPr>
        <w:pStyle w:val="BodyText"/>
        <w:spacing w:before="4"/>
      </w:pPr>
    </w:p>
    <w:p>
      <w:pPr>
        <w:pStyle w:val="ListParagraph"/>
        <w:numPr>
          <w:ilvl w:val="0"/>
          <w:numId w:val="135"/>
        </w:numPr>
        <w:tabs>
          <w:tab w:pos="459" w:val="left" w:leader="none"/>
        </w:tabs>
        <w:spacing w:line="240" w:lineRule="auto" w:before="1" w:after="0"/>
        <w:ind w:left="459" w:right="0" w:hanging="300"/>
        <w:jc w:val="both"/>
        <w:rPr>
          <w:b/>
          <w:sz w:val="24"/>
        </w:rPr>
      </w:pPr>
      <w:r>
        <w:rPr>
          <w:b/>
          <w:sz w:val="24"/>
        </w:rPr>
        <w:t>Other</w:t>
      </w:r>
      <w:r>
        <w:rPr>
          <w:b/>
          <w:spacing w:val="-1"/>
          <w:sz w:val="24"/>
        </w:rPr>
        <w:t> </w:t>
      </w:r>
      <w:r>
        <w:rPr>
          <w:b/>
          <w:sz w:val="24"/>
        </w:rPr>
        <w:t>Forms</w:t>
      </w:r>
      <w:r>
        <w:rPr>
          <w:b/>
          <w:spacing w:val="-1"/>
          <w:sz w:val="24"/>
        </w:rPr>
        <w:t> </w:t>
      </w:r>
      <w:r>
        <w:rPr>
          <w:b/>
          <w:sz w:val="24"/>
        </w:rPr>
        <w:t>of</w:t>
      </w:r>
      <w:r>
        <w:rPr>
          <w:b/>
          <w:spacing w:val="-1"/>
          <w:sz w:val="24"/>
        </w:rPr>
        <w:t> </w:t>
      </w:r>
      <w:r>
        <w:rPr>
          <w:b/>
          <w:sz w:val="24"/>
        </w:rPr>
        <w:t>Student Aid.</w:t>
      </w:r>
      <w:r>
        <w:rPr>
          <w:b/>
          <w:spacing w:val="-1"/>
          <w:sz w:val="24"/>
        </w:rPr>
        <w:t> </w:t>
      </w:r>
      <w:r>
        <w:rPr>
          <w:sz w:val="24"/>
        </w:rPr>
        <w:t>Some</w:t>
      </w:r>
      <w:r>
        <w:rPr>
          <w:spacing w:val="-1"/>
          <w:sz w:val="24"/>
        </w:rPr>
        <w:t> </w:t>
      </w:r>
      <w:r>
        <w:rPr>
          <w:sz w:val="24"/>
        </w:rPr>
        <w:t>other</w:t>
      </w:r>
      <w:r>
        <w:rPr>
          <w:spacing w:val="-1"/>
          <w:sz w:val="24"/>
        </w:rPr>
        <w:t> </w:t>
      </w:r>
      <w:r>
        <w:rPr>
          <w:sz w:val="24"/>
        </w:rPr>
        <w:t>forms of</w:t>
      </w:r>
      <w:r>
        <w:rPr>
          <w:spacing w:val="-1"/>
          <w:sz w:val="24"/>
        </w:rPr>
        <w:t> </w:t>
      </w:r>
      <w:r>
        <w:rPr>
          <w:sz w:val="24"/>
        </w:rPr>
        <w:t>student</w:t>
      </w:r>
      <w:r>
        <w:rPr>
          <w:spacing w:val="-1"/>
          <w:sz w:val="24"/>
        </w:rPr>
        <w:t> </w:t>
      </w:r>
      <w:r>
        <w:rPr>
          <w:sz w:val="24"/>
        </w:rPr>
        <w:t>aid</w:t>
      </w:r>
      <w:r>
        <w:rPr>
          <w:spacing w:val="-1"/>
          <w:sz w:val="24"/>
        </w:rPr>
        <w:t> </w:t>
      </w:r>
      <w:r>
        <w:rPr>
          <w:sz w:val="24"/>
        </w:rPr>
        <w:t>need </w:t>
      </w:r>
      <w:r>
        <w:rPr>
          <w:spacing w:val="-2"/>
          <w:sz w:val="24"/>
        </w:rPr>
        <w:t>development.</w:t>
      </w:r>
    </w:p>
    <w:p>
      <w:pPr>
        <w:pStyle w:val="BodyText"/>
        <w:spacing w:before="3"/>
      </w:pPr>
    </w:p>
    <w:p>
      <w:pPr>
        <w:pStyle w:val="ListParagraph"/>
        <w:numPr>
          <w:ilvl w:val="0"/>
          <w:numId w:val="138"/>
        </w:numPr>
        <w:tabs>
          <w:tab w:pos="499" w:val="left" w:leader="none"/>
        </w:tabs>
        <w:spacing w:line="240" w:lineRule="auto" w:before="0" w:after="0"/>
        <w:ind w:left="159" w:right="495" w:firstLine="0"/>
        <w:jc w:val="both"/>
        <w:rPr>
          <w:sz w:val="24"/>
        </w:rPr>
      </w:pPr>
      <w:r>
        <w:rPr>
          <w:sz w:val="24"/>
        </w:rPr>
        <w:t>Transport</w:t>
      </w:r>
      <w:r>
        <w:rPr>
          <w:spacing w:val="-1"/>
          <w:sz w:val="24"/>
        </w:rPr>
        <w:t> </w:t>
      </w:r>
      <w:r>
        <w:rPr>
          <w:sz w:val="24"/>
        </w:rPr>
        <w:t>facilities</w:t>
      </w:r>
      <w:r>
        <w:rPr>
          <w:spacing w:val="-2"/>
          <w:sz w:val="24"/>
        </w:rPr>
        <w:t> </w:t>
      </w:r>
      <w:r>
        <w:rPr>
          <w:sz w:val="24"/>
        </w:rPr>
        <w:t>should</w:t>
      </w:r>
      <w:r>
        <w:rPr>
          <w:spacing w:val="-1"/>
          <w:sz w:val="24"/>
        </w:rPr>
        <w:t> </w:t>
      </w:r>
      <w:r>
        <w:rPr>
          <w:sz w:val="24"/>
        </w:rPr>
        <w:t>be</w:t>
      </w:r>
      <w:r>
        <w:rPr>
          <w:spacing w:val="-2"/>
          <w:sz w:val="24"/>
        </w:rPr>
        <w:t> </w:t>
      </w:r>
      <w:r>
        <w:rPr>
          <w:sz w:val="24"/>
        </w:rPr>
        <w:t>provided</w:t>
      </w:r>
      <w:r>
        <w:rPr>
          <w:spacing w:val="-1"/>
          <w:sz w:val="24"/>
        </w:rPr>
        <w:t> </w:t>
      </w:r>
      <w:r>
        <w:rPr>
          <w:sz w:val="24"/>
        </w:rPr>
        <w:t>imaginatively</w:t>
      </w:r>
      <w:r>
        <w:rPr>
          <w:spacing w:val="-2"/>
          <w:sz w:val="24"/>
        </w:rPr>
        <w:t> </w:t>
      </w:r>
      <w:r>
        <w:rPr>
          <w:sz w:val="24"/>
        </w:rPr>
        <w:t>to</w:t>
      </w:r>
      <w:r>
        <w:rPr>
          <w:spacing w:val="-1"/>
          <w:sz w:val="24"/>
        </w:rPr>
        <w:t> </w:t>
      </w:r>
      <w:r>
        <w:rPr>
          <w:sz w:val="24"/>
        </w:rPr>
        <w:t>reduce</w:t>
      </w:r>
      <w:r>
        <w:rPr>
          <w:spacing w:val="-2"/>
          <w:sz w:val="24"/>
        </w:rPr>
        <w:t> </w:t>
      </w:r>
      <w:r>
        <w:rPr>
          <w:sz w:val="24"/>
        </w:rPr>
        <w:t>the</w:t>
      </w:r>
      <w:r>
        <w:rPr>
          <w:spacing w:val="-1"/>
          <w:sz w:val="24"/>
        </w:rPr>
        <w:t> </w:t>
      </w:r>
      <w:r>
        <w:rPr>
          <w:sz w:val="24"/>
        </w:rPr>
        <w:t>cost</w:t>
      </w:r>
      <w:r>
        <w:rPr>
          <w:spacing w:val="-2"/>
          <w:sz w:val="24"/>
        </w:rPr>
        <w:t> </w:t>
      </w:r>
      <w:r>
        <w:rPr>
          <w:sz w:val="24"/>
        </w:rPr>
        <w:t>on</w:t>
      </w:r>
      <w:r>
        <w:rPr>
          <w:spacing w:val="-1"/>
          <w:sz w:val="24"/>
        </w:rPr>
        <w:t> </w:t>
      </w:r>
      <w:r>
        <w:rPr>
          <w:sz w:val="24"/>
        </w:rPr>
        <w:t>hostels</w:t>
      </w:r>
      <w:r>
        <w:rPr>
          <w:spacing w:val="-2"/>
          <w:sz w:val="24"/>
        </w:rPr>
        <w:t> </w:t>
      </w:r>
      <w:r>
        <w:rPr>
          <w:sz w:val="24"/>
        </w:rPr>
        <w:t>and scholarships, e.g., we have seen schools in rural areas which provide bicycles to students who come from a distance.</w:t>
      </w:r>
    </w:p>
    <w:p>
      <w:pPr>
        <w:pStyle w:val="BodyText"/>
        <w:spacing w:before="4"/>
      </w:pPr>
    </w:p>
    <w:p>
      <w:pPr>
        <w:pStyle w:val="ListParagraph"/>
        <w:numPr>
          <w:ilvl w:val="0"/>
          <w:numId w:val="138"/>
        </w:numPr>
        <w:tabs>
          <w:tab w:pos="557" w:val="left" w:leader="none"/>
        </w:tabs>
        <w:spacing w:line="240" w:lineRule="auto" w:before="0" w:after="0"/>
        <w:ind w:left="159" w:right="497" w:firstLine="0"/>
        <w:jc w:val="both"/>
        <w:rPr>
          <w:sz w:val="24"/>
        </w:rPr>
      </w:pPr>
      <w:r>
        <w:rPr>
          <w:sz w:val="24"/>
        </w:rPr>
        <w:t>Day-Study Centres and lodging houses (i.e., places where the students can stay throughout the day and even at night but can go home for food) should be provided on a liberal scale.</w:t>
      </w:r>
    </w:p>
    <w:p>
      <w:pPr>
        <w:pStyle w:val="BodyText"/>
        <w:spacing w:before="3"/>
      </w:pPr>
    </w:p>
    <w:p>
      <w:pPr>
        <w:pStyle w:val="ListParagraph"/>
        <w:numPr>
          <w:ilvl w:val="0"/>
          <w:numId w:val="138"/>
        </w:numPr>
        <w:tabs>
          <w:tab w:pos="517" w:val="left" w:leader="none"/>
        </w:tabs>
        <w:spacing w:line="240" w:lineRule="auto" w:before="1" w:after="0"/>
        <w:ind w:left="160" w:right="497" w:firstLine="0"/>
        <w:jc w:val="both"/>
        <w:rPr>
          <w:sz w:val="24"/>
        </w:rPr>
      </w:pPr>
      <w:r>
        <w:rPr>
          <w:sz w:val="24"/>
        </w:rPr>
        <w:t>Facilities for students to earn and pay a part of their educational expenses should be developed. 6.35-37</w:t>
      </w:r>
    </w:p>
    <w:p>
      <w:pPr>
        <w:spacing w:after="0" w:line="240" w:lineRule="auto"/>
        <w:jc w:val="both"/>
        <w:rPr>
          <w:sz w:val="24"/>
        </w:rPr>
        <w:sectPr>
          <w:pgSz w:w="12240" w:h="15840"/>
          <w:pgMar w:header="0" w:footer="743" w:top="1360" w:bottom="940" w:left="1640" w:right="1300"/>
        </w:sectPr>
      </w:pPr>
    </w:p>
    <w:p>
      <w:pPr>
        <w:pStyle w:val="ListParagraph"/>
        <w:numPr>
          <w:ilvl w:val="0"/>
          <w:numId w:val="135"/>
        </w:numPr>
        <w:tabs>
          <w:tab w:pos="480" w:val="left" w:leader="none"/>
        </w:tabs>
        <w:spacing w:line="240" w:lineRule="auto" w:before="76" w:after="0"/>
        <w:ind w:left="160" w:right="497" w:firstLine="0"/>
        <w:jc w:val="both"/>
        <w:rPr>
          <w:b/>
          <w:sz w:val="24"/>
        </w:rPr>
      </w:pPr>
      <w:r>
        <w:rPr>
          <w:b/>
          <w:sz w:val="24"/>
        </w:rPr>
        <w:t>General. </w:t>
      </w:r>
      <w:r>
        <w:rPr>
          <w:sz w:val="24"/>
        </w:rPr>
        <w:t>(1) In all programmes of scholarships, preferential consideration should be given to the needs of girls.</w:t>
      </w:r>
    </w:p>
    <w:p>
      <w:pPr>
        <w:pStyle w:val="BodyText"/>
        <w:spacing w:before="4"/>
      </w:pPr>
    </w:p>
    <w:p>
      <w:pPr>
        <w:pStyle w:val="BodyText"/>
        <w:ind w:left="160" w:right="496"/>
        <w:jc w:val="both"/>
      </w:pPr>
      <w:r>
        <w:rPr/>
        <w:t>(2) The Government of India should assume the bulk of the responsibility for providing scholarships</w:t>
      </w:r>
      <w:r>
        <w:rPr>
          <w:spacing w:val="-2"/>
        </w:rPr>
        <w:t> </w:t>
      </w:r>
      <w:r>
        <w:rPr/>
        <w:t>in</w:t>
      </w:r>
      <w:r>
        <w:rPr>
          <w:spacing w:val="-2"/>
        </w:rPr>
        <w:t> </w:t>
      </w:r>
      <w:r>
        <w:rPr/>
        <w:t>higher</w:t>
      </w:r>
      <w:r>
        <w:rPr>
          <w:spacing w:val="-2"/>
        </w:rPr>
        <w:t> </w:t>
      </w:r>
      <w:r>
        <w:rPr/>
        <w:t>education.</w:t>
      </w:r>
      <w:r>
        <w:rPr>
          <w:spacing w:val="-4"/>
        </w:rPr>
        <w:t> </w:t>
      </w:r>
      <w:r>
        <w:rPr/>
        <w:t>At</w:t>
      </w:r>
      <w:r>
        <w:rPr>
          <w:spacing w:val="-3"/>
        </w:rPr>
        <w:t> </w:t>
      </w:r>
      <w:r>
        <w:rPr/>
        <w:t>the</w:t>
      </w:r>
      <w:r>
        <w:rPr>
          <w:spacing w:val="-3"/>
        </w:rPr>
        <w:t> </w:t>
      </w:r>
      <w:r>
        <w:rPr/>
        <w:t>school</w:t>
      </w:r>
      <w:r>
        <w:rPr>
          <w:spacing w:val="-3"/>
        </w:rPr>
        <w:t> </w:t>
      </w:r>
      <w:r>
        <w:rPr/>
        <w:t>stage,</w:t>
      </w:r>
      <w:r>
        <w:rPr>
          <w:spacing w:val="-4"/>
        </w:rPr>
        <w:t> </w:t>
      </w:r>
      <w:r>
        <w:rPr/>
        <w:t>this</w:t>
      </w:r>
      <w:r>
        <w:rPr>
          <w:spacing w:val="-2"/>
        </w:rPr>
        <w:t> </w:t>
      </w:r>
      <w:r>
        <w:rPr/>
        <w:t>responsibility</w:t>
      </w:r>
      <w:r>
        <w:rPr>
          <w:spacing w:val="-5"/>
        </w:rPr>
        <w:t> </w:t>
      </w:r>
      <w:r>
        <w:rPr/>
        <w:t>should</w:t>
      </w:r>
      <w:r>
        <w:rPr>
          <w:spacing w:val="-3"/>
        </w:rPr>
        <w:t> </w:t>
      </w:r>
      <w:r>
        <w:rPr/>
        <w:t>vest</w:t>
      </w:r>
      <w:r>
        <w:rPr>
          <w:spacing w:val="-3"/>
        </w:rPr>
        <w:t> </w:t>
      </w:r>
      <w:r>
        <w:rPr/>
        <w:t>in</w:t>
      </w:r>
      <w:r>
        <w:rPr>
          <w:spacing w:val="-3"/>
        </w:rPr>
        <w:t> </w:t>
      </w:r>
      <w:r>
        <w:rPr/>
        <w:t>the State Governments. To develop a good programme of scholarships at the school stage, however, the funds needed for it should be provided in the centrally sponsored sector in the next two Plans. The State Governments may be able to develop the programme on their own thereafter. 6.39-41</w:t>
      </w:r>
    </w:p>
    <w:p>
      <w:pPr>
        <w:pStyle w:val="BodyText"/>
        <w:spacing w:before="5"/>
      </w:pPr>
    </w:p>
    <w:p>
      <w:pPr>
        <w:pStyle w:val="ListParagraph"/>
        <w:numPr>
          <w:ilvl w:val="0"/>
          <w:numId w:val="135"/>
        </w:numPr>
        <w:tabs>
          <w:tab w:pos="578" w:val="left" w:leader="none"/>
        </w:tabs>
        <w:spacing w:line="240" w:lineRule="auto" w:before="0" w:after="0"/>
        <w:ind w:left="160" w:right="495" w:firstLine="0"/>
        <w:jc w:val="both"/>
        <w:rPr>
          <w:b/>
          <w:sz w:val="24"/>
        </w:rPr>
      </w:pPr>
      <w:r>
        <w:rPr>
          <w:b/>
          <w:sz w:val="24"/>
        </w:rPr>
        <w:t>Handicapped Children. </w:t>
      </w:r>
      <w:r>
        <w:rPr>
          <w:sz w:val="24"/>
        </w:rPr>
        <w:t>The progress in providing educational facilities to handicapped children will be limited by two main considerations: lack of teachers and financial resources. A reasonable target will, however, be to provide, by 1986, education for about 15 per cent of the blind, deaf and orthopaedically handicapped children and to about 5 per cent of the mentally retarded ones. This will mean the provision of educational facilities for about 10 per cent of the total number of handicapped children. As a part of this programme, it should be possible to have at least</w:t>
      </w:r>
      <w:r>
        <w:rPr>
          <w:spacing w:val="-1"/>
          <w:sz w:val="24"/>
        </w:rPr>
        <w:t> </w:t>
      </w:r>
      <w:r>
        <w:rPr>
          <w:sz w:val="24"/>
        </w:rPr>
        <w:t>one good institution for the education of the handicapped children in each district.</w:t>
      </w:r>
    </w:p>
    <w:p>
      <w:pPr>
        <w:pStyle w:val="BodyText"/>
        <w:spacing w:before="4"/>
      </w:pPr>
    </w:p>
    <w:p>
      <w:pPr>
        <w:pStyle w:val="ListParagraph"/>
        <w:numPr>
          <w:ilvl w:val="0"/>
          <w:numId w:val="135"/>
        </w:numPr>
        <w:tabs>
          <w:tab w:pos="465" w:val="left" w:leader="none"/>
        </w:tabs>
        <w:spacing w:line="240" w:lineRule="auto" w:before="0" w:after="0"/>
        <w:ind w:left="160" w:right="497" w:firstLine="0"/>
        <w:jc w:val="both"/>
        <w:rPr>
          <w:sz w:val="24"/>
        </w:rPr>
      </w:pPr>
      <w:r>
        <w:rPr>
          <w:sz w:val="24"/>
        </w:rPr>
        <w:t>In the educationally advanced countries, a great deal of stress is now being laid on the integration of the handicapped children into regular school programmes. We feel that experimentation with integrated programmes is urgently required in our country and that every attempt should be made to bring in as many children into the </w:t>
      </w:r>
      <w:r>
        <w:rPr>
          <w:sz w:val="24"/>
        </w:rPr>
        <w:t>integrated programmes as possible.</w:t>
      </w:r>
    </w:p>
    <w:p>
      <w:pPr>
        <w:pStyle w:val="BodyText"/>
        <w:spacing w:before="3"/>
      </w:pPr>
    </w:p>
    <w:p>
      <w:pPr>
        <w:pStyle w:val="ListParagraph"/>
        <w:numPr>
          <w:ilvl w:val="0"/>
          <w:numId w:val="135"/>
        </w:numPr>
        <w:tabs>
          <w:tab w:pos="492" w:val="left" w:leader="none"/>
        </w:tabs>
        <w:spacing w:line="240" w:lineRule="auto" w:before="1" w:after="0"/>
        <w:ind w:left="160" w:right="497" w:firstLine="0"/>
        <w:jc w:val="both"/>
        <w:rPr>
          <w:sz w:val="24"/>
        </w:rPr>
      </w:pPr>
      <w:r>
        <w:rPr>
          <w:sz w:val="24"/>
        </w:rPr>
        <w:t>In addition, it will be desirable to develop services on a pilot basis for some other categories of children who have peculiar educational needs, viz., the</w:t>
      </w:r>
      <w:r>
        <w:rPr>
          <w:spacing w:val="-1"/>
          <w:sz w:val="24"/>
        </w:rPr>
        <w:t> </w:t>
      </w:r>
      <w:r>
        <w:rPr>
          <w:sz w:val="24"/>
        </w:rPr>
        <w:t>partially-sighted, the speech-handicapped, the aphasic, the brain-injured and the mentally disturbed.</w:t>
      </w:r>
    </w:p>
    <w:p>
      <w:pPr>
        <w:pStyle w:val="BodyText"/>
        <w:spacing w:before="3"/>
      </w:pPr>
    </w:p>
    <w:p>
      <w:pPr>
        <w:pStyle w:val="ListParagraph"/>
        <w:numPr>
          <w:ilvl w:val="0"/>
          <w:numId w:val="135"/>
        </w:numPr>
        <w:tabs>
          <w:tab w:pos="481" w:val="left" w:leader="none"/>
        </w:tabs>
        <w:spacing w:line="240" w:lineRule="auto" w:before="0" w:after="0"/>
        <w:ind w:left="160" w:right="496" w:firstLine="0"/>
        <w:jc w:val="both"/>
        <w:rPr>
          <w:sz w:val="24"/>
        </w:rPr>
      </w:pPr>
      <w:r>
        <w:rPr>
          <w:sz w:val="24"/>
        </w:rPr>
        <w:t>To develop the above programmes for the education of the handicapped children on proper lines, it Will be necessary to emphasize the training of teachers, the coordination of the efforts of the different agencies working in the field and to promote adequate </w:t>
      </w:r>
      <w:r>
        <w:rPr>
          <w:b/>
          <w:sz w:val="24"/>
        </w:rPr>
        <w:t>research into the problem. 6.42-49</w:t>
      </w:r>
    </w:p>
    <w:p>
      <w:pPr>
        <w:pStyle w:val="BodyText"/>
        <w:spacing w:before="4"/>
        <w:rPr>
          <w:b/>
        </w:rPr>
      </w:pPr>
    </w:p>
    <w:p>
      <w:pPr>
        <w:pStyle w:val="ListParagraph"/>
        <w:numPr>
          <w:ilvl w:val="0"/>
          <w:numId w:val="135"/>
        </w:numPr>
        <w:tabs>
          <w:tab w:pos="478" w:val="left" w:leader="none"/>
        </w:tabs>
        <w:spacing w:line="240" w:lineRule="auto" w:before="0" w:after="0"/>
        <w:ind w:left="160" w:right="495" w:firstLine="0"/>
        <w:jc w:val="both"/>
        <w:rPr>
          <w:b/>
          <w:sz w:val="24"/>
        </w:rPr>
      </w:pPr>
      <w:r>
        <w:rPr>
          <w:b/>
          <w:sz w:val="24"/>
        </w:rPr>
        <w:t>Regional Imbalances. </w:t>
      </w:r>
      <w:r>
        <w:rPr>
          <w:sz w:val="24"/>
        </w:rPr>
        <w:t>There are wide differences in the educational development </w:t>
      </w:r>
      <w:r>
        <w:rPr>
          <w:sz w:val="24"/>
        </w:rPr>
        <w:t>in the different States. These become wider still at the district level. A reduction of these differences to the minimum is desirable and the programme for this will have to be pursued</w:t>
      </w:r>
      <w:r>
        <w:rPr>
          <w:spacing w:val="-3"/>
          <w:sz w:val="24"/>
        </w:rPr>
        <w:t> </w:t>
      </w:r>
      <w:r>
        <w:rPr>
          <w:sz w:val="24"/>
        </w:rPr>
        <w:t>side</w:t>
      </w:r>
      <w:r>
        <w:rPr>
          <w:spacing w:val="-3"/>
          <w:sz w:val="24"/>
        </w:rPr>
        <w:t> </w:t>
      </w:r>
      <w:r>
        <w:rPr>
          <w:sz w:val="24"/>
        </w:rPr>
        <w:t>by</w:t>
      </w:r>
      <w:r>
        <w:rPr>
          <w:spacing w:val="-3"/>
          <w:sz w:val="24"/>
        </w:rPr>
        <w:t> </w:t>
      </w:r>
      <w:r>
        <w:rPr>
          <w:sz w:val="24"/>
        </w:rPr>
        <w:t>side</w:t>
      </w:r>
      <w:r>
        <w:rPr>
          <w:spacing w:val="-3"/>
          <w:sz w:val="24"/>
        </w:rPr>
        <w:t> </w:t>
      </w:r>
      <w:r>
        <w:rPr>
          <w:sz w:val="24"/>
        </w:rPr>
        <w:t>with</w:t>
      </w:r>
      <w:r>
        <w:rPr>
          <w:spacing w:val="-3"/>
          <w:sz w:val="24"/>
        </w:rPr>
        <w:t> </w:t>
      </w:r>
      <w:r>
        <w:rPr>
          <w:sz w:val="24"/>
        </w:rPr>
        <w:t>the</w:t>
      </w:r>
      <w:r>
        <w:rPr>
          <w:spacing w:val="-3"/>
          <w:sz w:val="24"/>
        </w:rPr>
        <w:t> </w:t>
      </w:r>
      <w:r>
        <w:rPr>
          <w:sz w:val="24"/>
        </w:rPr>
        <w:t>wider</w:t>
      </w:r>
      <w:r>
        <w:rPr>
          <w:spacing w:val="-3"/>
          <w:sz w:val="24"/>
        </w:rPr>
        <w:t> </w:t>
      </w:r>
      <w:r>
        <w:rPr>
          <w:sz w:val="24"/>
        </w:rPr>
        <w:t>programmes</w:t>
      </w:r>
      <w:r>
        <w:rPr>
          <w:spacing w:val="-2"/>
          <w:sz w:val="24"/>
        </w:rPr>
        <w:t> </w:t>
      </w:r>
      <w:r>
        <w:rPr>
          <w:sz w:val="24"/>
        </w:rPr>
        <w:t>for</w:t>
      </w:r>
      <w:r>
        <w:rPr>
          <w:spacing w:val="-2"/>
          <w:sz w:val="24"/>
        </w:rPr>
        <w:t> </w:t>
      </w:r>
      <w:r>
        <w:rPr>
          <w:sz w:val="24"/>
        </w:rPr>
        <w:t>reducing</w:t>
      </w:r>
      <w:r>
        <w:rPr>
          <w:spacing w:val="-2"/>
          <w:sz w:val="24"/>
        </w:rPr>
        <w:t> </w:t>
      </w:r>
      <w:r>
        <w:rPr>
          <w:sz w:val="24"/>
        </w:rPr>
        <w:t>the</w:t>
      </w:r>
      <w:r>
        <w:rPr>
          <w:spacing w:val="-2"/>
          <w:sz w:val="24"/>
        </w:rPr>
        <w:t> </w:t>
      </w:r>
      <w:r>
        <w:rPr>
          <w:sz w:val="24"/>
        </w:rPr>
        <w:t>imbalances</w:t>
      </w:r>
      <w:r>
        <w:rPr>
          <w:spacing w:val="-2"/>
          <w:sz w:val="24"/>
        </w:rPr>
        <w:t> </w:t>
      </w:r>
      <w:r>
        <w:rPr>
          <w:sz w:val="24"/>
        </w:rPr>
        <w:t>in</w:t>
      </w:r>
      <w:r>
        <w:rPr>
          <w:spacing w:val="-2"/>
          <w:sz w:val="24"/>
        </w:rPr>
        <w:t> </w:t>
      </w:r>
      <w:r>
        <w:rPr>
          <w:sz w:val="24"/>
        </w:rPr>
        <w:t>the</w:t>
      </w:r>
      <w:r>
        <w:rPr>
          <w:spacing w:val="-2"/>
          <w:sz w:val="24"/>
        </w:rPr>
        <w:t> </w:t>
      </w:r>
      <w:r>
        <w:rPr>
          <w:sz w:val="24"/>
        </w:rPr>
        <w:t>socio- economic development of the different States and districts in the country. The solution of this complex problem will, however, be facilitated if action is, taken on the following </w:t>
      </w:r>
      <w:r>
        <w:rPr>
          <w:spacing w:val="-2"/>
          <w:sz w:val="24"/>
        </w:rPr>
        <w:t>lines:</w:t>
      </w:r>
    </w:p>
    <w:p>
      <w:pPr>
        <w:pStyle w:val="BodyText"/>
        <w:spacing w:before="5"/>
      </w:pPr>
    </w:p>
    <w:p>
      <w:pPr>
        <w:pStyle w:val="ListParagraph"/>
        <w:numPr>
          <w:ilvl w:val="1"/>
          <w:numId w:val="135"/>
        </w:numPr>
        <w:tabs>
          <w:tab w:pos="502" w:val="left" w:leader="none"/>
        </w:tabs>
        <w:spacing w:line="240" w:lineRule="auto" w:before="0" w:after="0"/>
        <w:ind w:left="160" w:right="496" w:firstLine="0"/>
        <w:jc w:val="both"/>
        <w:rPr>
          <w:sz w:val="24"/>
        </w:rPr>
      </w:pPr>
      <w:r>
        <w:rPr>
          <w:sz w:val="24"/>
        </w:rPr>
        <w:t>A total elimination of</w:t>
      </w:r>
      <w:r>
        <w:rPr>
          <w:spacing w:val="-1"/>
          <w:sz w:val="24"/>
        </w:rPr>
        <w:t> </w:t>
      </w:r>
      <w:r>
        <w:rPr>
          <w:sz w:val="24"/>
        </w:rPr>
        <w:t>these differences in educational development is neither possible nor desirable. What is needed, however, is a balancing factor, a deliberate and sustained effort to assist the less advanced areas to come up to at least certain minimum levels so that the gap between them and the advanced areas will be reduced.</w:t>
      </w:r>
    </w:p>
    <w:p>
      <w:pPr>
        <w:spacing w:after="0" w:line="240" w:lineRule="auto"/>
        <w:jc w:val="both"/>
        <w:rPr>
          <w:sz w:val="24"/>
        </w:rPr>
        <w:sectPr>
          <w:pgSz w:w="12240" w:h="15840"/>
          <w:pgMar w:header="0" w:footer="743" w:top="1360" w:bottom="940" w:left="1640" w:right="1300"/>
        </w:sectPr>
      </w:pPr>
    </w:p>
    <w:p>
      <w:pPr>
        <w:pStyle w:val="ListParagraph"/>
        <w:numPr>
          <w:ilvl w:val="1"/>
          <w:numId w:val="135"/>
        </w:numPr>
        <w:tabs>
          <w:tab w:pos="574" w:val="left" w:leader="none"/>
        </w:tabs>
        <w:spacing w:line="240" w:lineRule="auto" w:before="76" w:after="0"/>
        <w:ind w:left="160" w:right="495" w:firstLine="0"/>
        <w:jc w:val="both"/>
        <w:rPr>
          <w:sz w:val="24"/>
        </w:rPr>
      </w:pPr>
      <w:r>
        <w:rPr>
          <w:sz w:val="24"/>
        </w:rPr>
        <w:t>The district should be adopted as the basic unit for educational planning and </w:t>
      </w:r>
      <w:r>
        <w:rPr>
          <w:spacing w:val="-2"/>
          <w:sz w:val="24"/>
        </w:rPr>
        <w:t>development.</w:t>
      </w:r>
    </w:p>
    <w:p>
      <w:pPr>
        <w:pStyle w:val="BodyText"/>
        <w:spacing w:before="4"/>
      </w:pPr>
    </w:p>
    <w:p>
      <w:pPr>
        <w:pStyle w:val="ListParagraph"/>
        <w:numPr>
          <w:ilvl w:val="1"/>
          <w:numId w:val="135"/>
        </w:numPr>
        <w:tabs>
          <w:tab w:pos="520" w:val="left" w:leader="none"/>
        </w:tabs>
        <w:spacing w:line="240" w:lineRule="auto" w:before="0" w:after="0"/>
        <w:ind w:left="160" w:right="498" w:firstLine="0"/>
        <w:jc w:val="both"/>
        <w:rPr>
          <w:sz w:val="24"/>
        </w:rPr>
      </w:pPr>
      <w:r>
        <w:rPr>
          <w:sz w:val="24"/>
        </w:rPr>
        <w:t>At the State level, there should be a deliberate policy of equalization of educational development in the different districts and the necessary administrative and financial measures to this end should be taken.</w:t>
      </w:r>
    </w:p>
    <w:p>
      <w:pPr>
        <w:pStyle w:val="BodyText"/>
        <w:spacing w:before="5"/>
      </w:pPr>
    </w:p>
    <w:p>
      <w:pPr>
        <w:pStyle w:val="ListParagraph"/>
        <w:numPr>
          <w:ilvl w:val="1"/>
          <w:numId w:val="135"/>
        </w:numPr>
        <w:tabs>
          <w:tab w:pos="505" w:val="left" w:leader="none"/>
        </w:tabs>
        <w:spacing w:line="240" w:lineRule="auto" w:before="0" w:after="0"/>
        <w:ind w:left="160" w:right="497" w:firstLine="0"/>
        <w:jc w:val="both"/>
        <w:rPr>
          <w:sz w:val="24"/>
        </w:rPr>
      </w:pPr>
      <w:r>
        <w:rPr>
          <w:sz w:val="24"/>
        </w:rPr>
        <w:t>At the national level, it should be regarded as the responsibility of the Government of India to secure equalization of educational development in the different States. The necessary programmes for this, including special assistance to the less advanced States, should be developed. 6.50-52</w:t>
      </w:r>
    </w:p>
    <w:p>
      <w:pPr>
        <w:pStyle w:val="BodyText"/>
        <w:spacing w:before="4"/>
      </w:pPr>
    </w:p>
    <w:p>
      <w:pPr>
        <w:pStyle w:val="ListParagraph"/>
        <w:numPr>
          <w:ilvl w:val="0"/>
          <w:numId w:val="135"/>
        </w:numPr>
        <w:tabs>
          <w:tab w:pos="562" w:val="left" w:leader="none"/>
        </w:tabs>
        <w:spacing w:line="240" w:lineRule="auto" w:before="0" w:after="0"/>
        <w:ind w:left="160" w:right="497" w:firstLine="0"/>
        <w:jc w:val="both"/>
        <w:rPr>
          <w:b/>
          <w:sz w:val="24"/>
        </w:rPr>
      </w:pPr>
      <w:r>
        <w:rPr>
          <w:b/>
          <w:sz w:val="24"/>
        </w:rPr>
        <w:t>Education of Women</w:t>
      </w:r>
      <w:r>
        <w:rPr>
          <w:sz w:val="24"/>
        </w:rPr>
        <w:t>. We fully endorse the recommendations of the </w:t>
      </w:r>
      <w:r>
        <w:rPr>
          <w:sz w:val="24"/>
        </w:rPr>
        <w:t>three committees which have examined the problem of women's education in recent years: (a) the National Committee on the Education of Women under the chairmanship of Shrimati Durgabai Deshmukh; (b) the Committee on Differentiation of Curricula between Boys and Girls under the chairmanship of Shrimati Hansa Mehta; and (c) the Committee under the chairmanship of Shri M. Bhaktavatsalam which studied the problem in the six States where the education of girls is less developed.</w:t>
      </w:r>
    </w:p>
    <w:p>
      <w:pPr>
        <w:pStyle w:val="BodyText"/>
        <w:spacing w:before="3"/>
      </w:pPr>
    </w:p>
    <w:p>
      <w:pPr>
        <w:pStyle w:val="ListParagraph"/>
        <w:numPr>
          <w:ilvl w:val="0"/>
          <w:numId w:val="135"/>
        </w:numPr>
        <w:tabs>
          <w:tab w:pos="543" w:val="left" w:leader="none"/>
        </w:tabs>
        <w:spacing w:line="240" w:lineRule="auto" w:before="1" w:after="0"/>
        <w:ind w:left="160" w:right="499" w:firstLine="0"/>
        <w:jc w:val="both"/>
        <w:rPr>
          <w:sz w:val="24"/>
        </w:rPr>
      </w:pPr>
      <w:r>
        <w:rPr>
          <w:sz w:val="24"/>
        </w:rPr>
        <w:t>We invite special attention to the following recommendations of the National Committee on Women's Education:</w:t>
      </w:r>
    </w:p>
    <w:p>
      <w:pPr>
        <w:pStyle w:val="BodyText"/>
        <w:spacing w:before="3"/>
      </w:pPr>
    </w:p>
    <w:p>
      <w:pPr>
        <w:pStyle w:val="ListParagraph"/>
        <w:numPr>
          <w:ilvl w:val="1"/>
          <w:numId w:val="135"/>
        </w:numPr>
        <w:tabs>
          <w:tab w:pos="513" w:val="left" w:leader="none"/>
        </w:tabs>
        <w:spacing w:line="240" w:lineRule="auto" w:before="0" w:after="0"/>
        <w:ind w:left="160" w:right="497" w:firstLine="0"/>
        <w:jc w:val="both"/>
        <w:rPr>
          <w:sz w:val="24"/>
        </w:rPr>
      </w:pPr>
      <w:r>
        <w:rPr>
          <w:sz w:val="24"/>
        </w:rPr>
        <w:t>The education of women should be regarded as a major programme in education for some years to come and a bold and determined effort should be made to face the difficulties involved and to close the existing gap between the education of men and women in as short a time as possible;</w:t>
      </w:r>
    </w:p>
    <w:p>
      <w:pPr>
        <w:pStyle w:val="BodyText"/>
        <w:spacing w:before="5"/>
      </w:pPr>
    </w:p>
    <w:p>
      <w:pPr>
        <w:pStyle w:val="ListParagraph"/>
        <w:numPr>
          <w:ilvl w:val="1"/>
          <w:numId w:val="135"/>
        </w:numPr>
        <w:tabs>
          <w:tab w:pos="511" w:val="left" w:leader="none"/>
        </w:tabs>
        <w:spacing w:line="240" w:lineRule="auto" w:before="0" w:after="0"/>
        <w:ind w:left="160" w:right="497" w:firstLine="0"/>
        <w:jc w:val="both"/>
        <w:rPr>
          <w:sz w:val="24"/>
        </w:rPr>
      </w:pPr>
      <w:r>
        <w:rPr>
          <w:sz w:val="24"/>
        </w:rPr>
        <w:t>Special schemes should be prepared for this purpose and the funds required for them should be provided on a priority basis; and</w:t>
      </w:r>
    </w:p>
    <w:p>
      <w:pPr>
        <w:pStyle w:val="BodyText"/>
        <w:spacing w:before="4"/>
      </w:pPr>
    </w:p>
    <w:p>
      <w:pPr>
        <w:pStyle w:val="ListParagraph"/>
        <w:numPr>
          <w:ilvl w:val="1"/>
          <w:numId w:val="135"/>
        </w:numPr>
        <w:tabs>
          <w:tab w:pos="506" w:val="left" w:leader="none"/>
        </w:tabs>
        <w:spacing w:line="240" w:lineRule="auto" w:before="0" w:after="0"/>
        <w:ind w:left="160" w:right="497" w:firstLine="0"/>
        <w:jc w:val="both"/>
        <w:rPr>
          <w:sz w:val="24"/>
        </w:rPr>
      </w:pPr>
      <w:r>
        <w:rPr>
          <w:sz w:val="24"/>
        </w:rPr>
        <w:t>Both at the Centre and in the States, there should be a special machinery to look after the education of girls and women. It should bring together officials and non-officials in the planning and implementation of programmes for women's education.</w:t>
      </w:r>
    </w:p>
    <w:p>
      <w:pPr>
        <w:pStyle w:val="BodyText"/>
        <w:spacing w:before="3"/>
      </w:pPr>
    </w:p>
    <w:p>
      <w:pPr>
        <w:pStyle w:val="ListParagraph"/>
        <w:numPr>
          <w:ilvl w:val="0"/>
          <w:numId w:val="135"/>
        </w:numPr>
        <w:tabs>
          <w:tab w:pos="460" w:val="left" w:leader="none"/>
        </w:tabs>
        <w:spacing w:line="240" w:lineRule="auto" w:before="0" w:after="0"/>
        <w:ind w:left="160" w:right="497" w:firstLine="0"/>
        <w:jc w:val="both"/>
        <w:rPr>
          <w:sz w:val="24"/>
        </w:rPr>
      </w:pPr>
      <w:r>
        <w:rPr>
          <w:sz w:val="24"/>
        </w:rPr>
        <w:t>In</w:t>
      </w:r>
      <w:r>
        <w:rPr>
          <w:spacing w:val="-2"/>
          <w:sz w:val="24"/>
        </w:rPr>
        <w:t> </w:t>
      </w:r>
      <w:r>
        <w:rPr>
          <w:sz w:val="24"/>
        </w:rPr>
        <w:t>addition,</w:t>
      </w:r>
      <w:r>
        <w:rPr>
          <w:spacing w:val="-2"/>
          <w:sz w:val="24"/>
        </w:rPr>
        <w:t> </w:t>
      </w:r>
      <w:r>
        <w:rPr>
          <w:sz w:val="24"/>
        </w:rPr>
        <w:t>it</w:t>
      </w:r>
      <w:r>
        <w:rPr>
          <w:spacing w:val="-2"/>
          <w:sz w:val="24"/>
        </w:rPr>
        <w:t> </w:t>
      </w:r>
      <w:r>
        <w:rPr>
          <w:sz w:val="24"/>
        </w:rPr>
        <w:t>will</w:t>
      </w:r>
      <w:r>
        <w:rPr>
          <w:spacing w:val="-2"/>
          <w:sz w:val="24"/>
        </w:rPr>
        <w:t> </w:t>
      </w:r>
      <w:r>
        <w:rPr>
          <w:sz w:val="24"/>
        </w:rPr>
        <w:t>also</w:t>
      </w:r>
      <w:r>
        <w:rPr>
          <w:spacing w:val="-2"/>
          <w:sz w:val="24"/>
        </w:rPr>
        <w:t> </w:t>
      </w:r>
      <w:r>
        <w:rPr>
          <w:sz w:val="24"/>
        </w:rPr>
        <w:t>be</w:t>
      </w:r>
      <w:r>
        <w:rPr>
          <w:spacing w:val="-2"/>
          <w:sz w:val="24"/>
        </w:rPr>
        <w:t> </w:t>
      </w:r>
      <w:r>
        <w:rPr>
          <w:sz w:val="24"/>
        </w:rPr>
        <w:t>necessary</w:t>
      </w:r>
      <w:r>
        <w:rPr>
          <w:spacing w:val="-2"/>
          <w:sz w:val="24"/>
        </w:rPr>
        <w:t> </w:t>
      </w:r>
      <w:r>
        <w:rPr>
          <w:sz w:val="24"/>
        </w:rPr>
        <w:t>to</w:t>
      </w:r>
      <w:r>
        <w:rPr>
          <w:spacing w:val="-2"/>
          <w:sz w:val="24"/>
        </w:rPr>
        <w:t> </w:t>
      </w:r>
      <w:r>
        <w:rPr>
          <w:sz w:val="24"/>
        </w:rPr>
        <w:t>give</w:t>
      </w:r>
      <w:r>
        <w:rPr>
          <w:spacing w:val="-2"/>
          <w:sz w:val="24"/>
        </w:rPr>
        <w:t> </w:t>
      </w:r>
      <w:r>
        <w:rPr>
          <w:sz w:val="24"/>
        </w:rPr>
        <w:t>adequate</w:t>
      </w:r>
      <w:r>
        <w:rPr>
          <w:spacing w:val="-2"/>
          <w:sz w:val="24"/>
        </w:rPr>
        <w:t> </w:t>
      </w:r>
      <w:r>
        <w:rPr>
          <w:sz w:val="24"/>
        </w:rPr>
        <w:t>attention</w:t>
      </w:r>
      <w:r>
        <w:rPr>
          <w:spacing w:val="-2"/>
          <w:sz w:val="24"/>
        </w:rPr>
        <w:t> </w:t>
      </w:r>
      <w:r>
        <w:rPr>
          <w:sz w:val="24"/>
        </w:rPr>
        <w:t>to</w:t>
      </w:r>
      <w:r>
        <w:rPr>
          <w:spacing w:val="-2"/>
          <w:sz w:val="24"/>
        </w:rPr>
        <w:t> </w:t>
      </w:r>
      <w:r>
        <w:rPr>
          <w:sz w:val="24"/>
        </w:rPr>
        <w:t>the</w:t>
      </w:r>
      <w:r>
        <w:rPr>
          <w:spacing w:val="-2"/>
          <w:sz w:val="24"/>
        </w:rPr>
        <w:t> </w:t>
      </w:r>
      <w:r>
        <w:rPr>
          <w:sz w:val="24"/>
        </w:rPr>
        <w:t>education</w:t>
      </w:r>
      <w:r>
        <w:rPr>
          <w:spacing w:val="-2"/>
          <w:sz w:val="24"/>
        </w:rPr>
        <w:t> </w:t>
      </w:r>
      <w:r>
        <w:rPr>
          <w:sz w:val="24"/>
        </w:rPr>
        <w:t>of</w:t>
      </w:r>
      <w:r>
        <w:rPr>
          <w:spacing w:val="-2"/>
          <w:sz w:val="24"/>
        </w:rPr>
        <w:t> </w:t>
      </w:r>
      <w:r>
        <w:rPr>
          <w:sz w:val="24"/>
        </w:rPr>
        <w:t>girls at all stages and in all sectors.</w:t>
      </w:r>
    </w:p>
    <w:p>
      <w:pPr>
        <w:pStyle w:val="BodyText"/>
        <w:spacing w:before="4"/>
      </w:pPr>
    </w:p>
    <w:p>
      <w:pPr>
        <w:pStyle w:val="ListParagraph"/>
        <w:numPr>
          <w:ilvl w:val="0"/>
          <w:numId w:val="135"/>
        </w:numPr>
        <w:tabs>
          <w:tab w:pos="485" w:val="left" w:leader="none"/>
        </w:tabs>
        <w:spacing w:line="240" w:lineRule="auto" w:before="0" w:after="0"/>
        <w:ind w:left="160" w:right="496" w:firstLine="0"/>
        <w:jc w:val="both"/>
        <w:rPr>
          <w:sz w:val="24"/>
        </w:rPr>
      </w:pPr>
      <w:r>
        <w:rPr>
          <w:sz w:val="24"/>
        </w:rPr>
        <w:t>The role of women outside the home has become an important feature of the social and economic life of the country and, in the years to come, this will become still more significant. From</w:t>
      </w:r>
      <w:r>
        <w:rPr>
          <w:spacing w:val="-1"/>
          <w:sz w:val="24"/>
        </w:rPr>
        <w:t> </w:t>
      </w:r>
      <w:r>
        <w:rPr>
          <w:sz w:val="24"/>
        </w:rPr>
        <w:t>this point of view, greater attention will have to be paid to the problems of training and employment of women. Opportunities for part-time employment which would enable women to look after their homes and to have a career outside will have to</w:t>
      </w:r>
      <w:r>
        <w:rPr>
          <w:spacing w:val="40"/>
          <w:sz w:val="24"/>
        </w:rPr>
        <w:t> </w:t>
      </w:r>
      <w:r>
        <w:rPr>
          <w:sz w:val="24"/>
        </w:rPr>
        <w:t>be largely expanded. As the age of marriage continues to rise, full-time employment will have to be provided for almost all young and married women. As the programme of family</w:t>
      </w:r>
      <w:r>
        <w:rPr>
          <w:spacing w:val="29"/>
          <w:sz w:val="24"/>
        </w:rPr>
        <w:t> </w:t>
      </w:r>
      <w:r>
        <w:rPr>
          <w:sz w:val="24"/>
        </w:rPr>
        <w:t>planning</w:t>
      </w:r>
      <w:r>
        <w:rPr>
          <w:spacing w:val="29"/>
          <w:sz w:val="24"/>
        </w:rPr>
        <w:t> </w:t>
      </w:r>
      <w:r>
        <w:rPr>
          <w:sz w:val="24"/>
        </w:rPr>
        <w:t>develops,</w:t>
      </w:r>
      <w:r>
        <w:rPr>
          <w:spacing w:val="29"/>
          <w:sz w:val="24"/>
        </w:rPr>
        <w:t> </w:t>
      </w:r>
      <w:r>
        <w:rPr>
          <w:sz w:val="24"/>
        </w:rPr>
        <w:t>older</w:t>
      </w:r>
      <w:r>
        <w:rPr>
          <w:spacing w:val="29"/>
          <w:sz w:val="24"/>
        </w:rPr>
        <w:t> </w:t>
      </w:r>
      <w:r>
        <w:rPr>
          <w:sz w:val="24"/>
        </w:rPr>
        <w:t>women</w:t>
      </w:r>
      <w:r>
        <w:rPr>
          <w:spacing w:val="29"/>
          <w:sz w:val="24"/>
        </w:rPr>
        <w:t> </w:t>
      </w:r>
      <w:r>
        <w:rPr>
          <w:sz w:val="24"/>
        </w:rPr>
        <w:t>whose</w:t>
      </w:r>
      <w:r>
        <w:rPr>
          <w:spacing w:val="29"/>
          <w:sz w:val="24"/>
        </w:rPr>
        <w:t> </w:t>
      </w:r>
      <w:r>
        <w:rPr>
          <w:sz w:val="24"/>
        </w:rPr>
        <w:t>children</w:t>
      </w:r>
      <w:r>
        <w:rPr>
          <w:spacing w:val="29"/>
          <w:sz w:val="24"/>
        </w:rPr>
        <w:t> </w:t>
      </w:r>
      <w:r>
        <w:rPr>
          <w:sz w:val="24"/>
        </w:rPr>
        <w:t>have</w:t>
      </w:r>
      <w:r>
        <w:rPr>
          <w:spacing w:val="29"/>
          <w:sz w:val="24"/>
        </w:rPr>
        <w:t> </w:t>
      </w:r>
      <w:r>
        <w:rPr>
          <w:sz w:val="24"/>
        </w:rPr>
        <w:t>grown</w:t>
      </w:r>
      <w:r>
        <w:rPr>
          <w:spacing w:val="29"/>
          <w:sz w:val="24"/>
        </w:rPr>
        <w:t> </w:t>
      </w:r>
      <w:r>
        <w:rPr>
          <w:sz w:val="24"/>
        </w:rPr>
        <w:t>up,</w:t>
      </w:r>
      <w:r>
        <w:rPr>
          <w:spacing w:val="29"/>
          <w:sz w:val="24"/>
        </w:rPr>
        <w:t> </w:t>
      </w:r>
      <w:r>
        <w:rPr>
          <w:sz w:val="24"/>
        </w:rPr>
        <w:t>will</w:t>
      </w:r>
      <w:r>
        <w:rPr>
          <w:spacing w:val="29"/>
          <w:sz w:val="24"/>
        </w:rPr>
        <w:t> </w:t>
      </w:r>
      <w:r>
        <w:rPr>
          <w:sz w:val="24"/>
        </w:rPr>
        <w:t>also</w:t>
      </w:r>
      <w:r>
        <w:rPr>
          <w:spacing w:val="30"/>
          <w:sz w:val="24"/>
        </w:rPr>
        <w:t> </w:t>
      </w:r>
      <w:r>
        <w:rPr>
          <w:spacing w:val="-4"/>
          <w:sz w:val="24"/>
        </w:rPr>
        <w:t>need</w:t>
      </w:r>
    </w:p>
    <w:p>
      <w:pPr>
        <w:spacing w:after="0" w:line="240" w:lineRule="auto"/>
        <w:jc w:val="both"/>
        <w:rPr>
          <w:sz w:val="24"/>
        </w:rPr>
        <w:sectPr>
          <w:pgSz w:w="12240" w:h="15840"/>
          <w:pgMar w:header="0" w:footer="743" w:top="1360" w:bottom="940" w:left="1640" w:right="1300"/>
        </w:sectPr>
      </w:pPr>
    </w:p>
    <w:p>
      <w:pPr>
        <w:pStyle w:val="BodyText"/>
        <w:spacing w:before="76"/>
        <w:ind w:left="160" w:right="496"/>
        <w:jc w:val="both"/>
      </w:pPr>
      <w:r>
        <w:rPr/>
        <w:t>employment opportunities. Teaching, nursing and social service are well-recognized</w:t>
      </w:r>
      <w:r>
        <w:rPr>
          <w:spacing w:val="40"/>
        </w:rPr>
        <w:t> </w:t>
      </w:r>
      <w:r>
        <w:rPr/>
        <w:t>areas where women can have a useful role to play. In addition, several new avenues will have to be opened out to them. 6.53-58</w:t>
      </w:r>
    </w:p>
    <w:p>
      <w:pPr>
        <w:pStyle w:val="BodyText"/>
        <w:spacing w:before="4"/>
      </w:pPr>
    </w:p>
    <w:p>
      <w:pPr>
        <w:pStyle w:val="ListParagraph"/>
        <w:numPr>
          <w:ilvl w:val="0"/>
          <w:numId w:val="135"/>
        </w:numPr>
        <w:tabs>
          <w:tab w:pos="478" w:val="left" w:leader="none"/>
        </w:tabs>
        <w:spacing w:line="240" w:lineRule="auto" w:before="0" w:after="0"/>
        <w:ind w:left="160" w:right="496" w:firstLine="0"/>
        <w:jc w:val="both"/>
        <w:rPr>
          <w:b/>
          <w:sz w:val="24"/>
        </w:rPr>
      </w:pPr>
      <w:r>
        <w:rPr>
          <w:b/>
          <w:sz w:val="24"/>
        </w:rPr>
        <w:t>Education of the Backward Classes. </w:t>
      </w:r>
      <w:r>
        <w:rPr>
          <w:sz w:val="24"/>
        </w:rPr>
        <w:t>(1) The existing programme for the education of the Scheduled Castes should continue and be expanded.</w:t>
      </w:r>
    </w:p>
    <w:p>
      <w:pPr>
        <w:pStyle w:val="BodyText"/>
        <w:spacing w:before="5"/>
      </w:pPr>
    </w:p>
    <w:p>
      <w:pPr>
        <w:pStyle w:val="ListParagraph"/>
        <w:numPr>
          <w:ilvl w:val="0"/>
          <w:numId w:val="139"/>
        </w:numPr>
        <w:tabs>
          <w:tab w:pos="508" w:val="left" w:leader="none"/>
        </w:tabs>
        <w:spacing w:line="240" w:lineRule="auto" w:before="0" w:after="0"/>
        <w:ind w:left="160" w:right="498" w:firstLine="0"/>
        <w:jc w:val="both"/>
        <w:rPr>
          <w:sz w:val="24"/>
        </w:rPr>
      </w:pPr>
      <w:r>
        <w:rPr>
          <w:sz w:val="24"/>
        </w:rPr>
        <w:t>Greater efforts are needed to provide educational facilities for the nomadic and semi- nomadic groups.</w:t>
      </w:r>
    </w:p>
    <w:p>
      <w:pPr>
        <w:pStyle w:val="BodyText"/>
        <w:spacing w:before="5"/>
      </w:pPr>
    </w:p>
    <w:p>
      <w:pPr>
        <w:pStyle w:val="ListParagraph"/>
        <w:numPr>
          <w:ilvl w:val="0"/>
          <w:numId w:val="139"/>
        </w:numPr>
        <w:tabs>
          <w:tab w:pos="499" w:val="left" w:leader="none"/>
        </w:tabs>
        <w:spacing w:line="240" w:lineRule="auto" w:before="0" w:after="0"/>
        <w:ind w:left="499" w:right="0" w:hanging="339"/>
        <w:jc w:val="both"/>
        <w:rPr>
          <w:sz w:val="24"/>
        </w:rPr>
      </w:pPr>
      <w:r>
        <w:rPr>
          <w:sz w:val="24"/>
        </w:rPr>
        <w:t>Hostels</w:t>
      </w:r>
      <w:r>
        <w:rPr>
          <w:spacing w:val="-1"/>
          <w:sz w:val="24"/>
        </w:rPr>
        <w:t> </w:t>
      </w:r>
      <w:r>
        <w:rPr>
          <w:sz w:val="24"/>
        </w:rPr>
        <w:t>should be</w:t>
      </w:r>
      <w:r>
        <w:rPr>
          <w:spacing w:val="-1"/>
          <w:sz w:val="24"/>
        </w:rPr>
        <w:t> </w:t>
      </w:r>
      <w:r>
        <w:rPr>
          <w:sz w:val="24"/>
        </w:rPr>
        <w:t>provided for</w:t>
      </w:r>
      <w:r>
        <w:rPr>
          <w:spacing w:val="-1"/>
          <w:sz w:val="24"/>
        </w:rPr>
        <w:t> </w:t>
      </w:r>
      <w:r>
        <w:rPr>
          <w:sz w:val="24"/>
        </w:rPr>
        <w:t>the children</w:t>
      </w:r>
      <w:r>
        <w:rPr>
          <w:spacing w:val="-1"/>
          <w:sz w:val="24"/>
        </w:rPr>
        <w:t> </w:t>
      </w:r>
      <w:r>
        <w:rPr>
          <w:sz w:val="24"/>
        </w:rPr>
        <w:t>of the</w:t>
      </w:r>
      <w:r>
        <w:rPr>
          <w:spacing w:val="-1"/>
          <w:sz w:val="24"/>
        </w:rPr>
        <w:t> </w:t>
      </w:r>
      <w:r>
        <w:rPr>
          <w:sz w:val="24"/>
        </w:rPr>
        <w:t>denotified </w:t>
      </w:r>
      <w:r>
        <w:rPr>
          <w:spacing w:val="-2"/>
          <w:sz w:val="24"/>
        </w:rPr>
        <w:t>communities.</w:t>
      </w:r>
    </w:p>
    <w:p>
      <w:pPr>
        <w:pStyle w:val="BodyText"/>
        <w:spacing w:before="2"/>
      </w:pPr>
    </w:p>
    <w:p>
      <w:pPr>
        <w:pStyle w:val="ListParagraph"/>
        <w:numPr>
          <w:ilvl w:val="0"/>
          <w:numId w:val="135"/>
        </w:numPr>
        <w:tabs>
          <w:tab w:pos="491" w:val="left" w:leader="none"/>
        </w:tabs>
        <w:spacing w:line="240" w:lineRule="auto" w:before="0" w:after="0"/>
        <w:ind w:left="160" w:right="495" w:firstLine="0"/>
        <w:jc w:val="both"/>
        <w:rPr>
          <w:b/>
          <w:sz w:val="24"/>
        </w:rPr>
      </w:pPr>
      <w:r>
        <w:rPr>
          <w:b/>
          <w:sz w:val="24"/>
        </w:rPr>
        <w:t>Education of the Tribal People. </w:t>
      </w:r>
      <w:r>
        <w:rPr>
          <w:sz w:val="24"/>
        </w:rPr>
        <w:t>The education of the tribal people deserves great emphasis and attention. We broadly agree with the recommendations made in this</w:t>
      </w:r>
      <w:r>
        <w:rPr>
          <w:spacing w:val="-1"/>
          <w:sz w:val="24"/>
        </w:rPr>
        <w:t> </w:t>
      </w:r>
      <w:r>
        <w:rPr>
          <w:sz w:val="24"/>
        </w:rPr>
        <w:t>respect by the Commission on Scheduled Areas and Scheduled Tribes under the chairmanship </w:t>
      </w:r>
      <w:r>
        <w:rPr>
          <w:sz w:val="24"/>
        </w:rPr>
        <w:t>of Shri U. N. Dhebar and in the seminars on the education and employment of the tribal people organized by the Planning Commission and the NCERT. We invite special attention to the following programmes in this context:</w:t>
      </w:r>
    </w:p>
    <w:p>
      <w:pPr>
        <w:pStyle w:val="BodyText"/>
        <w:spacing w:before="4"/>
      </w:pPr>
    </w:p>
    <w:p>
      <w:pPr>
        <w:pStyle w:val="ListParagraph"/>
        <w:numPr>
          <w:ilvl w:val="1"/>
          <w:numId w:val="135"/>
        </w:numPr>
        <w:tabs>
          <w:tab w:pos="507" w:val="left" w:leader="none"/>
        </w:tabs>
        <w:spacing w:line="240" w:lineRule="auto" w:before="0" w:after="0"/>
        <w:ind w:left="160" w:right="497" w:firstLine="0"/>
        <w:jc w:val="both"/>
        <w:rPr>
          <w:sz w:val="24"/>
        </w:rPr>
      </w:pPr>
      <w:r>
        <w:rPr>
          <w:sz w:val="24"/>
        </w:rPr>
        <w:t>At the primary stage, the provision of facilities will have to be improved and Ashram schools will have to be established in sparsely populated areas. The teachers should be invariably conversant with tribal languages. The medium of education for the first two years of the schools should be the tribal language; and during this period, the children should be given oral instruction in the regional language. By the third year, the regional language should become the medium of education. The programmes of the schools</w:t>
      </w:r>
      <w:r>
        <w:rPr>
          <w:spacing w:val="40"/>
          <w:sz w:val="24"/>
        </w:rPr>
        <w:t> </w:t>
      </w:r>
      <w:r>
        <w:rPr>
          <w:sz w:val="24"/>
        </w:rPr>
        <w:t>should be attuned to tribal life and atmosphere.</w:t>
      </w:r>
    </w:p>
    <w:p>
      <w:pPr>
        <w:pStyle w:val="BodyText"/>
        <w:spacing w:before="5"/>
      </w:pPr>
    </w:p>
    <w:p>
      <w:pPr>
        <w:pStyle w:val="ListParagraph"/>
        <w:numPr>
          <w:ilvl w:val="1"/>
          <w:numId w:val="135"/>
        </w:numPr>
        <w:tabs>
          <w:tab w:pos="512" w:val="left" w:leader="none"/>
        </w:tabs>
        <w:spacing w:line="240" w:lineRule="auto" w:before="0" w:after="0"/>
        <w:ind w:left="160" w:right="498" w:firstLine="0"/>
        <w:jc w:val="both"/>
        <w:rPr>
          <w:sz w:val="24"/>
        </w:rPr>
      </w:pPr>
      <w:r>
        <w:rPr>
          <w:sz w:val="24"/>
        </w:rPr>
        <w:t>At the secondary stage, provision of schools, hostel facilities and scholarships has to be greatly-expanded.</w:t>
      </w:r>
    </w:p>
    <w:p>
      <w:pPr>
        <w:pStyle w:val="BodyText"/>
        <w:spacing w:before="4"/>
      </w:pPr>
    </w:p>
    <w:p>
      <w:pPr>
        <w:pStyle w:val="ListParagraph"/>
        <w:numPr>
          <w:ilvl w:val="1"/>
          <w:numId w:val="135"/>
        </w:numPr>
        <w:tabs>
          <w:tab w:pos="503" w:val="left" w:leader="none"/>
        </w:tabs>
        <w:spacing w:line="240" w:lineRule="auto" w:before="0" w:after="0"/>
        <w:ind w:left="160" w:right="496" w:firstLine="0"/>
        <w:jc w:val="both"/>
        <w:rPr>
          <w:sz w:val="24"/>
        </w:rPr>
      </w:pPr>
      <w:r>
        <w:rPr>
          <w:sz w:val="24"/>
        </w:rPr>
        <w:t>In higher education, the administration of the scholarships programme will have to be decentralized for the programme to be efficient.</w:t>
      </w:r>
    </w:p>
    <w:p>
      <w:pPr>
        <w:pStyle w:val="BodyText"/>
        <w:spacing w:before="3"/>
      </w:pPr>
    </w:p>
    <w:p>
      <w:pPr>
        <w:pStyle w:val="ListParagraph"/>
        <w:numPr>
          <w:ilvl w:val="1"/>
          <w:numId w:val="135"/>
        </w:numPr>
        <w:tabs>
          <w:tab w:pos="501" w:val="left" w:leader="none"/>
        </w:tabs>
        <w:spacing w:line="240" w:lineRule="auto" w:before="0" w:after="0"/>
        <w:ind w:left="160" w:right="497" w:firstLine="0"/>
        <w:jc w:val="both"/>
        <w:rPr>
          <w:sz w:val="24"/>
        </w:rPr>
      </w:pPr>
      <w:r>
        <w:rPr>
          <w:sz w:val="24"/>
        </w:rPr>
        <w:t>Provision for special</w:t>
      </w:r>
      <w:r>
        <w:rPr>
          <w:spacing w:val="-1"/>
          <w:sz w:val="24"/>
        </w:rPr>
        <w:t> </w:t>
      </w:r>
      <w:r>
        <w:rPr>
          <w:sz w:val="24"/>
        </w:rPr>
        <w:t>tuition will have</w:t>
      </w:r>
      <w:r>
        <w:rPr>
          <w:spacing w:val="-1"/>
          <w:sz w:val="24"/>
        </w:rPr>
        <w:t> </w:t>
      </w:r>
      <w:r>
        <w:rPr>
          <w:sz w:val="24"/>
        </w:rPr>
        <w:t>to</w:t>
      </w:r>
      <w:r>
        <w:rPr>
          <w:spacing w:val="-3"/>
          <w:sz w:val="24"/>
        </w:rPr>
        <w:t> </w:t>
      </w:r>
      <w:r>
        <w:rPr>
          <w:sz w:val="24"/>
        </w:rPr>
        <w:t>be made both</w:t>
      </w:r>
      <w:r>
        <w:rPr>
          <w:spacing w:val="-1"/>
          <w:sz w:val="24"/>
        </w:rPr>
        <w:t> </w:t>
      </w:r>
      <w:r>
        <w:rPr>
          <w:sz w:val="24"/>
        </w:rPr>
        <w:t>at the secondary</w:t>
      </w:r>
      <w:r>
        <w:rPr>
          <w:spacing w:val="-1"/>
          <w:sz w:val="24"/>
        </w:rPr>
        <w:t> </w:t>
      </w:r>
      <w:r>
        <w:rPr>
          <w:sz w:val="24"/>
        </w:rPr>
        <w:t>and university </w:t>
      </w:r>
      <w:r>
        <w:rPr>
          <w:spacing w:val="-2"/>
          <w:sz w:val="24"/>
        </w:rPr>
        <w:t>stages.</w:t>
      </w:r>
    </w:p>
    <w:p>
      <w:pPr>
        <w:pStyle w:val="BodyText"/>
        <w:spacing w:before="4"/>
      </w:pPr>
    </w:p>
    <w:p>
      <w:pPr>
        <w:pStyle w:val="ListParagraph"/>
        <w:numPr>
          <w:ilvl w:val="1"/>
          <w:numId w:val="135"/>
        </w:numPr>
        <w:tabs>
          <w:tab w:pos="511" w:val="left" w:leader="none"/>
        </w:tabs>
        <w:spacing w:line="240" w:lineRule="auto" w:before="0" w:after="0"/>
        <w:ind w:left="160" w:right="497" w:firstLine="0"/>
        <w:jc w:val="both"/>
        <w:rPr>
          <w:sz w:val="24"/>
        </w:rPr>
      </w:pPr>
      <w:r>
        <w:rPr>
          <w:sz w:val="24"/>
        </w:rPr>
        <w:t>It is essential to develop cadres of persons who will devote themselves to the service of the tribal people. In the early stages, these cadres will consist mostly of non-tribals but an effort has to be made to develop such cadres among the tribals themselves. From this point of view,</w:t>
      </w:r>
    </w:p>
    <w:p>
      <w:pPr>
        <w:pStyle w:val="BodyText"/>
        <w:spacing w:before="6"/>
      </w:pPr>
    </w:p>
    <w:p>
      <w:pPr>
        <w:pStyle w:val="ListParagraph"/>
        <w:numPr>
          <w:ilvl w:val="2"/>
          <w:numId w:val="135"/>
        </w:numPr>
        <w:tabs>
          <w:tab w:pos="486" w:val="left" w:leader="none"/>
        </w:tabs>
        <w:spacing w:line="240" w:lineRule="auto" w:before="0" w:after="0"/>
        <w:ind w:left="486" w:right="0" w:hanging="326"/>
        <w:jc w:val="both"/>
        <w:rPr>
          <w:sz w:val="24"/>
        </w:rPr>
      </w:pPr>
      <w:r>
        <w:rPr>
          <w:sz w:val="24"/>
        </w:rPr>
        <w:t>non-official organizations working in</w:t>
      </w:r>
      <w:r>
        <w:rPr>
          <w:spacing w:val="-1"/>
          <w:sz w:val="24"/>
        </w:rPr>
        <w:t> </w:t>
      </w:r>
      <w:r>
        <w:rPr>
          <w:sz w:val="24"/>
        </w:rPr>
        <w:t>the</w:t>
      </w:r>
      <w:r>
        <w:rPr>
          <w:spacing w:val="-1"/>
          <w:sz w:val="24"/>
        </w:rPr>
        <w:t> </w:t>
      </w:r>
      <w:r>
        <w:rPr>
          <w:sz w:val="24"/>
        </w:rPr>
        <w:t>tribal</w:t>
      </w:r>
      <w:r>
        <w:rPr>
          <w:spacing w:val="-1"/>
          <w:sz w:val="24"/>
        </w:rPr>
        <w:t> </w:t>
      </w:r>
      <w:r>
        <w:rPr>
          <w:sz w:val="24"/>
        </w:rPr>
        <w:t>areas</w:t>
      </w:r>
      <w:r>
        <w:rPr>
          <w:spacing w:val="-1"/>
          <w:sz w:val="24"/>
        </w:rPr>
        <w:t> </w:t>
      </w:r>
      <w:r>
        <w:rPr>
          <w:sz w:val="24"/>
        </w:rPr>
        <w:t>should</w:t>
      </w:r>
      <w:r>
        <w:rPr>
          <w:spacing w:val="-1"/>
          <w:sz w:val="24"/>
        </w:rPr>
        <w:t> </w:t>
      </w:r>
      <w:r>
        <w:rPr>
          <w:sz w:val="24"/>
        </w:rPr>
        <w:t>be</w:t>
      </w:r>
      <w:r>
        <w:rPr>
          <w:spacing w:val="-1"/>
          <w:sz w:val="24"/>
        </w:rPr>
        <w:t> </w:t>
      </w:r>
      <w:r>
        <w:rPr>
          <w:spacing w:val="-2"/>
          <w:sz w:val="24"/>
        </w:rPr>
        <w:t>encouraged;</w:t>
      </w:r>
    </w:p>
    <w:p>
      <w:pPr>
        <w:pStyle w:val="BodyText"/>
        <w:spacing w:before="2"/>
      </w:pPr>
    </w:p>
    <w:p>
      <w:pPr>
        <w:pStyle w:val="ListParagraph"/>
        <w:numPr>
          <w:ilvl w:val="2"/>
          <w:numId w:val="135"/>
        </w:numPr>
        <w:tabs>
          <w:tab w:pos="549" w:val="left" w:leader="none"/>
        </w:tabs>
        <w:spacing w:line="240" w:lineRule="auto" w:before="1" w:after="0"/>
        <w:ind w:left="160" w:right="494" w:firstLine="0"/>
        <w:jc w:val="both"/>
        <w:rPr>
          <w:sz w:val="24"/>
        </w:rPr>
      </w:pPr>
      <w:r>
        <w:rPr>
          <w:sz w:val="24"/>
        </w:rPr>
        <w:t>special sub-cadres should be formed among the official ranks with the object of selecting persons for work in the tribal areas. The emoluments for these sub-cadres</w:t>
      </w:r>
      <w:r>
        <w:rPr>
          <w:spacing w:val="40"/>
          <w:sz w:val="24"/>
        </w:rPr>
        <w:t> </w:t>
      </w:r>
      <w:r>
        <w:rPr>
          <w:sz w:val="24"/>
        </w:rPr>
        <w:t>should be good enough to attract the best persons available;</w:t>
      </w:r>
    </w:p>
    <w:p>
      <w:pPr>
        <w:spacing w:after="0" w:line="240" w:lineRule="auto"/>
        <w:jc w:val="both"/>
        <w:rPr>
          <w:sz w:val="24"/>
        </w:rPr>
        <w:sectPr>
          <w:pgSz w:w="12240" w:h="15840"/>
          <w:pgMar w:header="0" w:footer="743" w:top="1360" w:bottom="940" w:left="1640" w:right="1300"/>
        </w:sectPr>
      </w:pPr>
    </w:p>
    <w:p>
      <w:pPr>
        <w:pStyle w:val="ListParagraph"/>
        <w:numPr>
          <w:ilvl w:val="2"/>
          <w:numId w:val="135"/>
        </w:numPr>
        <w:tabs>
          <w:tab w:pos="503" w:val="left" w:leader="none"/>
        </w:tabs>
        <w:spacing w:line="240" w:lineRule="auto" w:before="76" w:after="0"/>
        <w:ind w:left="159" w:right="498" w:firstLine="0"/>
        <w:jc w:val="both"/>
        <w:rPr>
          <w:sz w:val="24"/>
        </w:rPr>
      </w:pPr>
      <w:r>
        <w:rPr>
          <w:sz w:val="24"/>
        </w:rPr>
        <w:t>promising young persons from the tribals should be selected and specially trained </w:t>
      </w:r>
      <w:r>
        <w:rPr>
          <w:sz w:val="24"/>
        </w:rPr>
        <w:t>to work in tribal areas. The usual prescriptions regarding recruitment or minimum qualifications will often have to be set aside in this programme. 6.59-75</w:t>
      </w:r>
    </w:p>
    <w:p>
      <w:pPr>
        <w:spacing w:after="0" w:line="240" w:lineRule="auto"/>
        <w:jc w:val="both"/>
        <w:rPr>
          <w:sz w:val="24"/>
        </w:rPr>
        <w:sectPr>
          <w:pgSz w:w="12240" w:h="15840"/>
          <w:pgMar w:header="0" w:footer="743" w:top="1360" w:bottom="940" w:left="1640" w:right="1300"/>
        </w:sectPr>
      </w:pPr>
    </w:p>
    <w:p>
      <w:pPr>
        <w:pStyle w:val="Heading1"/>
        <w:spacing w:before="79"/>
        <w:ind w:left="3522" w:right="3860"/>
      </w:pPr>
      <w:r>
        <w:rPr/>
        <mc:AlternateContent>
          <mc:Choice Requires="wps">
            <w:drawing>
              <wp:anchor distT="0" distB="0" distL="0" distR="0" allowOverlap="1" layoutInCell="1" locked="0" behindDoc="0" simplePos="0" relativeHeight="15779328">
                <wp:simplePos x="0" y="0"/>
                <wp:positionH relativeFrom="page">
                  <wp:posOffset>1143000</wp:posOffset>
                </wp:positionH>
                <wp:positionV relativeFrom="page">
                  <wp:posOffset>7882890</wp:posOffset>
                </wp:positionV>
                <wp:extent cx="3175" cy="19050"/>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3175" cy="19050"/>
                        </a:xfrm>
                        <a:custGeom>
                          <a:avLst/>
                          <a:gdLst/>
                          <a:ahLst/>
                          <a:cxnLst/>
                          <a:rect l="l" t="t" r="r" b="b"/>
                          <a:pathLst>
                            <a:path w="3175" h="19050">
                              <a:moveTo>
                                <a:pt x="3048" y="0"/>
                              </a:moveTo>
                              <a:lnTo>
                                <a:pt x="0" y="0"/>
                              </a:lnTo>
                              <a:lnTo>
                                <a:pt x="0" y="3048"/>
                              </a:lnTo>
                              <a:lnTo>
                                <a:pt x="0" y="16002"/>
                              </a:lnTo>
                              <a:lnTo>
                                <a:pt x="0" y="19050"/>
                              </a:lnTo>
                              <a:lnTo>
                                <a:pt x="3048" y="19050"/>
                              </a:lnTo>
                              <a:lnTo>
                                <a:pt x="3048" y="16002"/>
                              </a:lnTo>
                              <a:lnTo>
                                <a:pt x="3048" y="3048"/>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shape style="position:absolute;margin-left:90.000008pt;margin-top:620.700012pt;width:.25pt;height:1.5pt;mso-position-horizontal-relative:page;mso-position-vertical-relative:page;z-index:15779328" id="docshape538" coordorigin="1800,12414" coordsize="5,30" path="m1805,12414l1800,12414,1800,12419,1800,12439,1800,12444,1805,12444,1805,12439,1805,12419,1805,12414xe" filled="true" fillcolor="#aca89a" stroked="false">
                <v:path arrowok="t"/>
                <v:fill type="solid"/>
                <w10:wrap type="none"/>
              </v:shape>
            </w:pict>
          </mc:Fallback>
        </mc:AlternateContent>
      </w:r>
      <w:r>
        <w:rPr/>
        <w:t>APPENDIX</w:t>
      </w:r>
      <w:r>
        <w:rPr>
          <w:spacing w:val="-5"/>
        </w:rPr>
        <w:t> </w:t>
      </w:r>
      <w:r>
        <w:rPr>
          <w:spacing w:val="-10"/>
        </w:rPr>
        <w:t>I</w:t>
      </w:r>
    </w:p>
    <w:p>
      <w:pPr>
        <w:pStyle w:val="BodyText"/>
        <w:rPr>
          <w:b/>
        </w:rPr>
      </w:pPr>
    </w:p>
    <w:p>
      <w:pPr>
        <w:spacing w:before="0"/>
        <w:ind w:left="290" w:right="630" w:firstLine="0"/>
        <w:jc w:val="center"/>
        <w:rPr>
          <w:b/>
          <w:sz w:val="24"/>
        </w:rPr>
      </w:pPr>
      <w:r>
        <w:rPr>
          <w:b/>
          <w:sz w:val="24"/>
        </w:rPr>
        <w:t>AN</w:t>
      </w:r>
      <w:r>
        <w:rPr>
          <w:b/>
          <w:spacing w:val="-5"/>
          <w:sz w:val="24"/>
        </w:rPr>
        <w:t> </w:t>
      </w:r>
      <w:r>
        <w:rPr>
          <w:b/>
          <w:sz w:val="24"/>
        </w:rPr>
        <w:t>EXPLANATORY</w:t>
      </w:r>
      <w:r>
        <w:rPr>
          <w:b/>
          <w:spacing w:val="-5"/>
          <w:sz w:val="24"/>
        </w:rPr>
        <w:t> </w:t>
      </w:r>
      <w:r>
        <w:rPr>
          <w:b/>
          <w:sz w:val="24"/>
        </w:rPr>
        <w:t>NOTE</w:t>
      </w:r>
      <w:r>
        <w:rPr>
          <w:b/>
          <w:spacing w:val="-5"/>
          <w:sz w:val="24"/>
        </w:rPr>
        <w:t> </w:t>
      </w:r>
      <w:r>
        <w:rPr>
          <w:b/>
          <w:sz w:val="24"/>
        </w:rPr>
        <w:t>ON</w:t>
      </w:r>
      <w:r>
        <w:rPr>
          <w:b/>
          <w:spacing w:val="-5"/>
          <w:sz w:val="24"/>
        </w:rPr>
        <w:t> </w:t>
      </w:r>
      <w:r>
        <w:rPr>
          <w:b/>
          <w:sz w:val="24"/>
        </w:rPr>
        <w:t>ENROLMENT</w:t>
      </w:r>
      <w:r>
        <w:rPr>
          <w:b/>
          <w:spacing w:val="-6"/>
          <w:sz w:val="24"/>
        </w:rPr>
        <w:t> </w:t>
      </w:r>
      <w:r>
        <w:rPr>
          <w:b/>
          <w:sz w:val="24"/>
        </w:rPr>
        <w:t>STATISTICS</w:t>
      </w:r>
      <w:r>
        <w:rPr>
          <w:b/>
          <w:spacing w:val="-6"/>
          <w:sz w:val="24"/>
        </w:rPr>
        <w:t> </w:t>
      </w:r>
      <w:r>
        <w:rPr>
          <w:b/>
          <w:sz w:val="24"/>
        </w:rPr>
        <w:t>INCLUDED</w:t>
      </w:r>
      <w:r>
        <w:rPr>
          <w:b/>
          <w:spacing w:val="-6"/>
          <w:sz w:val="24"/>
        </w:rPr>
        <w:t> </w:t>
      </w:r>
      <w:r>
        <w:rPr>
          <w:b/>
          <w:sz w:val="24"/>
        </w:rPr>
        <w:t>IN THE REPORT</w:t>
      </w:r>
    </w:p>
    <w:p>
      <w:pPr>
        <w:pStyle w:val="BodyText"/>
        <w:spacing w:before="2"/>
        <w:rPr>
          <w:b/>
        </w:rPr>
      </w:pPr>
    </w:p>
    <w:p>
      <w:pPr>
        <w:pStyle w:val="BodyText"/>
        <w:ind w:left="707"/>
      </w:pPr>
      <w:r>
        <w:rPr/>
        <w:t>(Prepared</w:t>
      </w:r>
      <w:r>
        <w:rPr>
          <w:spacing w:val="-3"/>
        </w:rPr>
        <w:t> </w:t>
      </w:r>
      <w:r>
        <w:rPr/>
        <w:t>by</w:t>
      </w:r>
      <w:r>
        <w:rPr>
          <w:spacing w:val="-1"/>
        </w:rPr>
        <w:t> </w:t>
      </w:r>
      <w:r>
        <w:rPr/>
        <w:t>Shri D.</w:t>
      </w:r>
      <w:r>
        <w:rPr>
          <w:spacing w:val="-1"/>
        </w:rPr>
        <w:t> </w:t>
      </w:r>
      <w:r>
        <w:rPr/>
        <w:t>L. Sharma</w:t>
      </w:r>
      <w:r>
        <w:rPr>
          <w:spacing w:val="-1"/>
        </w:rPr>
        <w:t> </w:t>
      </w:r>
      <w:r>
        <w:rPr/>
        <w:t>under</w:t>
      </w:r>
      <w:r>
        <w:rPr>
          <w:spacing w:val="-1"/>
        </w:rPr>
        <w:t> </w:t>
      </w:r>
      <w:r>
        <w:rPr/>
        <w:t>the guidance</w:t>
      </w:r>
      <w:r>
        <w:rPr>
          <w:spacing w:val="-1"/>
        </w:rPr>
        <w:t> </w:t>
      </w:r>
      <w:r>
        <w:rPr/>
        <w:t>of the</w:t>
      </w:r>
      <w:r>
        <w:rPr>
          <w:spacing w:val="-1"/>
        </w:rPr>
        <w:t> </w:t>
      </w:r>
      <w:r>
        <w:rPr/>
        <w:t>Member- </w:t>
      </w:r>
      <w:r>
        <w:rPr>
          <w:spacing w:val="-2"/>
        </w:rPr>
        <w:t>Secretary)</w:t>
      </w:r>
    </w:p>
    <w:p>
      <w:pPr>
        <w:pStyle w:val="BodyText"/>
        <w:spacing w:before="4"/>
      </w:pPr>
    </w:p>
    <w:p>
      <w:pPr>
        <w:pStyle w:val="BodyText"/>
        <w:ind w:left="159" w:right="500"/>
        <w:jc w:val="both"/>
      </w:pPr>
      <w:r>
        <w:rPr/>
        <w:t>AI.01. The object of this Note is to explain the basis of compilation for the enrolment statistics included in this Report.</w:t>
      </w:r>
    </w:p>
    <w:p>
      <w:pPr>
        <w:pStyle w:val="BodyText"/>
        <w:spacing w:before="3"/>
      </w:pPr>
    </w:p>
    <w:p>
      <w:pPr>
        <w:pStyle w:val="BodyText"/>
        <w:spacing w:before="1"/>
        <w:ind w:left="159" w:right="496"/>
        <w:jc w:val="both"/>
      </w:pPr>
      <w:r>
        <w:rPr/>
        <w:t>AI.02. The organization of the educational system, as visualised by the Education Commission,</w:t>
      </w:r>
      <w:r>
        <w:rPr>
          <w:spacing w:val="-2"/>
        </w:rPr>
        <w:t> </w:t>
      </w:r>
      <w:r>
        <w:rPr/>
        <w:t>has</w:t>
      </w:r>
      <w:r>
        <w:rPr>
          <w:spacing w:val="-2"/>
        </w:rPr>
        <w:t> </w:t>
      </w:r>
      <w:r>
        <w:rPr/>
        <w:t>been</w:t>
      </w:r>
      <w:r>
        <w:rPr>
          <w:spacing w:val="-2"/>
        </w:rPr>
        <w:t> </w:t>
      </w:r>
      <w:r>
        <w:rPr/>
        <w:t>explained</w:t>
      </w:r>
      <w:r>
        <w:rPr>
          <w:spacing w:val="-2"/>
        </w:rPr>
        <w:t> </w:t>
      </w:r>
      <w:r>
        <w:rPr/>
        <w:t>in</w:t>
      </w:r>
      <w:r>
        <w:rPr>
          <w:spacing w:val="-2"/>
        </w:rPr>
        <w:t> </w:t>
      </w:r>
      <w:r>
        <w:rPr/>
        <w:t>detail</w:t>
      </w:r>
      <w:r>
        <w:rPr>
          <w:spacing w:val="-2"/>
        </w:rPr>
        <w:t> </w:t>
      </w:r>
      <w:r>
        <w:rPr/>
        <w:t>in</w:t>
      </w:r>
      <w:r>
        <w:rPr>
          <w:spacing w:val="-3"/>
        </w:rPr>
        <w:t> </w:t>
      </w:r>
      <w:r>
        <w:rPr/>
        <w:t>Chapter</w:t>
      </w:r>
      <w:r>
        <w:rPr>
          <w:spacing w:val="-1"/>
        </w:rPr>
        <w:t> </w:t>
      </w:r>
      <w:r>
        <w:rPr/>
        <w:t>II.</w:t>
      </w:r>
      <w:r>
        <w:rPr>
          <w:spacing w:val="-1"/>
        </w:rPr>
        <w:t> </w:t>
      </w:r>
      <w:r>
        <w:rPr/>
        <w:t>The</w:t>
      </w:r>
      <w:r>
        <w:rPr>
          <w:spacing w:val="-1"/>
        </w:rPr>
        <w:t> </w:t>
      </w:r>
      <w:r>
        <w:rPr/>
        <w:t>manner</w:t>
      </w:r>
      <w:r>
        <w:rPr>
          <w:spacing w:val="-1"/>
        </w:rPr>
        <w:t> </w:t>
      </w:r>
      <w:r>
        <w:rPr/>
        <w:t>in</w:t>
      </w:r>
      <w:r>
        <w:rPr>
          <w:spacing w:val="-1"/>
        </w:rPr>
        <w:t> </w:t>
      </w:r>
      <w:r>
        <w:rPr/>
        <w:t>which</w:t>
      </w:r>
      <w:r>
        <w:rPr>
          <w:spacing w:val="-1"/>
        </w:rPr>
        <w:t> </w:t>
      </w:r>
      <w:r>
        <w:rPr/>
        <w:t>the</w:t>
      </w:r>
      <w:r>
        <w:rPr>
          <w:spacing w:val="-1"/>
        </w:rPr>
        <w:t> </w:t>
      </w:r>
      <w:r>
        <w:rPr/>
        <w:t>existing structure in the different States</w:t>
      </w:r>
      <w:r>
        <w:rPr>
          <w:spacing w:val="-2"/>
        </w:rPr>
        <w:t> </w:t>
      </w:r>
      <w:r>
        <w:rPr/>
        <w:t>at the school stage is equated with this proposed structure, is shown below:</w:t>
      </w:r>
    </w:p>
    <w:p>
      <w:pPr>
        <w:pStyle w:val="BodyText"/>
      </w:pPr>
    </w:p>
    <w:p>
      <w:pPr>
        <w:pStyle w:val="BodyText"/>
        <w:spacing w:before="3"/>
      </w:pPr>
    </w:p>
    <w:p>
      <w:pPr>
        <w:pStyle w:val="BodyText"/>
        <w:ind w:left="290" w:right="629"/>
        <w:jc w:val="center"/>
      </w:pPr>
      <w:r>
        <w:rPr/>
        <w:t>TABLE</w:t>
      </w:r>
      <w:r>
        <w:rPr>
          <w:spacing w:val="-5"/>
        </w:rPr>
        <w:t> </w:t>
      </w:r>
      <w:r>
        <w:rPr>
          <w:spacing w:val="-4"/>
        </w:rPr>
        <w:t>AI.1</w:t>
      </w:r>
    </w:p>
    <w:p>
      <w:pPr>
        <w:pStyle w:val="BodyText"/>
      </w:pPr>
    </w:p>
    <w:p>
      <w:pPr>
        <w:pStyle w:val="BodyText"/>
        <w:ind w:left="291" w:right="629"/>
        <w:jc w:val="center"/>
      </w:pPr>
      <w:r>
        <w:rPr/>
        <mc:AlternateContent>
          <mc:Choice Requires="wps">
            <w:drawing>
              <wp:anchor distT="0" distB="0" distL="0" distR="0" allowOverlap="1" layoutInCell="1" locked="0" behindDoc="0" simplePos="0" relativeHeight="15778816">
                <wp:simplePos x="0" y="0"/>
                <wp:positionH relativeFrom="page">
                  <wp:posOffset>6626352</wp:posOffset>
                </wp:positionH>
                <wp:positionV relativeFrom="paragraph">
                  <wp:posOffset>301270</wp:posOffset>
                </wp:positionV>
                <wp:extent cx="3175" cy="1651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23.722073pt;width:.25pt;height:1.3pt;mso-position-horizontal-relative:page;mso-position-vertical-relative:paragraph;z-index:15778816" id="docshape539" coordorigin="10435,474" coordsize="5,26" path="m10440,474l10435,474,10435,479,10435,500,10440,500,10440,479,10440,474xe" filled="true" fillcolor="#f1efe2" stroked="false">
                <v:path arrowok="t"/>
                <v:fill type="solid"/>
                <w10:wrap type="none"/>
              </v:shape>
            </w:pict>
          </mc:Fallback>
        </mc:AlternateContent>
      </w:r>
      <w:r>
        <w:rPr/>
        <w:t>EQUIVALENCE</w:t>
      </w:r>
      <w:r>
        <w:rPr>
          <w:spacing w:val="-6"/>
        </w:rPr>
        <w:t> </w:t>
      </w:r>
      <w:r>
        <w:rPr/>
        <w:t>OF</w:t>
      </w:r>
      <w:r>
        <w:rPr>
          <w:spacing w:val="-5"/>
        </w:rPr>
        <w:t> </w:t>
      </w:r>
      <w:r>
        <w:rPr/>
        <w:t>CLASSES</w:t>
      </w:r>
      <w:r>
        <w:rPr>
          <w:spacing w:val="-5"/>
        </w:rPr>
        <w:t> </w:t>
      </w:r>
      <w:r>
        <w:rPr/>
        <w:t>I-X</w:t>
      </w:r>
      <w:r>
        <w:rPr>
          <w:spacing w:val="-3"/>
        </w:rPr>
        <w:t> </w:t>
      </w:r>
      <w:r>
        <w:rPr/>
        <w:t>AT</w:t>
      </w:r>
      <w:r>
        <w:rPr>
          <w:spacing w:val="-4"/>
        </w:rPr>
        <w:t> </w:t>
      </w:r>
      <w:r>
        <w:rPr/>
        <w:t>THE</w:t>
      </w:r>
      <w:r>
        <w:rPr>
          <w:spacing w:val="-4"/>
        </w:rPr>
        <w:t> </w:t>
      </w:r>
      <w:r>
        <w:rPr/>
        <w:t>SCHOOL</w:t>
      </w:r>
      <w:r>
        <w:rPr>
          <w:spacing w:val="-4"/>
        </w:rPr>
        <w:t> </w:t>
      </w:r>
      <w:r>
        <w:rPr/>
        <w:t>STAGE</w:t>
      </w:r>
      <w:r>
        <w:rPr>
          <w:spacing w:val="-4"/>
        </w:rPr>
        <w:t> </w:t>
      </w:r>
      <w:r>
        <w:rPr/>
        <w:t>(1965-</w:t>
      </w:r>
      <w:r>
        <w:rPr>
          <w:spacing w:val="-5"/>
        </w:rPr>
        <w:t>66)</w:t>
      </w:r>
    </w:p>
    <w:p>
      <w:pPr>
        <w:pStyle w:val="BodyText"/>
        <w:spacing w:before="6"/>
        <w:rPr>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5"/>
        <w:gridCol w:w="1553"/>
        <w:gridCol w:w="1831"/>
        <w:gridCol w:w="2938"/>
      </w:tblGrid>
      <w:tr>
        <w:trPr>
          <w:trHeight w:val="467" w:hRule="atLeast"/>
        </w:trPr>
        <w:tc>
          <w:tcPr>
            <w:tcW w:w="2315" w:type="dxa"/>
            <w:tcBorders>
              <w:top w:val="single" w:sz="12" w:space="0" w:color="808080"/>
            </w:tcBorders>
          </w:tcPr>
          <w:p>
            <w:pPr>
              <w:pStyle w:val="TableParagraph"/>
              <w:spacing w:before="48"/>
              <w:ind w:left="914"/>
              <w:rPr>
                <w:sz w:val="24"/>
              </w:rPr>
            </w:pPr>
            <w:r>
              <w:rPr>
                <w:spacing w:val="-10"/>
                <w:sz w:val="24"/>
              </w:rPr>
              <w:t>X</w:t>
            </w:r>
          </w:p>
        </w:tc>
        <w:tc>
          <w:tcPr>
            <w:tcW w:w="1553" w:type="dxa"/>
            <w:tcBorders>
              <w:top w:val="single" w:sz="12" w:space="0" w:color="808080"/>
            </w:tcBorders>
          </w:tcPr>
          <w:p>
            <w:pPr>
              <w:pStyle w:val="TableParagraph"/>
              <w:spacing w:before="48"/>
              <w:ind w:left="431"/>
              <w:rPr>
                <w:sz w:val="24"/>
              </w:rPr>
            </w:pPr>
            <w:r>
              <w:rPr>
                <w:spacing w:val="-10"/>
                <w:sz w:val="24"/>
              </w:rPr>
              <w:t>X</w:t>
            </w:r>
          </w:p>
        </w:tc>
        <w:tc>
          <w:tcPr>
            <w:tcW w:w="1831" w:type="dxa"/>
            <w:tcBorders>
              <w:top w:val="single" w:sz="12" w:space="0" w:color="808080"/>
            </w:tcBorders>
          </w:tcPr>
          <w:p>
            <w:pPr>
              <w:pStyle w:val="TableParagraph"/>
              <w:spacing w:before="48"/>
              <w:ind w:left="710"/>
              <w:rPr>
                <w:sz w:val="24"/>
              </w:rPr>
            </w:pPr>
            <w:r>
              <w:rPr>
                <w:spacing w:val="-5"/>
                <w:sz w:val="24"/>
              </w:rPr>
              <w:t>XI</w:t>
            </w:r>
          </w:p>
        </w:tc>
        <w:tc>
          <w:tcPr>
            <w:tcW w:w="2938" w:type="dxa"/>
            <w:tcBorders>
              <w:top w:val="single" w:sz="12" w:space="0" w:color="808080"/>
            </w:tcBorders>
          </w:tcPr>
          <w:p>
            <w:pPr>
              <w:pStyle w:val="TableParagraph"/>
              <w:spacing w:before="48"/>
              <w:ind w:left="710"/>
              <w:rPr>
                <w:sz w:val="24"/>
              </w:rPr>
            </w:pPr>
            <w:r>
              <w:rPr>
                <w:spacing w:val="-10"/>
                <w:sz w:val="24"/>
              </w:rPr>
              <w:t>X</w:t>
            </w:r>
          </w:p>
        </w:tc>
      </w:tr>
      <w:tr>
        <w:trPr>
          <w:trHeight w:val="552" w:hRule="atLeast"/>
        </w:trPr>
        <w:tc>
          <w:tcPr>
            <w:tcW w:w="2315" w:type="dxa"/>
          </w:tcPr>
          <w:p>
            <w:pPr>
              <w:pStyle w:val="TableParagraph"/>
              <w:spacing w:before="133"/>
              <w:ind w:left="913"/>
              <w:rPr>
                <w:sz w:val="24"/>
              </w:rPr>
            </w:pPr>
            <w:r>
              <w:rPr>
                <w:spacing w:val="-5"/>
                <w:sz w:val="24"/>
              </w:rPr>
              <w:t>IX</w:t>
            </w:r>
          </w:p>
        </w:tc>
        <w:tc>
          <w:tcPr>
            <w:tcW w:w="1553" w:type="dxa"/>
          </w:tcPr>
          <w:p>
            <w:pPr>
              <w:pStyle w:val="TableParagraph"/>
              <w:spacing w:before="133"/>
              <w:ind w:left="431"/>
              <w:rPr>
                <w:sz w:val="24"/>
              </w:rPr>
            </w:pPr>
            <w:r>
              <w:rPr>
                <w:spacing w:val="-5"/>
                <w:sz w:val="24"/>
              </w:rPr>
              <w:t>IX</w:t>
            </w:r>
          </w:p>
        </w:tc>
        <w:tc>
          <w:tcPr>
            <w:tcW w:w="1831" w:type="dxa"/>
          </w:tcPr>
          <w:p>
            <w:pPr>
              <w:pStyle w:val="TableParagraph"/>
              <w:spacing w:before="133"/>
              <w:ind w:left="710"/>
              <w:rPr>
                <w:sz w:val="24"/>
              </w:rPr>
            </w:pPr>
            <w:r>
              <w:rPr>
                <w:spacing w:val="-10"/>
                <w:sz w:val="24"/>
              </w:rPr>
              <w:t>X</w:t>
            </w:r>
          </w:p>
        </w:tc>
        <w:tc>
          <w:tcPr>
            <w:tcW w:w="2938" w:type="dxa"/>
          </w:tcPr>
          <w:p>
            <w:pPr>
              <w:pStyle w:val="TableParagraph"/>
              <w:spacing w:before="133"/>
              <w:ind w:left="711"/>
              <w:rPr>
                <w:sz w:val="24"/>
              </w:rPr>
            </w:pPr>
            <w:r>
              <w:rPr>
                <w:spacing w:val="-5"/>
                <w:sz w:val="24"/>
              </w:rPr>
              <w:t>IX</w:t>
            </w:r>
          </w:p>
        </w:tc>
      </w:tr>
      <w:tr>
        <w:trPr>
          <w:trHeight w:val="552" w:hRule="atLeast"/>
        </w:trPr>
        <w:tc>
          <w:tcPr>
            <w:tcW w:w="2315" w:type="dxa"/>
          </w:tcPr>
          <w:p>
            <w:pPr>
              <w:pStyle w:val="TableParagraph"/>
              <w:spacing w:before="133"/>
              <w:ind w:left="913"/>
              <w:rPr>
                <w:sz w:val="24"/>
              </w:rPr>
            </w:pPr>
            <w:r>
              <w:rPr>
                <w:spacing w:val="-4"/>
                <w:sz w:val="24"/>
              </w:rPr>
              <w:t>VIII</w:t>
            </w:r>
          </w:p>
        </w:tc>
        <w:tc>
          <w:tcPr>
            <w:tcW w:w="1553" w:type="dxa"/>
          </w:tcPr>
          <w:p>
            <w:pPr>
              <w:pStyle w:val="TableParagraph"/>
              <w:spacing w:before="133"/>
              <w:ind w:left="431"/>
              <w:rPr>
                <w:sz w:val="24"/>
              </w:rPr>
            </w:pPr>
            <w:r>
              <w:rPr>
                <w:spacing w:val="-4"/>
                <w:sz w:val="24"/>
              </w:rPr>
              <w:t>VIII</w:t>
            </w:r>
          </w:p>
        </w:tc>
        <w:tc>
          <w:tcPr>
            <w:tcW w:w="1831" w:type="dxa"/>
          </w:tcPr>
          <w:p>
            <w:pPr>
              <w:pStyle w:val="TableParagraph"/>
              <w:spacing w:before="133"/>
              <w:ind w:left="710"/>
              <w:rPr>
                <w:sz w:val="24"/>
              </w:rPr>
            </w:pPr>
            <w:r>
              <w:rPr>
                <w:spacing w:val="-5"/>
                <w:sz w:val="24"/>
              </w:rPr>
              <w:t>IX</w:t>
            </w:r>
          </w:p>
        </w:tc>
        <w:tc>
          <w:tcPr>
            <w:tcW w:w="2938" w:type="dxa"/>
          </w:tcPr>
          <w:p>
            <w:pPr>
              <w:pStyle w:val="TableParagraph"/>
              <w:spacing w:before="133"/>
              <w:ind w:left="710"/>
              <w:rPr>
                <w:sz w:val="24"/>
              </w:rPr>
            </w:pPr>
            <w:r>
              <w:rPr>
                <w:spacing w:val="-4"/>
                <w:sz w:val="24"/>
              </w:rPr>
              <w:t>VIII</w:t>
            </w:r>
          </w:p>
        </w:tc>
      </w:tr>
      <w:tr>
        <w:trPr>
          <w:trHeight w:val="552" w:hRule="atLeast"/>
        </w:trPr>
        <w:tc>
          <w:tcPr>
            <w:tcW w:w="2315" w:type="dxa"/>
          </w:tcPr>
          <w:p>
            <w:pPr>
              <w:pStyle w:val="TableParagraph"/>
              <w:spacing w:before="133"/>
              <w:ind w:left="913"/>
              <w:rPr>
                <w:sz w:val="24"/>
              </w:rPr>
            </w:pPr>
            <w:r>
              <w:rPr>
                <w:spacing w:val="-5"/>
                <w:sz w:val="24"/>
              </w:rPr>
              <w:t>VII</w:t>
            </w:r>
          </w:p>
        </w:tc>
        <w:tc>
          <w:tcPr>
            <w:tcW w:w="1553" w:type="dxa"/>
          </w:tcPr>
          <w:p>
            <w:pPr>
              <w:pStyle w:val="TableParagraph"/>
              <w:spacing w:before="133"/>
              <w:ind w:left="430"/>
              <w:rPr>
                <w:sz w:val="24"/>
              </w:rPr>
            </w:pPr>
            <w:r>
              <w:rPr>
                <w:spacing w:val="-5"/>
                <w:sz w:val="24"/>
              </w:rPr>
              <w:t>VII</w:t>
            </w:r>
          </w:p>
        </w:tc>
        <w:tc>
          <w:tcPr>
            <w:tcW w:w="1831" w:type="dxa"/>
          </w:tcPr>
          <w:p>
            <w:pPr>
              <w:pStyle w:val="TableParagraph"/>
              <w:spacing w:before="133"/>
              <w:ind w:left="709"/>
              <w:rPr>
                <w:sz w:val="24"/>
              </w:rPr>
            </w:pPr>
            <w:r>
              <w:rPr>
                <w:spacing w:val="-4"/>
                <w:sz w:val="24"/>
              </w:rPr>
              <w:t>VIII</w:t>
            </w:r>
          </w:p>
        </w:tc>
        <w:tc>
          <w:tcPr>
            <w:tcW w:w="2938" w:type="dxa"/>
          </w:tcPr>
          <w:p>
            <w:pPr>
              <w:pStyle w:val="TableParagraph"/>
              <w:spacing w:before="133"/>
              <w:ind w:left="709"/>
              <w:rPr>
                <w:sz w:val="24"/>
              </w:rPr>
            </w:pPr>
            <w:r>
              <w:rPr>
                <w:spacing w:val="-5"/>
                <w:sz w:val="24"/>
              </w:rPr>
              <w:t>VII</w:t>
            </w:r>
          </w:p>
        </w:tc>
      </w:tr>
      <w:tr>
        <w:trPr>
          <w:trHeight w:val="552" w:hRule="atLeast"/>
        </w:trPr>
        <w:tc>
          <w:tcPr>
            <w:tcW w:w="2315" w:type="dxa"/>
          </w:tcPr>
          <w:p>
            <w:pPr>
              <w:pStyle w:val="TableParagraph"/>
              <w:spacing w:before="133"/>
              <w:ind w:left="913"/>
              <w:rPr>
                <w:sz w:val="24"/>
              </w:rPr>
            </w:pPr>
            <w:r>
              <w:rPr>
                <w:spacing w:val="-5"/>
                <w:sz w:val="24"/>
              </w:rPr>
              <w:t>VI</w:t>
            </w:r>
          </w:p>
        </w:tc>
        <w:tc>
          <w:tcPr>
            <w:tcW w:w="1553" w:type="dxa"/>
          </w:tcPr>
          <w:p>
            <w:pPr>
              <w:pStyle w:val="TableParagraph"/>
              <w:spacing w:before="133"/>
              <w:ind w:left="431"/>
              <w:rPr>
                <w:sz w:val="24"/>
              </w:rPr>
            </w:pPr>
            <w:r>
              <w:rPr>
                <w:spacing w:val="-5"/>
                <w:sz w:val="24"/>
              </w:rPr>
              <w:t>VI</w:t>
            </w:r>
          </w:p>
        </w:tc>
        <w:tc>
          <w:tcPr>
            <w:tcW w:w="1831" w:type="dxa"/>
          </w:tcPr>
          <w:p>
            <w:pPr>
              <w:pStyle w:val="TableParagraph"/>
              <w:spacing w:before="133"/>
              <w:ind w:left="710"/>
              <w:rPr>
                <w:sz w:val="24"/>
              </w:rPr>
            </w:pPr>
            <w:r>
              <w:rPr>
                <w:spacing w:val="-5"/>
                <w:sz w:val="24"/>
              </w:rPr>
              <w:t>VII</w:t>
            </w:r>
          </w:p>
        </w:tc>
        <w:tc>
          <w:tcPr>
            <w:tcW w:w="2938" w:type="dxa"/>
          </w:tcPr>
          <w:p>
            <w:pPr>
              <w:pStyle w:val="TableParagraph"/>
              <w:spacing w:before="133"/>
              <w:ind w:left="710"/>
              <w:rPr>
                <w:sz w:val="24"/>
              </w:rPr>
            </w:pPr>
            <w:r>
              <w:rPr>
                <w:spacing w:val="-5"/>
                <w:sz w:val="24"/>
              </w:rPr>
              <w:t>VI</w:t>
            </w:r>
          </w:p>
        </w:tc>
      </w:tr>
      <w:tr>
        <w:trPr>
          <w:trHeight w:val="552" w:hRule="atLeast"/>
        </w:trPr>
        <w:tc>
          <w:tcPr>
            <w:tcW w:w="2315" w:type="dxa"/>
          </w:tcPr>
          <w:p>
            <w:pPr>
              <w:pStyle w:val="TableParagraph"/>
              <w:spacing w:before="133"/>
              <w:ind w:left="913"/>
              <w:rPr>
                <w:sz w:val="24"/>
              </w:rPr>
            </w:pPr>
            <w:r>
              <w:rPr>
                <w:spacing w:val="-10"/>
                <w:sz w:val="24"/>
              </w:rPr>
              <w:t>V</w:t>
            </w:r>
          </w:p>
        </w:tc>
        <w:tc>
          <w:tcPr>
            <w:tcW w:w="1553" w:type="dxa"/>
          </w:tcPr>
          <w:p>
            <w:pPr>
              <w:pStyle w:val="TableParagraph"/>
              <w:spacing w:before="133"/>
              <w:ind w:left="431"/>
              <w:rPr>
                <w:sz w:val="24"/>
              </w:rPr>
            </w:pPr>
            <w:r>
              <w:rPr>
                <w:spacing w:val="-10"/>
                <w:sz w:val="24"/>
              </w:rPr>
              <w:t>V</w:t>
            </w:r>
          </w:p>
        </w:tc>
        <w:tc>
          <w:tcPr>
            <w:tcW w:w="1831" w:type="dxa"/>
          </w:tcPr>
          <w:p>
            <w:pPr>
              <w:pStyle w:val="TableParagraph"/>
              <w:spacing w:before="133"/>
              <w:ind w:left="711"/>
              <w:rPr>
                <w:sz w:val="24"/>
              </w:rPr>
            </w:pPr>
            <w:r>
              <w:rPr>
                <w:spacing w:val="-5"/>
                <w:sz w:val="24"/>
              </w:rPr>
              <w:t>VI</w:t>
            </w:r>
          </w:p>
        </w:tc>
        <w:tc>
          <w:tcPr>
            <w:tcW w:w="2938" w:type="dxa"/>
          </w:tcPr>
          <w:p>
            <w:pPr>
              <w:pStyle w:val="TableParagraph"/>
              <w:spacing w:before="133"/>
              <w:ind w:left="711"/>
              <w:rPr>
                <w:sz w:val="24"/>
              </w:rPr>
            </w:pPr>
            <w:r>
              <w:rPr>
                <w:spacing w:val="-10"/>
                <w:sz w:val="24"/>
              </w:rPr>
              <w:t>V</w:t>
            </w:r>
          </w:p>
        </w:tc>
      </w:tr>
      <w:tr>
        <w:trPr>
          <w:trHeight w:val="552" w:hRule="atLeast"/>
        </w:trPr>
        <w:tc>
          <w:tcPr>
            <w:tcW w:w="2315" w:type="dxa"/>
          </w:tcPr>
          <w:p>
            <w:pPr>
              <w:pStyle w:val="TableParagraph"/>
              <w:spacing w:before="133"/>
              <w:ind w:left="913"/>
              <w:rPr>
                <w:sz w:val="24"/>
              </w:rPr>
            </w:pPr>
            <w:r>
              <w:rPr>
                <w:spacing w:val="-5"/>
                <w:sz w:val="24"/>
              </w:rPr>
              <w:t>IV</w:t>
            </w:r>
          </w:p>
        </w:tc>
        <w:tc>
          <w:tcPr>
            <w:tcW w:w="1553" w:type="dxa"/>
          </w:tcPr>
          <w:p>
            <w:pPr>
              <w:pStyle w:val="TableParagraph"/>
              <w:spacing w:before="133"/>
              <w:ind w:left="431"/>
              <w:rPr>
                <w:sz w:val="24"/>
              </w:rPr>
            </w:pPr>
            <w:r>
              <w:rPr>
                <w:spacing w:val="-5"/>
                <w:sz w:val="24"/>
              </w:rPr>
              <w:t>IV</w:t>
            </w:r>
          </w:p>
        </w:tc>
        <w:tc>
          <w:tcPr>
            <w:tcW w:w="1831" w:type="dxa"/>
          </w:tcPr>
          <w:p>
            <w:pPr>
              <w:pStyle w:val="TableParagraph"/>
              <w:spacing w:before="133"/>
              <w:ind w:left="710"/>
              <w:rPr>
                <w:sz w:val="24"/>
              </w:rPr>
            </w:pPr>
            <w:r>
              <w:rPr>
                <w:spacing w:val="-10"/>
                <w:sz w:val="24"/>
              </w:rPr>
              <w:t>V</w:t>
            </w:r>
          </w:p>
        </w:tc>
        <w:tc>
          <w:tcPr>
            <w:tcW w:w="2938" w:type="dxa"/>
          </w:tcPr>
          <w:p>
            <w:pPr>
              <w:pStyle w:val="TableParagraph"/>
              <w:spacing w:before="133"/>
              <w:ind w:left="711"/>
              <w:rPr>
                <w:sz w:val="24"/>
              </w:rPr>
            </w:pPr>
            <w:r>
              <w:rPr>
                <w:spacing w:val="-5"/>
                <w:sz w:val="24"/>
              </w:rPr>
              <w:t>IV</w:t>
            </w:r>
          </w:p>
        </w:tc>
      </w:tr>
      <w:tr>
        <w:trPr>
          <w:trHeight w:val="552" w:hRule="atLeast"/>
        </w:trPr>
        <w:tc>
          <w:tcPr>
            <w:tcW w:w="2315" w:type="dxa"/>
          </w:tcPr>
          <w:p>
            <w:pPr>
              <w:pStyle w:val="TableParagraph"/>
              <w:spacing w:before="133"/>
              <w:ind w:left="913"/>
              <w:rPr>
                <w:sz w:val="24"/>
              </w:rPr>
            </w:pPr>
            <w:r>
              <w:rPr>
                <w:spacing w:val="-5"/>
                <w:sz w:val="24"/>
              </w:rPr>
              <w:t>III</w:t>
            </w:r>
          </w:p>
        </w:tc>
        <w:tc>
          <w:tcPr>
            <w:tcW w:w="1553" w:type="dxa"/>
          </w:tcPr>
          <w:p>
            <w:pPr>
              <w:pStyle w:val="TableParagraph"/>
              <w:spacing w:before="133"/>
              <w:ind w:left="430"/>
              <w:rPr>
                <w:sz w:val="24"/>
              </w:rPr>
            </w:pPr>
            <w:r>
              <w:rPr>
                <w:spacing w:val="-5"/>
                <w:sz w:val="24"/>
              </w:rPr>
              <w:t>III</w:t>
            </w:r>
          </w:p>
        </w:tc>
        <w:tc>
          <w:tcPr>
            <w:tcW w:w="1831" w:type="dxa"/>
          </w:tcPr>
          <w:p>
            <w:pPr>
              <w:pStyle w:val="TableParagraph"/>
              <w:spacing w:before="133"/>
              <w:ind w:left="709"/>
              <w:rPr>
                <w:sz w:val="24"/>
              </w:rPr>
            </w:pPr>
            <w:r>
              <w:rPr>
                <w:spacing w:val="-5"/>
                <w:sz w:val="24"/>
              </w:rPr>
              <w:t>IV</w:t>
            </w:r>
          </w:p>
        </w:tc>
        <w:tc>
          <w:tcPr>
            <w:tcW w:w="2938" w:type="dxa"/>
          </w:tcPr>
          <w:p>
            <w:pPr>
              <w:pStyle w:val="TableParagraph"/>
              <w:spacing w:before="133"/>
              <w:ind w:left="709"/>
              <w:rPr>
                <w:sz w:val="24"/>
              </w:rPr>
            </w:pPr>
            <w:r>
              <w:rPr>
                <w:spacing w:val="-5"/>
                <w:sz w:val="24"/>
              </w:rPr>
              <w:t>III</w:t>
            </w:r>
          </w:p>
        </w:tc>
      </w:tr>
      <w:tr>
        <w:trPr>
          <w:trHeight w:val="552" w:hRule="atLeast"/>
        </w:trPr>
        <w:tc>
          <w:tcPr>
            <w:tcW w:w="2315" w:type="dxa"/>
          </w:tcPr>
          <w:p>
            <w:pPr>
              <w:pStyle w:val="TableParagraph"/>
              <w:spacing w:before="133"/>
              <w:ind w:left="913"/>
              <w:rPr>
                <w:sz w:val="24"/>
              </w:rPr>
            </w:pPr>
            <w:r>
              <w:rPr>
                <w:spacing w:val="-5"/>
                <w:sz w:val="24"/>
              </w:rPr>
              <w:t>II</w:t>
            </w:r>
          </w:p>
        </w:tc>
        <w:tc>
          <w:tcPr>
            <w:tcW w:w="1553" w:type="dxa"/>
          </w:tcPr>
          <w:p>
            <w:pPr>
              <w:pStyle w:val="TableParagraph"/>
              <w:spacing w:before="133"/>
              <w:ind w:left="430"/>
              <w:rPr>
                <w:sz w:val="24"/>
              </w:rPr>
            </w:pPr>
            <w:r>
              <w:rPr>
                <w:spacing w:val="-5"/>
                <w:sz w:val="24"/>
              </w:rPr>
              <w:t>II</w:t>
            </w:r>
          </w:p>
        </w:tc>
        <w:tc>
          <w:tcPr>
            <w:tcW w:w="1831" w:type="dxa"/>
          </w:tcPr>
          <w:p>
            <w:pPr>
              <w:pStyle w:val="TableParagraph"/>
              <w:spacing w:before="133"/>
              <w:ind w:left="709"/>
              <w:rPr>
                <w:sz w:val="24"/>
              </w:rPr>
            </w:pPr>
            <w:r>
              <w:rPr>
                <w:spacing w:val="-5"/>
                <w:sz w:val="24"/>
              </w:rPr>
              <w:t>III</w:t>
            </w:r>
          </w:p>
        </w:tc>
        <w:tc>
          <w:tcPr>
            <w:tcW w:w="2938" w:type="dxa"/>
          </w:tcPr>
          <w:p>
            <w:pPr>
              <w:pStyle w:val="TableParagraph"/>
              <w:spacing w:before="133"/>
              <w:ind w:left="708"/>
              <w:rPr>
                <w:sz w:val="24"/>
              </w:rPr>
            </w:pPr>
            <w:r>
              <w:rPr>
                <w:spacing w:val="-5"/>
                <w:sz w:val="24"/>
              </w:rPr>
              <w:t>II</w:t>
            </w:r>
          </w:p>
        </w:tc>
      </w:tr>
      <w:tr>
        <w:trPr>
          <w:trHeight w:val="606" w:hRule="atLeast"/>
        </w:trPr>
        <w:tc>
          <w:tcPr>
            <w:tcW w:w="2315" w:type="dxa"/>
            <w:tcBorders>
              <w:bottom w:val="single" w:sz="12" w:space="0" w:color="808080"/>
            </w:tcBorders>
          </w:tcPr>
          <w:p>
            <w:pPr>
              <w:pStyle w:val="TableParagraph"/>
              <w:spacing w:before="133"/>
              <w:ind w:left="913"/>
              <w:rPr>
                <w:sz w:val="24"/>
              </w:rPr>
            </w:pPr>
            <w:r>
              <w:rPr>
                <w:spacing w:val="-10"/>
                <w:sz w:val="24"/>
              </w:rPr>
              <w:t>I</w:t>
            </w:r>
          </w:p>
        </w:tc>
        <w:tc>
          <w:tcPr>
            <w:tcW w:w="1553" w:type="dxa"/>
            <w:tcBorders>
              <w:bottom w:val="single" w:sz="12" w:space="0" w:color="808080"/>
            </w:tcBorders>
          </w:tcPr>
          <w:p>
            <w:pPr>
              <w:pStyle w:val="TableParagraph"/>
              <w:spacing w:before="133"/>
              <w:ind w:left="430"/>
              <w:rPr>
                <w:sz w:val="24"/>
              </w:rPr>
            </w:pPr>
            <w:r>
              <w:rPr>
                <w:spacing w:val="-10"/>
                <w:sz w:val="24"/>
              </w:rPr>
              <w:t>I</w:t>
            </w:r>
          </w:p>
        </w:tc>
        <w:tc>
          <w:tcPr>
            <w:tcW w:w="1831" w:type="dxa"/>
            <w:tcBorders>
              <w:bottom w:val="single" w:sz="12" w:space="0" w:color="808080"/>
            </w:tcBorders>
          </w:tcPr>
          <w:p>
            <w:pPr>
              <w:pStyle w:val="TableParagraph"/>
              <w:spacing w:before="133"/>
              <w:ind w:left="708"/>
              <w:rPr>
                <w:sz w:val="24"/>
              </w:rPr>
            </w:pPr>
            <w:r>
              <w:rPr>
                <w:spacing w:val="-5"/>
                <w:sz w:val="24"/>
              </w:rPr>
              <w:t>II</w:t>
            </w:r>
          </w:p>
        </w:tc>
        <w:tc>
          <w:tcPr>
            <w:tcW w:w="2938" w:type="dxa"/>
            <w:tcBorders>
              <w:bottom w:val="single" w:sz="12" w:space="0" w:color="808080"/>
            </w:tcBorders>
          </w:tcPr>
          <w:p>
            <w:pPr>
              <w:pStyle w:val="TableParagraph"/>
              <w:spacing w:before="133"/>
              <w:ind w:left="709"/>
              <w:rPr>
                <w:sz w:val="24"/>
              </w:rPr>
            </w:pPr>
            <w:r>
              <w:rPr/>
              <mc:AlternateContent>
                <mc:Choice Requires="wps">
                  <w:drawing>
                    <wp:anchor distT="0" distB="0" distL="0" distR="0" allowOverlap="1" layoutInCell="1" locked="0" behindDoc="0" simplePos="0" relativeHeight="15779840">
                      <wp:simplePos x="0" y="0"/>
                      <wp:positionH relativeFrom="column">
                        <wp:posOffset>1863143</wp:posOffset>
                      </wp:positionH>
                      <wp:positionV relativeFrom="paragraph">
                        <wp:posOffset>385230</wp:posOffset>
                      </wp:positionV>
                      <wp:extent cx="3175" cy="16510"/>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3175" cy="16510"/>
                                <a:chExt cx="3175" cy="16510"/>
                              </a:xfrm>
                            </wpg:grpSpPr>
                            <wps:wsp>
                              <wps:cNvPr id="563" name="Graphic 563"/>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46.704208pt;margin-top:30.333115pt;width:.25pt;height:1.3pt;mso-position-horizontal-relative:column;mso-position-vertical-relative:paragraph;z-index:15779840" id="docshapegroup540" coordorigin="2934,607" coordsize="5,26">
                      <v:shape style="position:absolute;left:2934;top:606;width:5;height:26" id="docshape541" coordorigin="2934,607" coordsize="5,26" path="m2939,607l2934,607,2934,611,2934,632,2939,632,2939,611,2939,607xe" filled="true" fillcolor="#f1efe2" stroked="false">
                        <v:path arrowok="t"/>
                        <v:fill type="solid"/>
                      </v:shape>
                      <w10:wrap type="none"/>
                    </v:group>
                  </w:pict>
                </mc:Fallback>
              </mc:AlternateContent>
            </w:r>
            <w:r>
              <w:rPr>
                <w:spacing w:val="-10"/>
                <w:sz w:val="24"/>
              </w:rPr>
              <w:t>I</w:t>
            </w:r>
          </w:p>
        </w:tc>
      </w:tr>
      <w:tr>
        <w:trPr>
          <w:trHeight w:val="876" w:hRule="atLeast"/>
        </w:trPr>
        <w:tc>
          <w:tcPr>
            <w:tcW w:w="2315" w:type="dxa"/>
            <w:tcBorders>
              <w:top w:val="single" w:sz="12" w:space="0" w:color="808080"/>
            </w:tcBorders>
          </w:tcPr>
          <w:p>
            <w:pPr>
              <w:pStyle w:val="TableParagraph"/>
              <w:spacing w:line="270" w:lineRule="atLeast" w:before="28"/>
              <w:ind w:left="913" w:right="278"/>
              <w:rPr>
                <w:sz w:val="24"/>
              </w:rPr>
            </w:pPr>
            <w:r>
              <w:rPr>
                <w:spacing w:val="-4"/>
                <w:sz w:val="24"/>
              </w:rPr>
              <w:t>Pre- </w:t>
            </w:r>
            <w:r>
              <w:rPr>
                <w:spacing w:val="-2"/>
                <w:sz w:val="24"/>
              </w:rPr>
              <w:t>Primary Education</w:t>
            </w:r>
          </w:p>
        </w:tc>
        <w:tc>
          <w:tcPr>
            <w:tcW w:w="1553" w:type="dxa"/>
            <w:tcBorders>
              <w:top w:val="single" w:sz="12" w:space="0" w:color="808080"/>
            </w:tcBorders>
          </w:tcPr>
          <w:p>
            <w:pPr>
              <w:pStyle w:val="TableParagraph"/>
              <w:spacing w:before="48"/>
              <w:ind w:left="491"/>
              <w:rPr>
                <w:sz w:val="24"/>
              </w:rPr>
            </w:pPr>
            <w:r>
              <w:rPr>
                <w:spacing w:val="-10"/>
                <w:sz w:val="24"/>
              </w:rPr>
              <w:t>B</w:t>
            </w:r>
          </w:p>
          <w:p>
            <w:pPr>
              <w:pStyle w:val="TableParagraph"/>
              <w:rPr>
                <w:sz w:val="24"/>
              </w:rPr>
            </w:pPr>
          </w:p>
          <w:p>
            <w:pPr>
              <w:pStyle w:val="TableParagraph"/>
              <w:spacing w:line="256" w:lineRule="exact"/>
              <w:ind w:left="429"/>
              <w:rPr>
                <w:sz w:val="24"/>
              </w:rPr>
            </w:pPr>
            <w:r>
              <w:rPr>
                <w:spacing w:val="-10"/>
                <w:sz w:val="24"/>
              </w:rPr>
              <w:t>A</w:t>
            </w:r>
          </w:p>
        </w:tc>
        <w:tc>
          <w:tcPr>
            <w:tcW w:w="1831" w:type="dxa"/>
            <w:tcBorders>
              <w:top w:val="single" w:sz="12" w:space="0" w:color="808080"/>
            </w:tcBorders>
          </w:tcPr>
          <w:p>
            <w:pPr>
              <w:pStyle w:val="TableParagraph"/>
              <w:spacing w:before="48"/>
              <w:ind w:left="710"/>
              <w:rPr>
                <w:sz w:val="24"/>
              </w:rPr>
            </w:pPr>
            <w:r>
              <w:rPr>
                <w:spacing w:val="-10"/>
                <w:sz w:val="24"/>
              </w:rPr>
              <w:t>I</w:t>
            </w:r>
          </w:p>
        </w:tc>
        <w:tc>
          <w:tcPr>
            <w:tcW w:w="2938" w:type="dxa"/>
            <w:tcBorders>
              <w:top w:val="single" w:sz="12" w:space="0" w:color="808080"/>
            </w:tcBorders>
          </w:tcPr>
          <w:p>
            <w:pPr>
              <w:pStyle w:val="TableParagraph"/>
              <w:rPr>
                <w:sz w:val="22"/>
              </w:rPr>
            </w:pPr>
          </w:p>
        </w:tc>
      </w:tr>
    </w:tbl>
    <w:p>
      <w:pPr>
        <w:spacing w:after="0"/>
        <w:rPr>
          <w:sz w:val="22"/>
        </w:rPr>
        <w:sectPr>
          <w:pgSz w:w="12240" w:h="15840"/>
          <w:pgMar w:header="0" w:footer="743" w:top="1360" w:bottom="940" w:left="1640" w:right="1300"/>
        </w:sectPr>
      </w:pPr>
    </w:p>
    <w:p>
      <w:pPr>
        <w:pStyle w:val="BodyText"/>
        <w:spacing w:before="3"/>
        <w:rPr>
          <w:sz w:val="2"/>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2"/>
        <w:gridCol w:w="1688"/>
        <w:gridCol w:w="2191"/>
        <w:gridCol w:w="2334"/>
      </w:tblGrid>
      <w:tr>
        <w:trPr>
          <w:trHeight w:val="270" w:hRule="atLeast"/>
        </w:trPr>
        <w:tc>
          <w:tcPr>
            <w:tcW w:w="2422" w:type="dxa"/>
          </w:tcPr>
          <w:p>
            <w:pPr>
              <w:pStyle w:val="TableParagraph"/>
              <w:spacing w:line="251" w:lineRule="exact"/>
              <w:ind w:right="301"/>
              <w:jc w:val="right"/>
              <w:rPr>
                <w:sz w:val="24"/>
              </w:rPr>
            </w:pPr>
            <w:r>
              <w:rPr>
                <w:sz w:val="24"/>
              </w:rPr>
              <w:t>As</w:t>
            </w:r>
            <w:r>
              <w:rPr>
                <w:spacing w:val="-2"/>
                <w:sz w:val="24"/>
              </w:rPr>
              <w:t> proposed</w:t>
            </w:r>
          </w:p>
        </w:tc>
        <w:tc>
          <w:tcPr>
            <w:tcW w:w="1688" w:type="dxa"/>
          </w:tcPr>
          <w:p>
            <w:pPr>
              <w:pStyle w:val="TableParagraph"/>
              <w:spacing w:line="251" w:lineRule="exact"/>
              <w:ind w:left="323"/>
              <w:rPr>
                <w:sz w:val="24"/>
              </w:rPr>
            </w:pPr>
            <w:r>
              <w:rPr>
                <w:sz w:val="24"/>
              </w:rPr>
              <w:t>Group</w:t>
            </w:r>
            <w:r>
              <w:rPr>
                <w:spacing w:val="-5"/>
                <w:sz w:val="24"/>
              </w:rPr>
              <w:t> </w:t>
            </w:r>
            <w:r>
              <w:rPr>
                <w:spacing w:val="-10"/>
                <w:sz w:val="24"/>
              </w:rPr>
              <w:t>A</w:t>
            </w:r>
          </w:p>
        </w:tc>
        <w:tc>
          <w:tcPr>
            <w:tcW w:w="2191" w:type="dxa"/>
          </w:tcPr>
          <w:p>
            <w:pPr>
              <w:pStyle w:val="TableParagraph"/>
              <w:spacing w:line="251" w:lineRule="exact"/>
              <w:ind w:left="467"/>
              <w:rPr>
                <w:sz w:val="24"/>
              </w:rPr>
            </w:pPr>
            <w:r>
              <w:rPr>
                <w:sz w:val="24"/>
              </w:rPr>
              <w:t>Group</w:t>
            </w:r>
            <w:r>
              <w:rPr>
                <w:spacing w:val="-5"/>
                <w:sz w:val="24"/>
              </w:rPr>
              <w:t> </w:t>
            </w:r>
            <w:r>
              <w:rPr>
                <w:spacing w:val="-10"/>
                <w:sz w:val="24"/>
              </w:rPr>
              <w:t>B</w:t>
            </w:r>
          </w:p>
        </w:tc>
        <w:tc>
          <w:tcPr>
            <w:tcW w:w="2334" w:type="dxa"/>
          </w:tcPr>
          <w:p>
            <w:pPr>
              <w:pStyle w:val="TableParagraph"/>
              <w:spacing w:line="251" w:lineRule="exact"/>
              <w:ind w:left="107"/>
              <w:rPr>
                <w:sz w:val="24"/>
              </w:rPr>
            </w:pPr>
            <w:r>
              <w:rPr>
                <w:sz w:val="24"/>
              </w:rPr>
              <w:t>Group</w:t>
            </w:r>
            <w:r>
              <w:rPr>
                <w:spacing w:val="-5"/>
                <w:sz w:val="24"/>
              </w:rPr>
              <w:t> </w:t>
            </w:r>
            <w:r>
              <w:rPr>
                <w:spacing w:val="-10"/>
                <w:sz w:val="24"/>
              </w:rPr>
              <w:t>C</w:t>
            </w:r>
          </w:p>
        </w:tc>
      </w:tr>
      <w:tr>
        <w:trPr>
          <w:trHeight w:val="275" w:hRule="atLeast"/>
        </w:trPr>
        <w:tc>
          <w:tcPr>
            <w:tcW w:w="2422" w:type="dxa"/>
          </w:tcPr>
          <w:p>
            <w:pPr>
              <w:pStyle w:val="TableParagraph"/>
              <w:spacing w:line="256" w:lineRule="exact"/>
              <w:jc w:val="center"/>
              <w:rPr>
                <w:sz w:val="24"/>
              </w:rPr>
            </w:pPr>
            <w:r>
              <w:rPr>
                <w:sz w:val="24"/>
              </w:rPr>
              <w:t>by</w:t>
            </w:r>
            <w:r>
              <w:rPr>
                <w:spacing w:val="-1"/>
                <w:sz w:val="24"/>
              </w:rPr>
              <w:t> </w:t>
            </w:r>
            <w:r>
              <w:rPr>
                <w:spacing w:val="-5"/>
                <w:sz w:val="24"/>
              </w:rPr>
              <w:t>the</w:t>
            </w:r>
          </w:p>
        </w:tc>
        <w:tc>
          <w:tcPr>
            <w:tcW w:w="1688" w:type="dxa"/>
          </w:tcPr>
          <w:p>
            <w:pPr>
              <w:pStyle w:val="TableParagraph"/>
              <w:spacing w:line="256" w:lineRule="exact"/>
              <w:ind w:left="323"/>
              <w:rPr>
                <w:sz w:val="24"/>
              </w:rPr>
            </w:pPr>
            <w:r>
              <w:rPr>
                <w:spacing w:val="-2"/>
                <w:sz w:val="24"/>
              </w:rPr>
              <w:t>Assam</w:t>
            </w:r>
          </w:p>
        </w:tc>
        <w:tc>
          <w:tcPr>
            <w:tcW w:w="2191" w:type="dxa"/>
          </w:tcPr>
          <w:p>
            <w:pPr>
              <w:pStyle w:val="TableParagraph"/>
              <w:spacing w:line="256" w:lineRule="exact"/>
              <w:ind w:left="468"/>
              <w:rPr>
                <w:sz w:val="24"/>
              </w:rPr>
            </w:pPr>
            <w:r>
              <w:rPr>
                <w:sz w:val="24"/>
              </w:rPr>
              <w:t>Andhra</w:t>
            </w:r>
            <w:r>
              <w:rPr>
                <w:spacing w:val="-1"/>
                <w:sz w:val="24"/>
              </w:rPr>
              <w:t> </w:t>
            </w:r>
            <w:r>
              <w:rPr>
                <w:spacing w:val="-2"/>
                <w:sz w:val="24"/>
              </w:rPr>
              <w:t>Pradesh</w:t>
            </w:r>
          </w:p>
        </w:tc>
        <w:tc>
          <w:tcPr>
            <w:tcW w:w="2334" w:type="dxa"/>
          </w:tcPr>
          <w:p>
            <w:pPr>
              <w:pStyle w:val="TableParagraph"/>
              <w:spacing w:line="256" w:lineRule="exact"/>
              <w:ind w:left="108"/>
              <w:rPr>
                <w:sz w:val="24"/>
              </w:rPr>
            </w:pPr>
            <w:r>
              <w:rPr>
                <w:sz w:val="24"/>
              </w:rPr>
              <w:t>Jammu</w:t>
            </w:r>
            <w:r>
              <w:rPr>
                <w:spacing w:val="-1"/>
                <w:sz w:val="24"/>
              </w:rPr>
              <w:t> </w:t>
            </w:r>
            <w:r>
              <w:rPr>
                <w:sz w:val="24"/>
              </w:rPr>
              <w:t>&amp;</w:t>
            </w:r>
            <w:r>
              <w:rPr>
                <w:spacing w:val="-1"/>
                <w:sz w:val="24"/>
              </w:rPr>
              <w:t> </w:t>
            </w:r>
            <w:r>
              <w:rPr>
                <w:spacing w:val="-2"/>
                <w:sz w:val="24"/>
              </w:rPr>
              <w:t>Kashmir</w:t>
            </w:r>
          </w:p>
        </w:tc>
      </w:tr>
      <w:tr>
        <w:trPr>
          <w:trHeight w:val="275" w:hRule="atLeast"/>
        </w:trPr>
        <w:tc>
          <w:tcPr>
            <w:tcW w:w="2422" w:type="dxa"/>
          </w:tcPr>
          <w:p>
            <w:pPr>
              <w:pStyle w:val="TableParagraph"/>
              <w:spacing w:line="256" w:lineRule="exact"/>
              <w:ind w:left="913"/>
              <w:rPr>
                <w:sz w:val="24"/>
              </w:rPr>
            </w:pPr>
            <w:r>
              <w:rPr>
                <w:spacing w:val="-2"/>
                <w:sz w:val="24"/>
              </w:rPr>
              <w:t>Education</w:t>
            </w:r>
          </w:p>
        </w:tc>
        <w:tc>
          <w:tcPr>
            <w:tcW w:w="1688" w:type="dxa"/>
          </w:tcPr>
          <w:p>
            <w:pPr>
              <w:pStyle w:val="TableParagraph"/>
              <w:spacing w:line="256" w:lineRule="exact"/>
              <w:ind w:left="303"/>
              <w:rPr>
                <w:sz w:val="24"/>
              </w:rPr>
            </w:pPr>
            <w:r>
              <w:rPr>
                <w:spacing w:val="-2"/>
                <w:sz w:val="24"/>
              </w:rPr>
              <w:t>Nagaland</w:t>
            </w:r>
          </w:p>
        </w:tc>
        <w:tc>
          <w:tcPr>
            <w:tcW w:w="2191" w:type="dxa"/>
          </w:tcPr>
          <w:p>
            <w:pPr>
              <w:pStyle w:val="TableParagraph"/>
              <w:spacing w:line="256" w:lineRule="exact"/>
              <w:ind w:left="466"/>
              <w:rPr>
                <w:sz w:val="24"/>
              </w:rPr>
            </w:pPr>
            <w:r>
              <w:rPr>
                <w:spacing w:val="-2"/>
                <w:sz w:val="24"/>
              </w:rPr>
              <w:t>Bihar</w:t>
            </w:r>
          </w:p>
        </w:tc>
        <w:tc>
          <w:tcPr>
            <w:tcW w:w="2334" w:type="dxa"/>
          </w:tcPr>
          <w:p>
            <w:pPr>
              <w:pStyle w:val="TableParagraph"/>
              <w:spacing w:line="256" w:lineRule="exact"/>
              <w:ind w:left="106"/>
              <w:rPr>
                <w:sz w:val="24"/>
              </w:rPr>
            </w:pPr>
            <w:r>
              <w:rPr>
                <w:spacing w:val="-2"/>
                <w:sz w:val="24"/>
              </w:rPr>
              <w:t>Kerala</w:t>
            </w:r>
          </w:p>
        </w:tc>
      </w:tr>
      <w:tr>
        <w:trPr>
          <w:trHeight w:val="275" w:hRule="atLeast"/>
        </w:trPr>
        <w:tc>
          <w:tcPr>
            <w:tcW w:w="2422" w:type="dxa"/>
          </w:tcPr>
          <w:p>
            <w:pPr>
              <w:pStyle w:val="TableParagraph"/>
              <w:spacing w:line="256" w:lineRule="exact"/>
              <w:ind w:right="308"/>
              <w:jc w:val="right"/>
              <w:rPr>
                <w:sz w:val="24"/>
              </w:rPr>
            </w:pPr>
            <w:r>
              <w:rPr>
                <w:spacing w:val="-2"/>
                <w:sz w:val="24"/>
              </w:rPr>
              <w:t>Commission</w:t>
            </w:r>
          </w:p>
        </w:tc>
        <w:tc>
          <w:tcPr>
            <w:tcW w:w="1688" w:type="dxa"/>
          </w:tcPr>
          <w:p>
            <w:pPr>
              <w:pStyle w:val="TableParagraph"/>
              <w:spacing w:line="256" w:lineRule="exact"/>
              <w:ind w:left="349"/>
              <w:rPr>
                <w:sz w:val="24"/>
              </w:rPr>
            </w:pPr>
            <w:r>
              <w:rPr>
                <w:spacing w:val="-4"/>
                <w:sz w:val="24"/>
              </w:rPr>
              <w:t>NEFA</w:t>
            </w:r>
          </w:p>
        </w:tc>
        <w:tc>
          <w:tcPr>
            <w:tcW w:w="2191" w:type="dxa"/>
          </w:tcPr>
          <w:p>
            <w:pPr>
              <w:pStyle w:val="TableParagraph"/>
              <w:spacing w:line="256" w:lineRule="exact"/>
              <w:ind w:left="469"/>
              <w:rPr>
                <w:sz w:val="24"/>
              </w:rPr>
            </w:pPr>
            <w:r>
              <w:rPr>
                <w:spacing w:val="-2"/>
                <w:sz w:val="24"/>
              </w:rPr>
              <w:t>Gujarat</w:t>
            </w:r>
          </w:p>
        </w:tc>
        <w:tc>
          <w:tcPr>
            <w:tcW w:w="2334" w:type="dxa"/>
          </w:tcPr>
          <w:p>
            <w:pPr>
              <w:pStyle w:val="TableParagraph"/>
              <w:spacing w:line="256" w:lineRule="exact"/>
              <w:ind w:left="109"/>
              <w:rPr>
                <w:sz w:val="24"/>
              </w:rPr>
            </w:pPr>
            <w:r>
              <w:rPr>
                <w:sz w:val="24"/>
              </w:rPr>
              <w:t>Madhya </w:t>
            </w:r>
            <w:r>
              <w:rPr>
                <w:spacing w:val="-2"/>
                <w:sz w:val="24"/>
              </w:rPr>
              <w:t>Pradesh</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7"/>
              <w:rPr>
                <w:sz w:val="24"/>
              </w:rPr>
            </w:pPr>
            <w:r>
              <w:rPr>
                <w:spacing w:val="-2"/>
                <w:sz w:val="24"/>
              </w:rPr>
              <w:t>Madras</w:t>
            </w:r>
          </w:p>
        </w:tc>
        <w:tc>
          <w:tcPr>
            <w:tcW w:w="2334" w:type="dxa"/>
          </w:tcPr>
          <w:p>
            <w:pPr>
              <w:pStyle w:val="TableParagraph"/>
              <w:spacing w:line="256" w:lineRule="exact"/>
              <w:ind w:left="107"/>
              <w:rPr>
                <w:sz w:val="24"/>
              </w:rPr>
            </w:pPr>
            <w:r>
              <w:rPr>
                <w:spacing w:val="-2"/>
                <w:sz w:val="24"/>
              </w:rPr>
              <w:t>Mysore</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pacing w:val="-2"/>
                <w:sz w:val="24"/>
              </w:rPr>
              <w:t>Maharashtra</w:t>
            </w:r>
          </w:p>
        </w:tc>
        <w:tc>
          <w:tcPr>
            <w:tcW w:w="2334" w:type="dxa"/>
          </w:tcPr>
          <w:p>
            <w:pPr>
              <w:pStyle w:val="TableParagraph"/>
              <w:spacing w:line="256" w:lineRule="exact"/>
              <w:ind w:left="108"/>
              <w:rPr>
                <w:sz w:val="24"/>
              </w:rPr>
            </w:pPr>
            <w:r>
              <w:rPr>
                <w:spacing w:val="-2"/>
                <w:sz w:val="24"/>
              </w:rPr>
              <w:t>Punjab</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pacing w:val="-2"/>
                <w:sz w:val="24"/>
              </w:rPr>
              <w:t>Orissa</w:t>
            </w:r>
          </w:p>
        </w:tc>
        <w:tc>
          <w:tcPr>
            <w:tcW w:w="2334" w:type="dxa"/>
          </w:tcPr>
          <w:p>
            <w:pPr>
              <w:pStyle w:val="TableParagraph"/>
              <w:spacing w:line="256" w:lineRule="exact"/>
              <w:ind w:left="108"/>
              <w:rPr>
                <w:sz w:val="24"/>
              </w:rPr>
            </w:pPr>
            <w:r>
              <w:rPr>
                <w:spacing w:val="-2"/>
                <w:sz w:val="24"/>
              </w:rPr>
              <w:t>Rajasthan</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7"/>
              <w:rPr>
                <w:sz w:val="24"/>
              </w:rPr>
            </w:pPr>
            <w:r>
              <w:rPr>
                <w:sz w:val="24"/>
              </w:rPr>
              <w:t>Dadra</w:t>
            </w:r>
            <w:r>
              <w:rPr>
                <w:spacing w:val="-1"/>
                <w:sz w:val="24"/>
              </w:rPr>
              <w:t> </w:t>
            </w:r>
            <w:r>
              <w:rPr>
                <w:sz w:val="24"/>
              </w:rPr>
              <w:t>&amp;</w:t>
            </w:r>
            <w:r>
              <w:rPr>
                <w:spacing w:val="-1"/>
                <w:sz w:val="24"/>
              </w:rPr>
              <w:t> </w:t>
            </w:r>
            <w:r>
              <w:rPr>
                <w:spacing w:val="-2"/>
                <w:sz w:val="24"/>
              </w:rPr>
              <w:t>Nagar</w:t>
            </w:r>
          </w:p>
        </w:tc>
        <w:tc>
          <w:tcPr>
            <w:tcW w:w="2334" w:type="dxa"/>
          </w:tcPr>
          <w:p>
            <w:pPr>
              <w:pStyle w:val="TableParagraph"/>
              <w:spacing w:line="256" w:lineRule="exact"/>
              <w:ind w:left="109"/>
              <w:rPr>
                <w:sz w:val="24"/>
              </w:rPr>
            </w:pPr>
            <w:r>
              <w:rPr>
                <w:sz w:val="24"/>
              </w:rPr>
              <w:t>Uttar</w:t>
            </w:r>
            <w:r>
              <w:rPr>
                <w:spacing w:val="-1"/>
                <w:sz w:val="24"/>
              </w:rPr>
              <w:t> </w:t>
            </w:r>
            <w:r>
              <w:rPr>
                <w:spacing w:val="-2"/>
                <w:sz w:val="24"/>
              </w:rPr>
              <w:t>Pradesh</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pacing w:val="-2"/>
                <w:sz w:val="24"/>
              </w:rPr>
              <w:t>Haveli</w:t>
            </w:r>
          </w:p>
        </w:tc>
        <w:tc>
          <w:tcPr>
            <w:tcW w:w="2334" w:type="dxa"/>
          </w:tcPr>
          <w:p>
            <w:pPr>
              <w:pStyle w:val="TableParagraph"/>
              <w:spacing w:line="256" w:lineRule="exact"/>
              <w:ind w:left="108"/>
              <w:rPr>
                <w:sz w:val="24"/>
              </w:rPr>
            </w:pPr>
            <w:r>
              <w:rPr>
                <w:sz w:val="24"/>
              </w:rPr>
              <w:t>West </w:t>
            </w:r>
            <w:r>
              <w:rPr>
                <w:spacing w:val="-2"/>
                <w:sz w:val="24"/>
              </w:rPr>
              <w:t>Bengal</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z w:val="24"/>
              </w:rPr>
              <w:t>Goa,</w:t>
            </w:r>
            <w:r>
              <w:rPr>
                <w:spacing w:val="-3"/>
                <w:sz w:val="24"/>
              </w:rPr>
              <w:t> </w:t>
            </w:r>
            <w:r>
              <w:rPr>
                <w:sz w:val="24"/>
              </w:rPr>
              <w:t>Daman </w:t>
            </w:r>
            <w:r>
              <w:rPr>
                <w:spacing w:val="-5"/>
                <w:sz w:val="24"/>
              </w:rPr>
              <w:t>and</w:t>
            </w:r>
          </w:p>
        </w:tc>
        <w:tc>
          <w:tcPr>
            <w:tcW w:w="2334" w:type="dxa"/>
          </w:tcPr>
          <w:p>
            <w:pPr>
              <w:pStyle w:val="TableParagraph"/>
              <w:spacing w:line="256" w:lineRule="exact"/>
              <w:ind w:left="107"/>
              <w:rPr>
                <w:sz w:val="24"/>
              </w:rPr>
            </w:pPr>
            <w:r>
              <w:rPr>
                <w:sz w:val="24"/>
              </w:rPr>
              <w:t>A &amp; N </w:t>
            </w:r>
            <w:r>
              <w:rPr>
                <w:spacing w:val="-2"/>
                <w:sz w:val="24"/>
              </w:rPr>
              <w:t>Islands</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pacing w:val="-5"/>
                <w:sz w:val="24"/>
              </w:rPr>
              <w:t>Diu</w:t>
            </w:r>
          </w:p>
        </w:tc>
        <w:tc>
          <w:tcPr>
            <w:tcW w:w="2334" w:type="dxa"/>
          </w:tcPr>
          <w:p>
            <w:pPr>
              <w:pStyle w:val="TableParagraph"/>
              <w:spacing w:line="256" w:lineRule="exact"/>
              <w:ind w:left="108"/>
              <w:rPr>
                <w:sz w:val="24"/>
              </w:rPr>
            </w:pPr>
            <w:r>
              <w:rPr>
                <w:spacing w:val="-2"/>
                <w:sz w:val="24"/>
              </w:rPr>
              <w:t>Delhi</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spacing w:line="256" w:lineRule="exact"/>
              <w:ind w:left="468"/>
              <w:rPr>
                <w:sz w:val="24"/>
              </w:rPr>
            </w:pPr>
            <w:r>
              <w:rPr>
                <w:spacing w:val="-2"/>
                <w:sz w:val="24"/>
              </w:rPr>
              <w:t>Pondicherry</w:t>
            </w:r>
          </w:p>
        </w:tc>
        <w:tc>
          <w:tcPr>
            <w:tcW w:w="2334" w:type="dxa"/>
          </w:tcPr>
          <w:p>
            <w:pPr>
              <w:pStyle w:val="TableParagraph"/>
              <w:spacing w:line="256" w:lineRule="exact"/>
              <w:ind w:left="107"/>
              <w:rPr>
                <w:sz w:val="24"/>
              </w:rPr>
            </w:pPr>
            <w:r>
              <w:rPr>
                <w:sz w:val="24"/>
              </w:rPr>
              <w:t>Himachal</w:t>
            </w:r>
            <w:r>
              <w:rPr>
                <w:spacing w:val="-1"/>
                <w:sz w:val="24"/>
              </w:rPr>
              <w:t> </w:t>
            </w:r>
            <w:r>
              <w:rPr>
                <w:spacing w:val="-2"/>
                <w:sz w:val="24"/>
              </w:rPr>
              <w:t>Pradesh</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rPr>
                <w:sz w:val="20"/>
              </w:rPr>
            </w:pPr>
          </w:p>
        </w:tc>
        <w:tc>
          <w:tcPr>
            <w:tcW w:w="2334" w:type="dxa"/>
          </w:tcPr>
          <w:p>
            <w:pPr>
              <w:pStyle w:val="TableParagraph"/>
              <w:spacing w:line="256" w:lineRule="exact"/>
              <w:ind w:left="108"/>
              <w:rPr>
                <w:sz w:val="24"/>
              </w:rPr>
            </w:pPr>
            <w:r>
              <w:rPr>
                <w:sz w:val="24"/>
              </w:rPr>
              <w:t>L.M.A. </w:t>
            </w:r>
            <w:r>
              <w:rPr>
                <w:spacing w:val="-2"/>
                <w:sz w:val="24"/>
              </w:rPr>
              <w:t>Islands</w:t>
            </w:r>
          </w:p>
        </w:tc>
      </w:tr>
      <w:tr>
        <w:trPr>
          <w:trHeight w:val="275" w:hRule="atLeast"/>
        </w:trPr>
        <w:tc>
          <w:tcPr>
            <w:tcW w:w="2422" w:type="dxa"/>
          </w:tcPr>
          <w:p>
            <w:pPr>
              <w:pStyle w:val="TableParagraph"/>
              <w:rPr>
                <w:sz w:val="20"/>
              </w:rPr>
            </w:pPr>
          </w:p>
        </w:tc>
        <w:tc>
          <w:tcPr>
            <w:tcW w:w="1688" w:type="dxa"/>
          </w:tcPr>
          <w:p>
            <w:pPr>
              <w:pStyle w:val="TableParagraph"/>
              <w:rPr>
                <w:sz w:val="20"/>
              </w:rPr>
            </w:pPr>
          </w:p>
        </w:tc>
        <w:tc>
          <w:tcPr>
            <w:tcW w:w="2191" w:type="dxa"/>
          </w:tcPr>
          <w:p>
            <w:pPr>
              <w:pStyle w:val="TableParagraph"/>
              <w:rPr>
                <w:sz w:val="20"/>
              </w:rPr>
            </w:pPr>
          </w:p>
        </w:tc>
        <w:tc>
          <w:tcPr>
            <w:tcW w:w="2334" w:type="dxa"/>
          </w:tcPr>
          <w:p>
            <w:pPr>
              <w:pStyle w:val="TableParagraph"/>
              <w:spacing w:line="256" w:lineRule="exact"/>
              <w:ind w:left="108"/>
              <w:rPr>
                <w:sz w:val="24"/>
              </w:rPr>
            </w:pPr>
            <w:r>
              <w:rPr>
                <w:spacing w:val="-2"/>
                <w:sz w:val="24"/>
              </w:rPr>
              <w:t>Manipur</w:t>
            </w:r>
          </w:p>
        </w:tc>
      </w:tr>
      <w:tr>
        <w:trPr>
          <w:trHeight w:val="468" w:hRule="atLeast"/>
        </w:trPr>
        <w:tc>
          <w:tcPr>
            <w:tcW w:w="2422" w:type="dxa"/>
            <w:tcBorders>
              <w:bottom w:val="single" w:sz="12" w:space="0" w:color="808080"/>
            </w:tcBorders>
          </w:tcPr>
          <w:p>
            <w:pPr>
              <w:pStyle w:val="TableParagraph"/>
              <w:rPr>
                <w:sz w:val="24"/>
              </w:rPr>
            </w:pPr>
          </w:p>
        </w:tc>
        <w:tc>
          <w:tcPr>
            <w:tcW w:w="1688" w:type="dxa"/>
            <w:tcBorders>
              <w:bottom w:val="single" w:sz="12" w:space="0" w:color="808080"/>
            </w:tcBorders>
          </w:tcPr>
          <w:p>
            <w:pPr>
              <w:pStyle w:val="TableParagraph"/>
              <w:rPr>
                <w:sz w:val="24"/>
              </w:rPr>
            </w:pPr>
          </w:p>
        </w:tc>
        <w:tc>
          <w:tcPr>
            <w:tcW w:w="2191" w:type="dxa"/>
            <w:tcBorders>
              <w:bottom w:val="single" w:sz="12" w:space="0" w:color="808080"/>
            </w:tcBorders>
          </w:tcPr>
          <w:p>
            <w:pPr>
              <w:pStyle w:val="TableParagraph"/>
              <w:rPr>
                <w:sz w:val="24"/>
              </w:rPr>
            </w:pPr>
          </w:p>
        </w:tc>
        <w:tc>
          <w:tcPr>
            <w:tcW w:w="2334" w:type="dxa"/>
            <w:tcBorders>
              <w:bottom w:val="single" w:sz="12" w:space="0" w:color="808080"/>
            </w:tcBorders>
          </w:tcPr>
          <w:p>
            <w:pPr>
              <w:pStyle w:val="TableParagraph"/>
              <w:spacing w:line="271" w:lineRule="exact"/>
              <w:ind w:left="108"/>
              <w:rPr>
                <w:sz w:val="24"/>
              </w:rPr>
            </w:pPr>
            <w:r>
              <w:rPr/>
              <mc:AlternateContent>
                <mc:Choice Requires="wps">
                  <w:drawing>
                    <wp:anchor distT="0" distB="0" distL="0" distR="0" allowOverlap="1" layoutInCell="1" locked="0" behindDoc="0" simplePos="0" relativeHeight="15780352">
                      <wp:simplePos x="0" y="0"/>
                      <wp:positionH relativeFrom="column">
                        <wp:posOffset>1479645</wp:posOffset>
                      </wp:positionH>
                      <wp:positionV relativeFrom="paragraph">
                        <wp:posOffset>297546</wp:posOffset>
                      </wp:positionV>
                      <wp:extent cx="3175" cy="16510"/>
                      <wp:effectExtent l="0" t="0" r="0" b="0"/>
                      <wp:wrapNone/>
                      <wp:docPr id="564" name="Group 564"/>
                      <wp:cNvGraphicFramePr>
                        <a:graphicFrameLocks/>
                      </wp:cNvGraphicFramePr>
                      <a:graphic>
                        <a:graphicData uri="http://schemas.microsoft.com/office/word/2010/wordprocessingGroup">
                          <wpg:wgp>
                            <wpg:cNvPr id="564" name="Group 564"/>
                            <wpg:cNvGrpSpPr/>
                            <wpg:grpSpPr>
                              <a:xfrm>
                                <a:off x="0" y="0"/>
                                <a:ext cx="3175" cy="16510"/>
                                <a:chExt cx="3175" cy="16510"/>
                              </a:xfrm>
                            </wpg:grpSpPr>
                            <wps:wsp>
                              <wps:cNvPr id="565" name="Graphic 565"/>
                              <wps:cNvSpPr/>
                              <wps:spPr>
                                <a:xfrm>
                                  <a:off x="0" y="12"/>
                                  <a:ext cx="3175" cy="16510"/>
                                </a:xfrm>
                                <a:custGeom>
                                  <a:avLst/>
                                  <a:gdLst/>
                                  <a:ahLst/>
                                  <a:cxnLst/>
                                  <a:rect l="l" t="t" r="r" b="b"/>
                                  <a:pathLst>
                                    <a:path w="3175" h="16510">
                                      <a:moveTo>
                                        <a:pt x="3035" y="3048"/>
                                      </a:moveTo>
                                      <a:lnTo>
                                        <a:pt x="0" y="3048"/>
                                      </a:lnTo>
                                      <a:lnTo>
                                        <a:pt x="0" y="15989"/>
                                      </a:lnTo>
                                      <a:lnTo>
                                        <a:pt x="3035" y="15989"/>
                                      </a:lnTo>
                                      <a:lnTo>
                                        <a:pt x="3035" y="3048"/>
                                      </a:lnTo>
                                      <a:close/>
                                    </a:path>
                                    <a:path w="3175" h="16510">
                                      <a:moveTo>
                                        <a:pt x="3035" y="0"/>
                                      </a:moveTo>
                                      <a:lnTo>
                                        <a:pt x="0" y="0"/>
                                      </a:lnTo>
                                      <a:lnTo>
                                        <a:pt x="0" y="3035"/>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16.5075pt;margin-top:23.428839pt;width:.25pt;height:1.3pt;mso-position-horizontal-relative:column;mso-position-vertical-relative:paragraph;z-index:15780352" id="docshapegroup542" coordorigin="2330,469" coordsize="5,26">
                      <v:shape style="position:absolute;left:2330;top:468;width:5;height:26" id="docshape543" coordorigin="2330,469" coordsize="5,26" path="m2335,473l2330,473,2330,494,2335,494,2335,473xm2335,469l2330,469,2330,473,2335,473,2335,469xe" filled="true" fillcolor="#f1efe2" stroked="false">
                        <v:path arrowok="t"/>
                        <v:fill type="solid"/>
                      </v:shape>
                      <w10:wrap type="none"/>
                    </v:group>
                  </w:pict>
                </mc:Fallback>
              </mc:AlternateContent>
            </w:r>
            <w:r>
              <w:rPr>
                <w:spacing w:val="-2"/>
                <w:sz w:val="24"/>
              </w:rPr>
              <w:t>Tripura</w:t>
            </w:r>
          </w:p>
        </w:tc>
      </w:tr>
      <w:tr>
        <w:trPr>
          <w:trHeight w:val="324" w:hRule="atLeast"/>
        </w:trPr>
        <w:tc>
          <w:tcPr>
            <w:tcW w:w="2422" w:type="dxa"/>
            <w:tcBorders>
              <w:top w:val="single" w:sz="12" w:space="0" w:color="808080"/>
            </w:tcBorders>
          </w:tcPr>
          <w:p>
            <w:pPr>
              <w:pStyle w:val="TableParagraph"/>
              <w:spacing w:line="256" w:lineRule="exact" w:before="48"/>
              <w:ind w:left="-3"/>
              <w:rPr>
                <w:sz w:val="24"/>
              </w:rPr>
            </w:pPr>
            <w:r>
              <w:rPr>
                <w:spacing w:val="-10"/>
                <w:sz w:val="24"/>
              </w:rPr>
              <w:t>A</w:t>
            </w:r>
          </w:p>
        </w:tc>
        <w:tc>
          <w:tcPr>
            <w:tcW w:w="1688" w:type="dxa"/>
            <w:tcBorders>
              <w:top w:val="single" w:sz="12" w:space="0" w:color="808080"/>
            </w:tcBorders>
          </w:tcPr>
          <w:p>
            <w:pPr>
              <w:pStyle w:val="TableParagraph"/>
              <w:rPr>
                <w:sz w:val="24"/>
              </w:rPr>
            </w:pPr>
          </w:p>
        </w:tc>
        <w:tc>
          <w:tcPr>
            <w:tcW w:w="2191" w:type="dxa"/>
            <w:tcBorders>
              <w:top w:val="single" w:sz="12" w:space="0" w:color="808080"/>
            </w:tcBorders>
          </w:tcPr>
          <w:p>
            <w:pPr>
              <w:pStyle w:val="TableParagraph"/>
              <w:rPr>
                <w:sz w:val="24"/>
              </w:rPr>
            </w:pPr>
          </w:p>
        </w:tc>
        <w:tc>
          <w:tcPr>
            <w:tcW w:w="2334" w:type="dxa"/>
            <w:tcBorders>
              <w:top w:val="single" w:sz="12" w:space="0" w:color="808080"/>
            </w:tcBorders>
          </w:tcPr>
          <w:p>
            <w:pPr>
              <w:pStyle w:val="TableParagraph"/>
              <w:rPr>
                <w:sz w:val="24"/>
              </w:rPr>
            </w:pPr>
          </w:p>
        </w:tc>
      </w:tr>
    </w:tbl>
    <w:p>
      <w:pPr>
        <w:pStyle w:val="BodyText"/>
      </w:pPr>
    </w:p>
    <w:p>
      <w:pPr>
        <w:pStyle w:val="BodyText"/>
        <w:spacing w:before="20"/>
      </w:pPr>
    </w:p>
    <w:p>
      <w:pPr>
        <w:pStyle w:val="BodyText"/>
        <w:ind w:left="159" w:right="495"/>
        <w:jc w:val="both"/>
      </w:pPr>
      <w:r>
        <w:rPr/>
        <mc:AlternateContent>
          <mc:Choice Requires="wps">
            <w:drawing>
              <wp:anchor distT="0" distB="0" distL="0" distR="0" allowOverlap="1" layoutInCell="1" locked="0" behindDoc="0" simplePos="0" relativeHeight="15780864">
                <wp:simplePos x="0" y="0"/>
                <wp:positionH relativeFrom="page">
                  <wp:posOffset>1143000</wp:posOffset>
                </wp:positionH>
                <wp:positionV relativeFrom="paragraph">
                  <wp:posOffset>-575152</wp:posOffset>
                </wp:positionV>
                <wp:extent cx="3175" cy="13335"/>
                <wp:effectExtent l="0" t="0" r="0" b="0"/>
                <wp:wrapNone/>
                <wp:docPr id="566" name="Graphic 566"/>
                <wp:cNvGraphicFramePr>
                  <a:graphicFrameLocks/>
                </wp:cNvGraphicFramePr>
                <a:graphic>
                  <a:graphicData uri="http://schemas.microsoft.com/office/word/2010/wordprocessingShape">
                    <wps:wsp>
                      <wps:cNvPr id="566" name="Graphic 566"/>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45.28756pt;width:.24001pt;height:1.02pt;mso-position-horizontal-relative:page;mso-position-vertical-relative:paragraph;z-index:15780864" id="docshape544" filled="true" fillcolor="#aca89a" stroked="false">
                <v:fill type="solid"/>
                <w10:wrap type="none"/>
              </v:rect>
            </w:pict>
          </mc:Fallback>
        </mc:AlternateContent>
      </w:r>
      <w:r>
        <w:rPr>
          <w:b/>
        </w:rPr>
        <w:t>Explanatory</w:t>
      </w:r>
      <w:r>
        <w:rPr>
          <w:b/>
          <w:spacing w:val="-2"/>
        </w:rPr>
        <w:t> </w:t>
      </w:r>
      <w:r>
        <w:rPr>
          <w:b/>
        </w:rPr>
        <w:t>Note.</w:t>
      </w:r>
      <w:r>
        <w:rPr>
          <w:b/>
          <w:spacing w:val="-2"/>
        </w:rPr>
        <w:t> </w:t>
      </w:r>
      <w:r>
        <w:rPr/>
        <w:t>(i)</w:t>
      </w:r>
      <w:r>
        <w:rPr>
          <w:spacing w:val="-2"/>
        </w:rPr>
        <w:t> </w:t>
      </w:r>
      <w:r>
        <w:rPr/>
        <w:t>The</w:t>
      </w:r>
      <w:r>
        <w:rPr>
          <w:spacing w:val="-2"/>
        </w:rPr>
        <w:t> </w:t>
      </w:r>
      <w:r>
        <w:rPr/>
        <w:t>chart</w:t>
      </w:r>
      <w:r>
        <w:rPr>
          <w:spacing w:val="-2"/>
        </w:rPr>
        <w:t> </w:t>
      </w:r>
      <w:r>
        <w:rPr/>
        <w:t>given</w:t>
      </w:r>
      <w:r>
        <w:rPr>
          <w:spacing w:val="-2"/>
        </w:rPr>
        <w:t> </w:t>
      </w:r>
      <w:r>
        <w:rPr/>
        <w:t>above</w:t>
      </w:r>
      <w:r>
        <w:rPr>
          <w:spacing w:val="-2"/>
        </w:rPr>
        <w:t> </w:t>
      </w:r>
      <w:r>
        <w:rPr/>
        <w:t>shows</w:t>
      </w:r>
      <w:r>
        <w:rPr>
          <w:spacing w:val="-2"/>
        </w:rPr>
        <w:t> </w:t>
      </w:r>
      <w:r>
        <w:rPr/>
        <w:t>the</w:t>
      </w:r>
      <w:r>
        <w:rPr>
          <w:spacing w:val="-2"/>
        </w:rPr>
        <w:t> </w:t>
      </w:r>
      <w:r>
        <w:rPr/>
        <w:t>position</w:t>
      </w:r>
      <w:r>
        <w:rPr>
          <w:spacing w:val="-2"/>
        </w:rPr>
        <w:t> </w:t>
      </w:r>
      <w:r>
        <w:rPr/>
        <w:t>in</w:t>
      </w:r>
      <w:r>
        <w:rPr>
          <w:spacing w:val="-2"/>
        </w:rPr>
        <w:t> </w:t>
      </w:r>
      <w:r>
        <w:rPr/>
        <w:t>1965-66.</w:t>
      </w:r>
      <w:r>
        <w:rPr>
          <w:spacing w:val="-2"/>
        </w:rPr>
        <w:t> </w:t>
      </w:r>
      <w:r>
        <w:rPr/>
        <w:t>It</w:t>
      </w:r>
      <w:r>
        <w:rPr>
          <w:spacing w:val="-2"/>
        </w:rPr>
        <w:t> </w:t>
      </w:r>
      <w:r>
        <w:rPr/>
        <w:t>has</w:t>
      </w:r>
      <w:r>
        <w:rPr>
          <w:spacing w:val="-2"/>
        </w:rPr>
        <w:t> </w:t>
      </w:r>
      <w:r>
        <w:rPr/>
        <w:t>varied from time to time. In tabulating enrolment, the position as it was in the year concerned, has been adopted.</w:t>
      </w:r>
    </w:p>
    <w:p>
      <w:pPr>
        <w:pStyle w:val="BodyText"/>
        <w:spacing w:before="3"/>
      </w:pPr>
    </w:p>
    <w:p>
      <w:pPr>
        <w:pStyle w:val="BodyText"/>
        <w:ind w:left="159" w:right="497"/>
        <w:jc w:val="both"/>
      </w:pPr>
      <w:r>
        <w:rPr/>
        <w:t>(ii)</w:t>
      </w:r>
      <w:r>
        <w:rPr>
          <w:spacing w:val="-1"/>
        </w:rPr>
        <w:t> </w:t>
      </w:r>
      <w:r>
        <w:rPr/>
        <w:t>There</w:t>
      </w:r>
      <w:r>
        <w:rPr>
          <w:spacing w:val="-1"/>
        </w:rPr>
        <w:t> </w:t>
      </w:r>
      <w:r>
        <w:rPr/>
        <w:t>is</w:t>
      </w:r>
      <w:r>
        <w:rPr>
          <w:spacing w:val="-1"/>
        </w:rPr>
        <w:t> </w:t>
      </w:r>
      <w:r>
        <w:rPr/>
        <w:t>no</w:t>
      </w:r>
      <w:r>
        <w:rPr>
          <w:spacing w:val="-1"/>
        </w:rPr>
        <w:t> </w:t>
      </w:r>
      <w:r>
        <w:rPr/>
        <w:t>public</w:t>
      </w:r>
      <w:r>
        <w:rPr>
          <w:spacing w:val="-1"/>
        </w:rPr>
        <w:t> </w:t>
      </w:r>
      <w:r>
        <w:rPr/>
        <w:t>examination</w:t>
      </w:r>
      <w:r>
        <w:rPr>
          <w:spacing w:val="-1"/>
        </w:rPr>
        <w:t> </w:t>
      </w:r>
      <w:r>
        <w:rPr/>
        <w:t>at</w:t>
      </w:r>
      <w:r>
        <w:rPr>
          <w:spacing w:val="-1"/>
        </w:rPr>
        <w:t> </w:t>
      </w:r>
      <w:r>
        <w:rPr/>
        <w:t>the</w:t>
      </w:r>
      <w:r>
        <w:rPr>
          <w:spacing w:val="-1"/>
        </w:rPr>
        <w:t> </w:t>
      </w:r>
      <w:r>
        <w:rPr/>
        <w:t>end</w:t>
      </w:r>
      <w:r>
        <w:rPr>
          <w:spacing w:val="-1"/>
        </w:rPr>
        <w:t> </w:t>
      </w:r>
      <w:r>
        <w:rPr/>
        <w:t>of</w:t>
      </w:r>
      <w:r>
        <w:rPr>
          <w:spacing w:val="-1"/>
        </w:rPr>
        <w:t> </w:t>
      </w:r>
      <w:r>
        <w:rPr/>
        <w:t>Class</w:t>
      </w:r>
      <w:r>
        <w:rPr>
          <w:spacing w:val="-1"/>
        </w:rPr>
        <w:t> </w:t>
      </w:r>
      <w:r>
        <w:rPr/>
        <w:t>X</w:t>
      </w:r>
      <w:r>
        <w:rPr>
          <w:spacing w:val="-1"/>
        </w:rPr>
        <w:t> </w:t>
      </w:r>
      <w:r>
        <w:rPr/>
        <w:t>in</w:t>
      </w:r>
      <w:r>
        <w:rPr>
          <w:spacing w:val="-1"/>
        </w:rPr>
        <w:t> </w:t>
      </w:r>
      <w:r>
        <w:rPr/>
        <w:t>Madhya</w:t>
      </w:r>
      <w:r>
        <w:rPr>
          <w:spacing w:val="-1"/>
        </w:rPr>
        <w:t> </w:t>
      </w:r>
      <w:r>
        <w:rPr/>
        <w:t>Pradesh,</w:t>
      </w:r>
      <w:r>
        <w:rPr>
          <w:spacing w:val="-1"/>
        </w:rPr>
        <w:t> </w:t>
      </w:r>
      <w:r>
        <w:rPr/>
        <w:t>Delhi</w:t>
      </w:r>
      <w:r>
        <w:rPr>
          <w:spacing w:val="-1"/>
        </w:rPr>
        <w:t> </w:t>
      </w:r>
      <w:r>
        <w:rPr/>
        <w:t>and</w:t>
      </w:r>
      <w:r>
        <w:rPr>
          <w:spacing w:val="-1"/>
        </w:rPr>
        <w:t> </w:t>
      </w:r>
      <w:r>
        <w:rPr/>
        <w:t>A &amp; N Islands. But the higher secondary examination in these areas, which is held at the</w:t>
      </w:r>
      <w:r>
        <w:rPr>
          <w:spacing w:val="40"/>
        </w:rPr>
        <w:t> </w:t>
      </w:r>
      <w:r>
        <w:rPr/>
        <w:t>end of Class XI, leads to the three-year degree course. We have, therefore, equated Class X in these areas with the class leading to the high school examination in other States.</w:t>
      </w:r>
    </w:p>
    <w:p>
      <w:pPr>
        <w:pStyle w:val="BodyText"/>
        <w:spacing w:before="5"/>
      </w:pPr>
    </w:p>
    <w:p>
      <w:pPr>
        <w:pStyle w:val="BodyText"/>
        <w:ind w:left="159" w:right="496"/>
        <w:jc w:val="both"/>
      </w:pPr>
      <w:r>
        <w:rPr/>
        <w:t>AI.03. In the school stage ending with the high school, the total duration of schooling is 12 years in one group of States and Union Territories, 11 years in another group, and 10 years in the third group.</w:t>
      </w:r>
    </w:p>
    <w:p>
      <w:pPr>
        <w:pStyle w:val="BodyText"/>
        <w:spacing w:before="3"/>
      </w:pPr>
    </w:p>
    <w:p>
      <w:pPr>
        <w:pStyle w:val="BodyText"/>
        <w:ind w:left="159" w:right="496"/>
        <w:jc w:val="both"/>
      </w:pPr>
      <w:r>
        <w:rPr/>
        <w:t>AI.04. The central point in this proposal is to treat the public examination at the end of</w:t>
      </w:r>
      <w:r>
        <w:rPr>
          <w:spacing w:val="40"/>
        </w:rPr>
        <w:t> </w:t>
      </w:r>
      <w:r>
        <w:rPr/>
        <w:t>the high school stage (which is Class X in some States and Class XI in others) as equivalent and to go downwards, equating each successive class in school education and also upwards, equating each successive year in higher education.</w:t>
      </w:r>
    </w:p>
    <w:p>
      <w:pPr>
        <w:pStyle w:val="BodyText"/>
        <w:spacing w:before="4"/>
      </w:pPr>
    </w:p>
    <w:p>
      <w:pPr>
        <w:pStyle w:val="BodyText"/>
        <w:ind w:left="159" w:right="497"/>
        <w:jc w:val="both"/>
      </w:pPr>
      <w:r>
        <w:rPr/>
        <w:t>In the enrolment statistics given in the Report, the equation of school classes is as</w:t>
      </w:r>
      <w:r>
        <w:rPr>
          <w:spacing w:val="40"/>
        </w:rPr>
        <w:t> </w:t>
      </w:r>
      <w:r>
        <w:rPr>
          <w:spacing w:val="-2"/>
        </w:rPr>
        <w:t>follows:</w:t>
      </w:r>
    </w:p>
    <w:p>
      <w:pPr>
        <w:spacing w:after="0"/>
        <w:jc w:val="both"/>
        <w:sectPr>
          <w:pgSz w:w="12240" w:h="15840"/>
          <w:pgMar w:header="0" w:footer="743" w:top="1420" w:bottom="940" w:left="1640" w:right="1300"/>
        </w:sectPr>
      </w:pPr>
    </w:p>
    <w:p>
      <w:pPr>
        <w:pStyle w:val="BodyText"/>
        <w:spacing w:before="3"/>
        <w:rPr>
          <w:sz w:val="2"/>
        </w:rPr>
      </w:pPr>
      <w:r>
        <w:rPr/>
        <mc:AlternateContent>
          <mc:Choice Requires="wps">
            <w:drawing>
              <wp:anchor distT="0" distB="0" distL="0" distR="0" allowOverlap="1" layoutInCell="1" locked="0" behindDoc="0" simplePos="0" relativeHeight="15782912">
                <wp:simplePos x="0" y="0"/>
                <wp:positionH relativeFrom="page">
                  <wp:posOffset>1143000</wp:posOffset>
                </wp:positionH>
                <wp:positionV relativeFrom="page">
                  <wp:posOffset>1216152</wp:posOffset>
                </wp:positionV>
                <wp:extent cx="3175" cy="13335"/>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95.760002pt;width:.24001pt;height:1.02pt;mso-position-horizontal-relative:page;mso-position-vertical-relative:page;z-index:15782912" id="docshape545" filled="true" fillcolor="#aca89a" stroked="false">
                <v:fill type="solid"/>
                <w10:wrap type="none"/>
              </v:rect>
            </w:pict>
          </mc:Fallback>
        </mc:AlternateContent>
      </w:r>
      <w:r>
        <w:rPr/>
        <mc:AlternateContent>
          <mc:Choice Requires="wps">
            <w:drawing>
              <wp:anchor distT="0" distB="0" distL="0" distR="0" allowOverlap="1" layoutInCell="1" locked="0" behindDoc="0" simplePos="0" relativeHeight="15783936">
                <wp:simplePos x="0" y="0"/>
                <wp:positionH relativeFrom="page">
                  <wp:posOffset>1143000</wp:posOffset>
                </wp:positionH>
                <wp:positionV relativeFrom="page">
                  <wp:posOffset>1566672</wp:posOffset>
                </wp:positionV>
                <wp:extent cx="3175" cy="13335"/>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123.360001pt;width:.24001pt;height:1.02pt;mso-position-horizontal-relative:page;mso-position-vertical-relative:page;z-index:15783936" id="docshape546" filled="true" fillcolor="#aca89a" stroked="false">
                <v:fill type="solid"/>
                <w10:wrap type="none"/>
              </v:rect>
            </w:pict>
          </mc:Fallback>
        </mc:AlternateContent>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2"/>
        <w:gridCol w:w="1759"/>
        <w:gridCol w:w="3417"/>
      </w:tblGrid>
      <w:tr>
        <w:trPr>
          <w:trHeight w:val="463" w:hRule="atLeast"/>
        </w:trPr>
        <w:tc>
          <w:tcPr>
            <w:tcW w:w="3462" w:type="dxa"/>
            <w:tcBorders>
              <w:bottom w:val="single" w:sz="12" w:space="0" w:color="808080"/>
            </w:tcBorders>
          </w:tcPr>
          <w:p>
            <w:pPr>
              <w:pStyle w:val="TableParagraph"/>
              <w:rPr>
                <w:sz w:val="22"/>
              </w:rPr>
            </w:pPr>
          </w:p>
        </w:tc>
        <w:tc>
          <w:tcPr>
            <w:tcW w:w="1759" w:type="dxa"/>
            <w:tcBorders>
              <w:bottom w:val="single" w:sz="12" w:space="0" w:color="808080"/>
            </w:tcBorders>
          </w:tcPr>
          <w:p>
            <w:pPr>
              <w:pStyle w:val="TableParagraph"/>
              <w:spacing w:line="266" w:lineRule="exact"/>
              <w:ind w:left="221"/>
              <w:rPr>
                <w:sz w:val="24"/>
              </w:rPr>
            </w:pPr>
            <w:r>
              <w:rPr>
                <w:sz w:val="24"/>
              </w:rPr>
              <w:t>TABLE</w:t>
            </w:r>
            <w:r>
              <w:rPr>
                <w:spacing w:val="-5"/>
                <w:sz w:val="24"/>
              </w:rPr>
              <w:t> </w:t>
            </w:r>
            <w:r>
              <w:rPr>
                <w:spacing w:val="-4"/>
                <w:sz w:val="24"/>
              </w:rPr>
              <w:t>AI.2</w:t>
            </w:r>
          </w:p>
        </w:tc>
        <w:tc>
          <w:tcPr>
            <w:tcW w:w="3417" w:type="dxa"/>
            <w:tcBorders>
              <w:bottom w:val="single" w:sz="12" w:space="0" w:color="808080"/>
            </w:tcBorders>
          </w:tcPr>
          <w:p>
            <w:pPr>
              <w:pStyle w:val="TableParagraph"/>
              <w:rPr>
                <w:sz w:val="22"/>
              </w:rPr>
            </w:pPr>
          </w:p>
        </w:tc>
      </w:tr>
      <w:tr>
        <w:trPr>
          <w:trHeight w:val="522" w:hRule="atLeast"/>
        </w:trPr>
        <w:tc>
          <w:tcPr>
            <w:tcW w:w="3462" w:type="dxa"/>
            <w:tcBorders>
              <w:top w:val="single" w:sz="12" w:space="0" w:color="808080"/>
              <w:bottom w:val="single" w:sz="12" w:space="0" w:color="808080"/>
            </w:tcBorders>
          </w:tcPr>
          <w:p>
            <w:pPr>
              <w:pStyle w:val="TableParagraph"/>
              <w:spacing w:before="48"/>
              <w:ind w:left="-3"/>
              <w:rPr>
                <w:sz w:val="24"/>
              </w:rPr>
            </w:pPr>
            <w:r>
              <w:rPr>
                <w:sz w:val="24"/>
              </w:rPr>
              <w:t>Class</w:t>
            </w:r>
            <w:r>
              <w:rPr>
                <w:spacing w:val="-2"/>
                <w:sz w:val="24"/>
              </w:rPr>
              <w:t> </w:t>
            </w:r>
            <w:r>
              <w:rPr>
                <w:sz w:val="24"/>
              </w:rPr>
              <w:t>in</w:t>
            </w:r>
            <w:r>
              <w:rPr>
                <w:spacing w:val="-2"/>
                <w:sz w:val="24"/>
              </w:rPr>
              <w:t> </w:t>
            </w:r>
            <w:r>
              <w:rPr>
                <w:sz w:val="24"/>
              </w:rPr>
              <w:t>the</w:t>
            </w:r>
            <w:r>
              <w:rPr>
                <w:spacing w:val="-2"/>
                <w:sz w:val="24"/>
              </w:rPr>
              <w:t> </w:t>
            </w:r>
            <w:r>
              <w:rPr>
                <w:sz w:val="24"/>
              </w:rPr>
              <w:t>Commission's</w:t>
            </w:r>
            <w:r>
              <w:rPr>
                <w:spacing w:val="-2"/>
                <w:sz w:val="24"/>
              </w:rPr>
              <w:t> Report</w:t>
            </w:r>
          </w:p>
        </w:tc>
        <w:tc>
          <w:tcPr>
            <w:tcW w:w="1759" w:type="dxa"/>
            <w:tcBorders>
              <w:top w:val="single" w:sz="12" w:space="0" w:color="808080"/>
              <w:bottom w:val="single" w:sz="12" w:space="0" w:color="808080"/>
            </w:tcBorders>
          </w:tcPr>
          <w:p>
            <w:pPr>
              <w:pStyle w:val="TableParagraph"/>
              <w:rPr>
                <w:sz w:val="22"/>
              </w:rPr>
            </w:pPr>
          </w:p>
        </w:tc>
        <w:tc>
          <w:tcPr>
            <w:tcW w:w="3417" w:type="dxa"/>
            <w:tcBorders>
              <w:top w:val="single" w:sz="12" w:space="0" w:color="808080"/>
              <w:bottom w:val="single" w:sz="12" w:space="0" w:color="808080"/>
            </w:tcBorders>
          </w:tcPr>
          <w:p>
            <w:pPr>
              <w:pStyle w:val="TableParagraph"/>
              <w:spacing w:before="48"/>
              <w:ind w:left="272"/>
              <w:rPr>
                <w:sz w:val="24"/>
              </w:rPr>
            </w:pPr>
            <w:r>
              <w:rPr/>
              <mc:AlternateContent>
                <mc:Choice Requires="wps">
                  <w:drawing>
                    <wp:anchor distT="0" distB="0" distL="0" distR="0" allowOverlap="1" layoutInCell="1" locked="0" behindDoc="0" simplePos="0" relativeHeight="15782400">
                      <wp:simplePos x="0" y="0"/>
                      <wp:positionH relativeFrom="column">
                        <wp:posOffset>2166719</wp:posOffset>
                      </wp:positionH>
                      <wp:positionV relativeFrom="paragraph">
                        <wp:posOffset>-19264</wp:posOffset>
                      </wp:positionV>
                      <wp:extent cx="3175" cy="16510"/>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3175" cy="16510"/>
                                <a:chExt cx="3175" cy="16510"/>
                              </a:xfrm>
                            </wpg:grpSpPr>
                            <wps:wsp>
                              <wps:cNvPr id="570" name="Graphic 570"/>
                              <wps:cNvSpPr/>
                              <wps:spPr>
                                <a:xfrm>
                                  <a:off x="0" y="12"/>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70.607819pt;margin-top:-1.51688pt;width:.25pt;height:1.3pt;mso-position-horizontal-relative:column;mso-position-vertical-relative:paragraph;z-index:15782400" id="docshapegroup547" coordorigin="3412,-30" coordsize="5,26">
                      <v:shape style="position:absolute;left:3412;top:-31;width:5;height:26" id="docshape548" coordorigin="3412,-30" coordsize="5,26" path="m3417,-30l3412,-30,3412,-26,3412,-5,3417,-5,3417,-26,3417,-30xe" filled="true" fillcolor="#f1efe2" stroked="false">
                        <v:path arrowok="t"/>
                        <v:fill type="solid"/>
                      </v:shape>
                      <w10:wrap type="none"/>
                    </v:group>
                  </w:pict>
                </mc:Fallback>
              </mc:AlternateContent>
            </w:r>
            <w:r>
              <w:rPr>
                <w:sz w:val="24"/>
              </w:rPr>
              <w:t>Equated </w:t>
            </w:r>
            <w:r>
              <w:rPr>
                <w:spacing w:val="-4"/>
                <w:sz w:val="24"/>
              </w:rPr>
              <w:t>with</w:t>
            </w:r>
          </w:p>
        </w:tc>
      </w:tr>
      <w:tr>
        <w:trPr>
          <w:trHeight w:val="1295" w:hRule="atLeast"/>
        </w:trPr>
        <w:tc>
          <w:tcPr>
            <w:tcW w:w="3462" w:type="dxa"/>
            <w:tcBorders>
              <w:top w:val="single" w:sz="12" w:space="0" w:color="808080"/>
            </w:tcBorders>
          </w:tcPr>
          <w:p>
            <w:pPr>
              <w:pStyle w:val="TableParagraph"/>
              <w:spacing w:before="48"/>
              <w:ind w:left="-3"/>
              <w:rPr>
                <w:sz w:val="24"/>
              </w:rPr>
            </w:pPr>
            <w:r>
              <w:rPr>
                <w:sz w:val="24"/>
              </w:rPr>
              <w:t>Pre-Primary</w:t>
            </w:r>
            <w:r>
              <w:rPr>
                <w:spacing w:val="-2"/>
                <w:sz w:val="24"/>
              </w:rPr>
              <w:t> Stage</w:t>
            </w:r>
          </w:p>
        </w:tc>
        <w:tc>
          <w:tcPr>
            <w:tcW w:w="1759" w:type="dxa"/>
            <w:tcBorders>
              <w:top w:val="single" w:sz="12" w:space="0" w:color="808080"/>
            </w:tcBorders>
          </w:tcPr>
          <w:p>
            <w:pPr>
              <w:pStyle w:val="TableParagraph"/>
              <w:rPr>
                <w:sz w:val="22"/>
              </w:rPr>
            </w:pPr>
          </w:p>
        </w:tc>
        <w:tc>
          <w:tcPr>
            <w:tcW w:w="3417" w:type="dxa"/>
            <w:tcBorders>
              <w:top w:val="single" w:sz="12" w:space="0" w:color="808080"/>
            </w:tcBorders>
          </w:tcPr>
          <w:p>
            <w:pPr>
              <w:pStyle w:val="TableParagraph"/>
              <w:spacing w:before="48"/>
              <w:ind w:left="272" w:right="725" w:hanging="3"/>
              <w:rPr>
                <w:sz w:val="24"/>
              </w:rPr>
            </w:pPr>
            <w:r>
              <w:rPr/>
              <mc:AlternateContent>
                <mc:Choice Requires="wps">
                  <w:drawing>
                    <wp:anchor distT="0" distB="0" distL="0" distR="0" allowOverlap="1" layoutInCell="1" locked="0" behindDoc="0" simplePos="0" relativeHeight="15783424">
                      <wp:simplePos x="0" y="0"/>
                      <wp:positionH relativeFrom="column">
                        <wp:posOffset>2166719</wp:posOffset>
                      </wp:positionH>
                      <wp:positionV relativeFrom="paragraph">
                        <wp:posOffset>-19264</wp:posOffset>
                      </wp:positionV>
                      <wp:extent cx="3175" cy="16510"/>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3175" cy="16510"/>
                                <a:chExt cx="3175" cy="16510"/>
                              </a:xfrm>
                            </wpg:grpSpPr>
                            <wps:wsp>
                              <wps:cNvPr id="572" name="Graphic 572"/>
                              <wps:cNvSpPr/>
                              <wps:spPr>
                                <a:xfrm>
                                  <a:off x="0" y="12"/>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70.607819pt;margin-top:-1.516855pt;width:.25pt;height:1.3pt;mso-position-horizontal-relative:column;mso-position-vertical-relative:paragraph;z-index:15783424" id="docshapegroup549" coordorigin="3412,-30" coordsize="5,26">
                      <v:shape style="position:absolute;left:3412;top:-31;width:5;height:26" id="docshape550" coordorigin="3412,-30" coordsize="5,26" path="m3417,-30l3412,-30,3412,-26,3412,-5,3417,-5,3417,-26,3417,-30xe" filled="true" fillcolor="#f1efe2" stroked="false">
                        <v:path arrowok="t"/>
                        <v:fill type="solid"/>
                      </v:shape>
                      <w10:wrap type="none"/>
                    </v:group>
                  </w:pict>
                </mc:Fallback>
              </mc:AlternateContent>
            </w:r>
            <w:r>
              <w:rPr>
                <w:sz w:val="24"/>
              </w:rPr>
              <w:t>Infant</w:t>
            </w:r>
            <w:r>
              <w:rPr>
                <w:spacing w:val="-8"/>
                <w:sz w:val="24"/>
              </w:rPr>
              <w:t> </w:t>
            </w:r>
            <w:r>
              <w:rPr>
                <w:sz w:val="24"/>
              </w:rPr>
              <w:t>A</w:t>
            </w:r>
            <w:r>
              <w:rPr>
                <w:spacing w:val="-8"/>
                <w:sz w:val="24"/>
              </w:rPr>
              <w:t> </w:t>
            </w:r>
            <w:r>
              <w:rPr>
                <w:sz w:val="24"/>
              </w:rPr>
              <w:t>and</w:t>
            </w:r>
            <w:r>
              <w:rPr>
                <w:spacing w:val="-8"/>
                <w:sz w:val="24"/>
              </w:rPr>
              <w:t> </w:t>
            </w:r>
            <w:r>
              <w:rPr>
                <w:sz w:val="24"/>
              </w:rPr>
              <w:t>B</w:t>
            </w:r>
            <w:r>
              <w:rPr>
                <w:spacing w:val="-8"/>
                <w:sz w:val="24"/>
              </w:rPr>
              <w:t> </w:t>
            </w:r>
            <w:r>
              <w:rPr>
                <w:sz w:val="24"/>
              </w:rPr>
              <w:t>in</w:t>
            </w:r>
            <w:r>
              <w:rPr>
                <w:spacing w:val="-8"/>
                <w:sz w:val="24"/>
              </w:rPr>
              <w:t> </w:t>
            </w:r>
            <w:r>
              <w:rPr>
                <w:sz w:val="24"/>
              </w:rPr>
              <w:t>Group A, Class I in Group B and Pre-Primary (not</w:t>
            </w:r>
          </w:p>
          <w:p>
            <w:pPr>
              <w:pStyle w:val="TableParagraph"/>
              <w:ind w:left="272"/>
              <w:rPr>
                <w:sz w:val="24"/>
              </w:rPr>
            </w:pPr>
            <w:r>
              <w:rPr>
                <w:sz w:val="24"/>
              </w:rPr>
              <w:t>shown in the chart) in 1 </w:t>
            </w:r>
            <w:r>
              <w:rPr>
                <w:spacing w:val="-2"/>
                <w:sz w:val="24"/>
              </w:rPr>
              <w:t>State.</w:t>
            </w:r>
          </w:p>
        </w:tc>
      </w:tr>
      <w:tr>
        <w:trPr>
          <w:trHeight w:val="551" w:hRule="atLeast"/>
        </w:trPr>
        <w:tc>
          <w:tcPr>
            <w:tcW w:w="3462" w:type="dxa"/>
          </w:tcPr>
          <w:p>
            <w:pPr>
              <w:pStyle w:val="TableParagraph"/>
              <w:spacing w:before="133"/>
              <w:ind w:left="-3"/>
              <w:rPr>
                <w:sz w:val="24"/>
              </w:rPr>
            </w:pPr>
            <w:r>
              <w:rPr>
                <w:spacing w:val="-2"/>
                <w:sz w:val="24"/>
              </w:rPr>
              <w:t>Class</w:t>
            </w:r>
          </w:p>
        </w:tc>
        <w:tc>
          <w:tcPr>
            <w:tcW w:w="1759" w:type="dxa"/>
          </w:tcPr>
          <w:p>
            <w:pPr>
              <w:pStyle w:val="TableParagraph"/>
              <w:rPr>
                <w:sz w:val="22"/>
              </w:rPr>
            </w:pPr>
          </w:p>
        </w:tc>
        <w:tc>
          <w:tcPr>
            <w:tcW w:w="3417" w:type="dxa"/>
          </w:tcPr>
          <w:p>
            <w:pPr>
              <w:pStyle w:val="TableParagraph"/>
              <w:rPr>
                <w:sz w:val="22"/>
              </w:rPr>
            </w:pPr>
          </w:p>
        </w:tc>
      </w:tr>
      <w:tr>
        <w:trPr>
          <w:trHeight w:val="827" w:hRule="atLeast"/>
        </w:trPr>
        <w:tc>
          <w:tcPr>
            <w:tcW w:w="3462" w:type="dxa"/>
          </w:tcPr>
          <w:p>
            <w:pPr>
              <w:pStyle w:val="TableParagraph"/>
              <w:spacing w:before="133"/>
              <w:ind w:left="-3"/>
              <w:rPr>
                <w:sz w:val="24"/>
              </w:rPr>
            </w:pPr>
            <w:r>
              <w:rPr>
                <w:spacing w:val="-10"/>
                <w:sz w:val="24"/>
              </w:rPr>
              <w:t>I</w:t>
            </w:r>
          </w:p>
        </w:tc>
        <w:tc>
          <w:tcPr>
            <w:tcW w:w="1759" w:type="dxa"/>
          </w:tcPr>
          <w:p>
            <w:pPr>
              <w:pStyle w:val="TableParagraph"/>
              <w:rPr>
                <w:sz w:val="22"/>
              </w:rPr>
            </w:pPr>
          </w:p>
        </w:tc>
        <w:tc>
          <w:tcPr>
            <w:tcW w:w="3417" w:type="dxa"/>
          </w:tcPr>
          <w:p>
            <w:pPr>
              <w:pStyle w:val="TableParagraph"/>
              <w:spacing w:before="133"/>
              <w:ind w:left="272" w:right="769" w:hanging="1"/>
              <w:rPr>
                <w:sz w:val="24"/>
              </w:rPr>
            </w:pPr>
            <w:r>
              <w:rPr>
                <w:sz w:val="24"/>
              </w:rPr>
              <w:t>Class</w:t>
            </w:r>
            <w:r>
              <w:rPr>
                <w:spacing w:val="-7"/>
                <w:sz w:val="24"/>
              </w:rPr>
              <w:t> </w:t>
            </w:r>
            <w:r>
              <w:rPr>
                <w:sz w:val="24"/>
              </w:rPr>
              <w:t>I</w:t>
            </w:r>
            <w:r>
              <w:rPr>
                <w:spacing w:val="-7"/>
                <w:sz w:val="24"/>
              </w:rPr>
              <w:t> </w:t>
            </w:r>
            <w:r>
              <w:rPr>
                <w:sz w:val="24"/>
              </w:rPr>
              <w:t>in</w:t>
            </w:r>
            <w:r>
              <w:rPr>
                <w:spacing w:val="-7"/>
                <w:sz w:val="24"/>
              </w:rPr>
              <w:t> </w:t>
            </w:r>
            <w:r>
              <w:rPr>
                <w:sz w:val="24"/>
              </w:rPr>
              <w:t>Groups</w:t>
            </w:r>
            <w:r>
              <w:rPr>
                <w:spacing w:val="-7"/>
                <w:sz w:val="24"/>
              </w:rPr>
              <w:t> </w:t>
            </w:r>
            <w:r>
              <w:rPr>
                <w:sz w:val="24"/>
              </w:rPr>
              <w:t>A</w:t>
            </w:r>
            <w:r>
              <w:rPr>
                <w:spacing w:val="-7"/>
                <w:sz w:val="24"/>
              </w:rPr>
              <w:t> </w:t>
            </w:r>
            <w:r>
              <w:rPr>
                <w:sz w:val="24"/>
              </w:rPr>
              <w:t>&amp;</w:t>
            </w:r>
            <w:r>
              <w:rPr>
                <w:spacing w:val="-7"/>
                <w:sz w:val="24"/>
              </w:rPr>
              <w:t> </w:t>
            </w:r>
            <w:r>
              <w:rPr>
                <w:sz w:val="24"/>
              </w:rPr>
              <w:t>C and Class II in Group </w:t>
            </w:r>
            <w:r>
              <w:rPr>
                <w:spacing w:val="-5"/>
                <w:sz w:val="24"/>
              </w:rPr>
              <w:t>B.</w:t>
            </w:r>
          </w:p>
        </w:tc>
      </w:tr>
      <w:tr>
        <w:trPr>
          <w:trHeight w:val="1103" w:hRule="atLeast"/>
        </w:trPr>
        <w:tc>
          <w:tcPr>
            <w:tcW w:w="3462" w:type="dxa"/>
          </w:tcPr>
          <w:p>
            <w:pPr>
              <w:pStyle w:val="TableParagraph"/>
              <w:spacing w:before="133"/>
              <w:ind w:left="-3"/>
              <w:rPr>
                <w:sz w:val="24"/>
              </w:rPr>
            </w:pPr>
            <w:r>
              <w:rPr>
                <w:spacing w:val="-5"/>
                <w:sz w:val="24"/>
              </w:rPr>
              <w:t>II</w:t>
            </w:r>
          </w:p>
        </w:tc>
        <w:tc>
          <w:tcPr>
            <w:tcW w:w="1759" w:type="dxa"/>
          </w:tcPr>
          <w:p>
            <w:pPr>
              <w:pStyle w:val="TableParagraph"/>
              <w:rPr>
                <w:sz w:val="22"/>
              </w:rPr>
            </w:pPr>
          </w:p>
        </w:tc>
        <w:tc>
          <w:tcPr>
            <w:tcW w:w="3417" w:type="dxa"/>
          </w:tcPr>
          <w:p>
            <w:pPr>
              <w:pStyle w:val="TableParagraph"/>
              <w:spacing w:before="133"/>
              <w:ind w:left="270"/>
              <w:rPr>
                <w:sz w:val="24"/>
              </w:rPr>
            </w:pPr>
            <w:r>
              <w:rPr>
                <w:sz w:val="24"/>
              </w:rPr>
              <w:t>Class</w:t>
            </w:r>
            <w:r>
              <w:rPr>
                <w:spacing w:val="-1"/>
                <w:sz w:val="24"/>
              </w:rPr>
              <w:t> </w:t>
            </w:r>
            <w:r>
              <w:rPr>
                <w:sz w:val="24"/>
              </w:rPr>
              <w:t>II</w:t>
            </w:r>
            <w:r>
              <w:rPr>
                <w:spacing w:val="-1"/>
                <w:sz w:val="24"/>
              </w:rPr>
              <w:t> </w:t>
            </w:r>
            <w:r>
              <w:rPr>
                <w:sz w:val="24"/>
              </w:rPr>
              <w:t>in</w:t>
            </w:r>
            <w:r>
              <w:rPr>
                <w:spacing w:val="-1"/>
                <w:sz w:val="24"/>
              </w:rPr>
              <w:t> </w:t>
            </w:r>
            <w:r>
              <w:rPr>
                <w:sz w:val="24"/>
              </w:rPr>
              <w:t>Groups</w:t>
            </w:r>
            <w:r>
              <w:rPr>
                <w:spacing w:val="-1"/>
                <w:sz w:val="24"/>
              </w:rPr>
              <w:t> </w:t>
            </w:r>
            <w:r>
              <w:rPr>
                <w:sz w:val="24"/>
              </w:rPr>
              <w:t>A</w:t>
            </w:r>
            <w:r>
              <w:rPr>
                <w:spacing w:val="-1"/>
                <w:sz w:val="24"/>
              </w:rPr>
              <w:t> </w:t>
            </w:r>
            <w:r>
              <w:rPr>
                <w:sz w:val="24"/>
              </w:rPr>
              <w:t>&amp;</w:t>
            </w:r>
            <w:r>
              <w:rPr>
                <w:spacing w:val="-1"/>
                <w:sz w:val="24"/>
              </w:rPr>
              <w:t> </w:t>
            </w:r>
            <w:r>
              <w:rPr>
                <w:spacing w:val="-10"/>
                <w:sz w:val="24"/>
              </w:rPr>
              <w:t>C</w:t>
            </w:r>
          </w:p>
          <w:p>
            <w:pPr>
              <w:pStyle w:val="TableParagraph"/>
              <w:ind w:left="272"/>
              <w:rPr>
                <w:sz w:val="24"/>
              </w:rPr>
            </w:pPr>
            <w:r>
              <w:rPr>
                <w:sz w:val="24"/>
              </w:rPr>
              <w:t>and</w:t>
            </w:r>
            <w:r>
              <w:rPr>
                <w:spacing w:val="-7"/>
                <w:sz w:val="24"/>
              </w:rPr>
              <w:t> </w:t>
            </w:r>
            <w:r>
              <w:rPr>
                <w:sz w:val="24"/>
              </w:rPr>
              <w:t>Class</w:t>
            </w:r>
            <w:r>
              <w:rPr>
                <w:spacing w:val="-7"/>
                <w:sz w:val="24"/>
              </w:rPr>
              <w:t> </w:t>
            </w:r>
            <w:r>
              <w:rPr>
                <w:sz w:val="24"/>
              </w:rPr>
              <w:t>III</w:t>
            </w:r>
            <w:r>
              <w:rPr>
                <w:spacing w:val="-7"/>
                <w:sz w:val="24"/>
              </w:rPr>
              <w:t> </w:t>
            </w:r>
            <w:r>
              <w:rPr>
                <w:sz w:val="24"/>
              </w:rPr>
              <w:t>in</w:t>
            </w:r>
            <w:r>
              <w:rPr>
                <w:spacing w:val="-7"/>
                <w:sz w:val="24"/>
              </w:rPr>
              <w:t> </w:t>
            </w:r>
            <w:r>
              <w:rPr>
                <w:sz w:val="24"/>
              </w:rPr>
              <w:t>Group</w:t>
            </w:r>
            <w:r>
              <w:rPr>
                <w:spacing w:val="-7"/>
                <w:sz w:val="24"/>
              </w:rPr>
              <w:t> </w:t>
            </w:r>
            <w:r>
              <w:rPr>
                <w:sz w:val="24"/>
              </w:rPr>
              <w:t>B,and</w:t>
            </w:r>
            <w:r>
              <w:rPr>
                <w:spacing w:val="-7"/>
                <w:sz w:val="24"/>
              </w:rPr>
              <w:t> </w:t>
            </w:r>
            <w:r>
              <w:rPr>
                <w:sz w:val="24"/>
              </w:rPr>
              <w:t>so </w:t>
            </w:r>
            <w:r>
              <w:rPr>
                <w:spacing w:val="-4"/>
                <w:sz w:val="24"/>
              </w:rPr>
              <w:t>on.</w:t>
            </w:r>
          </w:p>
        </w:tc>
      </w:tr>
      <w:tr>
        <w:trPr>
          <w:trHeight w:val="960" w:hRule="atLeast"/>
        </w:trPr>
        <w:tc>
          <w:tcPr>
            <w:tcW w:w="3462" w:type="dxa"/>
          </w:tcPr>
          <w:p>
            <w:pPr>
              <w:pStyle w:val="TableParagraph"/>
              <w:spacing w:before="133"/>
              <w:ind w:left="-3"/>
              <w:rPr>
                <w:sz w:val="24"/>
              </w:rPr>
            </w:pPr>
            <w:r>
              <w:rPr>
                <w:spacing w:val="-10"/>
                <w:sz w:val="24"/>
              </w:rPr>
              <w:t>X</w:t>
            </w:r>
          </w:p>
        </w:tc>
        <w:tc>
          <w:tcPr>
            <w:tcW w:w="1759" w:type="dxa"/>
          </w:tcPr>
          <w:p>
            <w:pPr>
              <w:pStyle w:val="TableParagraph"/>
              <w:rPr>
                <w:sz w:val="22"/>
              </w:rPr>
            </w:pPr>
          </w:p>
        </w:tc>
        <w:tc>
          <w:tcPr>
            <w:tcW w:w="3417" w:type="dxa"/>
          </w:tcPr>
          <w:p>
            <w:pPr>
              <w:pStyle w:val="TableParagraph"/>
              <w:spacing w:before="133"/>
              <w:ind w:left="272" w:right="333"/>
              <w:rPr>
                <w:sz w:val="24"/>
              </w:rPr>
            </w:pPr>
            <w:r>
              <w:rPr>
                <w:sz w:val="24"/>
              </w:rPr>
              <w:t>Class</w:t>
            </w:r>
            <w:r>
              <w:rPr>
                <w:spacing w:val="-7"/>
                <w:sz w:val="24"/>
              </w:rPr>
              <w:t> </w:t>
            </w:r>
            <w:r>
              <w:rPr>
                <w:sz w:val="24"/>
              </w:rPr>
              <w:t>X</w:t>
            </w:r>
            <w:r>
              <w:rPr>
                <w:spacing w:val="-7"/>
                <w:sz w:val="24"/>
              </w:rPr>
              <w:t> </w:t>
            </w:r>
            <w:r>
              <w:rPr>
                <w:sz w:val="24"/>
              </w:rPr>
              <w:t>in</w:t>
            </w:r>
            <w:r>
              <w:rPr>
                <w:spacing w:val="-7"/>
                <w:sz w:val="24"/>
              </w:rPr>
              <w:t> </w:t>
            </w:r>
            <w:r>
              <w:rPr>
                <w:sz w:val="24"/>
              </w:rPr>
              <w:t>Groups</w:t>
            </w:r>
            <w:r>
              <w:rPr>
                <w:spacing w:val="-7"/>
                <w:sz w:val="24"/>
              </w:rPr>
              <w:t> </w:t>
            </w:r>
            <w:r>
              <w:rPr>
                <w:sz w:val="24"/>
              </w:rPr>
              <w:t>A</w:t>
            </w:r>
            <w:r>
              <w:rPr>
                <w:spacing w:val="-7"/>
                <w:sz w:val="24"/>
              </w:rPr>
              <w:t> </w:t>
            </w:r>
            <w:r>
              <w:rPr>
                <w:sz w:val="24"/>
              </w:rPr>
              <w:t>&amp;</w:t>
            </w:r>
            <w:r>
              <w:rPr>
                <w:spacing w:val="-7"/>
                <w:sz w:val="24"/>
              </w:rPr>
              <w:t> </w:t>
            </w:r>
            <w:r>
              <w:rPr>
                <w:sz w:val="24"/>
              </w:rPr>
              <w:t>C, and Class XI in</w:t>
            </w:r>
          </w:p>
          <w:p>
            <w:pPr>
              <w:pStyle w:val="TableParagraph"/>
              <w:spacing w:line="256" w:lineRule="exact"/>
              <w:ind w:left="272"/>
              <w:rPr>
                <w:sz w:val="24"/>
              </w:rPr>
            </w:pPr>
            <w:r>
              <w:rPr>
                <w:sz w:val="24"/>
              </w:rPr>
              <w:t>Group </w:t>
            </w:r>
            <w:r>
              <w:rPr>
                <w:spacing w:val="-5"/>
                <w:sz w:val="24"/>
              </w:rPr>
              <w:t>B.</w:t>
            </w:r>
          </w:p>
        </w:tc>
      </w:tr>
    </w:tbl>
    <w:p>
      <w:pPr>
        <w:pStyle w:val="BodyText"/>
        <w:spacing w:before="6"/>
        <w:rPr>
          <w:sz w:val="15"/>
        </w:rPr>
      </w:pPr>
      <w:r>
        <w:rPr/>
        <mc:AlternateContent>
          <mc:Choice Requires="wps">
            <w:drawing>
              <wp:anchor distT="0" distB="0" distL="0" distR="0" allowOverlap="1" layoutInCell="1" locked="0" behindDoc="1" simplePos="0" relativeHeight="487640576">
                <wp:simplePos x="0" y="0"/>
                <wp:positionH relativeFrom="page">
                  <wp:posOffset>1143000</wp:posOffset>
                </wp:positionH>
                <wp:positionV relativeFrom="paragraph">
                  <wp:posOffset>129159</wp:posOffset>
                </wp:positionV>
                <wp:extent cx="5486400" cy="19050"/>
                <wp:effectExtent l="0" t="0" r="0" b="0"/>
                <wp:wrapTopAndBottom/>
                <wp:docPr id="573" name="Group 573"/>
                <wp:cNvGraphicFramePr>
                  <a:graphicFrameLocks/>
                </wp:cNvGraphicFramePr>
                <a:graphic>
                  <a:graphicData uri="http://schemas.microsoft.com/office/word/2010/wordprocessingGroup">
                    <wpg:wgp>
                      <wpg:cNvPr id="573" name="Group 573"/>
                      <wpg:cNvGrpSpPr/>
                      <wpg:grpSpPr>
                        <a:xfrm>
                          <a:off x="0" y="0"/>
                          <a:ext cx="5486400" cy="19050"/>
                          <a:chExt cx="5486400" cy="19050"/>
                        </a:xfrm>
                      </wpg:grpSpPr>
                      <wps:wsp>
                        <wps:cNvPr id="574" name="Graphic 574"/>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575" name="Graphic 575"/>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76" name="Graphic 576"/>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77" name="Graphic 577"/>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78" name="Graphic 578"/>
                        <wps:cNvSpPr/>
                        <wps:spPr>
                          <a:xfrm>
                            <a:off x="5483352" y="3048"/>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F1EFE2"/>
                          </a:solidFill>
                        </wps:spPr>
                        <wps:bodyPr wrap="square" lIns="0" tIns="0" rIns="0" bIns="0" rtlCol="0">
                          <a:prstTxWarp prst="textNoShape">
                            <a:avLst/>
                          </a:prstTxWarp>
                          <a:noAutofit/>
                        </wps:bodyPr>
                      </wps:wsp>
                      <wps:wsp>
                        <wps:cNvPr id="579" name="Graphic 579"/>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80" name="Graphic 580"/>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10.170077pt;width:432pt;height:1.5pt;mso-position-horizontal-relative:page;mso-position-vertical-relative:paragraph;z-index:-15675904;mso-wrap-distance-left:0;mso-wrap-distance-right:0" id="docshapegroup551" coordorigin="1800,203" coordsize="8640,30">
                <v:rect style="position:absolute;left:1800;top:203;width:8640;height:30" id="docshape552" filled="true" fillcolor="#808080" stroked="false">
                  <v:fill type="solid"/>
                </v:rect>
                <v:shape style="position:absolute;left:1800;top:203;width:8636;height:5" id="docshape553" coordorigin="1800,203" coordsize="8636,5" path="m10435,203l1805,203,1800,203,1800,208,1805,208,10435,208,10435,203xe" filled="true" fillcolor="#aca89a" stroked="false">
                  <v:path arrowok="t"/>
                  <v:fill type="solid"/>
                </v:shape>
                <v:rect style="position:absolute;left:10435;top:203;width:5;height:5" id="docshape554" filled="true" fillcolor="#f1efe2" stroked="false">
                  <v:fill type="solid"/>
                </v:rect>
                <v:shape style="position:absolute;left:1800;top:203;width:8640;height:26" id="docshape555" coordorigin="1800,203" coordsize="8640,26" path="m1805,208l1800,208,1800,229,1805,229,1805,208xm10440,203l10435,203,10435,208,10440,208,10440,203xe" filled="true" fillcolor="#aca89a" stroked="false">
                  <v:path arrowok="t"/>
                  <v:fill type="solid"/>
                </v:shape>
                <v:rect style="position:absolute;left:10435;top:208;width:5;height:21" id="docshape556" filled="true" fillcolor="#f1efe2" stroked="false">
                  <v:fill type="solid"/>
                </v:rect>
                <v:rect style="position:absolute;left:1800;top:228;width:5;height:5" id="docshape557" filled="true" fillcolor="#aca89a" stroked="false">
                  <v:fill type="solid"/>
                </v:rect>
                <v:shape style="position:absolute;left:1800;top:228;width:8640;height:5" id="docshape558" coordorigin="1800,229" coordsize="8640,5" path="m10440,229l10435,229,1800,229,1800,233,10435,233,10440,233,10440,229xe" filled="true" fillcolor="#f1efe2" stroked="false">
                  <v:path arrowok="t"/>
                  <v:fill type="solid"/>
                </v:shape>
                <w10:wrap type="topAndBottom"/>
              </v:group>
            </w:pict>
          </mc:Fallback>
        </mc:AlternateContent>
      </w:r>
    </w:p>
    <w:p>
      <w:pPr>
        <w:pStyle w:val="BodyText"/>
        <w:spacing w:before="48"/>
      </w:pPr>
    </w:p>
    <w:p>
      <w:pPr>
        <w:pStyle w:val="BodyText"/>
        <w:ind w:left="159" w:right="510"/>
      </w:pPr>
      <w:r>
        <w:rPr/>
        <w:t>AI.05.</w:t>
      </w:r>
      <w:r>
        <w:rPr>
          <w:spacing w:val="-2"/>
        </w:rPr>
        <w:t> </w:t>
      </w:r>
      <w:r>
        <w:rPr/>
        <w:t>The</w:t>
      </w:r>
      <w:r>
        <w:rPr>
          <w:spacing w:val="-2"/>
        </w:rPr>
        <w:t> </w:t>
      </w:r>
      <w:r>
        <w:rPr/>
        <w:t>equivalence</w:t>
      </w:r>
      <w:r>
        <w:rPr>
          <w:spacing w:val="-2"/>
        </w:rPr>
        <w:t> </w:t>
      </w:r>
      <w:r>
        <w:rPr/>
        <w:t>in</w:t>
      </w:r>
      <w:r>
        <w:rPr>
          <w:spacing w:val="-2"/>
        </w:rPr>
        <w:t> </w:t>
      </w:r>
      <w:r>
        <w:rPr/>
        <w:t>higher</w:t>
      </w:r>
      <w:r>
        <w:rPr>
          <w:spacing w:val="-2"/>
        </w:rPr>
        <w:t> </w:t>
      </w:r>
      <w:r>
        <w:rPr/>
        <w:t>education</w:t>
      </w:r>
      <w:r>
        <w:rPr>
          <w:spacing w:val="-3"/>
        </w:rPr>
        <w:t> </w:t>
      </w:r>
      <w:r>
        <w:rPr/>
        <w:t>courses</w:t>
      </w:r>
      <w:r>
        <w:rPr>
          <w:spacing w:val="-3"/>
        </w:rPr>
        <w:t> </w:t>
      </w:r>
      <w:r>
        <w:rPr/>
        <w:t>(arts</w:t>
      </w:r>
      <w:r>
        <w:rPr>
          <w:spacing w:val="-3"/>
        </w:rPr>
        <w:t> </w:t>
      </w:r>
      <w:r>
        <w:rPr/>
        <w:t>and</w:t>
      </w:r>
      <w:r>
        <w:rPr>
          <w:spacing w:val="40"/>
        </w:rPr>
        <w:t> </w:t>
      </w:r>
      <w:r>
        <w:rPr/>
        <w:t>science)</w:t>
      </w:r>
      <w:r>
        <w:rPr>
          <w:spacing w:val="40"/>
        </w:rPr>
        <w:t> </w:t>
      </w:r>
      <w:r>
        <w:rPr/>
        <w:t>has</w:t>
      </w:r>
      <w:r>
        <w:rPr>
          <w:spacing w:val="-3"/>
        </w:rPr>
        <w:t> </w:t>
      </w:r>
      <w:r>
        <w:rPr/>
        <w:t>been</w:t>
      </w:r>
      <w:r>
        <w:rPr>
          <w:spacing w:val="-3"/>
        </w:rPr>
        <w:t> </w:t>
      </w:r>
      <w:r>
        <w:rPr/>
        <w:t>shown</w:t>
      </w:r>
      <w:r>
        <w:rPr>
          <w:spacing w:val="-3"/>
        </w:rPr>
        <w:t> </w:t>
      </w:r>
      <w:r>
        <w:rPr/>
        <w:t>in the chart given below.</w:t>
      </w:r>
    </w:p>
    <w:p>
      <w:pPr>
        <w:pStyle w:val="BodyText"/>
        <w:spacing w:before="275"/>
        <w:ind w:left="290" w:right="629"/>
        <w:jc w:val="center"/>
      </w:pPr>
      <w:r>
        <w:rPr/>
        <w:t>TABLE</w:t>
      </w:r>
      <w:r>
        <w:rPr>
          <w:spacing w:val="-5"/>
        </w:rPr>
        <w:t> </w:t>
      </w:r>
      <w:r>
        <w:rPr>
          <w:spacing w:val="-4"/>
        </w:rPr>
        <w:t>AI.3</w:t>
      </w:r>
    </w:p>
    <w:p>
      <w:pPr>
        <w:spacing w:before="0"/>
        <w:ind w:left="291" w:right="629" w:firstLine="0"/>
        <w:jc w:val="center"/>
        <w:rPr>
          <w:rFonts w:ascii="Arial MT"/>
          <w:sz w:val="20"/>
        </w:rPr>
      </w:pPr>
      <w:r>
        <w:rPr>
          <w:rFonts w:ascii="Arial MT"/>
          <w:sz w:val="20"/>
        </w:rPr>
        <w:t>EQUIVALENCE</w:t>
      </w:r>
      <w:r>
        <w:rPr>
          <w:rFonts w:ascii="Arial MT"/>
          <w:spacing w:val="-7"/>
          <w:sz w:val="20"/>
        </w:rPr>
        <w:t> </w:t>
      </w:r>
      <w:r>
        <w:rPr>
          <w:rFonts w:ascii="Arial MT"/>
          <w:sz w:val="20"/>
        </w:rPr>
        <w:t>IN</w:t>
      </w:r>
      <w:r>
        <w:rPr>
          <w:rFonts w:ascii="Arial MT"/>
          <w:spacing w:val="-6"/>
          <w:sz w:val="20"/>
        </w:rPr>
        <w:t> </w:t>
      </w:r>
      <w:r>
        <w:rPr>
          <w:rFonts w:ascii="Arial MT"/>
          <w:sz w:val="20"/>
        </w:rPr>
        <w:t>HIGHER</w:t>
      </w:r>
      <w:r>
        <w:rPr>
          <w:rFonts w:ascii="Arial MT"/>
          <w:spacing w:val="-6"/>
          <w:sz w:val="20"/>
        </w:rPr>
        <w:t> </w:t>
      </w:r>
      <w:r>
        <w:rPr>
          <w:rFonts w:ascii="Arial MT"/>
          <w:spacing w:val="-2"/>
          <w:sz w:val="20"/>
        </w:rPr>
        <w:t>EDUCATION</w:t>
      </w:r>
    </w:p>
    <w:p>
      <w:pPr>
        <w:pStyle w:val="BodyText"/>
        <w:ind w:left="290" w:right="629"/>
        <w:jc w:val="center"/>
      </w:pPr>
      <w:r>
        <w:rPr/>
        <mc:AlternateContent>
          <mc:Choice Requires="wps">
            <w:drawing>
              <wp:anchor distT="0" distB="0" distL="0" distR="0" allowOverlap="1" layoutInCell="1" locked="0" behindDoc="0" simplePos="0" relativeHeight="15784448">
                <wp:simplePos x="0" y="0"/>
                <wp:positionH relativeFrom="page">
                  <wp:posOffset>6626352</wp:posOffset>
                </wp:positionH>
                <wp:positionV relativeFrom="paragraph">
                  <wp:posOffset>301188</wp:posOffset>
                </wp:positionV>
                <wp:extent cx="3175" cy="16510"/>
                <wp:effectExtent l="0" t="0" r="0" b="0"/>
                <wp:wrapNone/>
                <wp:docPr id="581" name="Graphic 581"/>
                <wp:cNvGraphicFramePr>
                  <a:graphicFrameLocks/>
                </wp:cNvGraphicFramePr>
                <a:graphic>
                  <a:graphicData uri="http://schemas.microsoft.com/office/word/2010/wordprocessingShape">
                    <wps:wsp>
                      <wps:cNvPr id="581" name="Graphic 581"/>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23.715649pt;width:.25pt;height:1.3pt;mso-position-horizontal-relative:page;mso-position-vertical-relative:paragraph;z-index:15784448" id="docshape559" coordorigin="10435,474" coordsize="5,26" path="m10440,474l10435,474,10435,479,10435,500,10440,500,10440,479,10440,474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1143000</wp:posOffset>
                </wp:positionH>
                <wp:positionV relativeFrom="paragraph">
                  <wp:posOffset>304236</wp:posOffset>
                </wp:positionV>
                <wp:extent cx="3175" cy="13335"/>
                <wp:effectExtent l="0" t="0" r="0" b="0"/>
                <wp:wrapNone/>
                <wp:docPr id="582" name="Graphic 582"/>
                <wp:cNvGraphicFramePr>
                  <a:graphicFrameLocks/>
                </wp:cNvGraphicFramePr>
                <a:graphic>
                  <a:graphicData uri="http://schemas.microsoft.com/office/word/2010/wordprocessingShape">
                    <wps:wsp>
                      <wps:cNvPr id="582" name="Graphic 582"/>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23.955664pt;width:.24001pt;height:1.02pt;mso-position-horizontal-relative:page;mso-position-vertical-relative:paragraph;z-index:15784960" id="docshape560" filled="true" fillcolor="#aca89a" stroked="false">
                <v:fill type="solid"/>
                <w10:wrap type="none"/>
              </v:rect>
            </w:pict>
          </mc:Fallback>
        </mc:AlternateContent>
      </w:r>
      <w:r>
        <w:rPr/>
        <mc:AlternateContent>
          <mc:Choice Requires="wps">
            <w:drawing>
              <wp:anchor distT="0" distB="0" distL="0" distR="0" allowOverlap="1" layoutInCell="1" locked="0" behindDoc="0" simplePos="0" relativeHeight="15785984">
                <wp:simplePos x="0" y="0"/>
                <wp:positionH relativeFrom="page">
                  <wp:posOffset>1143000</wp:posOffset>
                </wp:positionH>
                <wp:positionV relativeFrom="paragraph">
                  <wp:posOffset>654756</wp:posOffset>
                </wp:positionV>
                <wp:extent cx="3175" cy="13335"/>
                <wp:effectExtent l="0" t="0" r="0" b="0"/>
                <wp:wrapNone/>
                <wp:docPr id="583" name="Graphic 583"/>
                <wp:cNvGraphicFramePr>
                  <a:graphicFrameLocks/>
                </wp:cNvGraphicFramePr>
                <a:graphic>
                  <a:graphicData uri="http://schemas.microsoft.com/office/word/2010/wordprocessingShape">
                    <wps:wsp>
                      <wps:cNvPr id="583" name="Graphic 583"/>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51.555664pt;width:.24001pt;height:1.02pt;mso-position-horizontal-relative:page;mso-position-vertical-relative:paragraph;z-index:15785984" id="docshape561" filled="true" fillcolor="#aca89a" stroked="false">
                <v:fill type="solid"/>
                <w10:wrap type="none"/>
              </v:rect>
            </w:pict>
          </mc:Fallback>
        </mc:AlternateContent>
      </w:r>
      <w:r>
        <w:rPr/>
        <w:t>(1965-</w:t>
      </w:r>
      <w:r>
        <w:rPr>
          <w:spacing w:val="-5"/>
        </w:rPr>
        <w:t>66)</w:t>
      </w:r>
    </w:p>
    <w:p>
      <w:pPr>
        <w:pStyle w:val="BodyText"/>
        <w:spacing w:before="6"/>
        <w:rPr>
          <w:sz w:val="18"/>
        </w:rPr>
      </w:pP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9"/>
        <w:gridCol w:w="1034"/>
        <w:gridCol w:w="882"/>
        <w:gridCol w:w="950"/>
        <w:gridCol w:w="883"/>
        <w:gridCol w:w="1142"/>
        <w:gridCol w:w="2329"/>
      </w:tblGrid>
      <w:tr>
        <w:trPr>
          <w:trHeight w:val="522" w:hRule="atLeast"/>
        </w:trPr>
        <w:tc>
          <w:tcPr>
            <w:tcW w:w="1419" w:type="dxa"/>
            <w:tcBorders>
              <w:top w:val="single" w:sz="12" w:space="0" w:color="808080"/>
              <w:bottom w:val="single" w:sz="12" w:space="0" w:color="808080"/>
            </w:tcBorders>
          </w:tcPr>
          <w:p>
            <w:pPr>
              <w:pStyle w:val="TableParagraph"/>
              <w:spacing w:before="48"/>
              <w:ind w:left="57"/>
              <w:rPr>
                <w:sz w:val="24"/>
              </w:rPr>
            </w:pPr>
            <w:r>
              <w:rPr>
                <w:spacing w:val="-5"/>
                <w:sz w:val="24"/>
              </w:rPr>
              <w:t>(a)</w:t>
            </w:r>
          </w:p>
        </w:tc>
        <w:tc>
          <w:tcPr>
            <w:tcW w:w="1034" w:type="dxa"/>
            <w:tcBorders>
              <w:top w:val="single" w:sz="12" w:space="0" w:color="808080"/>
              <w:bottom w:val="single" w:sz="12" w:space="0" w:color="808080"/>
            </w:tcBorders>
          </w:tcPr>
          <w:p>
            <w:pPr>
              <w:pStyle w:val="TableParagraph"/>
              <w:spacing w:before="48"/>
              <w:ind w:left="410"/>
              <w:rPr>
                <w:sz w:val="24"/>
              </w:rPr>
            </w:pPr>
            <w:r>
              <w:rPr>
                <w:spacing w:val="-5"/>
                <w:sz w:val="24"/>
              </w:rPr>
              <w:t>(b)</w:t>
            </w:r>
          </w:p>
        </w:tc>
        <w:tc>
          <w:tcPr>
            <w:tcW w:w="882" w:type="dxa"/>
            <w:tcBorders>
              <w:top w:val="single" w:sz="12" w:space="0" w:color="808080"/>
              <w:bottom w:val="single" w:sz="12" w:space="0" w:color="808080"/>
            </w:tcBorders>
          </w:tcPr>
          <w:p>
            <w:pPr>
              <w:pStyle w:val="TableParagraph"/>
              <w:spacing w:before="48"/>
              <w:ind w:left="292"/>
              <w:rPr>
                <w:sz w:val="24"/>
              </w:rPr>
            </w:pPr>
            <w:r>
              <w:rPr>
                <w:spacing w:val="-5"/>
                <w:sz w:val="24"/>
              </w:rPr>
              <w:t>(c)</w:t>
            </w:r>
          </w:p>
        </w:tc>
        <w:tc>
          <w:tcPr>
            <w:tcW w:w="950" w:type="dxa"/>
            <w:tcBorders>
              <w:top w:val="single" w:sz="12" w:space="0" w:color="808080"/>
              <w:bottom w:val="single" w:sz="12" w:space="0" w:color="808080"/>
            </w:tcBorders>
          </w:tcPr>
          <w:p>
            <w:pPr>
              <w:pStyle w:val="TableParagraph"/>
              <w:spacing w:before="48"/>
              <w:ind w:left="325"/>
              <w:rPr>
                <w:sz w:val="24"/>
              </w:rPr>
            </w:pPr>
            <w:r>
              <w:rPr>
                <w:spacing w:val="-5"/>
                <w:sz w:val="24"/>
              </w:rPr>
              <w:t>(d)</w:t>
            </w:r>
          </w:p>
        </w:tc>
        <w:tc>
          <w:tcPr>
            <w:tcW w:w="883" w:type="dxa"/>
            <w:tcBorders>
              <w:top w:val="single" w:sz="12" w:space="0" w:color="808080"/>
              <w:bottom w:val="single" w:sz="12" w:space="0" w:color="808080"/>
            </w:tcBorders>
          </w:tcPr>
          <w:p>
            <w:pPr>
              <w:pStyle w:val="TableParagraph"/>
              <w:spacing w:before="48"/>
              <w:ind w:left="292"/>
              <w:rPr>
                <w:sz w:val="24"/>
              </w:rPr>
            </w:pPr>
            <w:r>
              <w:rPr>
                <w:spacing w:val="-5"/>
                <w:sz w:val="24"/>
              </w:rPr>
              <w:t>(e)</w:t>
            </w:r>
          </w:p>
        </w:tc>
        <w:tc>
          <w:tcPr>
            <w:tcW w:w="1142" w:type="dxa"/>
            <w:tcBorders>
              <w:top w:val="single" w:sz="12" w:space="0" w:color="808080"/>
              <w:bottom w:val="single" w:sz="12" w:space="0" w:color="808080"/>
            </w:tcBorders>
          </w:tcPr>
          <w:p>
            <w:pPr>
              <w:pStyle w:val="TableParagraph"/>
              <w:spacing w:before="48"/>
              <w:ind w:left="324"/>
              <w:rPr>
                <w:sz w:val="24"/>
              </w:rPr>
            </w:pPr>
            <w:r>
              <w:rPr>
                <w:spacing w:val="-5"/>
                <w:sz w:val="24"/>
              </w:rPr>
              <w:t>(f)</w:t>
            </w:r>
          </w:p>
        </w:tc>
        <w:tc>
          <w:tcPr>
            <w:tcW w:w="2329" w:type="dxa"/>
            <w:tcBorders>
              <w:top w:val="single" w:sz="12" w:space="0" w:color="808080"/>
              <w:bottom w:val="single" w:sz="12" w:space="0" w:color="808080"/>
            </w:tcBorders>
          </w:tcPr>
          <w:p>
            <w:pPr>
              <w:pStyle w:val="TableParagraph"/>
              <w:spacing w:before="48"/>
              <w:ind w:left="98"/>
              <w:rPr>
                <w:sz w:val="24"/>
              </w:rPr>
            </w:pPr>
            <w:r>
              <w:rPr>
                <w:spacing w:val="-5"/>
                <w:sz w:val="24"/>
              </w:rPr>
              <w:t>(g)</w:t>
            </w:r>
          </w:p>
        </w:tc>
      </w:tr>
      <w:tr>
        <w:trPr>
          <w:trHeight w:val="467" w:hRule="atLeast"/>
        </w:trPr>
        <w:tc>
          <w:tcPr>
            <w:tcW w:w="1419" w:type="dxa"/>
            <w:tcBorders>
              <w:top w:val="single" w:sz="12" w:space="0" w:color="808080"/>
            </w:tcBorders>
          </w:tcPr>
          <w:p>
            <w:pPr>
              <w:pStyle w:val="TableParagraph"/>
              <w:rPr>
                <w:sz w:val="22"/>
              </w:rPr>
            </w:pPr>
          </w:p>
        </w:tc>
        <w:tc>
          <w:tcPr>
            <w:tcW w:w="1034" w:type="dxa"/>
            <w:tcBorders>
              <w:top w:val="single" w:sz="12" w:space="0" w:color="808080"/>
            </w:tcBorders>
          </w:tcPr>
          <w:p>
            <w:pPr>
              <w:pStyle w:val="TableParagraph"/>
              <w:spacing w:before="48"/>
              <w:ind w:left="409"/>
              <w:rPr>
                <w:sz w:val="24"/>
              </w:rPr>
            </w:pPr>
            <w:r>
              <w:rPr>
                <w:spacing w:val="-5"/>
                <w:sz w:val="24"/>
              </w:rPr>
              <w:t>III</w:t>
            </w:r>
          </w:p>
        </w:tc>
        <w:tc>
          <w:tcPr>
            <w:tcW w:w="882" w:type="dxa"/>
            <w:tcBorders>
              <w:top w:val="single" w:sz="12" w:space="0" w:color="808080"/>
            </w:tcBorders>
          </w:tcPr>
          <w:p>
            <w:pPr>
              <w:pStyle w:val="TableParagraph"/>
              <w:spacing w:before="48"/>
              <w:ind w:left="290"/>
              <w:rPr>
                <w:sz w:val="24"/>
              </w:rPr>
            </w:pPr>
            <w:r>
              <w:rPr>
                <w:spacing w:val="-5"/>
                <w:sz w:val="24"/>
              </w:rPr>
              <w:t>III</w:t>
            </w:r>
          </w:p>
        </w:tc>
        <w:tc>
          <w:tcPr>
            <w:tcW w:w="950" w:type="dxa"/>
            <w:tcBorders>
              <w:top w:val="single" w:sz="12" w:space="0" w:color="808080"/>
            </w:tcBorders>
          </w:tcPr>
          <w:p>
            <w:pPr>
              <w:pStyle w:val="TableParagraph"/>
              <w:spacing w:before="48"/>
              <w:ind w:left="323"/>
              <w:rPr>
                <w:sz w:val="24"/>
              </w:rPr>
            </w:pPr>
            <w:r>
              <w:rPr>
                <w:spacing w:val="-10"/>
                <w:sz w:val="24"/>
              </w:rPr>
              <w:t>A</w:t>
            </w:r>
          </w:p>
        </w:tc>
        <w:tc>
          <w:tcPr>
            <w:tcW w:w="883" w:type="dxa"/>
            <w:tcBorders>
              <w:top w:val="single" w:sz="12" w:space="0" w:color="808080"/>
            </w:tcBorders>
          </w:tcPr>
          <w:p>
            <w:pPr>
              <w:pStyle w:val="TableParagraph"/>
              <w:spacing w:before="48"/>
              <w:ind w:left="290"/>
              <w:rPr>
                <w:sz w:val="24"/>
              </w:rPr>
            </w:pPr>
            <w:r>
              <w:rPr>
                <w:spacing w:val="-5"/>
                <w:sz w:val="24"/>
              </w:rPr>
              <w:t>III</w:t>
            </w:r>
          </w:p>
        </w:tc>
        <w:tc>
          <w:tcPr>
            <w:tcW w:w="1142" w:type="dxa"/>
            <w:tcBorders>
              <w:top w:val="single" w:sz="12" w:space="0" w:color="808080"/>
            </w:tcBorders>
          </w:tcPr>
          <w:p>
            <w:pPr>
              <w:pStyle w:val="TableParagraph"/>
              <w:spacing w:before="48"/>
              <w:ind w:left="322"/>
              <w:rPr>
                <w:sz w:val="24"/>
              </w:rPr>
            </w:pPr>
            <w:r>
              <w:rPr>
                <w:spacing w:val="-5"/>
                <w:sz w:val="24"/>
              </w:rPr>
              <w:t>III</w:t>
            </w:r>
          </w:p>
        </w:tc>
        <w:tc>
          <w:tcPr>
            <w:tcW w:w="2329" w:type="dxa"/>
            <w:tcBorders>
              <w:top w:val="single" w:sz="12" w:space="0" w:color="808080"/>
            </w:tcBorders>
          </w:tcPr>
          <w:p>
            <w:pPr>
              <w:pStyle w:val="TableParagraph"/>
              <w:spacing w:before="48"/>
              <w:ind w:left="95"/>
              <w:rPr>
                <w:sz w:val="24"/>
              </w:rPr>
            </w:pPr>
            <w:r>
              <w:rPr/>
              <mc:AlternateContent>
                <mc:Choice Requires="wps">
                  <w:drawing>
                    <wp:anchor distT="0" distB="0" distL="0" distR="0" allowOverlap="1" layoutInCell="1" locked="0" behindDoc="0" simplePos="0" relativeHeight="15785472">
                      <wp:simplePos x="0" y="0"/>
                      <wp:positionH relativeFrom="column">
                        <wp:posOffset>1475701</wp:posOffset>
                      </wp:positionH>
                      <wp:positionV relativeFrom="paragraph">
                        <wp:posOffset>-19264</wp:posOffset>
                      </wp:positionV>
                      <wp:extent cx="3175" cy="16510"/>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3175" cy="16510"/>
                                <a:chExt cx="3175" cy="16510"/>
                              </a:xfrm>
                            </wpg:grpSpPr>
                            <wps:wsp>
                              <wps:cNvPr id="585" name="Graphic 585"/>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16.196945pt;margin-top:-1.516883pt;width:.25pt;height:1.3pt;mso-position-horizontal-relative:column;mso-position-vertical-relative:paragraph;z-index:15785472" id="docshapegroup562" coordorigin="2324,-30" coordsize="5,26">
                      <v:shape style="position:absolute;left:2323;top:-31;width:5;height:26" id="docshape563" coordorigin="2324,-30" coordsize="5,26" path="m2329,-30l2324,-30,2324,-26,2324,-5,2329,-5,2329,-26,2329,-30xe" filled="true" fillcolor="#f1efe2" stroked="false">
                        <v:path arrowok="t"/>
                        <v:fill type="solid"/>
                      </v:shape>
                      <w10:wrap type="none"/>
                    </v:group>
                  </w:pict>
                </mc:Fallback>
              </mc:AlternateContent>
            </w:r>
            <w:r>
              <w:rPr>
                <w:spacing w:val="-5"/>
                <w:sz w:val="24"/>
              </w:rPr>
              <w:t>III</w:t>
            </w:r>
          </w:p>
        </w:tc>
      </w:tr>
      <w:tr>
        <w:trPr>
          <w:trHeight w:val="414" w:hRule="atLeast"/>
        </w:trPr>
        <w:tc>
          <w:tcPr>
            <w:tcW w:w="1419" w:type="dxa"/>
          </w:tcPr>
          <w:p>
            <w:pPr>
              <w:pStyle w:val="TableParagraph"/>
              <w:spacing w:line="261" w:lineRule="exact" w:before="133"/>
              <w:ind w:left="-3"/>
              <w:rPr>
                <w:sz w:val="24"/>
              </w:rPr>
            </w:pPr>
            <w:r>
              <w:rPr>
                <w:spacing w:val="-2"/>
                <w:sz w:val="24"/>
              </w:rPr>
              <w:t>First</w:t>
            </w:r>
          </w:p>
        </w:tc>
        <w:tc>
          <w:tcPr>
            <w:tcW w:w="1034" w:type="dxa"/>
          </w:tcPr>
          <w:p>
            <w:pPr>
              <w:pStyle w:val="TableParagraph"/>
              <w:spacing w:line="261" w:lineRule="exact" w:before="133"/>
              <w:ind w:left="409"/>
              <w:rPr>
                <w:sz w:val="24"/>
              </w:rPr>
            </w:pPr>
            <w:r>
              <w:rPr>
                <w:spacing w:val="-5"/>
                <w:sz w:val="24"/>
              </w:rPr>
              <w:t>II</w:t>
            </w:r>
          </w:p>
        </w:tc>
        <w:tc>
          <w:tcPr>
            <w:tcW w:w="882" w:type="dxa"/>
          </w:tcPr>
          <w:p>
            <w:pPr>
              <w:pStyle w:val="TableParagraph"/>
              <w:spacing w:line="261" w:lineRule="exact" w:before="133"/>
              <w:ind w:left="290"/>
              <w:rPr>
                <w:sz w:val="24"/>
              </w:rPr>
            </w:pPr>
            <w:r>
              <w:rPr>
                <w:spacing w:val="-5"/>
                <w:sz w:val="24"/>
              </w:rPr>
              <w:t>II</w:t>
            </w:r>
          </w:p>
        </w:tc>
        <w:tc>
          <w:tcPr>
            <w:tcW w:w="950" w:type="dxa"/>
          </w:tcPr>
          <w:p>
            <w:pPr>
              <w:pStyle w:val="TableParagraph"/>
              <w:spacing w:line="261" w:lineRule="exact" w:before="133"/>
              <w:ind w:left="326"/>
              <w:rPr>
                <w:sz w:val="24"/>
              </w:rPr>
            </w:pPr>
            <w:r>
              <w:rPr>
                <w:spacing w:val="-5"/>
                <w:sz w:val="24"/>
              </w:rPr>
              <w:t>II</w:t>
            </w:r>
          </w:p>
        </w:tc>
        <w:tc>
          <w:tcPr>
            <w:tcW w:w="883" w:type="dxa"/>
          </w:tcPr>
          <w:p>
            <w:pPr>
              <w:pStyle w:val="TableParagraph"/>
              <w:spacing w:line="261" w:lineRule="exact" w:before="133"/>
              <w:ind w:left="292"/>
              <w:rPr>
                <w:sz w:val="24"/>
              </w:rPr>
            </w:pPr>
            <w:r>
              <w:rPr>
                <w:spacing w:val="-5"/>
                <w:sz w:val="24"/>
              </w:rPr>
              <w:t>II</w:t>
            </w:r>
          </w:p>
        </w:tc>
        <w:tc>
          <w:tcPr>
            <w:tcW w:w="1142" w:type="dxa"/>
          </w:tcPr>
          <w:p>
            <w:pPr>
              <w:pStyle w:val="TableParagraph"/>
              <w:spacing w:line="261" w:lineRule="exact" w:before="133"/>
              <w:ind w:left="323"/>
              <w:rPr>
                <w:sz w:val="24"/>
              </w:rPr>
            </w:pPr>
            <w:r>
              <w:rPr>
                <w:spacing w:val="-5"/>
                <w:sz w:val="24"/>
              </w:rPr>
              <w:t>II</w:t>
            </w:r>
          </w:p>
        </w:tc>
        <w:tc>
          <w:tcPr>
            <w:tcW w:w="2329" w:type="dxa"/>
          </w:tcPr>
          <w:p>
            <w:pPr>
              <w:pStyle w:val="TableParagraph"/>
              <w:spacing w:line="261" w:lineRule="exact" w:before="133"/>
              <w:ind w:left="97"/>
              <w:rPr>
                <w:sz w:val="24"/>
              </w:rPr>
            </w:pPr>
            <w:r>
              <w:rPr>
                <w:spacing w:val="-5"/>
                <w:sz w:val="24"/>
              </w:rPr>
              <w:t>II</w:t>
            </w:r>
          </w:p>
        </w:tc>
      </w:tr>
      <w:tr>
        <w:trPr>
          <w:trHeight w:val="414" w:hRule="atLeast"/>
        </w:trPr>
        <w:tc>
          <w:tcPr>
            <w:tcW w:w="1419" w:type="dxa"/>
          </w:tcPr>
          <w:p>
            <w:pPr>
              <w:pStyle w:val="TableParagraph"/>
              <w:spacing w:line="271" w:lineRule="exact"/>
              <w:ind w:left="-3"/>
              <w:rPr>
                <w:sz w:val="24"/>
              </w:rPr>
            </w:pPr>
            <w:r>
              <w:rPr>
                <w:spacing w:val="-2"/>
                <w:sz w:val="24"/>
              </w:rPr>
              <w:t>Degree</w:t>
            </w:r>
          </w:p>
        </w:tc>
        <w:tc>
          <w:tcPr>
            <w:tcW w:w="1034" w:type="dxa"/>
          </w:tcPr>
          <w:p>
            <w:pPr>
              <w:pStyle w:val="TableParagraph"/>
              <w:spacing w:line="271" w:lineRule="exact"/>
              <w:ind w:left="411"/>
              <w:rPr>
                <w:sz w:val="24"/>
              </w:rPr>
            </w:pPr>
            <w:r>
              <w:rPr>
                <w:spacing w:val="-10"/>
                <w:sz w:val="24"/>
              </w:rPr>
              <w:t>I</w:t>
            </w:r>
          </w:p>
        </w:tc>
        <w:tc>
          <w:tcPr>
            <w:tcW w:w="882" w:type="dxa"/>
          </w:tcPr>
          <w:p>
            <w:pPr>
              <w:pStyle w:val="TableParagraph"/>
              <w:spacing w:line="271" w:lineRule="exact"/>
              <w:ind w:left="292"/>
              <w:rPr>
                <w:sz w:val="24"/>
              </w:rPr>
            </w:pPr>
            <w:r>
              <w:rPr>
                <w:spacing w:val="-10"/>
                <w:sz w:val="24"/>
              </w:rPr>
              <w:t>I</w:t>
            </w:r>
          </w:p>
        </w:tc>
        <w:tc>
          <w:tcPr>
            <w:tcW w:w="950" w:type="dxa"/>
          </w:tcPr>
          <w:p>
            <w:pPr>
              <w:pStyle w:val="TableParagraph"/>
              <w:spacing w:line="271" w:lineRule="exact"/>
              <w:ind w:left="325"/>
              <w:rPr>
                <w:sz w:val="24"/>
              </w:rPr>
            </w:pPr>
            <w:r>
              <w:rPr>
                <w:spacing w:val="-10"/>
                <w:sz w:val="24"/>
              </w:rPr>
              <w:t>I</w:t>
            </w:r>
          </w:p>
        </w:tc>
        <w:tc>
          <w:tcPr>
            <w:tcW w:w="883" w:type="dxa"/>
          </w:tcPr>
          <w:p>
            <w:pPr>
              <w:pStyle w:val="TableParagraph"/>
              <w:spacing w:line="271" w:lineRule="exact"/>
              <w:ind w:left="290"/>
              <w:rPr>
                <w:sz w:val="24"/>
              </w:rPr>
            </w:pPr>
            <w:r>
              <w:rPr>
                <w:spacing w:val="-10"/>
                <w:sz w:val="24"/>
              </w:rPr>
              <w:t>I</w:t>
            </w:r>
          </w:p>
        </w:tc>
        <w:tc>
          <w:tcPr>
            <w:tcW w:w="1142" w:type="dxa"/>
          </w:tcPr>
          <w:p>
            <w:pPr>
              <w:pStyle w:val="TableParagraph"/>
              <w:spacing w:line="271" w:lineRule="exact"/>
              <w:ind w:left="322"/>
              <w:rPr>
                <w:sz w:val="24"/>
              </w:rPr>
            </w:pPr>
            <w:r>
              <w:rPr>
                <w:spacing w:val="-10"/>
                <w:sz w:val="24"/>
              </w:rPr>
              <w:t>I</w:t>
            </w:r>
          </w:p>
        </w:tc>
        <w:tc>
          <w:tcPr>
            <w:tcW w:w="2329" w:type="dxa"/>
          </w:tcPr>
          <w:p>
            <w:pPr>
              <w:pStyle w:val="TableParagraph"/>
              <w:spacing w:line="271" w:lineRule="exact"/>
              <w:ind w:left="95"/>
              <w:rPr>
                <w:sz w:val="24"/>
              </w:rPr>
            </w:pPr>
            <w:r>
              <w:rPr>
                <w:spacing w:val="-10"/>
                <w:sz w:val="24"/>
              </w:rPr>
              <w:t>I</w:t>
            </w:r>
          </w:p>
        </w:tc>
      </w:tr>
      <w:tr>
        <w:trPr>
          <w:trHeight w:val="552" w:hRule="atLeast"/>
        </w:trPr>
        <w:tc>
          <w:tcPr>
            <w:tcW w:w="1419" w:type="dxa"/>
          </w:tcPr>
          <w:p>
            <w:pPr>
              <w:pStyle w:val="TableParagraph"/>
              <w:spacing w:before="133"/>
              <w:ind w:left="-3"/>
              <w:rPr>
                <w:sz w:val="24"/>
              </w:rPr>
            </w:pPr>
            <w:r>
              <w:rPr>
                <w:spacing w:val="-2"/>
                <w:sz w:val="24"/>
              </w:rPr>
              <w:t>Higher</w:t>
            </w:r>
          </w:p>
        </w:tc>
        <w:tc>
          <w:tcPr>
            <w:tcW w:w="1034" w:type="dxa"/>
          </w:tcPr>
          <w:p>
            <w:pPr>
              <w:pStyle w:val="TableParagraph"/>
              <w:spacing w:before="133"/>
              <w:ind w:left="411"/>
              <w:rPr>
                <w:sz w:val="24"/>
              </w:rPr>
            </w:pPr>
            <w:r>
              <w:rPr>
                <w:spacing w:val="-5"/>
                <w:sz w:val="24"/>
              </w:rPr>
              <w:t>XII</w:t>
            </w:r>
          </w:p>
        </w:tc>
        <w:tc>
          <w:tcPr>
            <w:tcW w:w="882" w:type="dxa"/>
          </w:tcPr>
          <w:p>
            <w:pPr>
              <w:pStyle w:val="TableParagraph"/>
              <w:spacing w:before="133"/>
              <w:ind w:left="291"/>
              <w:rPr>
                <w:sz w:val="24"/>
              </w:rPr>
            </w:pPr>
            <w:r>
              <w:rPr>
                <w:spacing w:val="-5"/>
                <w:sz w:val="24"/>
              </w:rPr>
              <w:t>II</w:t>
            </w:r>
          </w:p>
        </w:tc>
        <w:tc>
          <w:tcPr>
            <w:tcW w:w="950" w:type="dxa"/>
          </w:tcPr>
          <w:p>
            <w:pPr>
              <w:pStyle w:val="TableParagraph"/>
              <w:spacing w:before="133"/>
              <w:ind w:left="325"/>
              <w:rPr>
                <w:sz w:val="24"/>
              </w:rPr>
            </w:pPr>
            <w:r>
              <w:rPr>
                <w:spacing w:val="-5"/>
                <w:sz w:val="24"/>
              </w:rPr>
              <w:t>XII</w:t>
            </w:r>
          </w:p>
        </w:tc>
        <w:tc>
          <w:tcPr>
            <w:tcW w:w="883" w:type="dxa"/>
          </w:tcPr>
          <w:p>
            <w:pPr>
              <w:pStyle w:val="TableParagraph"/>
              <w:spacing w:before="133"/>
              <w:ind w:left="291"/>
              <w:rPr>
                <w:sz w:val="24"/>
              </w:rPr>
            </w:pPr>
            <w:r>
              <w:rPr>
                <w:spacing w:val="-10"/>
                <w:sz w:val="24"/>
              </w:rPr>
              <w:t>A</w:t>
            </w:r>
          </w:p>
        </w:tc>
        <w:tc>
          <w:tcPr>
            <w:tcW w:w="1142" w:type="dxa"/>
          </w:tcPr>
          <w:p>
            <w:pPr>
              <w:pStyle w:val="TableParagraph"/>
              <w:spacing w:before="133"/>
              <w:ind w:left="323"/>
              <w:rPr>
                <w:sz w:val="24"/>
              </w:rPr>
            </w:pPr>
            <w:r>
              <w:rPr>
                <w:spacing w:val="-10"/>
                <w:sz w:val="24"/>
              </w:rPr>
              <w:t>A</w:t>
            </w:r>
          </w:p>
        </w:tc>
        <w:tc>
          <w:tcPr>
            <w:tcW w:w="2329" w:type="dxa"/>
          </w:tcPr>
          <w:p>
            <w:pPr>
              <w:pStyle w:val="TableParagraph"/>
              <w:spacing w:before="133"/>
              <w:ind w:left="97"/>
              <w:rPr>
                <w:sz w:val="24"/>
              </w:rPr>
            </w:pPr>
            <w:r>
              <w:rPr>
                <w:spacing w:val="-10"/>
                <w:sz w:val="24"/>
              </w:rPr>
              <w:t>A</w:t>
            </w:r>
          </w:p>
        </w:tc>
      </w:tr>
      <w:tr>
        <w:trPr>
          <w:trHeight w:val="684" w:hRule="atLeast"/>
        </w:trPr>
        <w:tc>
          <w:tcPr>
            <w:tcW w:w="1419" w:type="dxa"/>
          </w:tcPr>
          <w:p>
            <w:pPr>
              <w:pStyle w:val="TableParagraph"/>
              <w:spacing w:before="133"/>
              <w:ind w:left="-3"/>
              <w:rPr>
                <w:sz w:val="24"/>
              </w:rPr>
            </w:pPr>
            <w:r>
              <w:rPr>
                <w:spacing w:val="-2"/>
                <w:sz w:val="24"/>
              </w:rPr>
              <w:t>Secondary</w:t>
            </w:r>
          </w:p>
        </w:tc>
        <w:tc>
          <w:tcPr>
            <w:tcW w:w="1034" w:type="dxa"/>
          </w:tcPr>
          <w:p>
            <w:pPr>
              <w:pStyle w:val="TableParagraph"/>
              <w:spacing w:before="133"/>
              <w:ind w:left="411"/>
              <w:rPr>
                <w:sz w:val="24"/>
              </w:rPr>
            </w:pPr>
            <w:r>
              <w:rPr>
                <w:spacing w:val="-5"/>
                <w:sz w:val="24"/>
              </w:rPr>
              <w:t>XI</w:t>
            </w:r>
          </w:p>
        </w:tc>
        <w:tc>
          <w:tcPr>
            <w:tcW w:w="882" w:type="dxa"/>
          </w:tcPr>
          <w:p>
            <w:pPr>
              <w:pStyle w:val="TableParagraph"/>
              <w:spacing w:before="133"/>
              <w:ind w:left="292"/>
              <w:rPr>
                <w:sz w:val="24"/>
              </w:rPr>
            </w:pPr>
            <w:r>
              <w:rPr>
                <w:spacing w:val="-10"/>
                <w:sz w:val="24"/>
              </w:rPr>
              <w:t>I</w:t>
            </w:r>
          </w:p>
        </w:tc>
        <w:tc>
          <w:tcPr>
            <w:tcW w:w="950" w:type="dxa"/>
          </w:tcPr>
          <w:p>
            <w:pPr>
              <w:pStyle w:val="TableParagraph"/>
              <w:spacing w:before="133"/>
              <w:ind w:left="325"/>
              <w:rPr>
                <w:sz w:val="24"/>
              </w:rPr>
            </w:pPr>
            <w:r>
              <w:rPr>
                <w:spacing w:val="-5"/>
                <w:sz w:val="24"/>
              </w:rPr>
              <w:t>XI</w:t>
            </w:r>
          </w:p>
        </w:tc>
        <w:tc>
          <w:tcPr>
            <w:tcW w:w="883" w:type="dxa"/>
          </w:tcPr>
          <w:p>
            <w:pPr>
              <w:pStyle w:val="TableParagraph"/>
              <w:spacing w:before="133"/>
              <w:ind w:left="292"/>
              <w:rPr>
                <w:sz w:val="24"/>
              </w:rPr>
            </w:pPr>
            <w:r>
              <w:rPr>
                <w:spacing w:val="-5"/>
                <w:sz w:val="24"/>
              </w:rPr>
              <w:t>XI</w:t>
            </w:r>
          </w:p>
        </w:tc>
        <w:tc>
          <w:tcPr>
            <w:tcW w:w="1142" w:type="dxa"/>
          </w:tcPr>
          <w:p>
            <w:pPr>
              <w:pStyle w:val="TableParagraph"/>
              <w:spacing w:line="270" w:lineRule="atLeast" w:before="113"/>
              <w:ind w:left="325" w:right="92" w:hanging="1"/>
              <w:rPr>
                <w:sz w:val="24"/>
              </w:rPr>
            </w:pPr>
            <w:r>
              <w:rPr>
                <w:spacing w:val="-2"/>
                <w:sz w:val="24"/>
              </w:rPr>
              <w:t>XI/XII/ </w:t>
            </w:r>
            <w:r>
              <w:rPr>
                <w:spacing w:val="-4"/>
                <w:sz w:val="24"/>
              </w:rPr>
              <w:t>PUC</w:t>
            </w:r>
          </w:p>
        </w:tc>
        <w:tc>
          <w:tcPr>
            <w:tcW w:w="2329" w:type="dxa"/>
          </w:tcPr>
          <w:p>
            <w:pPr>
              <w:pStyle w:val="TableParagraph"/>
              <w:spacing w:before="133"/>
              <w:ind w:left="97"/>
              <w:rPr>
                <w:sz w:val="24"/>
              </w:rPr>
            </w:pPr>
            <w:r>
              <w:rPr>
                <w:spacing w:val="-5"/>
                <w:sz w:val="24"/>
              </w:rPr>
              <w:t>PUC</w:t>
            </w:r>
          </w:p>
        </w:tc>
      </w:tr>
    </w:tbl>
    <w:p>
      <w:pPr>
        <w:pStyle w:val="BodyText"/>
        <w:spacing w:before="10"/>
        <w:rPr>
          <w:sz w:val="13"/>
        </w:rPr>
      </w:pPr>
      <w:r>
        <w:rPr/>
        <mc:AlternateContent>
          <mc:Choice Requires="wps">
            <w:drawing>
              <wp:anchor distT="0" distB="0" distL="0" distR="0" allowOverlap="1" layoutInCell="1" locked="0" behindDoc="1" simplePos="0" relativeHeight="487641088">
                <wp:simplePos x="0" y="0"/>
                <wp:positionH relativeFrom="page">
                  <wp:posOffset>1143000</wp:posOffset>
                </wp:positionH>
                <wp:positionV relativeFrom="paragraph">
                  <wp:posOffset>116514</wp:posOffset>
                </wp:positionV>
                <wp:extent cx="5486400" cy="19050"/>
                <wp:effectExtent l="0" t="0" r="0" b="0"/>
                <wp:wrapTopAndBottom/>
                <wp:docPr id="586" name="Group 586"/>
                <wp:cNvGraphicFramePr>
                  <a:graphicFrameLocks/>
                </wp:cNvGraphicFramePr>
                <a:graphic>
                  <a:graphicData uri="http://schemas.microsoft.com/office/word/2010/wordprocessingGroup">
                    <wpg:wgp>
                      <wpg:cNvPr id="586" name="Group 586"/>
                      <wpg:cNvGrpSpPr/>
                      <wpg:grpSpPr>
                        <a:xfrm>
                          <a:off x="0" y="0"/>
                          <a:ext cx="5486400" cy="19050"/>
                          <a:chExt cx="5486400" cy="19050"/>
                        </a:xfrm>
                      </wpg:grpSpPr>
                      <wps:wsp>
                        <wps:cNvPr id="587" name="Graphic 587"/>
                        <wps:cNvSpPr/>
                        <wps:spPr>
                          <a:xfrm>
                            <a:off x="0" y="0"/>
                            <a:ext cx="5486400" cy="19050"/>
                          </a:xfrm>
                          <a:custGeom>
                            <a:avLst/>
                            <a:gdLst/>
                            <a:ahLst/>
                            <a:cxnLst/>
                            <a:rect l="l" t="t" r="r" b="b"/>
                            <a:pathLst>
                              <a:path w="5486400" h="19050">
                                <a:moveTo>
                                  <a:pt x="5486400" y="0"/>
                                </a:moveTo>
                                <a:lnTo>
                                  <a:pt x="0" y="0"/>
                                </a:lnTo>
                                <a:lnTo>
                                  <a:pt x="0" y="19049"/>
                                </a:lnTo>
                                <a:lnTo>
                                  <a:pt x="5486400" y="19049"/>
                                </a:lnTo>
                                <a:lnTo>
                                  <a:pt x="5486400" y="0"/>
                                </a:lnTo>
                                <a:close/>
                              </a:path>
                            </a:pathLst>
                          </a:custGeom>
                          <a:solidFill>
                            <a:srgbClr val="808080"/>
                          </a:solidFill>
                        </wps:spPr>
                        <wps:bodyPr wrap="square" lIns="0" tIns="0" rIns="0" bIns="0" rtlCol="0">
                          <a:prstTxWarp prst="textNoShape">
                            <a:avLst/>
                          </a:prstTxWarp>
                          <a:noAutofit/>
                        </wps:bodyPr>
                      </wps:wsp>
                      <wps:wsp>
                        <wps:cNvPr id="588" name="Graphic 588"/>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589" name="Graphic 589"/>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590" name="Graphic 590"/>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591" name="Graphic 591"/>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592" name="Graphic 592"/>
                        <wps:cNvSpPr/>
                        <wps:spPr>
                          <a:xfrm>
                            <a:off x="0" y="16002"/>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ACA89A"/>
                          </a:solidFill>
                        </wps:spPr>
                        <wps:bodyPr wrap="square" lIns="0" tIns="0" rIns="0" bIns="0" rtlCol="0">
                          <a:prstTxWarp prst="textNoShape">
                            <a:avLst/>
                          </a:prstTxWarp>
                          <a:noAutofit/>
                        </wps:bodyPr>
                      </wps:wsp>
                      <wps:wsp>
                        <wps:cNvPr id="593" name="Graphic 593"/>
                        <wps:cNvSpPr/>
                        <wps:spPr>
                          <a:xfrm>
                            <a:off x="0" y="16014"/>
                            <a:ext cx="5486400" cy="3175"/>
                          </a:xfrm>
                          <a:custGeom>
                            <a:avLst/>
                            <a:gdLst/>
                            <a:ahLst/>
                            <a:cxnLst/>
                            <a:rect l="l" t="t" r="r" b="b"/>
                            <a:pathLst>
                              <a:path w="5486400" h="3175">
                                <a:moveTo>
                                  <a:pt x="5486400" y="0"/>
                                </a:moveTo>
                                <a:lnTo>
                                  <a:pt x="5483352" y="0"/>
                                </a:lnTo>
                                <a:lnTo>
                                  <a:pt x="0" y="0"/>
                                </a:lnTo>
                                <a:lnTo>
                                  <a:pt x="0" y="3035"/>
                                </a:lnTo>
                                <a:lnTo>
                                  <a:pt x="5483352" y="3035"/>
                                </a:lnTo>
                                <a:lnTo>
                                  <a:pt x="5486387" y="3035"/>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174365pt;width:432pt;height:1.5pt;mso-position-horizontal-relative:page;mso-position-vertical-relative:paragraph;z-index:-15675392;mso-wrap-distance-left:0;mso-wrap-distance-right:0" id="docshapegroup564" coordorigin="1800,183" coordsize="8640,30">
                <v:rect style="position:absolute;left:1800;top:183;width:8640;height:30" id="docshape565" filled="true" fillcolor="#808080" stroked="false">
                  <v:fill type="solid"/>
                </v:rect>
                <v:shape style="position:absolute;left:1800;top:183;width:8636;height:5" id="docshape566" coordorigin="1800,183" coordsize="8636,5" path="m10435,183l1805,183,1800,183,1800,188,1805,188,10435,188,10435,183xe" filled="true" fillcolor="#aca89a" stroked="false">
                  <v:path arrowok="t"/>
                  <v:fill type="solid"/>
                </v:shape>
                <v:rect style="position:absolute;left:10435;top:183;width:5;height:5" id="docshape567" filled="true" fillcolor="#f1efe2" stroked="false">
                  <v:fill type="solid"/>
                </v:rect>
                <v:shape style="position:absolute;left:1800;top:183;width:8640;height:26" id="docshape568" coordorigin="1800,183" coordsize="8640,26" path="m1805,188l1800,188,1800,209,1805,209,1805,188xm10440,183l10435,183,10435,188,10440,188,10440,183xe" filled="true" fillcolor="#aca89a" stroked="false">
                  <v:path arrowok="t"/>
                  <v:fill type="solid"/>
                </v:shape>
                <v:rect style="position:absolute;left:10435;top:188;width:5;height:21" id="docshape569" filled="true" fillcolor="#f1efe2" stroked="false">
                  <v:fill type="solid"/>
                </v:rect>
                <v:rect style="position:absolute;left:1800;top:208;width:5;height:5" id="docshape570" filled="true" fillcolor="#aca89a" stroked="false">
                  <v:fill type="solid"/>
                </v:rect>
                <v:shape style="position:absolute;left:1800;top:208;width:8640;height:5" id="docshape571" coordorigin="1800,209" coordsize="8640,5" path="m10440,209l10435,209,1800,209,1800,213,10435,213,10440,213,10440,209xe" filled="true" fillcolor="#f1efe2" stroked="false">
                  <v:path arrowok="t"/>
                  <v:fill type="solid"/>
                </v:shape>
                <w10:wrap type="topAndBottom"/>
              </v:group>
            </w:pict>
          </mc:Fallback>
        </mc:AlternateContent>
      </w:r>
    </w:p>
    <w:p>
      <w:pPr>
        <w:spacing w:after="0"/>
        <w:rPr>
          <w:sz w:val="13"/>
        </w:rPr>
        <w:sectPr>
          <w:pgSz w:w="12240" w:h="15840"/>
          <w:pgMar w:header="0" w:footer="743" w:top="1420" w:bottom="940" w:left="1640" w:right="1300"/>
        </w:sectPr>
      </w:pPr>
    </w:p>
    <w:p>
      <w:pPr>
        <w:pStyle w:val="BodyText"/>
        <w:spacing w:before="6"/>
        <w:rPr>
          <w:sz w:val="2"/>
        </w:rPr>
      </w:pPr>
      <w:r>
        <w:rPr/>
        <mc:AlternateContent>
          <mc:Choice Requires="wps">
            <w:drawing>
              <wp:anchor distT="0" distB="0" distL="0" distR="0" allowOverlap="1" layoutInCell="1" locked="0" behindDoc="0" simplePos="0" relativeHeight="15786496">
                <wp:simplePos x="0" y="0"/>
                <wp:positionH relativeFrom="page">
                  <wp:posOffset>6626352</wp:posOffset>
                </wp:positionH>
                <wp:positionV relativeFrom="page">
                  <wp:posOffset>1037856</wp:posOffset>
                </wp:positionV>
                <wp:extent cx="3175" cy="1651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81.720963pt;width:.25pt;height:1.3pt;mso-position-horizontal-relative:page;mso-position-vertical-relative:page;z-index:15786496" id="docshape572" coordorigin="10435,1634" coordsize="5,26" path="m10440,1634l10435,1634,10435,1639,10435,1660,10440,1660,10440,1639,10440,1634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1143000</wp:posOffset>
                </wp:positionH>
                <wp:positionV relativeFrom="page">
                  <wp:posOffset>1040891</wp:posOffset>
                </wp:positionV>
                <wp:extent cx="3175" cy="13335"/>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81.959999pt;width:.24001pt;height:1.02pt;mso-position-horizontal-relative:page;mso-position-vertical-relative:page;z-index:15787008" id="docshape573" filled="true" fillcolor="#aca89a" stroked="false">
                <v:fill type="solid"/>
                <w10:wrap type="none"/>
              </v:rect>
            </w:pict>
          </mc:Fallback>
        </mc:AlternateContent>
      </w:r>
    </w:p>
    <w:tbl>
      <w:tblPr>
        <w:tblW w:w="0" w:type="auto"/>
        <w:jc w:val="left"/>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4"/>
        <w:gridCol w:w="1231"/>
        <w:gridCol w:w="670"/>
        <w:gridCol w:w="1085"/>
        <w:gridCol w:w="924"/>
        <w:gridCol w:w="2295"/>
      </w:tblGrid>
      <w:tr>
        <w:trPr>
          <w:trHeight w:val="521" w:hRule="atLeast"/>
        </w:trPr>
        <w:tc>
          <w:tcPr>
            <w:tcW w:w="2434" w:type="dxa"/>
            <w:tcBorders>
              <w:top w:val="single" w:sz="12" w:space="0" w:color="808080"/>
              <w:bottom w:val="single" w:sz="12" w:space="0" w:color="808080"/>
            </w:tcBorders>
          </w:tcPr>
          <w:p>
            <w:pPr>
              <w:pStyle w:val="TableParagraph"/>
              <w:tabs>
                <w:tab w:pos="914" w:val="left" w:leader="none"/>
              </w:tabs>
              <w:spacing w:before="48"/>
              <w:ind w:left="58"/>
              <w:rPr>
                <w:sz w:val="24"/>
              </w:rPr>
            </w:pPr>
            <w:r>
              <w:rPr>
                <w:spacing w:val="-5"/>
                <w:sz w:val="24"/>
              </w:rPr>
              <w:t>(a)</w:t>
            </w:r>
            <w:r>
              <w:rPr>
                <w:sz w:val="24"/>
              </w:rPr>
              <w:tab/>
            </w:r>
            <w:r>
              <w:rPr>
                <w:spacing w:val="-5"/>
                <w:sz w:val="24"/>
              </w:rPr>
              <w:t>(b)</w:t>
            </w:r>
          </w:p>
        </w:tc>
        <w:tc>
          <w:tcPr>
            <w:tcW w:w="1231" w:type="dxa"/>
            <w:tcBorders>
              <w:top w:val="single" w:sz="12" w:space="0" w:color="808080"/>
              <w:bottom w:val="single" w:sz="12" w:space="0" w:color="808080"/>
            </w:tcBorders>
          </w:tcPr>
          <w:p>
            <w:pPr>
              <w:pStyle w:val="TableParagraph"/>
              <w:spacing w:before="48"/>
              <w:ind w:left="312"/>
              <w:rPr>
                <w:sz w:val="24"/>
              </w:rPr>
            </w:pPr>
            <w:r>
              <w:rPr>
                <w:spacing w:val="-5"/>
                <w:sz w:val="24"/>
              </w:rPr>
              <w:t>(c)</w:t>
            </w:r>
          </w:p>
        </w:tc>
        <w:tc>
          <w:tcPr>
            <w:tcW w:w="670" w:type="dxa"/>
            <w:tcBorders>
              <w:top w:val="single" w:sz="12" w:space="0" w:color="808080"/>
              <w:bottom w:val="single" w:sz="12" w:space="0" w:color="808080"/>
            </w:tcBorders>
          </w:tcPr>
          <w:p>
            <w:pPr>
              <w:pStyle w:val="TableParagraph"/>
              <w:spacing w:before="48"/>
              <w:ind w:left="-4"/>
              <w:rPr>
                <w:sz w:val="24"/>
              </w:rPr>
            </w:pPr>
            <w:r>
              <w:rPr>
                <w:spacing w:val="-5"/>
                <w:sz w:val="24"/>
              </w:rPr>
              <w:t>(d)</w:t>
            </w:r>
          </w:p>
        </w:tc>
        <w:tc>
          <w:tcPr>
            <w:tcW w:w="1085" w:type="dxa"/>
            <w:tcBorders>
              <w:top w:val="single" w:sz="12" w:space="0" w:color="808080"/>
              <w:bottom w:val="single" w:sz="12" w:space="0" w:color="808080"/>
            </w:tcBorders>
          </w:tcPr>
          <w:p>
            <w:pPr>
              <w:pStyle w:val="TableParagraph"/>
              <w:spacing w:before="48"/>
              <w:ind w:left="243"/>
              <w:rPr>
                <w:sz w:val="24"/>
              </w:rPr>
            </w:pPr>
            <w:r>
              <w:rPr>
                <w:spacing w:val="-5"/>
                <w:sz w:val="24"/>
              </w:rPr>
              <w:t>(e)</w:t>
            </w:r>
          </w:p>
        </w:tc>
        <w:tc>
          <w:tcPr>
            <w:tcW w:w="924" w:type="dxa"/>
            <w:tcBorders>
              <w:top w:val="single" w:sz="12" w:space="0" w:color="808080"/>
              <w:bottom w:val="single" w:sz="12" w:space="0" w:color="808080"/>
            </w:tcBorders>
          </w:tcPr>
          <w:p>
            <w:pPr>
              <w:pStyle w:val="TableParagraph"/>
              <w:spacing w:before="48"/>
              <w:ind w:left="74"/>
              <w:rPr>
                <w:sz w:val="24"/>
              </w:rPr>
            </w:pPr>
            <w:r>
              <w:rPr>
                <w:spacing w:val="-5"/>
                <w:sz w:val="24"/>
              </w:rPr>
              <w:t>(f)</w:t>
            </w:r>
          </w:p>
        </w:tc>
        <w:tc>
          <w:tcPr>
            <w:tcW w:w="2295" w:type="dxa"/>
            <w:tcBorders>
              <w:top w:val="single" w:sz="12" w:space="0" w:color="808080"/>
              <w:bottom w:val="single" w:sz="12" w:space="0" w:color="808080"/>
            </w:tcBorders>
          </w:tcPr>
          <w:p>
            <w:pPr>
              <w:pStyle w:val="TableParagraph"/>
              <w:spacing w:before="48"/>
              <w:ind w:left="65"/>
              <w:rPr>
                <w:sz w:val="24"/>
              </w:rPr>
            </w:pPr>
            <w:r>
              <w:rPr>
                <w:spacing w:val="-5"/>
                <w:sz w:val="24"/>
              </w:rPr>
              <w:t>(g)</w:t>
            </w:r>
          </w:p>
        </w:tc>
      </w:tr>
      <w:tr>
        <w:trPr>
          <w:trHeight w:val="1152" w:hRule="atLeast"/>
        </w:trPr>
        <w:tc>
          <w:tcPr>
            <w:tcW w:w="2434" w:type="dxa"/>
            <w:tcBorders>
              <w:top w:val="single" w:sz="12" w:space="0" w:color="808080"/>
            </w:tcBorders>
          </w:tcPr>
          <w:p>
            <w:pPr>
              <w:pStyle w:val="TableParagraph"/>
              <w:spacing w:line="270" w:lineRule="atLeast" w:before="28"/>
              <w:ind w:left="898" w:right="309" w:firstLine="15"/>
              <w:rPr>
                <w:sz w:val="24"/>
              </w:rPr>
            </w:pPr>
            <w:r>
              <w:rPr>
                <w:sz w:val="24"/>
              </w:rPr>
              <w:t>As</w:t>
            </w:r>
            <w:r>
              <w:rPr>
                <w:spacing w:val="-15"/>
                <w:sz w:val="24"/>
              </w:rPr>
              <w:t> </w:t>
            </w:r>
            <w:r>
              <w:rPr>
                <w:sz w:val="24"/>
              </w:rPr>
              <w:t>proposed by the </w:t>
            </w:r>
            <w:r>
              <w:rPr>
                <w:spacing w:val="-2"/>
                <w:sz w:val="24"/>
              </w:rPr>
              <w:t>Education Commission</w:t>
            </w:r>
          </w:p>
        </w:tc>
        <w:tc>
          <w:tcPr>
            <w:tcW w:w="1231" w:type="dxa"/>
            <w:tcBorders>
              <w:top w:val="single" w:sz="12" w:space="0" w:color="808080"/>
            </w:tcBorders>
          </w:tcPr>
          <w:p>
            <w:pPr>
              <w:pStyle w:val="TableParagraph"/>
              <w:spacing w:line="270" w:lineRule="atLeast" w:before="28"/>
              <w:ind w:left="312" w:right="-15" w:firstLine="1"/>
              <w:rPr>
                <w:sz w:val="24"/>
              </w:rPr>
            </w:pPr>
            <w:r>
              <w:rPr>
                <w:spacing w:val="-2"/>
                <w:sz w:val="24"/>
              </w:rPr>
              <w:t>Kerala </w:t>
            </w:r>
            <w:r>
              <w:rPr>
                <w:sz w:val="24"/>
              </w:rPr>
              <w:t>(The</w:t>
            </w:r>
            <w:r>
              <w:rPr>
                <w:spacing w:val="-6"/>
                <w:sz w:val="24"/>
              </w:rPr>
              <w:t> </w:t>
            </w:r>
            <w:r>
              <w:rPr>
                <w:sz w:val="24"/>
              </w:rPr>
              <w:t>first two</w:t>
            </w:r>
            <w:r>
              <w:rPr>
                <w:spacing w:val="-15"/>
                <w:sz w:val="24"/>
              </w:rPr>
              <w:t> </w:t>
            </w:r>
            <w:r>
              <w:rPr>
                <w:sz w:val="24"/>
              </w:rPr>
              <w:t>years belong </w:t>
            </w:r>
            <w:r>
              <w:rPr>
                <w:spacing w:val="-5"/>
                <w:sz w:val="24"/>
              </w:rPr>
              <w:t>to</w:t>
            </w:r>
          </w:p>
        </w:tc>
        <w:tc>
          <w:tcPr>
            <w:tcW w:w="670" w:type="dxa"/>
            <w:tcBorders>
              <w:top w:val="single" w:sz="12" w:space="0" w:color="808080"/>
            </w:tcBorders>
          </w:tcPr>
          <w:p>
            <w:pPr>
              <w:pStyle w:val="TableParagraph"/>
              <w:spacing w:before="48"/>
              <w:ind w:left="-2"/>
              <w:rPr>
                <w:sz w:val="24"/>
              </w:rPr>
            </w:pPr>
            <w:r>
              <w:rPr>
                <w:spacing w:val="-4"/>
                <w:sz w:val="24"/>
              </w:rPr>
              <w:t>U.P.</w:t>
            </w:r>
          </w:p>
        </w:tc>
        <w:tc>
          <w:tcPr>
            <w:tcW w:w="1085" w:type="dxa"/>
            <w:tcBorders>
              <w:top w:val="single" w:sz="12" w:space="0" w:color="808080"/>
            </w:tcBorders>
          </w:tcPr>
          <w:p>
            <w:pPr>
              <w:pStyle w:val="TableParagraph"/>
              <w:spacing w:line="270" w:lineRule="atLeast" w:before="28"/>
              <w:ind w:left="243" w:right="46" w:firstLine="1"/>
              <w:rPr>
                <w:sz w:val="24"/>
              </w:rPr>
            </w:pPr>
            <w:r>
              <w:rPr>
                <w:spacing w:val="-2"/>
                <w:sz w:val="24"/>
              </w:rPr>
              <w:t>Madhya Pradesh </w:t>
            </w:r>
            <w:r>
              <w:rPr>
                <w:sz w:val="24"/>
              </w:rPr>
              <w:t>A &amp; N </w:t>
            </w:r>
            <w:r>
              <w:rPr>
                <w:spacing w:val="-2"/>
                <w:sz w:val="24"/>
              </w:rPr>
              <w:t>Islands</w:t>
            </w:r>
          </w:p>
        </w:tc>
        <w:tc>
          <w:tcPr>
            <w:tcW w:w="924" w:type="dxa"/>
            <w:tcBorders>
              <w:top w:val="single" w:sz="12" w:space="0" w:color="808080"/>
            </w:tcBorders>
          </w:tcPr>
          <w:p>
            <w:pPr>
              <w:pStyle w:val="TableParagraph"/>
              <w:spacing w:line="270" w:lineRule="atLeast" w:before="28"/>
              <w:ind w:left="51" w:firstLine="24"/>
              <w:rPr>
                <w:sz w:val="24"/>
              </w:rPr>
            </w:pPr>
            <w:r>
              <w:rPr>
                <w:spacing w:val="-2"/>
                <w:sz w:val="24"/>
              </w:rPr>
              <w:t>Andhra Pradesh Assam Bihar</w:t>
            </w:r>
          </w:p>
        </w:tc>
        <w:tc>
          <w:tcPr>
            <w:tcW w:w="2295" w:type="dxa"/>
            <w:tcBorders>
              <w:top w:val="single" w:sz="12" w:space="0" w:color="808080"/>
            </w:tcBorders>
          </w:tcPr>
          <w:p>
            <w:pPr>
              <w:pStyle w:val="TableParagraph"/>
              <w:spacing w:line="270" w:lineRule="atLeast" w:before="28"/>
              <w:ind w:left="65" w:right="1306" w:firstLine="3"/>
              <w:rPr>
                <w:sz w:val="24"/>
              </w:rPr>
            </w:pPr>
            <w:r>
              <w:rPr/>
              <mc:AlternateContent>
                <mc:Choice Requires="wps">
                  <w:drawing>
                    <wp:anchor distT="0" distB="0" distL="0" distR="0" allowOverlap="1" layoutInCell="1" locked="0" behindDoc="0" simplePos="0" relativeHeight="15787520">
                      <wp:simplePos x="0" y="0"/>
                      <wp:positionH relativeFrom="column">
                        <wp:posOffset>1454352</wp:posOffset>
                      </wp:positionH>
                      <wp:positionV relativeFrom="paragraph">
                        <wp:posOffset>-19309</wp:posOffset>
                      </wp:positionV>
                      <wp:extent cx="3175" cy="16510"/>
                      <wp:effectExtent l="0" t="0" r="0" b="0"/>
                      <wp:wrapNone/>
                      <wp:docPr id="596" name="Group 596"/>
                      <wp:cNvGraphicFramePr>
                        <a:graphicFrameLocks/>
                      </wp:cNvGraphicFramePr>
                      <a:graphic>
                        <a:graphicData uri="http://schemas.microsoft.com/office/word/2010/wordprocessingGroup">
                          <wpg:wgp>
                            <wpg:cNvPr id="596" name="Group 596"/>
                            <wpg:cNvGrpSpPr/>
                            <wpg:grpSpPr>
                              <a:xfrm>
                                <a:off x="0" y="0"/>
                                <a:ext cx="3175" cy="16510"/>
                                <a:chExt cx="3175" cy="16510"/>
                              </a:xfrm>
                            </wpg:grpSpPr>
                            <wps:wsp>
                              <wps:cNvPr id="597" name="Graphic 597"/>
                              <wps:cNvSpPr/>
                              <wps:spPr>
                                <a:xfrm>
                                  <a:off x="0" y="0"/>
                                  <a:ext cx="3175" cy="16510"/>
                                </a:xfrm>
                                <a:custGeom>
                                  <a:avLst/>
                                  <a:gdLst/>
                                  <a:ahLst/>
                                  <a:cxnLst/>
                                  <a:rect l="l" t="t" r="r" b="b"/>
                                  <a:pathLst>
                                    <a:path w="3175" h="16510">
                                      <a:moveTo>
                                        <a:pt x="3035" y="3060"/>
                                      </a:moveTo>
                                      <a:lnTo>
                                        <a:pt x="0" y="3060"/>
                                      </a:lnTo>
                                      <a:lnTo>
                                        <a:pt x="0" y="16002"/>
                                      </a:lnTo>
                                      <a:lnTo>
                                        <a:pt x="3035" y="16002"/>
                                      </a:lnTo>
                                      <a:lnTo>
                                        <a:pt x="3035" y="3060"/>
                                      </a:lnTo>
                                      <a:close/>
                                    </a:path>
                                    <a:path w="3175" h="16510">
                                      <a:moveTo>
                                        <a:pt x="3035" y="0"/>
                                      </a:moveTo>
                                      <a:lnTo>
                                        <a:pt x="0" y="0"/>
                                      </a:lnTo>
                                      <a:lnTo>
                                        <a:pt x="0" y="3048"/>
                                      </a:lnTo>
                                      <a:lnTo>
                                        <a:pt x="3035" y="3048"/>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14.515907pt;margin-top:-1.520441pt;width:.25pt;height:1.3pt;mso-position-horizontal-relative:column;mso-position-vertical-relative:paragraph;z-index:15787520" id="docshapegroup574" coordorigin="2290,-30" coordsize="5,26">
                      <v:shape style="position:absolute;left:2290;top:-31;width:5;height:26" id="docshape575" coordorigin="2290,-30" coordsize="5,26" path="m2295,-26l2290,-26,2290,-5,2295,-5,2295,-26xm2295,-30l2290,-30,2290,-26,2295,-26,2295,-30xe" filled="true" fillcolor="#f1efe2" stroked="false">
                        <v:path arrowok="t"/>
                        <v:fill type="solid"/>
                      </v:shape>
                      <w10:wrap type="none"/>
                    </v:group>
                  </w:pict>
                </mc:Fallback>
              </mc:AlternateContent>
            </w:r>
            <w:r>
              <w:rPr>
                <w:spacing w:val="-2"/>
                <w:sz w:val="24"/>
              </w:rPr>
              <w:t>Gujarat Madras Nagaland Orissa</w:t>
            </w:r>
          </w:p>
        </w:tc>
      </w:tr>
      <w:tr>
        <w:trPr>
          <w:trHeight w:val="3785" w:hRule="atLeast"/>
        </w:trPr>
        <w:tc>
          <w:tcPr>
            <w:tcW w:w="3665" w:type="dxa"/>
            <w:gridSpan w:val="2"/>
            <w:tcBorders>
              <w:bottom w:val="single" w:sz="12" w:space="0" w:color="808080"/>
            </w:tcBorders>
          </w:tcPr>
          <w:p>
            <w:pPr>
              <w:pStyle w:val="TableParagraph"/>
              <w:ind w:left="2746" w:right="-15" w:hanging="1"/>
              <w:rPr>
                <w:sz w:val="24"/>
              </w:rPr>
            </w:pPr>
            <w:r>
              <w:rPr>
                <w:spacing w:val="-2"/>
                <w:sz w:val="24"/>
              </w:rPr>
              <w:t>junior Colleges)</w:t>
            </w:r>
          </w:p>
        </w:tc>
        <w:tc>
          <w:tcPr>
            <w:tcW w:w="1755" w:type="dxa"/>
            <w:gridSpan w:val="2"/>
            <w:tcBorders>
              <w:bottom w:val="single" w:sz="12" w:space="0" w:color="808080"/>
            </w:tcBorders>
          </w:tcPr>
          <w:p>
            <w:pPr>
              <w:pStyle w:val="TableParagraph"/>
              <w:spacing w:line="266" w:lineRule="exact"/>
              <w:ind w:left="912"/>
              <w:rPr>
                <w:sz w:val="24"/>
              </w:rPr>
            </w:pPr>
            <w:r>
              <w:rPr>
                <w:spacing w:val="-2"/>
                <w:sz w:val="24"/>
              </w:rPr>
              <w:t>Delhi</w:t>
            </w:r>
          </w:p>
        </w:tc>
        <w:tc>
          <w:tcPr>
            <w:tcW w:w="3219" w:type="dxa"/>
            <w:gridSpan w:val="2"/>
            <w:tcBorders>
              <w:bottom w:val="single" w:sz="12" w:space="0" w:color="808080"/>
            </w:tcBorders>
          </w:tcPr>
          <w:p>
            <w:pPr>
              <w:pStyle w:val="TableParagraph"/>
              <w:tabs>
                <w:tab w:pos="989" w:val="left" w:leader="none"/>
              </w:tabs>
              <w:ind w:left="74" w:right="1053" w:hanging="2"/>
              <w:rPr>
                <w:sz w:val="24"/>
              </w:rPr>
            </w:pPr>
            <w:r>
              <w:rPr>
                <w:sz w:val="24"/>
              </w:rPr>
              <w:t>Jammu &amp; Goa, Kashmir</w:t>
            </w:r>
            <w:r>
              <w:rPr>
                <w:spacing w:val="40"/>
                <w:sz w:val="24"/>
              </w:rPr>
              <w:t> </w:t>
            </w:r>
            <w:r>
              <w:rPr>
                <w:sz w:val="24"/>
              </w:rPr>
              <w:t>Daman, </w:t>
            </w:r>
            <w:r>
              <w:rPr>
                <w:spacing w:val="-2"/>
                <w:sz w:val="24"/>
              </w:rPr>
              <w:t>Mahar-</w:t>
            </w:r>
            <w:r>
              <w:rPr>
                <w:sz w:val="24"/>
              </w:rPr>
              <w:tab/>
              <w:t>and Diu </w:t>
            </w:r>
            <w:r>
              <w:rPr>
                <w:spacing w:val="-2"/>
                <w:sz w:val="24"/>
              </w:rPr>
              <w:t>ashtra</w:t>
            </w:r>
            <w:r>
              <w:rPr>
                <w:sz w:val="24"/>
              </w:rPr>
              <w:tab/>
            </w:r>
            <w:r>
              <w:rPr>
                <w:spacing w:val="-2"/>
                <w:sz w:val="24"/>
              </w:rPr>
              <w:t>Pondicherry Mysore</w:t>
            </w:r>
          </w:p>
          <w:p>
            <w:pPr>
              <w:pStyle w:val="TableParagraph"/>
              <w:ind w:left="74" w:right="1907"/>
              <w:rPr>
                <w:sz w:val="24"/>
              </w:rPr>
            </w:pPr>
            <w:r>
              <w:rPr>
                <w:spacing w:val="-2"/>
                <w:sz w:val="24"/>
              </w:rPr>
              <w:t>Punjab Rajasthan </w:t>
            </w:r>
            <w:r>
              <w:rPr>
                <w:sz w:val="24"/>
              </w:rPr>
              <w:t>West</w:t>
            </w:r>
            <w:r>
              <w:rPr>
                <w:spacing w:val="-15"/>
                <w:sz w:val="24"/>
              </w:rPr>
              <w:t> </w:t>
            </w:r>
            <w:r>
              <w:rPr>
                <w:sz w:val="24"/>
              </w:rPr>
              <w:t>Bengal </w:t>
            </w:r>
            <w:r>
              <w:rPr>
                <w:spacing w:val="-2"/>
                <w:sz w:val="24"/>
              </w:rPr>
              <w:t>Himachal Pradesh Manipur </w:t>
            </w:r>
            <w:r>
              <w:rPr>
                <w:spacing w:val="-4"/>
                <w:sz w:val="24"/>
              </w:rPr>
              <w:t>NEFA</w:t>
            </w:r>
          </w:p>
          <w:p>
            <w:pPr>
              <w:pStyle w:val="TableParagraph"/>
              <w:ind w:left="74"/>
              <w:rPr>
                <w:sz w:val="24"/>
              </w:rPr>
            </w:pPr>
            <w:r>
              <w:rPr/>
              <mc:AlternateContent>
                <mc:Choice Requires="wps">
                  <w:drawing>
                    <wp:anchor distT="0" distB="0" distL="0" distR="0" allowOverlap="1" layoutInCell="1" locked="0" behindDoc="0" simplePos="0" relativeHeight="15788032">
                      <wp:simplePos x="0" y="0"/>
                      <wp:positionH relativeFrom="column">
                        <wp:posOffset>2041277</wp:posOffset>
                      </wp:positionH>
                      <wp:positionV relativeFrom="paragraph">
                        <wp:posOffset>300775</wp:posOffset>
                      </wp:positionV>
                      <wp:extent cx="3175" cy="16510"/>
                      <wp:effectExtent l="0" t="0" r="0" b="0"/>
                      <wp:wrapNone/>
                      <wp:docPr id="598" name="Group 598"/>
                      <wp:cNvGraphicFramePr>
                        <a:graphicFrameLocks/>
                      </wp:cNvGraphicFramePr>
                      <a:graphic>
                        <a:graphicData uri="http://schemas.microsoft.com/office/word/2010/wordprocessingGroup">
                          <wpg:wgp>
                            <wpg:cNvPr id="598" name="Group 598"/>
                            <wpg:cNvGrpSpPr/>
                            <wpg:grpSpPr>
                              <a:xfrm>
                                <a:off x="0" y="0"/>
                                <a:ext cx="3175" cy="16510"/>
                                <a:chExt cx="3175" cy="16510"/>
                              </a:xfrm>
                            </wpg:grpSpPr>
                            <wps:wsp>
                              <wps:cNvPr id="599" name="Graphic 599"/>
                              <wps:cNvSpPr/>
                              <wps:spPr>
                                <a:xfrm>
                                  <a:off x="0" y="12"/>
                                  <a:ext cx="3175" cy="16510"/>
                                </a:xfrm>
                                <a:custGeom>
                                  <a:avLst/>
                                  <a:gdLst/>
                                  <a:ahLst/>
                                  <a:cxnLst/>
                                  <a:rect l="l" t="t" r="r" b="b"/>
                                  <a:pathLst>
                                    <a:path w="3175" h="16510">
                                      <a:moveTo>
                                        <a:pt x="3035" y="3048"/>
                                      </a:moveTo>
                                      <a:lnTo>
                                        <a:pt x="0" y="3048"/>
                                      </a:lnTo>
                                      <a:lnTo>
                                        <a:pt x="0" y="15989"/>
                                      </a:lnTo>
                                      <a:lnTo>
                                        <a:pt x="3035" y="15989"/>
                                      </a:lnTo>
                                      <a:lnTo>
                                        <a:pt x="3035" y="3048"/>
                                      </a:lnTo>
                                      <a:close/>
                                    </a:path>
                                    <a:path w="3175" h="16510">
                                      <a:moveTo>
                                        <a:pt x="3035" y="0"/>
                                      </a:moveTo>
                                      <a:lnTo>
                                        <a:pt x="0" y="0"/>
                                      </a:lnTo>
                                      <a:lnTo>
                                        <a:pt x="0" y="3035"/>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160.730484pt;margin-top:23.683146pt;width:.25pt;height:1.3pt;mso-position-horizontal-relative:column;mso-position-vertical-relative:paragraph;z-index:15788032" id="docshapegroup576" coordorigin="3215,474" coordsize="5,26">
                      <v:shape style="position:absolute;left:3214;top:473;width:5;height:26" id="docshape577" coordorigin="3215,474" coordsize="5,26" path="m3219,478l3215,478,3215,499,3219,499,3219,478xm3219,474l3215,474,3215,478,3219,478,3219,474xe" filled="true" fillcolor="#f1efe2" stroked="false">
                        <v:path arrowok="t"/>
                        <v:fill type="solid"/>
                      </v:shape>
                      <w10:wrap type="none"/>
                    </v:group>
                  </w:pict>
                </mc:Fallback>
              </mc:AlternateContent>
            </w:r>
            <w:r>
              <w:rPr>
                <w:spacing w:val="-2"/>
                <w:sz w:val="24"/>
              </w:rPr>
              <w:t>Tripura</w:t>
            </w:r>
          </w:p>
        </w:tc>
      </w:tr>
      <w:tr>
        <w:trPr>
          <w:trHeight w:val="607" w:hRule="atLeast"/>
        </w:trPr>
        <w:tc>
          <w:tcPr>
            <w:tcW w:w="3665" w:type="dxa"/>
            <w:gridSpan w:val="2"/>
            <w:tcBorders>
              <w:top w:val="single" w:sz="12" w:space="0" w:color="808080"/>
            </w:tcBorders>
          </w:tcPr>
          <w:p>
            <w:pPr>
              <w:pStyle w:val="TableParagraph"/>
              <w:spacing w:before="55"/>
              <w:rPr>
                <w:sz w:val="24"/>
              </w:rPr>
            </w:pPr>
          </w:p>
          <w:p>
            <w:pPr>
              <w:pStyle w:val="TableParagraph"/>
              <w:spacing w:line="256" w:lineRule="exact"/>
              <w:ind w:left="-2"/>
              <w:rPr>
                <w:b/>
                <w:sz w:val="24"/>
              </w:rPr>
            </w:pPr>
            <w:r>
              <w:rPr/>
              <mc:AlternateContent>
                <mc:Choice Requires="wps">
                  <w:drawing>
                    <wp:anchor distT="0" distB="0" distL="0" distR="0" allowOverlap="1" layoutInCell="1" locked="0" behindDoc="0" simplePos="0" relativeHeight="15788544">
                      <wp:simplePos x="0" y="0"/>
                      <wp:positionH relativeFrom="column">
                        <wp:posOffset>-762</wp:posOffset>
                      </wp:positionH>
                      <wp:positionV relativeFrom="paragraph">
                        <wp:posOffset>-226528</wp:posOffset>
                      </wp:positionV>
                      <wp:extent cx="3175" cy="1333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3175" cy="13335"/>
                                <a:chExt cx="3175" cy="13335"/>
                              </a:xfrm>
                            </wpg:grpSpPr>
                            <wps:wsp>
                              <wps:cNvPr id="601" name="Graphic 601"/>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wpg:wgp>
                        </a:graphicData>
                      </a:graphic>
                    </wp:anchor>
                  </w:drawing>
                </mc:Choice>
                <mc:Fallback>
                  <w:pict>
                    <v:group style="position:absolute;margin-left:-.060002pt;margin-top:-17.836876pt;width:.25pt;height:1.05pt;mso-position-horizontal-relative:column;mso-position-vertical-relative:paragraph;z-index:15788544" id="docshapegroup578" coordorigin="-1,-357" coordsize="5,21">
                      <v:rect style="position:absolute;left:-2;top:-357;width:5;height:21" id="docshape579" filled="true" fillcolor="#aca89a" stroked="false">
                        <v:fill type="solid"/>
                      </v:rect>
                      <w10:wrap type="none"/>
                    </v:group>
                  </w:pict>
                </mc:Fallback>
              </mc:AlternateContent>
            </w:r>
            <w:r>
              <w:rPr>
                <w:b/>
                <w:sz w:val="24"/>
              </w:rPr>
              <w:t>Explanatory </w:t>
            </w:r>
            <w:r>
              <w:rPr>
                <w:b/>
                <w:spacing w:val="-4"/>
                <w:sz w:val="24"/>
              </w:rPr>
              <w:t>Note</w:t>
            </w:r>
          </w:p>
        </w:tc>
        <w:tc>
          <w:tcPr>
            <w:tcW w:w="1755" w:type="dxa"/>
            <w:gridSpan w:val="2"/>
            <w:tcBorders>
              <w:top w:val="single" w:sz="12" w:space="0" w:color="808080"/>
            </w:tcBorders>
          </w:tcPr>
          <w:p>
            <w:pPr>
              <w:pStyle w:val="TableParagraph"/>
              <w:rPr>
                <w:sz w:val="22"/>
              </w:rPr>
            </w:pPr>
          </w:p>
        </w:tc>
        <w:tc>
          <w:tcPr>
            <w:tcW w:w="3219" w:type="dxa"/>
            <w:gridSpan w:val="2"/>
            <w:tcBorders>
              <w:top w:val="single" w:sz="12" w:space="0" w:color="808080"/>
            </w:tcBorders>
          </w:tcPr>
          <w:p>
            <w:pPr>
              <w:pStyle w:val="TableParagraph"/>
              <w:rPr>
                <w:sz w:val="22"/>
              </w:rPr>
            </w:pPr>
          </w:p>
        </w:tc>
      </w:tr>
    </w:tbl>
    <w:p>
      <w:pPr>
        <w:pStyle w:val="ListParagraph"/>
        <w:numPr>
          <w:ilvl w:val="0"/>
          <w:numId w:val="140"/>
        </w:numPr>
        <w:tabs>
          <w:tab w:pos="445" w:val="left" w:leader="none"/>
        </w:tabs>
        <w:spacing w:line="240" w:lineRule="auto" w:before="265" w:after="0"/>
        <w:ind w:left="445" w:right="0" w:hanging="286"/>
        <w:jc w:val="left"/>
        <w:rPr>
          <w:sz w:val="24"/>
        </w:rPr>
      </w:pPr>
      <w:r>
        <w:rPr>
          <w:sz w:val="24"/>
        </w:rPr>
        <w:t>Columns</w:t>
      </w:r>
      <w:r>
        <w:rPr>
          <w:spacing w:val="-1"/>
          <w:sz w:val="24"/>
        </w:rPr>
        <w:t> </w:t>
      </w:r>
      <w:r>
        <w:rPr>
          <w:sz w:val="24"/>
        </w:rPr>
        <w:t>marked 'A'</w:t>
      </w:r>
      <w:r>
        <w:rPr>
          <w:spacing w:val="-3"/>
          <w:sz w:val="24"/>
        </w:rPr>
        <w:t> </w:t>
      </w:r>
      <w:r>
        <w:rPr>
          <w:sz w:val="24"/>
        </w:rPr>
        <w:t>show the</w:t>
      </w:r>
      <w:r>
        <w:rPr>
          <w:spacing w:val="-1"/>
          <w:sz w:val="24"/>
        </w:rPr>
        <w:t> </w:t>
      </w:r>
      <w:r>
        <w:rPr>
          <w:sz w:val="24"/>
        </w:rPr>
        <w:t>year to</w:t>
      </w:r>
      <w:r>
        <w:rPr>
          <w:spacing w:val="-1"/>
          <w:sz w:val="24"/>
        </w:rPr>
        <w:t> </w:t>
      </w:r>
      <w:r>
        <w:rPr>
          <w:sz w:val="24"/>
        </w:rPr>
        <w:t>be added</w:t>
      </w:r>
      <w:r>
        <w:rPr>
          <w:spacing w:val="-1"/>
          <w:sz w:val="24"/>
        </w:rPr>
        <w:t> </w:t>
      </w:r>
      <w:r>
        <w:rPr>
          <w:sz w:val="24"/>
        </w:rPr>
        <w:t>by </w:t>
      </w:r>
      <w:r>
        <w:rPr>
          <w:spacing w:val="-2"/>
          <w:sz w:val="24"/>
        </w:rPr>
        <w:t>1986.</w:t>
      </w:r>
    </w:p>
    <w:p>
      <w:pPr>
        <w:pStyle w:val="BodyText"/>
        <w:spacing w:before="3"/>
      </w:pPr>
    </w:p>
    <w:p>
      <w:pPr>
        <w:pStyle w:val="ListParagraph"/>
        <w:numPr>
          <w:ilvl w:val="0"/>
          <w:numId w:val="140"/>
        </w:numPr>
        <w:tabs>
          <w:tab w:pos="513" w:val="left" w:leader="none"/>
        </w:tabs>
        <w:spacing w:line="240" w:lineRule="auto" w:before="0" w:after="0"/>
        <w:ind w:left="159" w:right="495" w:firstLine="0"/>
        <w:jc w:val="left"/>
        <w:rPr>
          <w:sz w:val="24"/>
        </w:rPr>
      </w:pPr>
      <w:r>
        <w:rPr>
          <w:sz w:val="24"/>
        </w:rPr>
        <w:t>The</w:t>
      </w:r>
      <w:r>
        <w:rPr>
          <w:spacing w:val="-1"/>
          <w:sz w:val="24"/>
        </w:rPr>
        <w:t> </w:t>
      </w:r>
      <w:r>
        <w:rPr>
          <w:sz w:val="24"/>
        </w:rPr>
        <w:t>chart</w:t>
      </w:r>
      <w:r>
        <w:rPr>
          <w:spacing w:val="-1"/>
          <w:sz w:val="24"/>
        </w:rPr>
        <w:t> </w:t>
      </w:r>
      <w:r>
        <w:rPr>
          <w:sz w:val="24"/>
        </w:rPr>
        <w:t>given</w:t>
      </w:r>
      <w:r>
        <w:rPr>
          <w:spacing w:val="-1"/>
          <w:sz w:val="24"/>
        </w:rPr>
        <w:t> </w:t>
      </w:r>
      <w:r>
        <w:rPr>
          <w:sz w:val="24"/>
        </w:rPr>
        <w:t>above</w:t>
      </w:r>
      <w:r>
        <w:rPr>
          <w:spacing w:val="-1"/>
          <w:sz w:val="24"/>
        </w:rPr>
        <w:t> </w:t>
      </w:r>
      <w:r>
        <w:rPr>
          <w:sz w:val="24"/>
        </w:rPr>
        <w:t>shows</w:t>
      </w:r>
      <w:r>
        <w:rPr>
          <w:spacing w:val="-1"/>
          <w:sz w:val="24"/>
        </w:rPr>
        <w:t> </w:t>
      </w:r>
      <w:r>
        <w:rPr>
          <w:sz w:val="24"/>
        </w:rPr>
        <w:t>the</w:t>
      </w:r>
      <w:r>
        <w:rPr>
          <w:spacing w:val="-1"/>
          <w:sz w:val="24"/>
        </w:rPr>
        <w:t> </w:t>
      </w:r>
      <w:r>
        <w:rPr>
          <w:sz w:val="24"/>
        </w:rPr>
        <w:t>position</w:t>
      </w:r>
      <w:r>
        <w:rPr>
          <w:spacing w:val="-1"/>
          <w:sz w:val="24"/>
        </w:rPr>
        <w:t> </w:t>
      </w:r>
      <w:r>
        <w:rPr>
          <w:sz w:val="24"/>
        </w:rPr>
        <w:t>in</w:t>
      </w:r>
      <w:r>
        <w:rPr>
          <w:spacing w:val="-1"/>
          <w:sz w:val="24"/>
        </w:rPr>
        <w:t> </w:t>
      </w:r>
      <w:r>
        <w:rPr>
          <w:sz w:val="24"/>
        </w:rPr>
        <w:t>1965-</w:t>
      </w:r>
      <w:r>
        <w:rPr>
          <w:spacing w:val="-1"/>
          <w:sz w:val="24"/>
        </w:rPr>
        <w:t> </w:t>
      </w:r>
      <w:r>
        <w:rPr>
          <w:sz w:val="24"/>
        </w:rPr>
        <w:t>66.</w:t>
      </w:r>
      <w:r>
        <w:rPr>
          <w:spacing w:val="-1"/>
          <w:sz w:val="24"/>
        </w:rPr>
        <w:t> </w:t>
      </w:r>
      <w:r>
        <w:rPr>
          <w:sz w:val="24"/>
        </w:rPr>
        <w:t>It</w:t>
      </w:r>
      <w:r>
        <w:rPr>
          <w:spacing w:val="-1"/>
          <w:sz w:val="24"/>
        </w:rPr>
        <w:t> </w:t>
      </w:r>
      <w:r>
        <w:rPr>
          <w:sz w:val="24"/>
        </w:rPr>
        <w:t>has</w:t>
      </w:r>
      <w:r>
        <w:rPr>
          <w:spacing w:val="-1"/>
          <w:sz w:val="24"/>
        </w:rPr>
        <w:t> </w:t>
      </w:r>
      <w:r>
        <w:rPr>
          <w:sz w:val="24"/>
        </w:rPr>
        <w:t>varied</w:t>
      </w:r>
      <w:r>
        <w:rPr>
          <w:spacing w:val="-1"/>
          <w:sz w:val="24"/>
        </w:rPr>
        <w:t> </w:t>
      </w:r>
      <w:r>
        <w:rPr>
          <w:sz w:val="24"/>
        </w:rPr>
        <w:t>from</w:t>
      </w:r>
      <w:r>
        <w:rPr>
          <w:spacing w:val="-1"/>
          <w:sz w:val="24"/>
        </w:rPr>
        <w:t> </w:t>
      </w:r>
      <w:r>
        <w:rPr>
          <w:sz w:val="24"/>
        </w:rPr>
        <w:t>time</w:t>
      </w:r>
      <w:r>
        <w:rPr>
          <w:spacing w:val="-1"/>
          <w:sz w:val="24"/>
        </w:rPr>
        <w:t> </w:t>
      </w:r>
      <w:r>
        <w:rPr>
          <w:sz w:val="24"/>
        </w:rPr>
        <w:t>to</w:t>
      </w:r>
      <w:r>
        <w:rPr>
          <w:spacing w:val="-1"/>
          <w:sz w:val="24"/>
        </w:rPr>
        <w:t> </w:t>
      </w:r>
      <w:r>
        <w:rPr>
          <w:sz w:val="24"/>
        </w:rPr>
        <w:t>time. In tabulating enrolment, the position as it was in the year concerned has been adopted.</w:t>
      </w:r>
    </w:p>
    <w:p>
      <w:pPr>
        <w:pStyle w:val="BodyText"/>
        <w:spacing w:before="5"/>
      </w:pPr>
    </w:p>
    <w:p>
      <w:pPr>
        <w:pStyle w:val="ListParagraph"/>
        <w:numPr>
          <w:ilvl w:val="0"/>
          <w:numId w:val="140"/>
        </w:numPr>
        <w:tabs>
          <w:tab w:pos="578" w:val="left" w:leader="none"/>
        </w:tabs>
        <w:spacing w:line="240" w:lineRule="auto" w:before="0" w:after="0"/>
        <w:ind w:left="578" w:right="0" w:hanging="419"/>
        <w:jc w:val="left"/>
        <w:rPr>
          <w:sz w:val="24"/>
        </w:rPr>
      </w:pPr>
      <w:r>
        <w:rPr>
          <w:sz w:val="24"/>
        </w:rPr>
        <w:t>PUC=Pre-University </w:t>
      </w:r>
      <w:r>
        <w:rPr>
          <w:spacing w:val="-2"/>
          <w:sz w:val="24"/>
        </w:rPr>
        <w:t>Course.</w:t>
      </w:r>
    </w:p>
    <w:p>
      <w:pPr>
        <w:pStyle w:val="BodyText"/>
        <w:spacing w:before="3"/>
      </w:pPr>
    </w:p>
    <w:p>
      <w:pPr>
        <w:spacing w:before="0"/>
        <w:ind w:left="159" w:right="499" w:firstLine="0"/>
        <w:jc w:val="both"/>
        <w:rPr>
          <w:sz w:val="24"/>
        </w:rPr>
      </w:pPr>
      <w:r>
        <w:rPr>
          <w:b/>
          <w:sz w:val="24"/>
        </w:rPr>
        <w:t>AI.06. Pre-Primary Education. </w:t>
      </w:r>
      <w:r>
        <w:rPr>
          <w:sz w:val="24"/>
        </w:rPr>
        <w:t>In our statistics, pre-primary education </w:t>
      </w:r>
      <w:r>
        <w:rPr>
          <w:sz w:val="24"/>
        </w:rPr>
        <w:t>includes enrolments in the following three categories:</w:t>
      </w:r>
    </w:p>
    <w:p>
      <w:pPr>
        <w:pStyle w:val="BodyText"/>
        <w:spacing w:before="4"/>
      </w:pPr>
    </w:p>
    <w:p>
      <w:pPr>
        <w:pStyle w:val="ListParagraph"/>
        <w:numPr>
          <w:ilvl w:val="1"/>
          <w:numId w:val="140"/>
        </w:numPr>
        <w:tabs>
          <w:tab w:pos="498" w:val="left" w:leader="none"/>
        </w:tabs>
        <w:spacing w:line="240" w:lineRule="auto" w:before="1" w:after="0"/>
        <w:ind w:left="498" w:right="0" w:hanging="339"/>
        <w:jc w:val="left"/>
        <w:rPr>
          <w:sz w:val="24"/>
        </w:rPr>
      </w:pPr>
      <w:r>
        <w:rPr>
          <w:sz w:val="24"/>
        </w:rPr>
        <w:t>Pre-Primary</w:t>
      </w:r>
      <w:r>
        <w:rPr>
          <w:spacing w:val="-2"/>
          <w:sz w:val="24"/>
        </w:rPr>
        <w:t> </w:t>
      </w:r>
      <w:r>
        <w:rPr>
          <w:sz w:val="24"/>
        </w:rPr>
        <w:t>classes</w:t>
      </w:r>
      <w:r>
        <w:rPr>
          <w:spacing w:val="-1"/>
          <w:sz w:val="24"/>
        </w:rPr>
        <w:t> </w:t>
      </w:r>
      <w:r>
        <w:rPr>
          <w:spacing w:val="-2"/>
          <w:sz w:val="24"/>
        </w:rPr>
        <w:t>proper</w:t>
      </w:r>
    </w:p>
    <w:p>
      <w:pPr>
        <w:pStyle w:val="BodyText"/>
        <w:spacing w:before="4"/>
      </w:pPr>
    </w:p>
    <w:p>
      <w:pPr>
        <w:pStyle w:val="ListParagraph"/>
        <w:numPr>
          <w:ilvl w:val="1"/>
          <w:numId w:val="140"/>
        </w:numPr>
        <w:tabs>
          <w:tab w:pos="497" w:val="left" w:leader="none"/>
        </w:tabs>
        <w:spacing w:line="240" w:lineRule="auto" w:before="1" w:after="0"/>
        <w:ind w:left="497" w:right="0" w:hanging="338"/>
        <w:jc w:val="left"/>
        <w:rPr>
          <w:sz w:val="24"/>
        </w:rPr>
      </w:pPr>
      <w:r>
        <w:rPr>
          <w:sz w:val="24"/>
        </w:rPr>
        <w:t>Infant</w:t>
      </w:r>
      <w:r>
        <w:rPr>
          <w:spacing w:val="-1"/>
          <w:sz w:val="24"/>
        </w:rPr>
        <w:t> </w:t>
      </w:r>
      <w:r>
        <w:rPr>
          <w:sz w:val="24"/>
        </w:rPr>
        <w:t>A</w:t>
      </w:r>
      <w:r>
        <w:rPr>
          <w:spacing w:val="-1"/>
          <w:sz w:val="24"/>
        </w:rPr>
        <w:t> </w:t>
      </w:r>
      <w:r>
        <w:rPr>
          <w:spacing w:val="-2"/>
          <w:sz w:val="24"/>
        </w:rPr>
        <w:t>Class</w:t>
      </w:r>
    </w:p>
    <w:p>
      <w:pPr>
        <w:pStyle w:val="BodyText"/>
        <w:spacing w:before="3"/>
      </w:pPr>
    </w:p>
    <w:p>
      <w:pPr>
        <w:pStyle w:val="ListParagraph"/>
        <w:numPr>
          <w:ilvl w:val="1"/>
          <w:numId w:val="140"/>
        </w:numPr>
        <w:tabs>
          <w:tab w:pos="497" w:val="left" w:leader="none"/>
        </w:tabs>
        <w:spacing w:line="240" w:lineRule="auto" w:before="0" w:after="0"/>
        <w:ind w:left="497" w:right="0" w:hanging="338"/>
        <w:jc w:val="left"/>
        <w:rPr>
          <w:sz w:val="24"/>
        </w:rPr>
      </w:pPr>
      <w:r>
        <w:rPr>
          <w:sz w:val="24"/>
        </w:rPr>
        <w:t>Infant</w:t>
      </w:r>
      <w:r>
        <w:rPr>
          <w:spacing w:val="-2"/>
          <w:sz w:val="24"/>
        </w:rPr>
        <w:t> </w:t>
      </w:r>
      <w:r>
        <w:rPr>
          <w:sz w:val="24"/>
        </w:rPr>
        <w:t>B</w:t>
      </w:r>
      <w:r>
        <w:rPr>
          <w:spacing w:val="-1"/>
          <w:sz w:val="24"/>
        </w:rPr>
        <w:t> </w:t>
      </w:r>
      <w:r>
        <w:rPr>
          <w:sz w:val="24"/>
        </w:rPr>
        <w:t>Class</w:t>
      </w:r>
      <w:r>
        <w:rPr>
          <w:spacing w:val="-1"/>
          <w:sz w:val="24"/>
        </w:rPr>
        <w:t> </w:t>
      </w:r>
      <w:r>
        <w:rPr>
          <w:sz w:val="24"/>
        </w:rPr>
        <w:t>and</w:t>
      </w:r>
      <w:r>
        <w:rPr>
          <w:spacing w:val="-1"/>
          <w:sz w:val="24"/>
        </w:rPr>
        <w:t> </w:t>
      </w:r>
      <w:r>
        <w:rPr>
          <w:sz w:val="24"/>
        </w:rPr>
        <w:t>Class</w:t>
      </w:r>
      <w:r>
        <w:rPr>
          <w:spacing w:val="-1"/>
          <w:sz w:val="24"/>
        </w:rPr>
        <w:t> </w:t>
      </w:r>
      <w:r>
        <w:rPr>
          <w:sz w:val="24"/>
        </w:rPr>
        <w:t>I</w:t>
      </w:r>
      <w:r>
        <w:rPr>
          <w:spacing w:val="-1"/>
          <w:sz w:val="24"/>
        </w:rPr>
        <w:t> </w:t>
      </w:r>
      <w:r>
        <w:rPr>
          <w:sz w:val="24"/>
        </w:rPr>
        <w:t>(where</w:t>
      </w:r>
      <w:r>
        <w:rPr>
          <w:spacing w:val="-1"/>
          <w:sz w:val="24"/>
        </w:rPr>
        <w:t> </w:t>
      </w:r>
      <w:r>
        <w:rPr>
          <w:sz w:val="24"/>
        </w:rPr>
        <w:t>it corresponds</w:t>
      </w:r>
      <w:r>
        <w:rPr>
          <w:spacing w:val="-1"/>
          <w:sz w:val="24"/>
        </w:rPr>
        <w:t> </w:t>
      </w:r>
      <w:r>
        <w:rPr>
          <w:sz w:val="24"/>
        </w:rPr>
        <w:t>to</w:t>
      </w:r>
      <w:r>
        <w:rPr>
          <w:spacing w:val="-1"/>
          <w:sz w:val="24"/>
        </w:rPr>
        <w:t> </w:t>
      </w:r>
      <w:r>
        <w:rPr>
          <w:sz w:val="24"/>
        </w:rPr>
        <w:t>the</w:t>
      </w:r>
      <w:r>
        <w:rPr>
          <w:spacing w:val="-1"/>
          <w:sz w:val="24"/>
        </w:rPr>
        <w:t> </w:t>
      </w:r>
      <w:r>
        <w:rPr>
          <w:sz w:val="24"/>
        </w:rPr>
        <w:t>Infant</w:t>
      </w:r>
      <w:r>
        <w:rPr>
          <w:spacing w:val="-1"/>
          <w:sz w:val="24"/>
        </w:rPr>
        <w:t> </w:t>
      </w:r>
      <w:r>
        <w:rPr>
          <w:sz w:val="24"/>
        </w:rPr>
        <w:t>B</w:t>
      </w:r>
      <w:r>
        <w:rPr>
          <w:spacing w:val="-1"/>
          <w:sz w:val="24"/>
        </w:rPr>
        <w:t> </w:t>
      </w:r>
      <w:r>
        <w:rPr>
          <w:spacing w:val="-2"/>
          <w:sz w:val="24"/>
        </w:rPr>
        <w:t>Class).</w:t>
      </w:r>
    </w:p>
    <w:p>
      <w:pPr>
        <w:pStyle w:val="BodyText"/>
        <w:spacing w:before="2"/>
      </w:pPr>
    </w:p>
    <w:p>
      <w:pPr>
        <w:pStyle w:val="BodyText"/>
        <w:spacing w:before="1"/>
        <w:ind w:left="159" w:right="498"/>
        <w:jc w:val="both"/>
      </w:pPr>
      <w:r>
        <w:rPr/>
        <w:t>AI.07.</w:t>
      </w:r>
      <w:r>
        <w:rPr>
          <w:spacing w:val="-1"/>
        </w:rPr>
        <w:t> </w:t>
      </w:r>
      <w:r>
        <w:rPr/>
        <w:t>In</w:t>
      </w:r>
      <w:r>
        <w:rPr>
          <w:spacing w:val="-1"/>
        </w:rPr>
        <w:t> </w:t>
      </w:r>
      <w:r>
        <w:rPr/>
        <w:t>each</w:t>
      </w:r>
      <w:r>
        <w:rPr>
          <w:spacing w:val="-1"/>
        </w:rPr>
        <w:t> </w:t>
      </w:r>
      <w:r>
        <w:rPr/>
        <w:t>year</w:t>
      </w:r>
      <w:r>
        <w:rPr>
          <w:spacing w:val="-1"/>
        </w:rPr>
        <w:t> </w:t>
      </w:r>
      <w:r>
        <w:rPr/>
        <w:t>of</w:t>
      </w:r>
      <w:r>
        <w:rPr>
          <w:spacing w:val="-1"/>
        </w:rPr>
        <w:t> </w:t>
      </w:r>
      <w:r>
        <w:rPr/>
        <w:t>tabulation</w:t>
      </w:r>
      <w:r>
        <w:rPr>
          <w:spacing w:val="-2"/>
        </w:rPr>
        <w:t> </w:t>
      </w:r>
      <w:r>
        <w:rPr/>
        <w:t>the</w:t>
      </w:r>
      <w:r>
        <w:rPr>
          <w:spacing w:val="-2"/>
        </w:rPr>
        <w:t> </w:t>
      </w:r>
      <w:r>
        <w:rPr/>
        <w:t>corresponding</w:t>
      </w:r>
      <w:r>
        <w:rPr>
          <w:spacing w:val="-2"/>
        </w:rPr>
        <w:t> </w:t>
      </w:r>
      <w:r>
        <w:rPr/>
        <w:t>enrolments</w:t>
      </w:r>
      <w:r>
        <w:rPr>
          <w:spacing w:val="-3"/>
        </w:rPr>
        <w:t> </w:t>
      </w:r>
      <w:r>
        <w:rPr/>
        <w:t>in</w:t>
      </w:r>
      <w:r>
        <w:rPr>
          <w:spacing w:val="-2"/>
        </w:rPr>
        <w:t> </w:t>
      </w:r>
      <w:r>
        <w:rPr/>
        <w:t>an</w:t>
      </w:r>
      <w:r>
        <w:rPr>
          <w:spacing w:val="-2"/>
        </w:rPr>
        <w:t> </w:t>
      </w:r>
      <w:r>
        <w:rPr/>
        <w:t>the</w:t>
      </w:r>
      <w:r>
        <w:rPr>
          <w:spacing w:val="-2"/>
        </w:rPr>
        <w:t> </w:t>
      </w:r>
      <w:r>
        <w:rPr/>
        <w:t>States</w:t>
      </w:r>
      <w:r>
        <w:rPr>
          <w:spacing w:val="-2"/>
        </w:rPr>
        <w:t> </w:t>
      </w:r>
      <w:r>
        <w:rPr/>
        <w:t>and</w:t>
      </w:r>
      <w:r>
        <w:rPr>
          <w:spacing w:val="-2"/>
        </w:rPr>
        <w:t> </w:t>
      </w:r>
      <w:r>
        <w:rPr/>
        <w:t>Union Territories which had the categories mentioned above have been aggregated together and given in Table AI.4</w:t>
      </w:r>
    </w:p>
    <w:p>
      <w:pPr>
        <w:pStyle w:val="BodyText"/>
        <w:spacing w:before="4"/>
      </w:pPr>
    </w:p>
    <w:p>
      <w:pPr>
        <w:pStyle w:val="BodyText"/>
        <w:spacing w:before="1"/>
        <w:ind w:left="159" w:right="496"/>
        <w:jc w:val="both"/>
      </w:pPr>
      <w:r>
        <w:rPr>
          <w:b/>
        </w:rPr>
        <w:t>AI.08. General School Education. </w:t>
      </w:r>
      <w:r>
        <w:rPr/>
        <w:t>(Classes I-X). Enrolment in Classes I-X as aggregated</w:t>
      </w:r>
      <w:r>
        <w:rPr>
          <w:spacing w:val="8"/>
        </w:rPr>
        <w:t> </w:t>
      </w:r>
      <w:r>
        <w:rPr/>
        <w:t>by</w:t>
      </w:r>
      <w:r>
        <w:rPr>
          <w:spacing w:val="10"/>
        </w:rPr>
        <w:t> </w:t>
      </w:r>
      <w:r>
        <w:rPr/>
        <w:t>us,</w:t>
      </w:r>
      <w:r>
        <w:rPr>
          <w:spacing w:val="11"/>
        </w:rPr>
        <w:t> </w:t>
      </w:r>
      <w:r>
        <w:rPr/>
        <w:t>includes</w:t>
      </w:r>
      <w:r>
        <w:rPr>
          <w:spacing w:val="10"/>
        </w:rPr>
        <w:t> </w:t>
      </w:r>
      <w:r>
        <w:rPr/>
        <w:t>Classes</w:t>
      </w:r>
      <w:r>
        <w:rPr>
          <w:spacing w:val="11"/>
        </w:rPr>
        <w:t> </w:t>
      </w:r>
      <w:r>
        <w:rPr/>
        <w:t>II-XI</w:t>
      </w:r>
      <w:r>
        <w:rPr>
          <w:spacing w:val="10"/>
        </w:rPr>
        <w:t> </w:t>
      </w:r>
      <w:r>
        <w:rPr/>
        <w:t>in</w:t>
      </w:r>
      <w:r>
        <w:rPr>
          <w:spacing w:val="11"/>
        </w:rPr>
        <w:t> </w:t>
      </w:r>
      <w:r>
        <w:rPr/>
        <w:t>those</w:t>
      </w:r>
      <w:r>
        <w:rPr>
          <w:spacing w:val="11"/>
        </w:rPr>
        <w:t> </w:t>
      </w:r>
      <w:r>
        <w:rPr/>
        <w:t>States</w:t>
      </w:r>
      <w:r>
        <w:rPr>
          <w:spacing w:val="11"/>
        </w:rPr>
        <w:t> </w:t>
      </w:r>
      <w:r>
        <w:rPr/>
        <w:t>where</w:t>
      </w:r>
      <w:r>
        <w:rPr>
          <w:spacing w:val="12"/>
        </w:rPr>
        <w:t> </w:t>
      </w:r>
      <w:r>
        <w:rPr/>
        <w:t>the</w:t>
      </w:r>
      <w:r>
        <w:rPr>
          <w:spacing w:val="11"/>
        </w:rPr>
        <w:t> </w:t>
      </w:r>
      <w:r>
        <w:rPr/>
        <w:t>school</w:t>
      </w:r>
      <w:r>
        <w:rPr>
          <w:spacing w:val="12"/>
        </w:rPr>
        <w:t> </w:t>
      </w:r>
      <w:r>
        <w:rPr/>
        <w:t>stage</w:t>
      </w:r>
      <w:r>
        <w:rPr>
          <w:spacing w:val="11"/>
        </w:rPr>
        <w:t> </w:t>
      </w:r>
      <w:r>
        <w:rPr/>
        <w:t>is</w:t>
      </w:r>
      <w:r>
        <w:rPr>
          <w:spacing w:val="12"/>
        </w:rPr>
        <w:t> </w:t>
      </w:r>
      <w:r>
        <w:rPr>
          <w:spacing w:val="-2"/>
        </w:rPr>
        <w:t>spread</w:t>
      </w:r>
    </w:p>
    <w:p>
      <w:pPr>
        <w:spacing w:after="0"/>
        <w:jc w:val="both"/>
        <w:sectPr>
          <w:pgSz w:w="12240" w:h="15840"/>
          <w:pgMar w:header="0" w:footer="743" w:top="1620" w:bottom="940" w:left="1640" w:right="1300"/>
        </w:sectPr>
      </w:pPr>
    </w:p>
    <w:p>
      <w:pPr>
        <w:pStyle w:val="BodyText"/>
        <w:spacing w:before="76"/>
        <w:ind w:left="160"/>
        <w:jc w:val="both"/>
      </w:pPr>
      <w:r>
        <w:rPr/>
        <w:t>over</w:t>
      </w:r>
      <w:r>
        <w:rPr>
          <w:spacing w:val="38"/>
        </w:rPr>
        <w:t> </w:t>
      </w:r>
      <w:r>
        <w:rPr/>
        <w:t>11</w:t>
      </w:r>
      <w:r>
        <w:rPr>
          <w:spacing w:val="41"/>
        </w:rPr>
        <w:t> </w:t>
      </w:r>
      <w:r>
        <w:rPr/>
        <w:t>years</w:t>
      </w:r>
      <w:r>
        <w:rPr>
          <w:spacing w:val="40"/>
        </w:rPr>
        <w:t> </w:t>
      </w:r>
      <w:r>
        <w:rPr/>
        <w:t>and</w:t>
      </w:r>
      <w:r>
        <w:rPr>
          <w:spacing w:val="41"/>
        </w:rPr>
        <w:t> </w:t>
      </w:r>
      <w:r>
        <w:rPr/>
        <w:t>Classes</w:t>
      </w:r>
      <w:r>
        <w:rPr>
          <w:spacing w:val="41"/>
        </w:rPr>
        <w:t> </w:t>
      </w:r>
      <w:r>
        <w:rPr/>
        <w:t>I-X</w:t>
      </w:r>
      <w:r>
        <w:rPr>
          <w:spacing w:val="40"/>
        </w:rPr>
        <w:t> </w:t>
      </w:r>
      <w:r>
        <w:rPr/>
        <w:t>in</w:t>
      </w:r>
      <w:r>
        <w:rPr>
          <w:spacing w:val="41"/>
        </w:rPr>
        <w:t> </w:t>
      </w:r>
      <w:r>
        <w:rPr/>
        <w:t>all</w:t>
      </w:r>
      <w:r>
        <w:rPr>
          <w:spacing w:val="41"/>
        </w:rPr>
        <w:t> </w:t>
      </w:r>
      <w:r>
        <w:rPr/>
        <w:t>the</w:t>
      </w:r>
      <w:r>
        <w:rPr>
          <w:spacing w:val="40"/>
        </w:rPr>
        <w:t> </w:t>
      </w:r>
      <w:r>
        <w:rPr/>
        <w:t>other</w:t>
      </w:r>
      <w:r>
        <w:rPr>
          <w:spacing w:val="41"/>
        </w:rPr>
        <w:t> </w:t>
      </w:r>
      <w:r>
        <w:rPr/>
        <w:t>States.</w:t>
      </w:r>
      <w:r>
        <w:rPr>
          <w:spacing w:val="39"/>
        </w:rPr>
        <w:t> </w:t>
      </w:r>
      <w:r>
        <w:rPr/>
        <w:t>The</w:t>
      </w:r>
      <w:r>
        <w:rPr>
          <w:spacing w:val="40"/>
        </w:rPr>
        <w:t> </w:t>
      </w:r>
      <w:r>
        <w:rPr/>
        <w:t>retabulated</w:t>
      </w:r>
      <w:r>
        <w:rPr>
          <w:spacing w:val="41"/>
        </w:rPr>
        <w:t> </w:t>
      </w:r>
      <w:r>
        <w:rPr/>
        <w:t>enrolments</w:t>
      </w:r>
      <w:r>
        <w:rPr>
          <w:spacing w:val="41"/>
        </w:rPr>
        <w:t> </w:t>
      </w:r>
      <w:r>
        <w:rPr>
          <w:spacing w:val="-5"/>
        </w:rPr>
        <w:t>are</w:t>
      </w:r>
    </w:p>
    <w:p>
      <w:pPr>
        <w:pStyle w:val="Heading2"/>
        <w:spacing w:before="4"/>
        <w:jc w:val="both"/>
      </w:pPr>
      <w:r>
        <w:rPr/>
        <w:t>given in Table </w:t>
      </w:r>
      <w:r>
        <w:rPr>
          <w:spacing w:val="-2"/>
        </w:rPr>
        <w:t>AI.5.</w:t>
      </w:r>
    </w:p>
    <w:p>
      <w:pPr>
        <w:pStyle w:val="BodyText"/>
        <w:rPr>
          <w:b/>
        </w:rPr>
      </w:pPr>
    </w:p>
    <w:p>
      <w:pPr>
        <w:pStyle w:val="BodyText"/>
        <w:ind w:left="159" w:right="496"/>
        <w:jc w:val="both"/>
      </w:pPr>
      <w:r>
        <w:rPr>
          <w:b/>
        </w:rPr>
        <w:t>AI.09. Basis of Estimating Enrolments at the School Stage in 1965-66. </w:t>
      </w:r>
      <w:r>
        <w:rPr/>
        <w:t>The total enrolments at the school stage for 1965-66 were assumed to be the same as given by the Planning</w:t>
      </w:r>
      <w:r>
        <w:rPr>
          <w:spacing w:val="-1"/>
        </w:rPr>
        <w:t> </w:t>
      </w:r>
      <w:r>
        <w:rPr/>
        <w:t>Commission.</w:t>
      </w:r>
      <w:r>
        <w:rPr>
          <w:spacing w:val="-1"/>
        </w:rPr>
        <w:t> </w:t>
      </w:r>
      <w:r>
        <w:rPr/>
        <w:t>In</w:t>
      </w:r>
      <w:r>
        <w:rPr>
          <w:spacing w:val="-1"/>
        </w:rPr>
        <w:t> </w:t>
      </w:r>
      <w:r>
        <w:rPr/>
        <w:t>breaking</w:t>
      </w:r>
      <w:r>
        <w:rPr>
          <w:spacing w:val="-1"/>
        </w:rPr>
        <w:t> </w:t>
      </w:r>
      <w:r>
        <w:rPr/>
        <w:t>down</w:t>
      </w:r>
      <w:r>
        <w:rPr>
          <w:spacing w:val="-1"/>
        </w:rPr>
        <w:t> </w:t>
      </w:r>
      <w:r>
        <w:rPr/>
        <w:t>these</w:t>
      </w:r>
      <w:r>
        <w:rPr>
          <w:spacing w:val="-1"/>
        </w:rPr>
        <w:t> </w:t>
      </w:r>
      <w:r>
        <w:rPr/>
        <w:t>enrolments</w:t>
      </w:r>
      <w:r>
        <w:rPr>
          <w:spacing w:val="-1"/>
        </w:rPr>
        <w:t> </w:t>
      </w:r>
      <w:r>
        <w:rPr/>
        <w:t>class</w:t>
      </w:r>
      <w:r>
        <w:rPr>
          <w:spacing w:val="-1"/>
        </w:rPr>
        <w:t> </w:t>
      </w:r>
      <w:r>
        <w:rPr/>
        <w:t>by</w:t>
      </w:r>
      <w:r>
        <w:rPr>
          <w:spacing w:val="-1"/>
        </w:rPr>
        <w:t> </w:t>
      </w:r>
      <w:r>
        <w:rPr/>
        <w:t>class,</w:t>
      </w:r>
      <w:r>
        <w:rPr>
          <w:spacing w:val="-1"/>
        </w:rPr>
        <w:t> </w:t>
      </w:r>
      <w:r>
        <w:rPr/>
        <w:t>however,</w:t>
      </w:r>
      <w:r>
        <w:rPr>
          <w:spacing w:val="-1"/>
        </w:rPr>
        <w:t> </w:t>
      </w:r>
      <w:r>
        <w:rPr/>
        <w:t>it</w:t>
      </w:r>
      <w:r>
        <w:rPr>
          <w:spacing w:val="-1"/>
        </w:rPr>
        <w:t> </w:t>
      </w:r>
      <w:r>
        <w:rPr/>
        <w:t>was assumed that owing to the reduction of wastage and the increasing desire to stay longer at school the proportion of the enrolment in higher classes to the total enrolment at the school stage will be a little better in 1965-66 than in 1960-61. Table AI.6 shows the</w:t>
      </w:r>
      <w:r>
        <w:rPr>
          <w:spacing w:val="40"/>
        </w:rPr>
        <w:t> </w:t>
      </w:r>
      <w:r>
        <w:rPr/>
        <w:t>actual proportion of the enrolments in each class to the total enrolment at the school stage for the years 1950-51, 1955-56 and 1960-61 (on the new pattern of aggregation adopted by us). It also gives the assumptions made by us regarding this proportion for 1965-66.</w:t>
      </w:r>
    </w:p>
    <w:p>
      <w:pPr>
        <w:pStyle w:val="BodyText"/>
        <w:spacing w:before="4"/>
      </w:pPr>
    </w:p>
    <w:p>
      <w:pPr>
        <w:spacing w:before="0"/>
        <w:ind w:left="160" w:right="496" w:firstLine="0"/>
        <w:jc w:val="both"/>
        <w:rPr>
          <w:sz w:val="24"/>
        </w:rPr>
      </w:pPr>
      <w:r>
        <w:rPr>
          <w:b/>
          <w:sz w:val="24"/>
        </w:rPr>
        <w:t>AI.10. General School Education (Classes XI and XII). </w:t>
      </w:r>
      <w:r>
        <w:rPr>
          <w:sz w:val="24"/>
        </w:rPr>
        <w:t>In tabulating enrolments </w:t>
      </w:r>
      <w:r>
        <w:rPr>
          <w:sz w:val="24"/>
        </w:rPr>
        <w:t>in general school education in Classes XI and XII, the enrolments in the following categories were included:</w:t>
      </w:r>
    </w:p>
    <w:p>
      <w:pPr>
        <w:pStyle w:val="BodyText"/>
        <w:spacing w:before="5"/>
      </w:pPr>
    </w:p>
    <w:p>
      <w:pPr>
        <w:pStyle w:val="ListParagraph"/>
        <w:numPr>
          <w:ilvl w:val="2"/>
          <w:numId w:val="140"/>
        </w:numPr>
        <w:tabs>
          <w:tab w:pos="483" w:val="left" w:leader="none"/>
        </w:tabs>
        <w:spacing w:line="240" w:lineRule="auto" w:before="0" w:after="0"/>
        <w:ind w:left="160" w:right="498" w:firstLine="0"/>
        <w:jc w:val="both"/>
        <w:rPr>
          <w:sz w:val="24"/>
        </w:rPr>
      </w:pPr>
      <w:r>
        <w:rPr>
          <w:sz w:val="24"/>
        </w:rPr>
        <w:t>Class XI of the higher secondary schools in all the States which have adopted the higher secondary pattern.</w:t>
      </w:r>
    </w:p>
    <w:p>
      <w:pPr>
        <w:pStyle w:val="BodyText"/>
        <w:spacing w:before="5"/>
      </w:pPr>
    </w:p>
    <w:p>
      <w:pPr>
        <w:pStyle w:val="ListParagraph"/>
        <w:numPr>
          <w:ilvl w:val="2"/>
          <w:numId w:val="140"/>
        </w:numPr>
        <w:tabs>
          <w:tab w:pos="513" w:val="left" w:leader="none"/>
        </w:tabs>
        <w:spacing w:line="240" w:lineRule="auto" w:before="0" w:after="0"/>
        <w:ind w:left="513" w:right="0" w:hanging="353"/>
        <w:jc w:val="both"/>
        <w:rPr>
          <w:sz w:val="24"/>
        </w:rPr>
      </w:pPr>
      <w:r>
        <w:rPr>
          <w:sz w:val="24"/>
        </w:rPr>
        <w:t>The pre-university </w:t>
      </w:r>
      <w:r>
        <w:rPr>
          <w:spacing w:val="-2"/>
          <w:sz w:val="24"/>
        </w:rPr>
        <w:t>class.</w:t>
      </w:r>
    </w:p>
    <w:p>
      <w:pPr>
        <w:pStyle w:val="BodyText"/>
        <w:spacing w:before="2"/>
      </w:pPr>
    </w:p>
    <w:p>
      <w:pPr>
        <w:pStyle w:val="ListParagraph"/>
        <w:numPr>
          <w:ilvl w:val="2"/>
          <w:numId w:val="140"/>
        </w:numPr>
        <w:tabs>
          <w:tab w:pos="643" w:val="left" w:leader="none"/>
        </w:tabs>
        <w:spacing w:line="240" w:lineRule="auto" w:before="0" w:after="0"/>
        <w:ind w:left="160" w:right="498" w:firstLine="0"/>
        <w:jc w:val="both"/>
        <w:rPr>
          <w:sz w:val="24"/>
        </w:rPr>
      </w:pPr>
      <w:r>
        <w:rPr>
          <w:sz w:val="24"/>
        </w:rPr>
        <w:t>Intermediate classes (1st and 2nd year) in U.P. except the second year in the Universities of Aligarh and Banaras which have adopted the three-year degree course.</w:t>
      </w:r>
    </w:p>
    <w:p>
      <w:pPr>
        <w:pStyle w:val="BodyText"/>
        <w:spacing w:before="5"/>
      </w:pPr>
    </w:p>
    <w:p>
      <w:pPr>
        <w:pStyle w:val="ListParagraph"/>
        <w:numPr>
          <w:ilvl w:val="2"/>
          <w:numId w:val="140"/>
        </w:numPr>
        <w:tabs>
          <w:tab w:pos="620" w:val="left" w:leader="none"/>
        </w:tabs>
        <w:spacing w:line="240" w:lineRule="auto" w:before="0" w:after="0"/>
        <w:ind w:left="160" w:right="496" w:firstLine="0"/>
        <w:jc w:val="both"/>
        <w:rPr>
          <w:sz w:val="24"/>
        </w:rPr>
      </w:pPr>
      <w:r>
        <w:rPr>
          <w:sz w:val="24"/>
        </w:rPr>
        <w:t>The first year of the Intermediate class in all the other States which have now adopted the three-year degree course (the second year, where it existed, has been shown in the undergraduate stage).</w:t>
      </w:r>
    </w:p>
    <w:p>
      <w:pPr>
        <w:spacing w:after="0" w:line="240" w:lineRule="auto"/>
        <w:jc w:val="both"/>
        <w:rPr>
          <w:sz w:val="24"/>
        </w:rPr>
        <w:sectPr>
          <w:pgSz w:w="12240" w:h="15840"/>
          <w:pgMar w:header="0" w:footer="743" w:top="1360" w:bottom="940" w:left="1640" w:right="1300"/>
        </w:sectPr>
      </w:pPr>
    </w:p>
    <w:p>
      <w:pPr>
        <w:pStyle w:val="BodyText"/>
        <w:ind w:left="160"/>
        <w:rPr>
          <w:sz w:val="20"/>
        </w:rPr>
      </w:pPr>
      <w:r>
        <w:rPr>
          <w:sz w:val="20"/>
        </w:rPr>
        <w:drawing>
          <wp:inline distT="0" distB="0" distL="0" distR="0">
            <wp:extent cx="5489433" cy="7056882"/>
            <wp:effectExtent l="0" t="0" r="0" b="0"/>
            <wp:docPr id="602" name="Image 602"/>
            <wp:cNvGraphicFramePr>
              <a:graphicFrameLocks/>
            </wp:cNvGraphicFramePr>
            <a:graphic>
              <a:graphicData uri="http://schemas.openxmlformats.org/drawingml/2006/picture">
                <pic:pic>
                  <pic:nvPicPr>
                    <pic:cNvPr id="602" name="Image 602"/>
                    <pic:cNvPicPr/>
                  </pic:nvPicPr>
                  <pic:blipFill>
                    <a:blip r:embed="rId29" cstate="print"/>
                    <a:stretch>
                      <a:fillRect/>
                    </a:stretch>
                  </pic:blipFill>
                  <pic:spPr>
                    <a:xfrm>
                      <a:off x="0" y="0"/>
                      <a:ext cx="5489433" cy="705688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376672" cy="7392923"/>
            <wp:effectExtent l="0" t="0" r="0" b="0"/>
            <wp:docPr id="603" name="Image 603"/>
            <wp:cNvGraphicFramePr>
              <a:graphicFrameLocks/>
            </wp:cNvGraphicFramePr>
            <a:graphic>
              <a:graphicData uri="http://schemas.openxmlformats.org/drawingml/2006/picture">
                <pic:pic>
                  <pic:nvPicPr>
                    <pic:cNvPr id="603" name="Image 603"/>
                    <pic:cNvPicPr/>
                  </pic:nvPicPr>
                  <pic:blipFill>
                    <a:blip r:embed="rId30" cstate="print"/>
                    <a:stretch>
                      <a:fillRect/>
                    </a:stretch>
                  </pic:blipFill>
                  <pic:spPr>
                    <a:xfrm>
                      <a:off x="0" y="0"/>
                      <a:ext cx="5376672" cy="7392923"/>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spacing w:before="76"/>
        <w:ind w:left="290" w:right="629"/>
        <w:jc w:val="center"/>
      </w:pPr>
      <w:r>
        <w:rPr/>
        <w:t>TABLE</w:t>
      </w:r>
      <w:r>
        <w:rPr>
          <w:spacing w:val="-5"/>
        </w:rPr>
        <w:t> </w:t>
      </w:r>
      <w:r>
        <w:rPr>
          <w:spacing w:val="-4"/>
        </w:rPr>
        <w:t>AI.6</w:t>
      </w:r>
    </w:p>
    <w:p>
      <w:pPr>
        <w:pStyle w:val="BodyText"/>
      </w:pPr>
    </w:p>
    <w:p>
      <w:pPr>
        <w:pStyle w:val="BodyText"/>
        <w:ind w:left="197" w:right="535"/>
        <w:jc w:val="center"/>
      </w:pPr>
      <w:r>
        <w:rPr/>
        <mc:AlternateContent>
          <mc:Choice Requires="wps">
            <w:drawing>
              <wp:anchor distT="0" distB="0" distL="0" distR="0" allowOverlap="1" layoutInCell="1" locked="0" behindDoc="0" simplePos="0" relativeHeight="15789568">
                <wp:simplePos x="0" y="0"/>
                <wp:positionH relativeFrom="page">
                  <wp:posOffset>6626352</wp:posOffset>
                </wp:positionH>
                <wp:positionV relativeFrom="paragraph">
                  <wp:posOffset>476533</wp:posOffset>
                </wp:positionV>
                <wp:extent cx="3175" cy="16510"/>
                <wp:effectExtent l="0" t="0" r="0" b="0"/>
                <wp:wrapNone/>
                <wp:docPr id="604" name="Graphic 604"/>
                <wp:cNvGraphicFramePr>
                  <a:graphicFrameLocks/>
                </wp:cNvGraphicFramePr>
                <a:graphic>
                  <a:graphicData uri="http://schemas.microsoft.com/office/word/2010/wordprocessingShape">
                    <wps:wsp>
                      <wps:cNvPr id="604" name="Graphic 604"/>
                      <wps:cNvSpPr/>
                      <wps:spPr>
                        <a:xfrm>
                          <a:off x="0" y="0"/>
                          <a:ext cx="3175" cy="16510"/>
                        </a:xfrm>
                        <a:custGeom>
                          <a:avLst/>
                          <a:gdLst/>
                          <a:ahLst/>
                          <a:cxnLst/>
                          <a:rect l="l" t="t" r="r" b="b"/>
                          <a:pathLst>
                            <a:path w="3175" h="16510">
                              <a:moveTo>
                                <a:pt x="3035" y="0"/>
                              </a:moveTo>
                              <a:lnTo>
                                <a:pt x="0" y="0"/>
                              </a:lnTo>
                              <a:lnTo>
                                <a:pt x="0" y="3048"/>
                              </a:lnTo>
                              <a:lnTo>
                                <a:pt x="0" y="16002"/>
                              </a:lnTo>
                              <a:lnTo>
                                <a:pt x="3035" y="16002"/>
                              </a:lnTo>
                              <a:lnTo>
                                <a:pt x="3035" y="3048"/>
                              </a:lnTo>
                              <a:lnTo>
                                <a:pt x="3035" y="0"/>
                              </a:lnTo>
                              <a:close/>
                            </a:path>
                          </a:pathLst>
                        </a:custGeom>
                        <a:solidFill>
                          <a:srgbClr val="F1EFE2"/>
                        </a:solidFill>
                      </wps:spPr>
                      <wps:bodyPr wrap="square" lIns="0" tIns="0" rIns="0" bIns="0" rtlCol="0">
                        <a:prstTxWarp prst="textNoShape">
                          <a:avLst/>
                        </a:prstTxWarp>
                        <a:noAutofit/>
                      </wps:bodyPr>
                    </wps:wsp>
                  </a:graphicData>
                </a:graphic>
              </wp:anchor>
            </w:drawing>
          </mc:Choice>
          <mc:Fallback>
            <w:pict>
              <v:shape style="position:absolute;margin-left:521.76001pt;margin-top:37.522312pt;width:.25pt;height:1.3pt;mso-position-horizontal-relative:page;mso-position-vertical-relative:paragraph;z-index:15789568" id="docshape580" coordorigin="10435,750" coordsize="5,26" path="m10440,750l10435,750,10435,755,10435,776,10440,776,10440,755,10440,750xe" filled="true" fillcolor="#f1efe2" stroked="false">
                <v:path arrowok="t"/>
                <v:fill type="solid"/>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1143000</wp:posOffset>
                </wp:positionH>
                <wp:positionV relativeFrom="paragraph">
                  <wp:posOffset>479581</wp:posOffset>
                </wp:positionV>
                <wp:extent cx="3175" cy="13335"/>
                <wp:effectExtent l="0" t="0" r="0" b="0"/>
                <wp:wrapNone/>
                <wp:docPr id="605" name="Graphic 605"/>
                <wp:cNvGraphicFramePr>
                  <a:graphicFrameLocks/>
                </wp:cNvGraphicFramePr>
                <a:graphic>
                  <a:graphicData uri="http://schemas.microsoft.com/office/word/2010/wordprocessingShape">
                    <wps:wsp>
                      <wps:cNvPr id="605" name="Graphic 605"/>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a:graphicData>
                </a:graphic>
              </wp:anchor>
            </w:drawing>
          </mc:Choice>
          <mc:Fallback>
            <w:pict>
              <v:rect style="position:absolute;margin-left:90pt;margin-top:37.762344pt;width:.24001pt;height:1.02pt;mso-position-horizontal-relative:page;mso-position-vertical-relative:paragraph;z-index:15790080" id="docshape581" filled="true" fillcolor="#aca89a" stroked="false">
                <v:fill type="solid"/>
                <w10:wrap type="none"/>
              </v:rect>
            </w:pict>
          </mc:Fallback>
        </mc:AlternateContent>
      </w:r>
      <w:r>
        <w:rPr/>
        <w:t>PROPORTION</w:t>
      </w:r>
      <w:r>
        <w:rPr>
          <w:spacing w:val="40"/>
        </w:rPr>
        <w:t> </w:t>
      </w:r>
      <w:r>
        <w:rPr/>
        <w:t>OF</w:t>
      </w:r>
      <w:r>
        <w:rPr>
          <w:spacing w:val="-4"/>
        </w:rPr>
        <w:t> </w:t>
      </w:r>
      <w:r>
        <w:rPr/>
        <w:t>ENROLMENT</w:t>
      </w:r>
      <w:r>
        <w:rPr>
          <w:spacing w:val="-4"/>
        </w:rPr>
        <w:t> </w:t>
      </w:r>
      <w:r>
        <w:rPr/>
        <w:t>IN</w:t>
      </w:r>
      <w:r>
        <w:rPr>
          <w:spacing w:val="-4"/>
        </w:rPr>
        <w:t> </w:t>
      </w:r>
      <w:r>
        <w:rPr/>
        <w:t>EACH</w:t>
      </w:r>
      <w:r>
        <w:rPr>
          <w:spacing w:val="40"/>
        </w:rPr>
        <w:t> </w:t>
      </w:r>
      <w:r>
        <w:rPr/>
        <w:t>CLASS</w:t>
      </w:r>
      <w:r>
        <w:rPr>
          <w:spacing w:val="-4"/>
        </w:rPr>
        <w:t> </w:t>
      </w:r>
      <w:r>
        <w:rPr/>
        <w:t>AT</w:t>
      </w:r>
      <w:r>
        <w:rPr>
          <w:spacing w:val="-4"/>
        </w:rPr>
        <w:t> </w:t>
      </w:r>
      <w:r>
        <w:rPr/>
        <w:t>THE</w:t>
      </w:r>
      <w:r>
        <w:rPr>
          <w:spacing w:val="-4"/>
        </w:rPr>
        <w:t> </w:t>
      </w:r>
      <w:r>
        <w:rPr/>
        <w:t>SCHOOL</w:t>
      </w:r>
      <w:r>
        <w:rPr>
          <w:spacing w:val="-4"/>
        </w:rPr>
        <w:t> </w:t>
      </w:r>
      <w:r>
        <w:rPr/>
        <w:t>STAGE</w:t>
      </w:r>
      <w:r>
        <w:rPr>
          <w:spacing w:val="40"/>
        </w:rPr>
        <w:t> </w:t>
      </w:r>
      <w:r>
        <w:rPr/>
        <w:t>TO TOTAL ENROLMENT</w:t>
      </w:r>
    </w:p>
    <w:p>
      <w:pPr>
        <w:pStyle w:val="BodyText"/>
        <w:spacing w:before="6"/>
        <w:rPr>
          <w:sz w:val="18"/>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1"/>
        <w:gridCol w:w="781"/>
        <w:gridCol w:w="1036"/>
        <w:gridCol w:w="796"/>
        <w:gridCol w:w="1037"/>
        <w:gridCol w:w="706"/>
        <w:gridCol w:w="1127"/>
        <w:gridCol w:w="706"/>
        <w:gridCol w:w="952"/>
      </w:tblGrid>
      <w:tr>
        <w:trPr>
          <w:trHeight w:val="798" w:hRule="atLeast"/>
        </w:trPr>
        <w:tc>
          <w:tcPr>
            <w:tcW w:w="1551" w:type="dxa"/>
            <w:tcBorders>
              <w:top w:val="single" w:sz="12" w:space="0" w:color="808080"/>
              <w:bottom w:val="single" w:sz="12" w:space="0" w:color="808080"/>
            </w:tcBorders>
          </w:tcPr>
          <w:p>
            <w:pPr>
              <w:pStyle w:val="TableParagraph"/>
              <w:rPr>
                <w:sz w:val="22"/>
              </w:rPr>
            </w:pPr>
          </w:p>
        </w:tc>
        <w:tc>
          <w:tcPr>
            <w:tcW w:w="1817" w:type="dxa"/>
            <w:gridSpan w:val="2"/>
            <w:tcBorders>
              <w:top w:val="single" w:sz="12" w:space="0" w:color="808080"/>
              <w:bottom w:val="single" w:sz="12" w:space="0" w:color="808080"/>
            </w:tcBorders>
          </w:tcPr>
          <w:p>
            <w:pPr>
              <w:pStyle w:val="TableParagraph"/>
              <w:spacing w:before="48"/>
              <w:ind w:left="331"/>
              <w:rPr>
                <w:sz w:val="24"/>
              </w:rPr>
            </w:pPr>
            <w:r>
              <w:rPr>
                <w:sz w:val="24"/>
              </w:rPr>
              <w:t>1965-</w:t>
            </w:r>
            <w:r>
              <w:rPr>
                <w:spacing w:val="-5"/>
                <w:sz w:val="24"/>
              </w:rPr>
              <w:t>66</w:t>
            </w:r>
          </w:p>
        </w:tc>
        <w:tc>
          <w:tcPr>
            <w:tcW w:w="1833" w:type="dxa"/>
            <w:gridSpan w:val="2"/>
            <w:tcBorders>
              <w:top w:val="single" w:sz="12" w:space="0" w:color="808080"/>
              <w:bottom w:val="single" w:sz="12" w:space="0" w:color="808080"/>
            </w:tcBorders>
          </w:tcPr>
          <w:p>
            <w:pPr>
              <w:pStyle w:val="TableParagraph"/>
              <w:spacing w:before="48"/>
              <w:ind w:left="345"/>
              <w:rPr>
                <w:sz w:val="24"/>
              </w:rPr>
            </w:pPr>
            <w:r>
              <w:rPr>
                <w:sz w:val="24"/>
              </w:rPr>
              <w:t>1950-</w:t>
            </w:r>
            <w:r>
              <w:rPr>
                <w:spacing w:val="-5"/>
                <w:sz w:val="24"/>
              </w:rPr>
              <w:t>51</w:t>
            </w:r>
          </w:p>
        </w:tc>
        <w:tc>
          <w:tcPr>
            <w:tcW w:w="1833" w:type="dxa"/>
            <w:gridSpan w:val="2"/>
            <w:tcBorders>
              <w:top w:val="single" w:sz="12" w:space="0" w:color="808080"/>
              <w:bottom w:val="single" w:sz="12" w:space="0" w:color="808080"/>
            </w:tcBorders>
          </w:tcPr>
          <w:p>
            <w:pPr>
              <w:pStyle w:val="TableParagraph"/>
              <w:spacing w:before="48"/>
              <w:ind w:left="344"/>
              <w:rPr>
                <w:sz w:val="24"/>
              </w:rPr>
            </w:pPr>
            <w:r>
              <w:rPr>
                <w:sz w:val="24"/>
              </w:rPr>
              <w:t>1955-</w:t>
            </w:r>
            <w:r>
              <w:rPr>
                <w:spacing w:val="-5"/>
                <w:sz w:val="24"/>
              </w:rPr>
              <w:t>56</w:t>
            </w:r>
          </w:p>
        </w:tc>
        <w:tc>
          <w:tcPr>
            <w:tcW w:w="1658" w:type="dxa"/>
            <w:gridSpan w:val="2"/>
            <w:tcBorders>
              <w:top w:val="single" w:sz="12" w:space="0" w:color="808080"/>
              <w:bottom w:val="single" w:sz="12" w:space="0" w:color="808080"/>
            </w:tcBorders>
          </w:tcPr>
          <w:p>
            <w:pPr>
              <w:pStyle w:val="TableParagraph"/>
              <w:spacing w:before="48"/>
              <w:ind w:left="343"/>
              <w:rPr>
                <w:sz w:val="24"/>
              </w:rPr>
            </w:pPr>
            <w:r>
              <w:rPr>
                <w:sz w:val="24"/>
              </w:rPr>
              <w:t>1960-</w:t>
            </w:r>
            <w:r>
              <w:rPr>
                <w:spacing w:val="-5"/>
                <w:sz w:val="24"/>
              </w:rPr>
              <w:t>61</w:t>
            </w:r>
          </w:p>
          <w:p>
            <w:pPr>
              <w:pStyle w:val="TableParagraph"/>
              <w:ind w:left="344"/>
              <w:rPr>
                <w:sz w:val="24"/>
              </w:rPr>
            </w:pPr>
            <w:r>
              <w:rPr>
                <w:spacing w:val="-2"/>
                <w:sz w:val="24"/>
              </w:rPr>
              <w:t>(estimated)</w:t>
            </w:r>
          </w:p>
        </w:tc>
      </w:tr>
      <w:tr>
        <w:trPr>
          <w:trHeight w:val="324" w:hRule="atLeast"/>
        </w:trPr>
        <w:tc>
          <w:tcPr>
            <w:tcW w:w="1551" w:type="dxa"/>
            <w:tcBorders>
              <w:top w:val="single" w:sz="12" w:space="0" w:color="808080"/>
            </w:tcBorders>
          </w:tcPr>
          <w:p>
            <w:pPr>
              <w:pStyle w:val="TableParagraph"/>
              <w:spacing w:line="256" w:lineRule="exact" w:before="48"/>
              <w:ind w:left="50"/>
              <w:rPr>
                <w:sz w:val="24"/>
              </w:rPr>
            </w:pPr>
            <w:r>
              <w:rPr>
                <w:spacing w:val="-2"/>
                <w:sz w:val="24"/>
              </w:rPr>
              <w:t>Class</w:t>
            </w:r>
          </w:p>
        </w:tc>
        <w:tc>
          <w:tcPr>
            <w:tcW w:w="1817" w:type="dxa"/>
            <w:gridSpan w:val="2"/>
            <w:tcBorders>
              <w:top w:val="single" w:sz="12" w:space="0" w:color="808080"/>
            </w:tcBorders>
          </w:tcPr>
          <w:p>
            <w:pPr>
              <w:pStyle w:val="TableParagraph"/>
              <w:spacing w:line="256" w:lineRule="exact" w:before="48"/>
              <w:ind w:left="331"/>
              <w:rPr>
                <w:sz w:val="24"/>
              </w:rPr>
            </w:pPr>
            <w:r>
              <w:rPr>
                <w:sz w:val="24"/>
              </w:rPr>
              <w:t>Boys</w:t>
            </w:r>
            <w:r>
              <w:rPr>
                <w:spacing w:val="-4"/>
                <w:sz w:val="24"/>
              </w:rPr>
              <w:t> </w:t>
            </w:r>
            <w:r>
              <w:rPr>
                <w:spacing w:val="-2"/>
                <w:sz w:val="24"/>
              </w:rPr>
              <w:t>Girls</w:t>
            </w:r>
          </w:p>
        </w:tc>
        <w:tc>
          <w:tcPr>
            <w:tcW w:w="1833" w:type="dxa"/>
            <w:gridSpan w:val="2"/>
            <w:tcBorders>
              <w:top w:val="single" w:sz="12" w:space="0" w:color="808080"/>
            </w:tcBorders>
          </w:tcPr>
          <w:p>
            <w:pPr>
              <w:pStyle w:val="TableParagraph"/>
              <w:spacing w:line="256" w:lineRule="exact" w:before="48"/>
              <w:ind w:left="345"/>
              <w:rPr>
                <w:sz w:val="24"/>
              </w:rPr>
            </w:pPr>
            <w:r>
              <w:rPr>
                <w:sz w:val="24"/>
              </w:rPr>
              <w:t>Boys</w:t>
            </w:r>
            <w:r>
              <w:rPr>
                <w:spacing w:val="-4"/>
                <w:sz w:val="24"/>
              </w:rPr>
              <w:t> </w:t>
            </w:r>
            <w:r>
              <w:rPr>
                <w:spacing w:val="-2"/>
                <w:sz w:val="24"/>
              </w:rPr>
              <w:t>Girls</w:t>
            </w:r>
          </w:p>
        </w:tc>
        <w:tc>
          <w:tcPr>
            <w:tcW w:w="1833" w:type="dxa"/>
            <w:gridSpan w:val="2"/>
            <w:tcBorders>
              <w:top w:val="single" w:sz="12" w:space="0" w:color="808080"/>
            </w:tcBorders>
          </w:tcPr>
          <w:p>
            <w:pPr>
              <w:pStyle w:val="TableParagraph"/>
              <w:spacing w:line="256" w:lineRule="exact" w:before="48"/>
              <w:ind w:left="345"/>
              <w:rPr>
                <w:sz w:val="24"/>
              </w:rPr>
            </w:pPr>
            <w:r>
              <w:rPr>
                <w:sz w:val="24"/>
              </w:rPr>
              <w:t>Boys</w:t>
            </w:r>
            <w:r>
              <w:rPr>
                <w:spacing w:val="-1"/>
                <w:sz w:val="24"/>
              </w:rPr>
              <w:t> </w:t>
            </w:r>
            <w:r>
              <w:rPr>
                <w:spacing w:val="-2"/>
                <w:sz w:val="24"/>
              </w:rPr>
              <w:t>Girls</w:t>
            </w:r>
          </w:p>
        </w:tc>
        <w:tc>
          <w:tcPr>
            <w:tcW w:w="1658" w:type="dxa"/>
            <w:gridSpan w:val="2"/>
            <w:tcBorders>
              <w:top w:val="single" w:sz="12" w:space="0" w:color="808080"/>
            </w:tcBorders>
          </w:tcPr>
          <w:p>
            <w:pPr>
              <w:pStyle w:val="TableParagraph"/>
              <w:spacing w:line="256" w:lineRule="exact" w:before="48"/>
              <w:ind w:left="343"/>
              <w:rPr>
                <w:sz w:val="24"/>
              </w:rPr>
            </w:pPr>
            <w:r>
              <w:rPr>
                <w:sz w:val="24"/>
              </w:rPr>
              <w:t>Boys</w:t>
            </w:r>
            <w:r>
              <w:rPr>
                <w:spacing w:val="-1"/>
                <w:sz w:val="24"/>
              </w:rPr>
              <w:t> </w:t>
            </w:r>
            <w:r>
              <w:rPr>
                <w:spacing w:val="-2"/>
                <w:sz w:val="24"/>
              </w:rPr>
              <w:t>Girls</w:t>
            </w:r>
          </w:p>
        </w:tc>
      </w:tr>
      <w:tr>
        <w:trPr>
          <w:trHeight w:val="473" w:hRule="atLeast"/>
        </w:trPr>
        <w:tc>
          <w:tcPr>
            <w:tcW w:w="1551" w:type="dxa"/>
            <w:tcBorders>
              <w:bottom w:val="single" w:sz="12" w:space="0" w:color="808080"/>
            </w:tcBorders>
          </w:tcPr>
          <w:p>
            <w:pPr>
              <w:pStyle w:val="TableParagraph"/>
              <w:rPr>
                <w:sz w:val="22"/>
              </w:rPr>
            </w:pPr>
          </w:p>
        </w:tc>
        <w:tc>
          <w:tcPr>
            <w:tcW w:w="781" w:type="dxa"/>
            <w:tcBorders>
              <w:bottom w:val="single" w:sz="12" w:space="0" w:color="808080"/>
            </w:tcBorders>
          </w:tcPr>
          <w:p>
            <w:pPr>
              <w:pStyle w:val="TableParagraph"/>
              <w:spacing w:line="266" w:lineRule="exact"/>
              <w:ind w:left="358"/>
              <w:rPr>
                <w:sz w:val="24"/>
              </w:rPr>
            </w:pPr>
            <w:r>
              <w:rPr>
                <w:spacing w:val="-10"/>
                <w:sz w:val="24"/>
              </w:rPr>
              <w:t>%</w:t>
            </w:r>
          </w:p>
        </w:tc>
        <w:tc>
          <w:tcPr>
            <w:tcW w:w="1036" w:type="dxa"/>
            <w:tcBorders>
              <w:bottom w:val="single" w:sz="12" w:space="0" w:color="808080"/>
            </w:tcBorders>
          </w:tcPr>
          <w:p>
            <w:pPr>
              <w:pStyle w:val="TableParagraph"/>
              <w:spacing w:line="266" w:lineRule="exact"/>
              <w:ind w:left="137"/>
              <w:rPr>
                <w:sz w:val="24"/>
              </w:rPr>
            </w:pPr>
            <w:r>
              <w:rPr>
                <w:spacing w:val="-10"/>
                <w:sz w:val="24"/>
              </w:rPr>
              <w:t>%</w:t>
            </w:r>
          </w:p>
        </w:tc>
        <w:tc>
          <w:tcPr>
            <w:tcW w:w="796" w:type="dxa"/>
            <w:tcBorders>
              <w:bottom w:val="single" w:sz="12" w:space="0" w:color="808080"/>
            </w:tcBorders>
          </w:tcPr>
          <w:p>
            <w:pPr>
              <w:pStyle w:val="TableParagraph"/>
              <w:spacing w:line="266" w:lineRule="exact"/>
              <w:ind w:left="343"/>
              <w:rPr>
                <w:sz w:val="24"/>
              </w:rPr>
            </w:pPr>
            <w:r>
              <w:rPr>
                <w:spacing w:val="-10"/>
                <w:sz w:val="24"/>
              </w:rPr>
              <w:t>%</w:t>
            </w:r>
          </w:p>
        </w:tc>
        <w:tc>
          <w:tcPr>
            <w:tcW w:w="1037" w:type="dxa"/>
            <w:tcBorders>
              <w:bottom w:val="single" w:sz="12" w:space="0" w:color="808080"/>
            </w:tcBorders>
          </w:tcPr>
          <w:p>
            <w:pPr>
              <w:pStyle w:val="TableParagraph"/>
              <w:spacing w:line="266" w:lineRule="exact"/>
              <w:ind w:left="47"/>
              <w:rPr>
                <w:sz w:val="24"/>
              </w:rPr>
            </w:pPr>
            <w:r>
              <w:rPr>
                <w:spacing w:val="-10"/>
                <w:sz w:val="24"/>
              </w:rPr>
              <w:t>%</w:t>
            </w:r>
          </w:p>
        </w:tc>
        <w:tc>
          <w:tcPr>
            <w:tcW w:w="706" w:type="dxa"/>
            <w:tcBorders>
              <w:bottom w:val="single" w:sz="12" w:space="0" w:color="808080"/>
            </w:tcBorders>
          </w:tcPr>
          <w:p>
            <w:pPr>
              <w:pStyle w:val="TableParagraph"/>
              <w:spacing w:line="266" w:lineRule="exact"/>
              <w:ind w:left="343"/>
              <w:rPr>
                <w:sz w:val="24"/>
              </w:rPr>
            </w:pPr>
            <w:r>
              <w:rPr>
                <w:spacing w:val="-10"/>
                <w:sz w:val="24"/>
              </w:rPr>
              <w:t>%</w:t>
            </w:r>
          </w:p>
        </w:tc>
        <w:tc>
          <w:tcPr>
            <w:tcW w:w="1127" w:type="dxa"/>
            <w:tcBorders>
              <w:bottom w:val="single" w:sz="12" w:space="0" w:color="808080"/>
            </w:tcBorders>
          </w:tcPr>
          <w:p>
            <w:pPr>
              <w:pStyle w:val="TableParagraph"/>
              <w:spacing w:line="266" w:lineRule="exact"/>
              <w:ind w:left="137"/>
              <w:rPr>
                <w:sz w:val="24"/>
              </w:rPr>
            </w:pPr>
            <w:r>
              <w:rPr>
                <w:spacing w:val="-10"/>
                <w:sz w:val="24"/>
              </w:rPr>
              <w:t>%</w:t>
            </w:r>
          </w:p>
        </w:tc>
        <w:tc>
          <w:tcPr>
            <w:tcW w:w="706" w:type="dxa"/>
            <w:tcBorders>
              <w:bottom w:val="single" w:sz="12" w:space="0" w:color="808080"/>
            </w:tcBorders>
          </w:tcPr>
          <w:p>
            <w:pPr>
              <w:pStyle w:val="TableParagraph"/>
              <w:spacing w:line="266" w:lineRule="exact"/>
              <w:ind w:left="342"/>
              <w:rPr>
                <w:sz w:val="24"/>
              </w:rPr>
            </w:pPr>
            <w:r>
              <w:rPr>
                <w:spacing w:val="-10"/>
                <w:sz w:val="24"/>
              </w:rPr>
              <w:t>%</w:t>
            </w:r>
          </w:p>
        </w:tc>
        <w:tc>
          <w:tcPr>
            <w:tcW w:w="952" w:type="dxa"/>
            <w:tcBorders>
              <w:bottom w:val="single" w:sz="12" w:space="0" w:color="808080"/>
            </w:tcBorders>
          </w:tcPr>
          <w:p>
            <w:pPr>
              <w:pStyle w:val="TableParagraph"/>
              <w:spacing w:line="266" w:lineRule="exact"/>
              <w:ind w:left="136"/>
              <w:rPr>
                <w:sz w:val="24"/>
              </w:rPr>
            </w:pPr>
            <w:r>
              <w:rPr/>
              <mc:AlternateContent>
                <mc:Choice Requires="wps">
                  <w:drawing>
                    <wp:anchor distT="0" distB="0" distL="0" distR="0" allowOverlap="1" layoutInCell="1" locked="0" behindDoc="0" simplePos="0" relativeHeight="15790592">
                      <wp:simplePos x="0" y="0"/>
                      <wp:positionH relativeFrom="column">
                        <wp:posOffset>601472</wp:posOffset>
                      </wp:positionH>
                      <wp:positionV relativeFrom="paragraph">
                        <wp:posOffset>-231478</wp:posOffset>
                      </wp:positionV>
                      <wp:extent cx="3175" cy="16510"/>
                      <wp:effectExtent l="0" t="0" r="0" b="0"/>
                      <wp:wrapNone/>
                      <wp:docPr id="606" name="Group 606"/>
                      <wp:cNvGraphicFramePr>
                        <a:graphicFrameLocks/>
                      </wp:cNvGraphicFramePr>
                      <a:graphic>
                        <a:graphicData uri="http://schemas.microsoft.com/office/word/2010/wordprocessingGroup">
                          <wpg:wgp>
                            <wpg:cNvPr id="606" name="Group 606"/>
                            <wpg:cNvGrpSpPr/>
                            <wpg:grpSpPr>
                              <a:xfrm>
                                <a:off x="0" y="0"/>
                                <a:ext cx="3175" cy="16510"/>
                                <a:chExt cx="3175" cy="16510"/>
                              </a:xfrm>
                            </wpg:grpSpPr>
                            <wps:wsp>
                              <wps:cNvPr id="607" name="Graphic 607"/>
                              <wps:cNvSpPr/>
                              <wps:spPr>
                                <a:xfrm>
                                  <a:off x="0" y="0"/>
                                  <a:ext cx="3175" cy="16510"/>
                                </a:xfrm>
                                <a:custGeom>
                                  <a:avLst/>
                                  <a:gdLst/>
                                  <a:ahLst/>
                                  <a:cxnLst/>
                                  <a:rect l="l" t="t" r="r" b="b"/>
                                  <a:pathLst>
                                    <a:path w="3175" h="16510">
                                      <a:moveTo>
                                        <a:pt x="3035" y="3060"/>
                                      </a:moveTo>
                                      <a:lnTo>
                                        <a:pt x="0" y="3060"/>
                                      </a:lnTo>
                                      <a:lnTo>
                                        <a:pt x="0" y="16002"/>
                                      </a:lnTo>
                                      <a:lnTo>
                                        <a:pt x="3035" y="16002"/>
                                      </a:lnTo>
                                      <a:lnTo>
                                        <a:pt x="3035" y="3060"/>
                                      </a:lnTo>
                                      <a:close/>
                                    </a:path>
                                    <a:path w="3175" h="16510">
                                      <a:moveTo>
                                        <a:pt x="3035" y="0"/>
                                      </a:moveTo>
                                      <a:lnTo>
                                        <a:pt x="0" y="0"/>
                                      </a:lnTo>
                                      <a:lnTo>
                                        <a:pt x="0" y="3048"/>
                                      </a:lnTo>
                                      <a:lnTo>
                                        <a:pt x="3035" y="3048"/>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47.360008pt;margin-top:-18.226690pt;width:.25pt;height:1.3pt;mso-position-horizontal-relative:column;mso-position-vertical-relative:paragraph;z-index:15790592" id="docshapegroup582" coordorigin="947,-365" coordsize="5,26">
                      <v:shape style="position:absolute;left:947;top:-365;width:5;height:26" id="docshape583" coordorigin="947,-365" coordsize="5,26" path="m952,-360l947,-360,947,-339,952,-339,952,-360xm952,-365l947,-365,947,-360,952,-360,952,-365xe" filled="true" fillcolor="#f1efe2" stroked="false">
                        <v:path arrowok="t"/>
                        <v:fill type="solid"/>
                      </v:shape>
                      <w10:wrap type="none"/>
                    </v:group>
                  </w:pict>
                </mc:Fallback>
              </mc:AlternateContent>
            </w:r>
            <w:r>
              <w:rPr>
                <w:spacing w:val="-10"/>
                <w:sz w:val="24"/>
              </w:rPr>
              <w:t>%</w:t>
            </w:r>
          </w:p>
        </w:tc>
      </w:tr>
      <w:tr>
        <w:trPr>
          <w:trHeight w:val="467" w:hRule="atLeast"/>
        </w:trPr>
        <w:tc>
          <w:tcPr>
            <w:tcW w:w="1551" w:type="dxa"/>
            <w:tcBorders>
              <w:top w:val="single" w:sz="12" w:space="0" w:color="808080"/>
            </w:tcBorders>
          </w:tcPr>
          <w:p>
            <w:pPr>
              <w:pStyle w:val="TableParagraph"/>
              <w:spacing w:before="48"/>
              <w:ind w:left="50"/>
              <w:rPr>
                <w:sz w:val="24"/>
              </w:rPr>
            </w:pPr>
            <w:r>
              <w:rPr/>
              <mc:AlternateContent>
                <mc:Choice Requires="wps">
                  <w:drawing>
                    <wp:anchor distT="0" distB="0" distL="0" distR="0" allowOverlap="1" layoutInCell="1" locked="0" behindDoc="1" simplePos="0" relativeHeight="480910336">
                      <wp:simplePos x="0" y="0"/>
                      <wp:positionH relativeFrom="column">
                        <wp:posOffset>31751</wp:posOffset>
                      </wp:positionH>
                      <wp:positionV relativeFrom="paragraph">
                        <wp:posOffset>-16216</wp:posOffset>
                      </wp:positionV>
                      <wp:extent cx="3175" cy="13335"/>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3175" cy="13335"/>
                                <a:chExt cx="3175" cy="13335"/>
                              </a:xfrm>
                            </wpg:grpSpPr>
                            <wps:wsp>
                              <wps:cNvPr id="609" name="Graphic 609"/>
                              <wps:cNvSpPr/>
                              <wps:spPr>
                                <a:xfrm>
                                  <a:off x="0" y="0"/>
                                  <a:ext cx="3175" cy="13335"/>
                                </a:xfrm>
                                <a:custGeom>
                                  <a:avLst/>
                                  <a:gdLst/>
                                  <a:ahLst/>
                                  <a:cxnLst/>
                                  <a:rect l="l" t="t" r="r" b="b"/>
                                  <a:pathLst>
                                    <a:path w="3175" h="13335">
                                      <a:moveTo>
                                        <a:pt x="3048" y="0"/>
                                      </a:moveTo>
                                      <a:lnTo>
                                        <a:pt x="0" y="0"/>
                                      </a:lnTo>
                                      <a:lnTo>
                                        <a:pt x="0" y="12953"/>
                                      </a:lnTo>
                                      <a:lnTo>
                                        <a:pt x="3048" y="12953"/>
                                      </a:lnTo>
                                      <a:lnTo>
                                        <a:pt x="3048" y="0"/>
                                      </a:lnTo>
                                      <a:close/>
                                    </a:path>
                                  </a:pathLst>
                                </a:custGeom>
                                <a:solidFill>
                                  <a:srgbClr val="ACA89A"/>
                                </a:solidFill>
                              </wps:spPr>
                              <wps:bodyPr wrap="square" lIns="0" tIns="0" rIns="0" bIns="0" rtlCol="0">
                                <a:prstTxWarp prst="textNoShape">
                                  <a:avLst/>
                                </a:prstTxWarp>
                                <a:noAutofit/>
                              </wps:bodyPr>
                            </wps:wsp>
                          </wpg:wgp>
                        </a:graphicData>
                      </a:graphic>
                    </wp:anchor>
                  </w:drawing>
                </mc:Choice>
                <mc:Fallback>
                  <w:pict>
                    <v:group style="position:absolute;margin-left:2.500100pt;margin-top:-1.276902pt;width:.25pt;height:1.05pt;mso-position-horizontal-relative:column;mso-position-vertical-relative:paragraph;z-index:-22406144" id="docshapegroup584" coordorigin="50,-26" coordsize="5,21">
                      <v:rect style="position:absolute;left:50;top:-26;width:5;height:21" id="docshape585" filled="true" fillcolor="#aca89a" stroked="false">
                        <v:fill type="solid"/>
                      </v:rect>
                      <w10:wrap type="none"/>
                    </v:group>
                  </w:pict>
                </mc:Fallback>
              </mc:AlternateContent>
            </w:r>
            <w:r>
              <w:rPr>
                <w:sz w:val="24"/>
              </w:rPr>
              <w:t>Pre-</w:t>
            </w:r>
            <w:r>
              <w:rPr>
                <w:spacing w:val="-2"/>
                <w:sz w:val="24"/>
              </w:rPr>
              <w:t>Primary</w:t>
            </w:r>
          </w:p>
        </w:tc>
        <w:tc>
          <w:tcPr>
            <w:tcW w:w="781" w:type="dxa"/>
            <w:tcBorders>
              <w:top w:val="single" w:sz="12" w:space="0" w:color="808080"/>
            </w:tcBorders>
          </w:tcPr>
          <w:p>
            <w:pPr>
              <w:pStyle w:val="TableParagraph"/>
              <w:spacing w:before="48"/>
              <w:ind w:left="329"/>
              <w:rPr>
                <w:sz w:val="24"/>
              </w:rPr>
            </w:pPr>
            <w:r>
              <w:rPr>
                <w:spacing w:val="-5"/>
                <w:sz w:val="24"/>
              </w:rPr>
              <w:t>0.1</w:t>
            </w:r>
          </w:p>
        </w:tc>
        <w:tc>
          <w:tcPr>
            <w:tcW w:w="1036" w:type="dxa"/>
            <w:tcBorders>
              <w:top w:val="single" w:sz="12" w:space="0" w:color="808080"/>
            </w:tcBorders>
          </w:tcPr>
          <w:p>
            <w:pPr>
              <w:pStyle w:val="TableParagraph"/>
              <w:spacing w:before="48"/>
              <w:ind w:left="28"/>
              <w:rPr>
                <w:sz w:val="24"/>
              </w:rPr>
            </w:pPr>
            <w:r>
              <w:rPr>
                <w:spacing w:val="-5"/>
                <w:sz w:val="24"/>
              </w:rPr>
              <w:t>0.2</w:t>
            </w:r>
          </w:p>
        </w:tc>
        <w:tc>
          <w:tcPr>
            <w:tcW w:w="796" w:type="dxa"/>
            <w:tcBorders>
              <w:top w:val="single" w:sz="12" w:space="0" w:color="808080"/>
            </w:tcBorders>
          </w:tcPr>
          <w:p>
            <w:pPr>
              <w:pStyle w:val="TableParagraph"/>
              <w:spacing w:before="48"/>
              <w:ind w:left="343"/>
              <w:rPr>
                <w:sz w:val="24"/>
              </w:rPr>
            </w:pPr>
            <w:r>
              <w:rPr>
                <w:spacing w:val="-5"/>
                <w:sz w:val="24"/>
              </w:rPr>
              <w:t>0.2</w:t>
            </w:r>
          </w:p>
        </w:tc>
        <w:tc>
          <w:tcPr>
            <w:tcW w:w="1037" w:type="dxa"/>
            <w:tcBorders>
              <w:top w:val="single" w:sz="12" w:space="0" w:color="808080"/>
            </w:tcBorders>
          </w:tcPr>
          <w:p>
            <w:pPr>
              <w:pStyle w:val="TableParagraph"/>
              <w:spacing w:before="48"/>
              <w:ind w:left="28"/>
              <w:rPr>
                <w:sz w:val="24"/>
              </w:rPr>
            </w:pPr>
            <w:r>
              <w:rPr>
                <w:spacing w:val="-5"/>
                <w:sz w:val="24"/>
              </w:rPr>
              <w:t>0.4</w:t>
            </w:r>
          </w:p>
        </w:tc>
        <w:tc>
          <w:tcPr>
            <w:tcW w:w="706" w:type="dxa"/>
            <w:tcBorders>
              <w:top w:val="single" w:sz="12" w:space="0" w:color="808080"/>
            </w:tcBorders>
          </w:tcPr>
          <w:p>
            <w:pPr>
              <w:pStyle w:val="TableParagraph"/>
              <w:spacing w:before="48"/>
              <w:ind w:left="343"/>
              <w:rPr>
                <w:sz w:val="24"/>
              </w:rPr>
            </w:pPr>
            <w:r>
              <w:rPr>
                <w:spacing w:val="-5"/>
                <w:sz w:val="24"/>
              </w:rPr>
              <w:t>0.3</w:t>
            </w:r>
          </w:p>
        </w:tc>
        <w:tc>
          <w:tcPr>
            <w:tcW w:w="1127" w:type="dxa"/>
            <w:tcBorders>
              <w:top w:val="single" w:sz="12" w:space="0" w:color="808080"/>
            </w:tcBorders>
          </w:tcPr>
          <w:p>
            <w:pPr>
              <w:pStyle w:val="TableParagraph"/>
              <w:spacing w:before="48"/>
              <w:ind w:left="57"/>
              <w:rPr>
                <w:sz w:val="24"/>
              </w:rPr>
            </w:pPr>
            <w:r>
              <w:rPr>
                <w:spacing w:val="-5"/>
                <w:sz w:val="24"/>
              </w:rPr>
              <w:t>0.6</w:t>
            </w:r>
          </w:p>
        </w:tc>
        <w:tc>
          <w:tcPr>
            <w:tcW w:w="706" w:type="dxa"/>
            <w:tcBorders>
              <w:top w:val="single" w:sz="12" w:space="0" w:color="808080"/>
            </w:tcBorders>
          </w:tcPr>
          <w:p>
            <w:pPr>
              <w:pStyle w:val="TableParagraph"/>
              <w:spacing w:before="48"/>
              <w:ind w:left="343"/>
              <w:rPr>
                <w:sz w:val="24"/>
              </w:rPr>
            </w:pPr>
            <w:r>
              <w:rPr>
                <w:spacing w:val="-5"/>
                <w:sz w:val="24"/>
              </w:rPr>
              <w:t>0.3</w:t>
            </w:r>
          </w:p>
        </w:tc>
        <w:tc>
          <w:tcPr>
            <w:tcW w:w="952" w:type="dxa"/>
            <w:tcBorders>
              <w:top w:val="single" w:sz="12" w:space="0" w:color="808080"/>
            </w:tcBorders>
          </w:tcPr>
          <w:p>
            <w:pPr>
              <w:pStyle w:val="TableParagraph"/>
              <w:spacing w:before="48"/>
              <w:ind w:left="57"/>
              <w:rPr>
                <w:sz w:val="24"/>
              </w:rPr>
            </w:pPr>
            <w:r>
              <w:rPr/>
              <mc:AlternateContent>
                <mc:Choice Requires="wps">
                  <w:drawing>
                    <wp:anchor distT="0" distB="0" distL="0" distR="0" allowOverlap="1" layoutInCell="1" locked="0" behindDoc="0" simplePos="0" relativeHeight="15791104">
                      <wp:simplePos x="0" y="0"/>
                      <wp:positionH relativeFrom="column">
                        <wp:posOffset>601472</wp:posOffset>
                      </wp:positionH>
                      <wp:positionV relativeFrom="paragraph">
                        <wp:posOffset>-19264</wp:posOffset>
                      </wp:positionV>
                      <wp:extent cx="3175" cy="16510"/>
                      <wp:effectExtent l="0" t="0" r="0" b="0"/>
                      <wp:wrapNone/>
                      <wp:docPr id="610" name="Group 610"/>
                      <wp:cNvGraphicFramePr>
                        <a:graphicFrameLocks/>
                      </wp:cNvGraphicFramePr>
                      <a:graphic>
                        <a:graphicData uri="http://schemas.microsoft.com/office/word/2010/wordprocessingGroup">
                          <wpg:wgp>
                            <wpg:cNvPr id="610" name="Group 610"/>
                            <wpg:cNvGrpSpPr/>
                            <wpg:grpSpPr>
                              <a:xfrm>
                                <a:off x="0" y="0"/>
                                <a:ext cx="3175" cy="16510"/>
                                <a:chExt cx="3175" cy="16510"/>
                              </a:xfrm>
                            </wpg:grpSpPr>
                            <wps:wsp>
                              <wps:cNvPr id="611" name="Graphic 611"/>
                              <wps:cNvSpPr/>
                              <wps:spPr>
                                <a:xfrm>
                                  <a:off x="0" y="12"/>
                                  <a:ext cx="3175" cy="16510"/>
                                </a:xfrm>
                                <a:custGeom>
                                  <a:avLst/>
                                  <a:gdLst/>
                                  <a:ahLst/>
                                  <a:cxnLst/>
                                  <a:rect l="l" t="t" r="r" b="b"/>
                                  <a:pathLst>
                                    <a:path w="3175" h="16510">
                                      <a:moveTo>
                                        <a:pt x="3035" y="0"/>
                                      </a:moveTo>
                                      <a:lnTo>
                                        <a:pt x="0" y="0"/>
                                      </a:lnTo>
                                      <a:lnTo>
                                        <a:pt x="0" y="3035"/>
                                      </a:lnTo>
                                      <a:lnTo>
                                        <a:pt x="0" y="15989"/>
                                      </a:lnTo>
                                      <a:lnTo>
                                        <a:pt x="3035" y="15989"/>
                                      </a:lnTo>
                                      <a:lnTo>
                                        <a:pt x="3035" y="3035"/>
                                      </a:lnTo>
                                      <a:lnTo>
                                        <a:pt x="3035"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47.360008pt;margin-top:-1.516892pt;width:.25pt;height:1.3pt;mso-position-horizontal-relative:column;mso-position-vertical-relative:paragraph;z-index:15791104" id="docshapegroup586" coordorigin="947,-30" coordsize="5,26">
                      <v:shape style="position:absolute;left:947;top:-31;width:5;height:26" id="docshape587" coordorigin="947,-30" coordsize="5,26" path="m952,-30l947,-30,947,-26,947,-5,952,-5,952,-26,952,-30xe" filled="true" fillcolor="#f1efe2" stroked="false">
                        <v:path arrowok="t"/>
                        <v:fill type="solid"/>
                      </v:shape>
                      <w10:wrap type="none"/>
                    </v:group>
                  </w:pict>
                </mc:Fallback>
              </mc:AlternateContent>
            </w:r>
            <w:r>
              <w:rPr>
                <w:spacing w:val="-5"/>
                <w:sz w:val="24"/>
              </w:rPr>
              <w:t>0.6</w:t>
            </w:r>
          </w:p>
        </w:tc>
      </w:tr>
      <w:tr>
        <w:trPr>
          <w:trHeight w:val="408" w:hRule="atLeast"/>
        </w:trPr>
        <w:tc>
          <w:tcPr>
            <w:tcW w:w="1551" w:type="dxa"/>
          </w:tcPr>
          <w:p>
            <w:pPr>
              <w:pStyle w:val="TableParagraph"/>
              <w:spacing w:line="256" w:lineRule="exact" w:before="133"/>
              <w:ind w:left="50"/>
              <w:rPr>
                <w:sz w:val="24"/>
              </w:rPr>
            </w:pPr>
            <w:r>
              <w:rPr>
                <w:spacing w:val="-10"/>
                <w:sz w:val="24"/>
              </w:rPr>
              <w:t>A</w:t>
            </w:r>
          </w:p>
        </w:tc>
        <w:tc>
          <w:tcPr>
            <w:tcW w:w="781" w:type="dxa"/>
          </w:tcPr>
          <w:p>
            <w:pPr>
              <w:pStyle w:val="TableParagraph"/>
              <w:spacing w:line="256" w:lineRule="exact" w:before="133"/>
              <w:ind w:left="331"/>
              <w:rPr>
                <w:sz w:val="24"/>
              </w:rPr>
            </w:pPr>
            <w:r>
              <w:rPr>
                <w:spacing w:val="-5"/>
                <w:sz w:val="24"/>
              </w:rPr>
              <w:t>3.9</w:t>
            </w:r>
          </w:p>
        </w:tc>
        <w:tc>
          <w:tcPr>
            <w:tcW w:w="1036" w:type="dxa"/>
          </w:tcPr>
          <w:p>
            <w:pPr>
              <w:pStyle w:val="TableParagraph"/>
              <w:spacing w:line="256" w:lineRule="exact" w:before="133"/>
              <w:ind w:left="30"/>
              <w:rPr>
                <w:sz w:val="24"/>
              </w:rPr>
            </w:pPr>
            <w:r>
              <w:rPr>
                <w:spacing w:val="-5"/>
                <w:sz w:val="24"/>
              </w:rPr>
              <w:t>3.6</w:t>
            </w:r>
          </w:p>
        </w:tc>
        <w:tc>
          <w:tcPr>
            <w:tcW w:w="796" w:type="dxa"/>
          </w:tcPr>
          <w:p>
            <w:pPr>
              <w:pStyle w:val="TableParagraph"/>
              <w:spacing w:line="256" w:lineRule="exact" w:before="133"/>
              <w:ind w:left="345"/>
              <w:rPr>
                <w:sz w:val="24"/>
              </w:rPr>
            </w:pPr>
            <w:r>
              <w:rPr>
                <w:spacing w:val="-5"/>
                <w:sz w:val="24"/>
              </w:rPr>
              <w:t>2.0</w:t>
            </w:r>
          </w:p>
        </w:tc>
        <w:tc>
          <w:tcPr>
            <w:tcW w:w="1037" w:type="dxa"/>
          </w:tcPr>
          <w:p>
            <w:pPr>
              <w:pStyle w:val="TableParagraph"/>
              <w:spacing w:line="256" w:lineRule="exact" w:before="133"/>
              <w:ind w:left="29"/>
              <w:rPr>
                <w:sz w:val="24"/>
              </w:rPr>
            </w:pPr>
            <w:r>
              <w:rPr>
                <w:spacing w:val="-5"/>
                <w:sz w:val="24"/>
              </w:rPr>
              <w:t>2.5</w:t>
            </w:r>
          </w:p>
        </w:tc>
        <w:tc>
          <w:tcPr>
            <w:tcW w:w="706" w:type="dxa"/>
          </w:tcPr>
          <w:p>
            <w:pPr>
              <w:pStyle w:val="TableParagraph"/>
              <w:spacing w:line="256" w:lineRule="exact" w:before="133"/>
              <w:ind w:left="345"/>
              <w:rPr>
                <w:sz w:val="24"/>
              </w:rPr>
            </w:pPr>
            <w:r>
              <w:rPr>
                <w:spacing w:val="-5"/>
                <w:sz w:val="24"/>
              </w:rPr>
              <w:t>1.1</w:t>
            </w:r>
          </w:p>
        </w:tc>
        <w:tc>
          <w:tcPr>
            <w:tcW w:w="1127" w:type="dxa"/>
          </w:tcPr>
          <w:p>
            <w:pPr>
              <w:pStyle w:val="TableParagraph"/>
              <w:spacing w:line="256" w:lineRule="exact" w:before="133"/>
              <w:ind w:left="59"/>
              <w:rPr>
                <w:sz w:val="24"/>
              </w:rPr>
            </w:pPr>
            <w:r>
              <w:rPr>
                <w:spacing w:val="-5"/>
                <w:sz w:val="24"/>
              </w:rPr>
              <w:t>1.7</w:t>
            </w:r>
          </w:p>
        </w:tc>
        <w:tc>
          <w:tcPr>
            <w:tcW w:w="706" w:type="dxa"/>
          </w:tcPr>
          <w:p>
            <w:pPr>
              <w:pStyle w:val="TableParagraph"/>
              <w:spacing w:line="256" w:lineRule="exact" w:before="133"/>
              <w:ind w:left="344"/>
              <w:rPr>
                <w:sz w:val="24"/>
              </w:rPr>
            </w:pPr>
            <w:r>
              <w:rPr>
                <w:spacing w:val="-5"/>
                <w:sz w:val="24"/>
              </w:rPr>
              <w:t>1.0</w:t>
            </w:r>
          </w:p>
        </w:tc>
        <w:tc>
          <w:tcPr>
            <w:tcW w:w="952" w:type="dxa"/>
          </w:tcPr>
          <w:p>
            <w:pPr>
              <w:pStyle w:val="TableParagraph"/>
              <w:spacing w:line="256" w:lineRule="exact" w:before="133"/>
              <w:ind w:left="58"/>
              <w:rPr>
                <w:sz w:val="24"/>
              </w:rPr>
            </w:pPr>
            <w:r>
              <w:rPr>
                <w:spacing w:val="-5"/>
                <w:sz w:val="24"/>
              </w:rPr>
              <w:t>1.3</w:t>
            </w:r>
          </w:p>
        </w:tc>
      </w:tr>
      <w:tr>
        <w:trPr>
          <w:trHeight w:val="695" w:hRule="atLeast"/>
        </w:trPr>
        <w:tc>
          <w:tcPr>
            <w:tcW w:w="1551" w:type="dxa"/>
          </w:tcPr>
          <w:p>
            <w:pPr>
              <w:pStyle w:val="TableParagraph"/>
              <w:rPr>
                <w:sz w:val="24"/>
              </w:rPr>
            </w:pPr>
          </w:p>
          <w:p>
            <w:pPr>
              <w:pStyle w:val="TableParagraph"/>
              <w:ind w:left="50"/>
              <w:rPr>
                <w:sz w:val="24"/>
              </w:rPr>
            </w:pPr>
            <w:r>
              <w:rPr>
                <w:spacing w:val="-10"/>
                <w:sz w:val="24"/>
              </w:rPr>
              <w:t>B</w:t>
            </w:r>
          </w:p>
        </w:tc>
        <w:tc>
          <w:tcPr>
            <w:tcW w:w="781" w:type="dxa"/>
          </w:tcPr>
          <w:p>
            <w:pPr>
              <w:pStyle w:val="TableParagraph"/>
              <w:rPr>
                <w:sz w:val="24"/>
              </w:rPr>
            </w:pPr>
          </w:p>
          <w:p>
            <w:pPr>
              <w:pStyle w:val="TableParagraph"/>
              <w:ind w:left="331"/>
              <w:rPr>
                <w:sz w:val="24"/>
              </w:rPr>
            </w:pPr>
            <w:r>
              <w:rPr>
                <w:spacing w:val="-4"/>
                <w:sz w:val="24"/>
              </w:rPr>
              <w:t>15.4</w:t>
            </w:r>
          </w:p>
        </w:tc>
        <w:tc>
          <w:tcPr>
            <w:tcW w:w="1036" w:type="dxa"/>
          </w:tcPr>
          <w:p>
            <w:pPr>
              <w:pStyle w:val="TableParagraph"/>
              <w:rPr>
                <w:sz w:val="24"/>
              </w:rPr>
            </w:pPr>
          </w:p>
          <w:p>
            <w:pPr>
              <w:pStyle w:val="TableParagraph"/>
              <w:ind w:left="90"/>
              <w:rPr>
                <w:sz w:val="24"/>
              </w:rPr>
            </w:pPr>
            <w:r>
              <w:rPr>
                <w:spacing w:val="-4"/>
                <w:sz w:val="24"/>
              </w:rPr>
              <w:t>25.7</w:t>
            </w:r>
          </w:p>
        </w:tc>
        <w:tc>
          <w:tcPr>
            <w:tcW w:w="796" w:type="dxa"/>
          </w:tcPr>
          <w:p>
            <w:pPr>
              <w:pStyle w:val="TableParagraph"/>
              <w:rPr>
                <w:sz w:val="24"/>
              </w:rPr>
            </w:pPr>
          </w:p>
          <w:p>
            <w:pPr>
              <w:pStyle w:val="TableParagraph"/>
              <w:ind w:left="345"/>
              <w:rPr>
                <w:sz w:val="24"/>
              </w:rPr>
            </w:pPr>
            <w:r>
              <w:rPr>
                <w:spacing w:val="-4"/>
                <w:sz w:val="24"/>
              </w:rPr>
              <w:t>18.2</w:t>
            </w:r>
          </w:p>
        </w:tc>
        <w:tc>
          <w:tcPr>
            <w:tcW w:w="1037" w:type="dxa"/>
          </w:tcPr>
          <w:p>
            <w:pPr>
              <w:pStyle w:val="TableParagraph"/>
              <w:rPr>
                <w:sz w:val="24"/>
              </w:rPr>
            </w:pPr>
          </w:p>
          <w:p>
            <w:pPr>
              <w:pStyle w:val="TableParagraph"/>
              <w:ind w:left="89"/>
              <w:rPr>
                <w:sz w:val="24"/>
              </w:rPr>
            </w:pPr>
            <w:r>
              <w:rPr>
                <w:spacing w:val="-4"/>
                <w:sz w:val="24"/>
              </w:rPr>
              <w:t>25.8</w:t>
            </w:r>
          </w:p>
        </w:tc>
        <w:tc>
          <w:tcPr>
            <w:tcW w:w="1833" w:type="dxa"/>
            <w:gridSpan w:val="2"/>
          </w:tcPr>
          <w:p>
            <w:pPr>
              <w:pStyle w:val="TableParagraph"/>
              <w:rPr>
                <w:sz w:val="24"/>
              </w:rPr>
            </w:pPr>
          </w:p>
          <w:p>
            <w:pPr>
              <w:pStyle w:val="TableParagraph"/>
              <w:ind w:left="345"/>
              <w:rPr>
                <w:sz w:val="24"/>
              </w:rPr>
            </w:pPr>
            <w:r>
              <w:rPr>
                <w:sz w:val="24"/>
              </w:rPr>
              <w:t>15.9</w:t>
            </w:r>
            <w:r>
              <w:rPr>
                <w:spacing w:val="-4"/>
                <w:sz w:val="24"/>
              </w:rPr>
              <w:t> 21.4</w:t>
            </w:r>
          </w:p>
        </w:tc>
        <w:tc>
          <w:tcPr>
            <w:tcW w:w="1658" w:type="dxa"/>
            <w:gridSpan w:val="2"/>
          </w:tcPr>
          <w:p>
            <w:pPr>
              <w:pStyle w:val="TableParagraph"/>
              <w:rPr>
                <w:sz w:val="24"/>
              </w:rPr>
            </w:pPr>
          </w:p>
          <w:p>
            <w:pPr>
              <w:pStyle w:val="TableParagraph"/>
              <w:ind w:left="344"/>
              <w:rPr>
                <w:sz w:val="24"/>
              </w:rPr>
            </w:pPr>
            <w:r>
              <w:rPr>
                <w:sz w:val="24"/>
              </w:rPr>
              <w:t>14.5</w:t>
            </w:r>
            <w:r>
              <w:rPr>
                <w:spacing w:val="-4"/>
                <w:sz w:val="24"/>
              </w:rPr>
              <w:t> 19.0</w:t>
            </w:r>
          </w:p>
        </w:tc>
      </w:tr>
      <w:tr>
        <w:trPr>
          <w:trHeight w:val="552" w:hRule="atLeast"/>
        </w:trPr>
        <w:tc>
          <w:tcPr>
            <w:tcW w:w="1551" w:type="dxa"/>
          </w:tcPr>
          <w:p>
            <w:pPr>
              <w:pStyle w:val="TableParagraph"/>
              <w:spacing w:before="133"/>
              <w:ind w:left="50"/>
              <w:rPr>
                <w:sz w:val="24"/>
              </w:rPr>
            </w:pPr>
            <w:r>
              <w:rPr>
                <w:spacing w:val="-10"/>
                <w:sz w:val="24"/>
              </w:rPr>
              <w:t>I</w:t>
            </w:r>
          </w:p>
        </w:tc>
        <w:tc>
          <w:tcPr>
            <w:tcW w:w="781" w:type="dxa"/>
          </w:tcPr>
          <w:p>
            <w:pPr>
              <w:pStyle w:val="TableParagraph"/>
              <w:spacing w:before="133"/>
              <w:ind w:left="330"/>
              <w:rPr>
                <w:sz w:val="24"/>
              </w:rPr>
            </w:pPr>
            <w:r>
              <w:rPr>
                <w:spacing w:val="-4"/>
                <w:sz w:val="24"/>
              </w:rPr>
              <w:t>21.5</w:t>
            </w:r>
          </w:p>
        </w:tc>
        <w:tc>
          <w:tcPr>
            <w:tcW w:w="1036" w:type="dxa"/>
          </w:tcPr>
          <w:p>
            <w:pPr>
              <w:pStyle w:val="TableParagraph"/>
              <w:spacing w:before="133"/>
              <w:ind w:left="90"/>
              <w:rPr>
                <w:sz w:val="24"/>
              </w:rPr>
            </w:pPr>
            <w:r>
              <w:rPr>
                <w:spacing w:val="-4"/>
                <w:sz w:val="24"/>
              </w:rPr>
              <w:t>24.1</w:t>
            </w:r>
          </w:p>
        </w:tc>
        <w:tc>
          <w:tcPr>
            <w:tcW w:w="796" w:type="dxa"/>
          </w:tcPr>
          <w:p>
            <w:pPr>
              <w:pStyle w:val="TableParagraph"/>
              <w:spacing w:before="133"/>
              <w:ind w:left="345"/>
              <w:rPr>
                <w:sz w:val="24"/>
              </w:rPr>
            </w:pPr>
            <w:r>
              <w:rPr>
                <w:spacing w:val="-4"/>
                <w:sz w:val="24"/>
              </w:rPr>
              <w:t>21.3</w:t>
            </w:r>
          </w:p>
        </w:tc>
        <w:tc>
          <w:tcPr>
            <w:tcW w:w="1037" w:type="dxa"/>
          </w:tcPr>
          <w:p>
            <w:pPr>
              <w:pStyle w:val="TableParagraph"/>
              <w:spacing w:before="133"/>
              <w:ind w:left="89"/>
              <w:rPr>
                <w:sz w:val="24"/>
              </w:rPr>
            </w:pPr>
            <w:r>
              <w:rPr>
                <w:spacing w:val="-4"/>
                <w:sz w:val="24"/>
              </w:rPr>
              <w:t>24.1</w:t>
            </w:r>
          </w:p>
        </w:tc>
        <w:tc>
          <w:tcPr>
            <w:tcW w:w="1833" w:type="dxa"/>
            <w:gridSpan w:val="2"/>
          </w:tcPr>
          <w:p>
            <w:pPr>
              <w:pStyle w:val="TableParagraph"/>
              <w:spacing w:before="133"/>
              <w:ind w:left="344"/>
              <w:rPr>
                <w:sz w:val="24"/>
              </w:rPr>
            </w:pPr>
            <w:r>
              <w:rPr>
                <w:sz w:val="24"/>
              </w:rPr>
              <w:t>20.6 </w:t>
            </w:r>
            <w:r>
              <w:rPr>
                <w:spacing w:val="-4"/>
                <w:sz w:val="24"/>
              </w:rPr>
              <w:t>22.9</w:t>
            </w:r>
          </w:p>
        </w:tc>
        <w:tc>
          <w:tcPr>
            <w:tcW w:w="1658" w:type="dxa"/>
            <w:gridSpan w:val="2"/>
          </w:tcPr>
          <w:p>
            <w:pPr>
              <w:pStyle w:val="TableParagraph"/>
              <w:spacing w:before="133"/>
              <w:ind w:left="344"/>
              <w:rPr>
                <w:sz w:val="24"/>
              </w:rPr>
            </w:pPr>
            <w:r>
              <w:rPr>
                <w:sz w:val="24"/>
              </w:rPr>
              <w:t>20.0 </w:t>
            </w:r>
            <w:r>
              <w:rPr>
                <w:spacing w:val="-4"/>
                <w:sz w:val="24"/>
              </w:rPr>
              <w:t>21.8</w:t>
            </w:r>
          </w:p>
        </w:tc>
      </w:tr>
      <w:tr>
        <w:trPr>
          <w:trHeight w:val="552" w:hRule="atLeast"/>
        </w:trPr>
        <w:tc>
          <w:tcPr>
            <w:tcW w:w="1551" w:type="dxa"/>
          </w:tcPr>
          <w:p>
            <w:pPr>
              <w:pStyle w:val="TableParagraph"/>
              <w:spacing w:before="133"/>
              <w:ind w:left="50"/>
              <w:rPr>
                <w:sz w:val="24"/>
              </w:rPr>
            </w:pPr>
            <w:r>
              <w:rPr>
                <w:spacing w:val="-5"/>
                <w:sz w:val="24"/>
              </w:rPr>
              <w:t>II</w:t>
            </w:r>
          </w:p>
        </w:tc>
        <w:tc>
          <w:tcPr>
            <w:tcW w:w="781" w:type="dxa"/>
          </w:tcPr>
          <w:p>
            <w:pPr>
              <w:pStyle w:val="TableParagraph"/>
              <w:spacing w:before="133"/>
              <w:ind w:left="331"/>
              <w:rPr>
                <w:sz w:val="24"/>
              </w:rPr>
            </w:pPr>
            <w:r>
              <w:rPr>
                <w:spacing w:val="-4"/>
                <w:sz w:val="24"/>
              </w:rPr>
              <w:t>15.3</w:t>
            </w:r>
          </w:p>
        </w:tc>
        <w:tc>
          <w:tcPr>
            <w:tcW w:w="1036" w:type="dxa"/>
          </w:tcPr>
          <w:p>
            <w:pPr>
              <w:pStyle w:val="TableParagraph"/>
              <w:spacing w:before="133"/>
              <w:ind w:left="90"/>
              <w:rPr>
                <w:sz w:val="24"/>
              </w:rPr>
            </w:pPr>
            <w:r>
              <w:rPr>
                <w:spacing w:val="-4"/>
                <w:sz w:val="24"/>
              </w:rPr>
              <w:t>15.4</w:t>
            </w:r>
          </w:p>
        </w:tc>
        <w:tc>
          <w:tcPr>
            <w:tcW w:w="796" w:type="dxa"/>
          </w:tcPr>
          <w:p>
            <w:pPr>
              <w:pStyle w:val="TableParagraph"/>
              <w:spacing w:before="133"/>
              <w:ind w:left="345"/>
              <w:rPr>
                <w:sz w:val="24"/>
              </w:rPr>
            </w:pPr>
            <w:r>
              <w:rPr>
                <w:spacing w:val="-4"/>
                <w:sz w:val="24"/>
              </w:rPr>
              <w:t>14.0</w:t>
            </w:r>
          </w:p>
        </w:tc>
        <w:tc>
          <w:tcPr>
            <w:tcW w:w="1037" w:type="dxa"/>
          </w:tcPr>
          <w:p>
            <w:pPr>
              <w:pStyle w:val="TableParagraph"/>
              <w:spacing w:before="133"/>
              <w:ind w:left="89"/>
              <w:rPr>
                <w:sz w:val="24"/>
              </w:rPr>
            </w:pPr>
            <w:r>
              <w:rPr>
                <w:spacing w:val="-4"/>
                <w:sz w:val="24"/>
              </w:rPr>
              <w:t>14.6</w:t>
            </w:r>
          </w:p>
        </w:tc>
        <w:tc>
          <w:tcPr>
            <w:tcW w:w="1833" w:type="dxa"/>
            <w:gridSpan w:val="2"/>
          </w:tcPr>
          <w:p>
            <w:pPr>
              <w:pStyle w:val="TableParagraph"/>
              <w:spacing w:before="133"/>
              <w:ind w:left="344"/>
              <w:rPr>
                <w:sz w:val="24"/>
              </w:rPr>
            </w:pPr>
            <w:r>
              <w:rPr>
                <w:sz w:val="24"/>
              </w:rPr>
              <w:t>14.1</w:t>
            </w:r>
            <w:r>
              <w:rPr>
                <w:spacing w:val="-1"/>
                <w:sz w:val="24"/>
              </w:rPr>
              <w:t> </w:t>
            </w:r>
            <w:r>
              <w:rPr>
                <w:spacing w:val="-4"/>
                <w:sz w:val="24"/>
              </w:rPr>
              <w:t>14.9</w:t>
            </w:r>
          </w:p>
        </w:tc>
        <w:tc>
          <w:tcPr>
            <w:tcW w:w="1658" w:type="dxa"/>
            <w:gridSpan w:val="2"/>
          </w:tcPr>
          <w:p>
            <w:pPr>
              <w:pStyle w:val="TableParagraph"/>
              <w:spacing w:before="133"/>
              <w:ind w:left="343"/>
              <w:rPr>
                <w:sz w:val="24"/>
              </w:rPr>
            </w:pPr>
            <w:r>
              <w:rPr>
                <w:sz w:val="24"/>
              </w:rPr>
              <w:t>13.8</w:t>
            </w:r>
            <w:r>
              <w:rPr>
                <w:spacing w:val="-1"/>
                <w:sz w:val="24"/>
              </w:rPr>
              <w:t> </w:t>
            </w:r>
            <w:r>
              <w:rPr>
                <w:spacing w:val="-4"/>
                <w:sz w:val="24"/>
              </w:rPr>
              <w:t>14.5</w:t>
            </w:r>
          </w:p>
        </w:tc>
      </w:tr>
      <w:tr>
        <w:trPr>
          <w:trHeight w:val="408" w:hRule="atLeast"/>
        </w:trPr>
        <w:tc>
          <w:tcPr>
            <w:tcW w:w="1551" w:type="dxa"/>
          </w:tcPr>
          <w:p>
            <w:pPr>
              <w:pStyle w:val="TableParagraph"/>
              <w:spacing w:line="256" w:lineRule="exact" w:before="133"/>
              <w:ind w:left="50"/>
              <w:rPr>
                <w:sz w:val="24"/>
              </w:rPr>
            </w:pPr>
            <w:r>
              <w:rPr>
                <w:spacing w:val="-5"/>
                <w:sz w:val="24"/>
              </w:rPr>
              <w:t>III</w:t>
            </w:r>
          </w:p>
        </w:tc>
        <w:tc>
          <w:tcPr>
            <w:tcW w:w="781" w:type="dxa"/>
          </w:tcPr>
          <w:p>
            <w:pPr>
              <w:pStyle w:val="TableParagraph"/>
              <w:spacing w:line="256" w:lineRule="exact" w:before="133"/>
              <w:ind w:left="331"/>
              <w:rPr>
                <w:sz w:val="24"/>
              </w:rPr>
            </w:pPr>
            <w:r>
              <w:rPr>
                <w:spacing w:val="-4"/>
                <w:sz w:val="24"/>
              </w:rPr>
              <w:t>12.1</w:t>
            </w:r>
          </w:p>
        </w:tc>
        <w:tc>
          <w:tcPr>
            <w:tcW w:w="1036" w:type="dxa"/>
          </w:tcPr>
          <w:p>
            <w:pPr>
              <w:pStyle w:val="TableParagraph"/>
              <w:spacing w:line="256" w:lineRule="exact" w:before="133"/>
              <w:ind w:left="90"/>
              <w:rPr>
                <w:sz w:val="24"/>
              </w:rPr>
            </w:pPr>
            <w:r>
              <w:rPr>
                <w:spacing w:val="-4"/>
                <w:sz w:val="24"/>
              </w:rPr>
              <w:t>11.3</w:t>
            </w:r>
          </w:p>
        </w:tc>
        <w:tc>
          <w:tcPr>
            <w:tcW w:w="796" w:type="dxa"/>
          </w:tcPr>
          <w:p>
            <w:pPr>
              <w:pStyle w:val="TableParagraph"/>
              <w:spacing w:line="256" w:lineRule="exact" w:before="133"/>
              <w:ind w:left="345"/>
              <w:rPr>
                <w:sz w:val="24"/>
              </w:rPr>
            </w:pPr>
            <w:r>
              <w:rPr>
                <w:spacing w:val="-4"/>
                <w:sz w:val="24"/>
              </w:rPr>
              <w:t>10.9</w:t>
            </w:r>
          </w:p>
        </w:tc>
        <w:tc>
          <w:tcPr>
            <w:tcW w:w="1037" w:type="dxa"/>
          </w:tcPr>
          <w:p>
            <w:pPr>
              <w:pStyle w:val="TableParagraph"/>
              <w:spacing w:line="256" w:lineRule="exact" w:before="133"/>
              <w:ind w:left="89"/>
              <w:rPr>
                <w:sz w:val="24"/>
              </w:rPr>
            </w:pPr>
            <w:r>
              <w:rPr>
                <w:spacing w:val="-4"/>
                <w:sz w:val="24"/>
              </w:rPr>
              <w:t>10.5</w:t>
            </w:r>
          </w:p>
        </w:tc>
        <w:tc>
          <w:tcPr>
            <w:tcW w:w="1833" w:type="dxa"/>
            <w:gridSpan w:val="2"/>
          </w:tcPr>
          <w:p>
            <w:pPr>
              <w:pStyle w:val="TableParagraph"/>
              <w:spacing w:line="256" w:lineRule="exact" w:before="133"/>
              <w:ind w:left="344"/>
              <w:rPr>
                <w:sz w:val="24"/>
              </w:rPr>
            </w:pPr>
            <w:r>
              <w:rPr>
                <w:sz w:val="24"/>
              </w:rPr>
              <w:t>11.4 </w:t>
            </w:r>
            <w:r>
              <w:rPr>
                <w:spacing w:val="-4"/>
                <w:sz w:val="24"/>
              </w:rPr>
              <w:t>11.3</w:t>
            </w:r>
          </w:p>
        </w:tc>
        <w:tc>
          <w:tcPr>
            <w:tcW w:w="1658" w:type="dxa"/>
            <w:gridSpan w:val="2"/>
          </w:tcPr>
          <w:p>
            <w:pPr>
              <w:pStyle w:val="TableParagraph"/>
              <w:spacing w:line="256" w:lineRule="exact" w:before="133"/>
              <w:ind w:left="344"/>
              <w:rPr>
                <w:sz w:val="24"/>
              </w:rPr>
            </w:pPr>
            <w:r>
              <w:rPr>
                <w:sz w:val="24"/>
              </w:rPr>
              <w:t>10.8 </w:t>
            </w:r>
            <w:r>
              <w:rPr>
                <w:spacing w:val="-4"/>
                <w:sz w:val="24"/>
              </w:rPr>
              <w:t>11.5</w:t>
            </w:r>
          </w:p>
        </w:tc>
      </w:tr>
      <w:tr>
        <w:trPr>
          <w:trHeight w:val="695" w:hRule="atLeast"/>
        </w:trPr>
        <w:tc>
          <w:tcPr>
            <w:tcW w:w="1551" w:type="dxa"/>
          </w:tcPr>
          <w:p>
            <w:pPr>
              <w:pStyle w:val="TableParagraph"/>
              <w:rPr>
                <w:sz w:val="24"/>
              </w:rPr>
            </w:pPr>
          </w:p>
          <w:p>
            <w:pPr>
              <w:pStyle w:val="TableParagraph"/>
              <w:ind w:left="50"/>
              <w:rPr>
                <w:sz w:val="24"/>
              </w:rPr>
            </w:pPr>
            <w:r>
              <w:rPr>
                <w:spacing w:val="-5"/>
                <w:sz w:val="24"/>
              </w:rPr>
              <w:t>IV</w:t>
            </w:r>
          </w:p>
        </w:tc>
        <w:tc>
          <w:tcPr>
            <w:tcW w:w="781" w:type="dxa"/>
          </w:tcPr>
          <w:p>
            <w:pPr>
              <w:pStyle w:val="TableParagraph"/>
              <w:rPr>
                <w:sz w:val="24"/>
              </w:rPr>
            </w:pPr>
          </w:p>
          <w:p>
            <w:pPr>
              <w:pStyle w:val="TableParagraph"/>
              <w:ind w:left="331"/>
              <w:rPr>
                <w:sz w:val="24"/>
              </w:rPr>
            </w:pPr>
            <w:r>
              <w:rPr>
                <w:spacing w:val="-5"/>
                <w:sz w:val="24"/>
              </w:rPr>
              <w:t>9.1</w:t>
            </w:r>
          </w:p>
        </w:tc>
        <w:tc>
          <w:tcPr>
            <w:tcW w:w="1036" w:type="dxa"/>
          </w:tcPr>
          <w:p>
            <w:pPr>
              <w:pStyle w:val="TableParagraph"/>
              <w:rPr>
                <w:sz w:val="24"/>
              </w:rPr>
            </w:pPr>
          </w:p>
          <w:p>
            <w:pPr>
              <w:pStyle w:val="TableParagraph"/>
              <w:ind w:left="30"/>
              <w:rPr>
                <w:sz w:val="24"/>
              </w:rPr>
            </w:pPr>
            <w:r>
              <w:rPr>
                <w:spacing w:val="-5"/>
                <w:sz w:val="24"/>
              </w:rPr>
              <w:t>7.5</w:t>
            </w:r>
          </w:p>
        </w:tc>
        <w:tc>
          <w:tcPr>
            <w:tcW w:w="796" w:type="dxa"/>
          </w:tcPr>
          <w:p>
            <w:pPr>
              <w:pStyle w:val="TableParagraph"/>
              <w:rPr>
                <w:sz w:val="24"/>
              </w:rPr>
            </w:pPr>
          </w:p>
          <w:p>
            <w:pPr>
              <w:pStyle w:val="TableParagraph"/>
              <w:ind w:left="345"/>
              <w:rPr>
                <w:sz w:val="24"/>
              </w:rPr>
            </w:pPr>
            <w:r>
              <w:rPr>
                <w:spacing w:val="-5"/>
                <w:sz w:val="24"/>
              </w:rPr>
              <w:t>8.7</w:t>
            </w:r>
          </w:p>
        </w:tc>
        <w:tc>
          <w:tcPr>
            <w:tcW w:w="1037" w:type="dxa"/>
          </w:tcPr>
          <w:p>
            <w:pPr>
              <w:pStyle w:val="TableParagraph"/>
              <w:rPr>
                <w:sz w:val="24"/>
              </w:rPr>
            </w:pPr>
          </w:p>
          <w:p>
            <w:pPr>
              <w:pStyle w:val="TableParagraph"/>
              <w:ind w:left="29"/>
              <w:rPr>
                <w:sz w:val="24"/>
              </w:rPr>
            </w:pPr>
            <w:r>
              <w:rPr>
                <w:spacing w:val="-5"/>
                <w:sz w:val="24"/>
              </w:rPr>
              <w:t>7.3</w:t>
            </w:r>
          </w:p>
        </w:tc>
        <w:tc>
          <w:tcPr>
            <w:tcW w:w="706" w:type="dxa"/>
          </w:tcPr>
          <w:p>
            <w:pPr>
              <w:pStyle w:val="TableParagraph"/>
              <w:rPr>
                <w:sz w:val="24"/>
              </w:rPr>
            </w:pPr>
          </w:p>
          <w:p>
            <w:pPr>
              <w:pStyle w:val="TableParagraph"/>
              <w:ind w:left="345"/>
              <w:rPr>
                <w:sz w:val="24"/>
              </w:rPr>
            </w:pPr>
            <w:r>
              <w:rPr>
                <w:spacing w:val="-5"/>
                <w:sz w:val="24"/>
              </w:rPr>
              <w:t>9.2</w:t>
            </w:r>
          </w:p>
        </w:tc>
        <w:tc>
          <w:tcPr>
            <w:tcW w:w="1127" w:type="dxa"/>
          </w:tcPr>
          <w:p>
            <w:pPr>
              <w:pStyle w:val="TableParagraph"/>
              <w:rPr>
                <w:sz w:val="24"/>
              </w:rPr>
            </w:pPr>
          </w:p>
          <w:p>
            <w:pPr>
              <w:pStyle w:val="TableParagraph"/>
              <w:ind w:left="59"/>
              <w:rPr>
                <w:sz w:val="24"/>
              </w:rPr>
            </w:pPr>
            <w:r>
              <w:rPr>
                <w:spacing w:val="-5"/>
                <w:sz w:val="24"/>
              </w:rPr>
              <w:t>8.3</w:t>
            </w:r>
          </w:p>
        </w:tc>
        <w:tc>
          <w:tcPr>
            <w:tcW w:w="706" w:type="dxa"/>
          </w:tcPr>
          <w:p>
            <w:pPr>
              <w:pStyle w:val="TableParagraph"/>
              <w:rPr>
                <w:sz w:val="24"/>
              </w:rPr>
            </w:pPr>
          </w:p>
          <w:p>
            <w:pPr>
              <w:pStyle w:val="TableParagraph"/>
              <w:ind w:left="344"/>
              <w:rPr>
                <w:sz w:val="24"/>
              </w:rPr>
            </w:pPr>
            <w:r>
              <w:rPr>
                <w:spacing w:val="-5"/>
                <w:sz w:val="24"/>
              </w:rPr>
              <w:t>9.6</w:t>
            </w:r>
          </w:p>
        </w:tc>
        <w:tc>
          <w:tcPr>
            <w:tcW w:w="952" w:type="dxa"/>
          </w:tcPr>
          <w:p>
            <w:pPr>
              <w:pStyle w:val="TableParagraph"/>
              <w:rPr>
                <w:sz w:val="24"/>
              </w:rPr>
            </w:pPr>
          </w:p>
          <w:p>
            <w:pPr>
              <w:pStyle w:val="TableParagraph"/>
              <w:ind w:left="58"/>
              <w:rPr>
                <w:sz w:val="24"/>
              </w:rPr>
            </w:pPr>
            <w:r>
              <w:rPr>
                <w:spacing w:val="-5"/>
                <w:sz w:val="24"/>
              </w:rPr>
              <w:t>8.9</w:t>
            </w:r>
          </w:p>
        </w:tc>
      </w:tr>
      <w:tr>
        <w:trPr>
          <w:trHeight w:val="551" w:hRule="atLeast"/>
        </w:trPr>
        <w:tc>
          <w:tcPr>
            <w:tcW w:w="1551" w:type="dxa"/>
          </w:tcPr>
          <w:p>
            <w:pPr>
              <w:pStyle w:val="TableParagraph"/>
              <w:spacing w:before="133"/>
              <w:ind w:left="50"/>
              <w:rPr>
                <w:sz w:val="24"/>
              </w:rPr>
            </w:pPr>
            <w:r>
              <w:rPr>
                <w:spacing w:val="-10"/>
                <w:sz w:val="24"/>
              </w:rPr>
              <w:t>V</w:t>
            </w:r>
          </w:p>
        </w:tc>
        <w:tc>
          <w:tcPr>
            <w:tcW w:w="781" w:type="dxa"/>
          </w:tcPr>
          <w:p>
            <w:pPr>
              <w:pStyle w:val="TableParagraph"/>
              <w:spacing w:before="133"/>
              <w:ind w:left="331"/>
              <w:rPr>
                <w:sz w:val="24"/>
              </w:rPr>
            </w:pPr>
            <w:r>
              <w:rPr>
                <w:spacing w:val="-5"/>
                <w:sz w:val="24"/>
              </w:rPr>
              <w:t>6.4</w:t>
            </w:r>
          </w:p>
        </w:tc>
        <w:tc>
          <w:tcPr>
            <w:tcW w:w="1036" w:type="dxa"/>
          </w:tcPr>
          <w:p>
            <w:pPr>
              <w:pStyle w:val="TableParagraph"/>
              <w:spacing w:before="133"/>
              <w:ind w:left="30"/>
              <w:rPr>
                <w:sz w:val="24"/>
              </w:rPr>
            </w:pPr>
            <w:r>
              <w:rPr>
                <w:spacing w:val="-5"/>
                <w:sz w:val="24"/>
              </w:rPr>
              <w:t>4.0</w:t>
            </w:r>
          </w:p>
        </w:tc>
        <w:tc>
          <w:tcPr>
            <w:tcW w:w="796" w:type="dxa"/>
          </w:tcPr>
          <w:p>
            <w:pPr>
              <w:pStyle w:val="TableParagraph"/>
              <w:spacing w:before="133"/>
              <w:ind w:left="345"/>
              <w:rPr>
                <w:sz w:val="24"/>
              </w:rPr>
            </w:pPr>
            <w:r>
              <w:rPr>
                <w:spacing w:val="-5"/>
                <w:sz w:val="24"/>
              </w:rPr>
              <w:t>6.5</w:t>
            </w:r>
          </w:p>
        </w:tc>
        <w:tc>
          <w:tcPr>
            <w:tcW w:w="1037" w:type="dxa"/>
          </w:tcPr>
          <w:p>
            <w:pPr>
              <w:pStyle w:val="TableParagraph"/>
              <w:spacing w:before="133"/>
              <w:ind w:left="29"/>
              <w:rPr>
                <w:sz w:val="24"/>
              </w:rPr>
            </w:pPr>
            <w:r>
              <w:rPr>
                <w:spacing w:val="-5"/>
                <w:sz w:val="24"/>
              </w:rPr>
              <w:t>4.5</w:t>
            </w:r>
          </w:p>
        </w:tc>
        <w:tc>
          <w:tcPr>
            <w:tcW w:w="706" w:type="dxa"/>
          </w:tcPr>
          <w:p>
            <w:pPr>
              <w:pStyle w:val="TableParagraph"/>
              <w:spacing w:before="133"/>
              <w:ind w:left="345"/>
              <w:rPr>
                <w:sz w:val="24"/>
              </w:rPr>
            </w:pPr>
            <w:r>
              <w:rPr>
                <w:spacing w:val="-5"/>
                <w:sz w:val="24"/>
              </w:rPr>
              <w:t>7.3</w:t>
            </w:r>
          </w:p>
        </w:tc>
        <w:tc>
          <w:tcPr>
            <w:tcW w:w="1127" w:type="dxa"/>
          </w:tcPr>
          <w:p>
            <w:pPr>
              <w:pStyle w:val="TableParagraph"/>
              <w:spacing w:before="133"/>
              <w:ind w:left="59"/>
              <w:rPr>
                <w:sz w:val="24"/>
              </w:rPr>
            </w:pPr>
            <w:r>
              <w:rPr>
                <w:spacing w:val="-5"/>
                <w:sz w:val="24"/>
              </w:rPr>
              <w:t>6.0</w:t>
            </w:r>
          </w:p>
        </w:tc>
        <w:tc>
          <w:tcPr>
            <w:tcW w:w="706" w:type="dxa"/>
          </w:tcPr>
          <w:p>
            <w:pPr>
              <w:pStyle w:val="TableParagraph"/>
              <w:spacing w:before="133"/>
              <w:ind w:left="344"/>
              <w:rPr>
                <w:sz w:val="24"/>
              </w:rPr>
            </w:pPr>
            <w:r>
              <w:rPr>
                <w:spacing w:val="-5"/>
                <w:sz w:val="24"/>
              </w:rPr>
              <w:t>8.1</w:t>
            </w:r>
          </w:p>
        </w:tc>
        <w:tc>
          <w:tcPr>
            <w:tcW w:w="952" w:type="dxa"/>
          </w:tcPr>
          <w:p>
            <w:pPr>
              <w:pStyle w:val="TableParagraph"/>
              <w:spacing w:before="133"/>
              <w:ind w:left="58"/>
              <w:rPr>
                <w:sz w:val="24"/>
              </w:rPr>
            </w:pPr>
            <w:r>
              <w:rPr>
                <w:spacing w:val="-5"/>
                <w:sz w:val="24"/>
              </w:rPr>
              <w:t>7.0</w:t>
            </w:r>
          </w:p>
        </w:tc>
      </w:tr>
      <w:tr>
        <w:trPr>
          <w:trHeight w:val="551" w:hRule="atLeast"/>
        </w:trPr>
        <w:tc>
          <w:tcPr>
            <w:tcW w:w="1551" w:type="dxa"/>
          </w:tcPr>
          <w:p>
            <w:pPr>
              <w:pStyle w:val="TableParagraph"/>
              <w:spacing w:before="132"/>
              <w:ind w:left="50"/>
              <w:rPr>
                <w:sz w:val="24"/>
              </w:rPr>
            </w:pPr>
            <w:r>
              <w:rPr>
                <w:spacing w:val="-5"/>
                <w:sz w:val="24"/>
              </w:rPr>
              <w:t>VI</w:t>
            </w:r>
          </w:p>
        </w:tc>
        <w:tc>
          <w:tcPr>
            <w:tcW w:w="781" w:type="dxa"/>
          </w:tcPr>
          <w:p>
            <w:pPr>
              <w:pStyle w:val="TableParagraph"/>
              <w:spacing w:before="132"/>
              <w:ind w:left="331"/>
              <w:rPr>
                <w:sz w:val="24"/>
              </w:rPr>
            </w:pPr>
            <w:r>
              <w:rPr>
                <w:spacing w:val="-5"/>
                <w:sz w:val="24"/>
              </w:rPr>
              <w:t>5.0</w:t>
            </w:r>
          </w:p>
        </w:tc>
        <w:tc>
          <w:tcPr>
            <w:tcW w:w="1036" w:type="dxa"/>
          </w:tcPr>
          <w:p>
            <w:pPr>
              <w:pStyle w:val="TableParagraph"/>
              <w:spacing w:before="132"/>
              <w:ind w:left="30"/>
              <w:rPr>
                <w:sz w:val="24"/>
              </w:rPr>
            </w:pPr>
            <w:r>
              <w:rPr>
                <w:spacing w:val="-5"/>
                <w:sz w:val="24"/>
              </w:rPr>
              <w:t>3.0</w:t>
            </w:r>
          </w:p>
        </w:tc>
        <w:tc>
          <w:tcPr>
            <w:tcW w:w="796" w:type="dxa"/>
          </w:tcPr>
          <w:p>
            <w:pPr>
              <w:pStyle w:val="TableParagraph"/>
              <w:spacing w:before="132"/>
              <w:ind w:left="345"/>
              <w:rPr>
                <w:sz w:val="24"/>
              </w:rPr>
            </w:pPr>
            <w:r>
              <w:rPr>
                <w:spacing w:val="-5"/>
                <w:sz w:val="24"/>
              </w:rPr>
              <w:t>5.4</w:t>
            </w:r>
          </w:p>
        </w:tc>
        <w:tc>
          <w:tcPr>
            <w:tcW w:w="1037" w:type="dxa"/>
          </w:tcPr>
          <w:p>
            <w:pPr>
              <w:pStyle w:val="TableParagraph"/>
              <w:spacing w:before="132"/>
              <w:ind w:left="29"/>
              <w:rPr>
                <w:sz w:val="24"/>
              </w:rPr>
            </w:pPr>
            <w:r>
              <w:rPr>
                <w:spacing w:val="-5"/>
                <w:sz w:val="24"/>
              </w:rPr>
              <w:t>3.4</w:t>
            </w:r>
          </w:p>
        </w:tc>
        <w:tc>
          <w:tcPr>
            <w:tcW w:w="706" w:type="dxa"/>
          </w:tcPr>
          <w:p>
            <w:pPr>
              <w:pStyle w:val="TableParagraph"/>
              <w:spacing w:before="132"/>
              <w:ind w:left="345"/>
              <w:rPr>
                <w:sz w:val="24"/>
              </w:rPr>
            </w:pPr>
            <w:r>
              <w:rPr>
                <w:spacing w:val="-5"/>
                <w:sz w:val="24"/>
              </w:rPr>
              <w:t>5.9</w:t>
            </w:r>
          </w:p>
        </w:tc>
        <w:tc>
          <w:tcPr>
            <w:tcW w:w="1127" w:type="dxa"/>
          </w:tcPr>
          <w:p>
            <w:pPr>
              <w:pStyle w:val="TableParagraph"/>
              <w:spacing w:before="132"/>
              <w:ind w:left="59"/>
              <w:rPr>
                <w:sz w:val="24"/>
              </w:rPr>
            </w:pPr>
            <w:r>
              <w:rPr>
                <w:spacing w:val="-5"/>
                <w:sz w:val="24"/>
              </w:rPr>
              <w:t>4.4</w:t>
            </w:r>
          </w:p>
        </w:tc>
        <w:tc>
          <w:tcPr>
            <w:tcW w:w="706" w:type="dxa"/>
          </w:tcPr>
          <w:p>
            <w:pPr>
              <w:pStyle w:val="TableParagraph"/>
              <w:spacing w:before="132"/>
              <w:ind w:left="344"/>
              <w:rPr>
                <w:sz w:val="24"/>
              </w:rPr>
            </w:pPr>
            <w:r>
              <w:rPr>
                <w:spacing w:val="-5"/>
                <w:sz w:val="24"/>
              </w:rPr>
              <w:t>6.4</w:t>
            </w:r>
          </w:p>
        </w:tc>
        <w:tc>
          <w:tcPr>
            <w:tcW w:w="952" w:type="dxa"/>
          </w:tcPr>
          <w:p>
            <w:pPr>
              <w:pStyle w:val="TableParagraph"/>
              <w:spacing w:before="132"/>
              <w:ind w:left="58"/>
              <w:rPr>
                <w:sz w:val="24"/>
              </w:rPr>
            </w:pPr>
            <w:r>
              <w:rPr>
                <w:spacing w:val="-5"/>
                <w:sz w:val="24"/>
              </w:rPr>
              <w:t>5.2</w:t>
            </w:r>
          </w:p>
        </w:tc>
      </w:tr>
      <w:tr>
        <w:trPr>
          <w:trHeight w:val="552" w:hRule="atLeast"/>
        </w:trPr>
        <w:tc>
          <w:tcPr>
            <w:tcW w:w="1551" w:type="dxa"/>
          </w:tcPr>
          <w:p>
            <w:pPr>
              <w:pStyle w:val="TableParagraph"/>
              <w:spacing w:before="133"/>
              <w:ind w:left="50"/>
              <w:rPr>
                <w:sz w:val="24"/>
              </w:rPr>
            </w:pPr>
            <w:r>
              <w:rPr>
                <w:spacing w:val="-5"/>
                <w:sz w:val="24"/>
              </w:rPr>
              <w:t>VII</w:t>
            </w:r>
          </w:p>
        </w:tc>
        <w:tc>
          <w:tcPr>
            <w:tcW w:w="781" w:type="dxa"/>
          </w:tcPr>
          <w:p>
            <w:pPr>
              <w:pStyle w:val="TableParagraph"/>
              <w:spacing w:before="133"/>
              <w:ind w:left="331"/>
              <w:rPr>
                <w:sz w:val="24"/>
              </w:rPr>
            </w:pPr>
            <w:r>
              <w:rPr>
                <w:spacing w:val="-5"/>
                <w:sz w:val="24"/>
              </w:rPr>
              <w:t>3.9</w:t>
            </w:r>
          </w:p>
        </w:tc>
        <w:tc>
          <w:tcPr>
            <w:tcW w:w="1036" w:type="dxa"/>
          </w:tcPr>
          <w:p>
            <w:pPr>
              <w:pStyle w:val="TableParagraph"/>
              <w:spacing w:before="133"/>
              <w:ind w:left="30"/>
              <w:rPr>
                <w:sz w:val="24"/>
              </w:rPr>
            </w:pPr>
            <w:r>
              <w:rPr>
                <w:spacing w:val="-5"/>
                <w:sz w:val="24"/>
              </w:rPr>
              <w:t>2.1</w:t>
            </w:r>
          </w:p>
        </w:tc>
        <w:tc>
          <w:tcPr>
            <w:tcW w:w="796" w:type="dxa"/>
          </w:tcPr>
          <w:p>
            <w:pPr>
              <w:pStyle w:val="TableParagraph"/>
              <w:spacing w:before="133"/>
              <w:ind w:left="345"/>
              <w:rPr>
                <w:sz w:val="24"/>
              </w:rPr>
            </w:pPr>
            <w:r>
              <w:rPr>
                <w:spacing w:val="-5"/>
                <w:sz w:val="24"/>
              </w:rPr>
              <w:t>4.3</w:t>
            </w:r>
          </w:p>
        </w:tc>
        <w:tc>
          <w:tcPr>
            <w:tcW w:w="1037" w:type="dxa"/>
          </w:tcPr>
          <w:p>
            <w:pPr>
              <w:pStyle w:val="TableParagraph"/>
              <w:spacing w:before="133"/>
              <w:ind w:left="29"/>
              <w:rPr>
                <w:sz w:val="24"/>
              </w:rPr>
            </w:pPr>
            <w:r>
              <w:rPr>
                <w:spacing w:val="-5"/>
                <w:sz w:val="24"/>
              </w:rPr>
              <w:t>2.6</w:t>
            </w:r>
          </w:p>
        </w:tc>
        <w:tc>
          <w:tcPr>
            <w:tcW w:w="706" w:type="dxa"/>
          </w:tcPr>
          <w:p>
            <w:pPr>
              <w:pStyle w:val="TableParagraph"/>
              <w:spacing w:before="133"/>
              <w:ind w:left="344"/>
              <w:rPr>
                <w:sz w:val="24"/>
              </w:rPr>
            </w:pPr>
            <w:r>
              <w:rPr>
                <w:spacing w:val="-5"/>
                <w:sz w:val="24"/>
              </w:rPr>
              <w:t>4.8</w:t>
            </w:r>
          </w:p>
        </w:tc>
        <w:tc>
          <w:tcPr>
            <w:tcW w:w="1127" w:type="dxa"/>
          </w:tcPr>
          <w:p>
            <w:pPr>
              <w:pStyle w:val="TableParagraph"/>
              <w:spacing w:before="133"/>
              <w:ind w:left="58"/>
              <w:rPr>
                <w:sz w:val="24"/>
              </w:rPr>
            </w:pPr>
            <w:r>
              <w:rPr>
                <w:spacing w:val="-5"/>
                <w:sz w:val="24"/>
              </w:rPr>
              <w:t>3.4</w:t>
            </w:r>
          </w:p>
        </w:tc>
        <w:tc>
          <w:tcPr>
            <w:tcW w:w="706" w:type="dxa"/>
          </w:tcPr>
          <w:p>
            <w:pPr>
              <w:pStyle w:val="TableParagraph"/>
              <w:spacing w:before="133"/>
              <w:ind w:left="344"/>
              <w:rPr>
                <w:sz w:val="24"/>
              </w:rPr>
            </w:pPr>
            <w:r>
              <w:rPr>
                <w:spacing w:val="-5"/>
                <w:sz w:val="24"/>
              </w:rPr>
              <w:t>5.3</w:t>
            </w:r>
          </w:p>
        </w:tc>
        <w:tc>
          <w:tcPr>
            <w:tcW w:w="952" w:type="dxa"/>
          </w:tcPr>
          <w:p>
            <w:pPr>
              <w:pStyle w:val="TableParagraph"/>
              <w:spacing w:before="133"/>
              <w:ind w:left="58"/>
              <w:rPr>
                <w:sz w:val="24"/>
              </w:rPr>
            </w:pPr>
            <w:r>
              <w:rPr>
                <w:spacing w:val="-5"/>
                <w:sz w:val="24"/>
              </w:rPr>
              <w:t>4.0</w:t>
            </w:r>
          </w:p>
        </w:tc>
      </w:tr>
      <w:tr>
        <w:trPr>
          <w:trHeight w:val="552" w:hRule="atLeast"/>
        </w:trPr>
        <w:tc>
          <w:tcPr>
            <w:tcW w:w="1551" w:type="dxa"/>
          </w:tcPr>
          <w:p>
            <w:pPr>
              <w:pStyle w:val="TableParagraph"/>
              <w:spacing w:before="133"/>
              <w:ind w:left="50"/>
              <w:rPr>
                <w:sz w:val="24"/>
              </w:rPr>
            </w:pPr>
            <w:r>
              <w:rPr>
                <w:spacing w:val="-4"/>
                <w:sz w:val="24"/>
              </w:rPr>
              <w:t>VIII</w:t>
            </w:r>
          </w:p>
        </w:tc>
        <w:tc>
          <w:tcPr>
            <w:tcW w:w="781" w:type="dxa"/>
          </w:tcPr>
          <w:p>
            <w:pPr>
              <w:pStyle w:val="TableParagraph"/>
              <w:spacing w:before="133"/>
              <w:ind w:left="331"/>
              <w:rPr>
                <w:sz w:val="24"/>
              </w:rPr>
            </w:pPr>
            <w:r>
              <w:rPr>
                <w:spacing w:val="-5"/>
                <w:sz w:val="24"/>
              </w:rPr>
              <w:t>3.3</w:t>
            </w:r>
          </w:p>
        </w:tc>
        <w:tc>
          <w:tcPr>
            <w:tcW w:w="1036" w:type="dxa"/>
          </w:tcPr>
          <w:p>
            <w:pPr>
              <w:pStyle w:val="TableParagraph"/>
              <w:spacing w:before="133"/>
              <w:ind w:left="30"/>
              <w:rPr>
                <w:sz w:val="24"/>
              </w:rPr>
            </w:pPr>
            <w:r>
              <w:rPr>
                <w:spacing w:val="-5"/>
                <w:sz w:val="24"/>
              </w:rPr>
              <w:t>1.5</w:t>
            </w:r>
          </w:p>
        </w:tc>
        <w:tc>
          <w:tcPr>
            <w:tcW w:w="796" w:type="dxa"/>
          </w:tcPr>
          <w:p>
            <w:pPr>
              <w:pStyle w:val="TableParagraph"/>
              <w:spacing w:before="133"/>
              <w:ind w:left="345"/>
              <w:rPr>
                <w:sz w:val="24"/>
              </w:rPr>
            </w:pPr>
            <w:r>
              <w:rPr>
                <w:spacing w:val="-5"/>
                <w:sz w:val="24"/>
              </w:rPr>
              <w:t>3.5</w:t>
            </w:r>
          </w:p>
        </w:tc>
        <w:tc>
          <w:tcPr>
            <w:tcW w:w="1037" w:type="dxa"/>
          </w:tcPr>
          <w:p>
            <w:pPr>
              <w:pStyle w:val="TableParagraph"/>
              <w:spacing w:before="133"/>
              <w:ind w:left="29"/>
              <w:rPr>
                <w:sz w:val="24"/>
              </w:rPr>
            </w:pPr>
            <w:r>
              <w:rPr>
                <w:spacing w:val="-5"/>
                <w:sz w:val="24"/>
              </w:rPr>
              <w:t>1.8</w:t>
            </w:r>
          </w:p>
        </w:tc>
        <w:tc>
          <w:tcPr>
            <w:tcW w:w="706" w:type="dxa"/>
          </w:tcPr>
          <w:p>
            <w:pPr>
              <w:pStyle w:val="TableParagraph"/>
              <w:spacing w:before="133"/>
              <w:ind w:left="345"/>
              <w:rPr>
                <w:sz w:val="24"/>
              </w:rPr>
            </w:pPr>
            <w:r>
              <w:rPr>
                <w:spacing w:val="-5"/>
                <w:sz w:val="24"/>
              </w:rPr>
              <w:t>3.8</w:t>
            </w:r>
          </w:p>
        </w:tc>
        <w:tc>
          <w:tcPr>
            <w:tcW w:w="1127" w:type="dxa"/>
          </w:tcPr>
          <w:p>
            <w:pPr>
              <w:pStyle w:val="TableParagraph"/>
              <w:spacing w:before="133"/>
              <w:ind w:left="59"/>
              <w:rPr>
                <w:sz w:val="24"/>
              </w:rPr>
            </w:pPr>
            <w:r>
              <w:rPr>
                <w:spacing w:val="-5"/>
                <w:sz w:val="24"/>
              </w:rPr>
              <w:t>2.3</w:t>
            </w:r>
          </w:p>
        </w:tc>
        <w:tc>
          <w:tcPr>
            <w:tcW w:w="706" w:type="dxa"/>
          </w:tcPr>
          <w:p>
            <w:pPr>
              <w:pStyle w:val="TableParagraph"/>
              <w:spacing w:before="133"/>
              <w:ind w:left="344"/>
              <w:rPr>
                <w:sz w:val="24"/>
              </w:rPr>
            </w:pPr>
            <w:r>
              <w:rPr>
                <w:spacing w:val="-5"/>
                <w:sz w:val="24"/>
              </w:rPr>
              <w:t>4.1</w:t>
            </w:r>
          </w:p>
        </w:tc>
        <w:tc>
          <w:tcPr>
            <w:tcW w:w="952" w:type="dxa"/>
          </w:tcPr>
          <w:p>
            <w:pPr>
              <w:pStyle w:val="TableParagraph"/>
              <w:spacing w:before="133"/>
              <w:ind w:left="58"/>
              <w:rPr>
                <w:sz w:val="24"/>
              </w:rPr>
            </w:pPr>
            <w:r>
              <w:rPr>
                <w:spacing w:val="-5"/>
                <w:sz w:val="24"/>
              </w:rPr>
              <w:t>2.8</w:t>
            </w:r>
          </w:p>
        </w:tc>
      </w:tr>
      <w:tr>
        <w:trPr>
          <w:trHeight w:val="552" w:hRule="atLeast"/>
        </w:trPr>
        <w:tc>
          <w:tcPr>
            <w:tcW w:w="1551" w:type="dxa"/>
          </w:tcPr>
          <w:p>
            <w:pPr>
              <w:pStyle w:val="TableParagraph"/>
              <w:spacing w:before="133"/>
              <w:ind w:left="50"/>
              <w:rPr>
                <w:sz w:val="24"/>
              </w:rPr>
            </w:pPr>
            <w:r>
              <w:rPr>
                <w:spacing w:val="-5"/>
                <w:sz w:val="24"/>
              </w:rPr>
              <w:t>IX</w:t>
            </w:r>
          </w:p>
        </w:tc>
        <w:tc>
          <w:tcPr>
            <w:tcW w:w="781" w:type="dxa"/>
          </w:tcPr>
          <w:p>
            <w:pPr>
              <w:pStyle w:val="TableParagraph"/>
              <w:spacing w:before="133"/>
              <w:ind w:left="331"/>
              <w:rPr>
                <w:sz w:val="24"/>
              </w:rPr>
            </w:pPr>
            <w:r>
              <w:rPr>
                <w:spacing w:val="-5"/>
                <w:sz w:val="24"/>
              </w:rPr>
              <w:t>2.2</w:t>
            </w:r>
          </w:p>
        </w:tc>
        <w:tc>
          <w:tcPr>
            <w:tcW w:w="1036" w:type="dxa"/>
          </w:tcPr>
          <w:p>
            <w:pPr>
              <w:pStyle w:val="TableParagraph"/>
              <w:spacing w:before="133"/>
              <w:ind w:left="30"/>
              <w:rPr>
                <w:sz w:val="24"/>
              </w:rPr>
            </w:pPr>
            <w:r>
              <w:rPr>
                <w:spacing w:val="-5"/>
                <w:sz w:val="24"/>
              </w:rPr>
              <w:t>0.9</w:t>
            </w:r>
          </w:p>
        </w:tc>
        <w:tc>
          <w:tcPr>
            <w:tcW w:w="796" w:type="dxa"/>
          </w:tcPr>
          <w:p>
            <w:pPr>
              <w:pStyle w:val="TableParagraph"/>
              <w:spacing w:before="133"/>
              <w:ind w:left="345"/>
              <w:rPr>
                <w:sz w:val="24"/>
              </w:rPr>
            </w:pPr>
            <w:r>
              <w:rPr>
                <w:spacing w:val="-5"/>
                <w:sz w:val="24"/>
              </w:rPr>
              <w:t>2.8</w:t>
            </w:r>
          </w:p>
        </w:tc>
        <w:tc>
          <w:tcPr>
            <w:tcW w:w="1037" w:type="dxa"/>
          </w:tcPr>
          <w:p>
            <w:pPr>
              <w:pStyle w:val="TableParagraph"/>
              <w:spacing w:before="133"/>
              <w:ind w:left="29"/>
              <w:rPr>
                <w:sz w:val="24"/>
              </w:rPr>
            </w:pPr>
            <w:r>
              <w:rPr>
                <w:spacing w:val="-5"/>
                <w:sz w:val="24"/>
              </w:rPr>
              <w:t>1.4</w:t>
            </w:r>
          </w:p>
        </w:tc>
        <w:tc>
          <w:tcPr>
            <w:tcW w:w="706" w:type="dxa"/>
          </w:tcPr>
          <w:p>
            <w:pPr>
              <w:pStyle w:val="TableParagraph"/>
              <w:spacing w:before="133"/>
              <w:ind w:left="345"/>
              <w:rPr>
                <w:sz w:val="24"/>
              </w:rPr>
            </w:pPr>
            <w:r>
              <w:rPr>
                <w:spacing w:val="-5"/>
                <w:sz w:val="24"/>
              </w:rPr>
              <w:t>3.0</w:t>
            </w:r>
          </w:p>
        </w:tc>
        <w:tc>
          <w:tcPr>
            <w:tcW w:w="1127" w:type="dxa"/>
          </w:tcPr>
          <w:p>
            <w:pPr>
              <w:pStyle w:val="TableParagraph"/>
              <w:spacing w:before="133"/>
              <w:ind w:left="59"/>
              <w:rPr>
                <w:sz w:val="24"/>
              </w:rPr>
            </w:pPr>
            <w:r>
              <w:rPr>
                <w:spacing w:val="-5"/>
                <w:sz w:val="24"/>
              </w:rPr>
              <w:t>1.6</w:t>
            </w:r>
          </w:p>
        </w:tc>
        <w:tc>
          <w:tcPr>
            <w:tcW w:w="706" w:type="dxa"/>
          </w:tcPr>
          <w:p>
            <w:pPr>
              <w:pStyle w:val="TableParagraph"/>
              <w:spacing w:before="133"/>
              <w:ind w:left="344"/>
              <w:rPr>
                <w:sz w:val="24"/>
              </w:rPr>
            </w:pPr>
            <w:r>
              <w:rPr>
                <w:spacing w:val="-5"/>
                <w:sz w:val="24"/>
              </w:rPr>
              <w:t>3.3</w:t>
            </w:r>
          </w:p>
        </w:tc>
        <w:tc>
          <w:tcPr>
            <w:tcW w:w="952" w:type="dxa"/>
          </w:tcPr>
          <w:p>
            <w:pPr>
              <w:pStyle w:val="TableParagraph"/>
              <w:spacing w:before="133"/>
              <w:ind w:left="58"/>
              <w:rPr>
                <w:sz w:val="24"/>
              </w:rPr>
            </w:pPr>
            <w:r>
              <w:rPr>
                <w:spacing w:val="-5"/>
                <w:sz w:val="24"/>
              </w:rPr>
              <w:t>1.9</w:t>
            </w:r>
          </w:p>
        </w:tc>
      </w:tr>
      <w:tr>
        <w:trPr>
          <w:trHeight w:val="606" w:hRule="atLeast"/>
        </w:trPr>
        <w:tc>
          <w:tcPr>
            <w:tcW w:w="1551" w:type="dxa"/>
          </w:tcPr>
          <w:p>
            <w:pPr>
              <w:pStyle w:val="TableParagraph"/>
              <w:spacing w:before="133"/>
              <w:ind w:left="50"/>
              <w:rPr>
                <w:sz w:val="24"/>
              </w:rPr>
            </w:pPr>
            <w:r>
              <w:rPr>
                <w:spacing w:val="-10"/>
                <w:sz w:val="24"/>
              </w:rPr>
              <w:t>X</w:t>
            </w:r>
          </w:p>
        </w:tc>
        <w:tc>
          <w:tcPr>
            <w:tcW w:w="781" w:type="dxa"/>
          </w:tcPr>
          <w:p>
            <w:pPr>
              <w:pStyle w:val="TableParagraph"/>
              <w:spacing w:before="133"/>
              <w:ind w:left="331"/>
              <w:rPr>
                <w:sz w:val="24"/>
              </w:rPr>
            </w:pPr>
            <w:r>
              <w:rPr>
                <w:spacing w:val="-5"/>
                <w:sz w:val="24"/>
              </w:rPr>
              <w:t>1.8</w:t>
            </w:r>
          </w:p>
        </w:tc>
        <w:tc>
          <w:tcPr>
            <w:tcW w:w="1036" w:type="dxa"/>
          </w:tcPr>
          <w:p>
            <w:pPr>
              <w:pStyle w:val="TableParagraph"/>
              <w:spacing w:before="133"/>
              <w:ind w:left="30"/>
              <w:rPr>
                <w:sz w:val="24"/>
              </w:rPr>
            </w:pPr>
            <w:r>
              <w:rPr>
                <w:spacing w:val="-5"/>
                <w:sz w:val="24"/>
              </w:rPr>
              <w:t>0.7</w:t>
            </w:r>
          </w:p>
        </w:tc>
        <w:tc>
          <w:tcPr>
            <w:tcW w:w="796" w:type="dxa"/>
          </w:tcPr>
          <w:p>
            <w:pPr>
              <w:pStyle w:val="TableParagraph"/>
              <w:spacing w:before="133"/>
              <w:ind w:left="345"/>
              <w:rPr>
                <w:sz w:val="24"/>
              </w:rPr>
            </w:pPr>
            <w:r>
              <w:rPr>
                <w:spacing w:val="-5"/>
                <w:sz w:val="24"/>
              </w:rPr>
              <w:t>2.2</w:t>
            </w:r>
          </w:p>
        </w:tc>
        <w:tc>
          <w:tcPr>
            <w:tcW w:w="1037" w:type="dxa"/>
          </w:tcPr>
          <w:p>
            <w:pPr>
              <w:pStyle w:val="TableParagraph"/>
              <w:spacing w:before="133"/>
              <w:ind w:left="29"/>
              <w:rPr>
                <w:sz w:val="24"/>
              </w:rPr>
            </w:pPr>
            <w:r>
              <w:rPr>
                <w:spacing w:val="-5"/>
                <w:sz w:val="24"/>
              </w:rPr>
              <w:t>1.0</w:t>
            </w:r>
          </w:p>
        </w:tc>
        <w:tc>
          <w:tcPr>
            <w:tcW w:w="706" w:type="dxa"/>
          </w:tcPr>
          <w:p>
            <w:pPr>
              <w:pStyle w:val="TableParagraph"/>
              <w:spacing w:before="133"/>
              <w:ind w:left="345"/>
              <w:rPr>
                <w:sz w:val="24"/>
              </w:rPr>
            </w:pPr>
            <w:r>
              <w:rPr>
                <w:spacing w:val="-5"/>
                <w:sz w:val="24"/>
              </w:rPr>
              <w:t>2.5</w:t>
            </w:r>
          </w:p>
        </w:tc>
        <w:tc>
          <w:tcPr>
            <w:tcW w:w="1127" w:type="dxa"/>
          </w:tcPr>
          <w:p>
            <w:pPr>
              <w:pStyle w:val="TableParagraph"/>
              <w:spacing w:before="133"/>
              <w:ind w:left="59"/>
              <w:rPr>
                <w:sz w:val="24"/>
              </w:rPr>
            </w:pPr>
            <w:r>
              <w:rPr>
                <w:spacing w:val="-5"/>
                <w:sz w:val="24"/>
              </w:rPr>
              <w:t>1.2</w:t>
            </w:r>
          </w:p>
        </w:tc>
        <w:tc>
          <w:tcPr>
            <w:tcW w:w="706" w:type="dxa"/>
          </w:tcPr>
          <w:p>
            <w:pPr>
              <w:pStyle w:val="TableParagraph"/>
              <w:spacing w:before="133"/>
              <w:ind w:left="344"/>
              <w:rPr>
                <w:sz w:val="24"/>
              </w:rPr>
            </w:pPr>
            <w:r>
              <w:rPr>
                <w:spacing w:val="-5"/>
                <w:sz w:val="24"/>
              </w:rPr>
              <w:t>2.8</w:t>
            </w:r>
          </w:p>
        </w:tc>
        <w:tc>
          <w:tcPr>
            <w:tcW w:w="952" w:type="dxa"/>
          </w:tcPr>
          <w:p>
            <w:pPr>
              <w:pStyle w:val="TableParagraph"/>
              <w:spacing w:before="133"/>
              <w:ind w:left="58"/>
              <w:rPr>
                <w:sz w:val="24"/>
              </w:rPr>
            </w:pPr>
            <w:r>
              <w:rPr>
                <w:spacing w:val="-5"/>
                <w:sz w:val="24"/>
              </w:rPr>
              <w:t>1.5</w:t>
            </w:r>
          </w:p>
        </w:tc>
      </w:tr>
      <w:tr>
        <w:trPr>
          <w:trHeight w:val="324" w:hRule="atLeast"/>
        </w:trPr>
        <w:tc>
          <w:tcPr>
            <w:tcW w:w="1551" w:type="dxa"/>
            <w:tcBorders>
              <w:top w:val="single" w:sz="12" w:space="0" w:color="808080"/>
            </w:tcBorders>
          </w:tcPr>
          <w:p>
            <w:pPr>
              <w:pStyle w:val="TableParagraph"/>
              <w:spacing w:line="256" w:lineRule="exact" w:before="48"/>
              <w:ind w:left="50"/>
              <w:rPr>
                <w:sz w:val="24"/>
              </w:rPr>
            </w:pPr>
            <w:r>
              <w:rPr>
                <w:spacing w:val="-2"/>
                <w:sz w:val="24"/>
              </w:rPr>
              <w:t>TOTAL</w:t>
            </w:r>
          </w:p>
        </w:tc>
        <w:tc>
          <w:tcPr>
            <w:tcW w:w="1817" w:type="dxa"/>
            <w:gridSpan w:val="2"/>
            <w:tcBorders>
              <w:top w:val="single" w:sz="12" w:space="0" w:color="808080"/>
            </w:tcBorders>
          </w:tcPr>
          <w:p>
            <w:pPr>
              <w:pStyle w:val="TableParagraph"/>
              <w:spacing w:line="256" w:lineRule="exact" w:before="48"/>
              <w:ind w:left="332"/>
              <w:rPr>
                <w:sz w:val="24"/>
              </w:rPr>
            </w:pPr>
            <w:r>
              <w:rPr>
                <w:sz w:val="24"/>
              </w:rPr>
              <w:t>100.0 </w:t>
            </w:r>
            <w:r>
              <w:rPr>
                <w:spacing w:val="-2"/>
                <w:sz w:val="24"/>
              </w:rPr>
              <w:t>100.0</w:t>
            </w:r>
          </w:p>
        </w:tc>
        <w:tc>
          <w:tcPr>
            <w:tcW w:w="1833" w:type="dxa"/>
            <w:gridSpan w:val="2"/>
            <w:tcBorders>
              <w:top w:val="single" w:sz="12" w:space="0" w:color="808080"/>
            </w:tcBorders>
          </w:tcPr>
          <w:p>
            <w:pPr>
              <w:pStyle w:val="TableParagraph"/>
              <w:spacing w:line="256" w:lineRule="exact" w:before="48"/>
              <w:ind w:left="346"/>
              <w:rPr>
                <w:sz w:val="24"/>
              </w:rPr>
            </w:pPr>
            <w:r>
              <w:rPr>
                <w:sz w:val="24"/>
              </w:rPr>
              <w:t>100.0 </w:t>
            </w:r>
            <w:r>
              <w:rPr>
                <w:spacing w:val="-2"/>
                <w:sz w:val="24"/>
              </w:rPr>
              <w:t>100.0</w:t>
            </w:r>
          </w:p>
        </w:tc>
        <w:tc>
          <w:tcPr>
            <w:tcW w:w="1833" w:type="dxa"/>
            <w:gridSpan w:val="2"/>
            <w:tcBorders>
              <w:top w:val="single" w:sz="12" w:space="0" w:color="808080"/>
            </w:tcBorders>
          </w:tcPr>
          <w:p>
            <w:pPr>
              <w:pStyle w:val="TableParagraph"/>
              <w:spacing w:line="256" w:lineRule="exact" w:before="48"/>
              <w:ind w:left="346"/>
              <w:rPr>
                <w:sz w:val="24"/>
              </w:rPr>
            </w:pPr>
            <w:r>
              <w:rPr>
                <w:sz w:val="24"/>
              </w:rPr>
              <w:t>100.0 </w:t>
            </w:r>
            <w:r>
              <w:rPr>
                <w:spacing w:val="-2"/>
                <w:sz w:val="24"/>
              </w:rPr>
              <w:t>100.0</w:t>
            </w:r>
          </w:p>
        </w:tc>
        <w:tc>
          <w:tcPr>
            <w:tcW w:w="1658" w:type="dxa"/>
            <w:gridSpan w:val="2"/>
            <w:tcBorders>
              <w:top w:val="single" w:sz="12" w:space="0" w:color="808080"/>
            </w:tcBorders>
          </w:tcPr>
          <w:p>
            <w:pPr>
              <w:pStyle w:val="TableParagraph"/>
              <w:spacing w:line="256" w:lineRule="exact" w:before="48"/>
              <w:ind w:left="345"/>
              <w:rPr>
                <w:sz w:val="24"/>
              </w:rPr>
            </w:pPr>
            <w:r>
              <w:rPr>
                <w:sz w:val="24"/>
              </w:rPr>
              <w:t>100.0 </w:t>
            </w:r>
            <w:r>
              <w:rPr>
                <w:spacing w:val="-2"/>
                <w:sz w:val="24"/>
              </w:rPr>
              <w:t>100.0</w:t>
            </w:r>
          </w:p>
        </w:tc>
      </w:tr>
    </w:tbl>
    <w:p>
      <w:pPr>
        <w:pStyle w:val="BodyText"/>
        <w:spacing w:before="2"/>
        <w:rPr>
          <w:sz w:val="14"/>
        </w:rPr>
      </w:pPr>
      <w:r>
        <w:rPr/>
        <mc:AlternateContent>
          <mc:Choice Requires="wps">
            <w:drawing>
              <wp:anchor distT="0" distB="0" distL="0" distR="0" allowOverlap="1" layoutInCell="1" locked="0" behindDoc="1" simplePos="0" relativeHeight="487648256">
                <wp:simplePos x="0" y="0"/>
                <wp:positionH relativeFrom="page">
                  <wp:posOffset>1143000</wp:posOffset>
                </wp:positionH>
                <wp:positionV relativeFrom="paragraph">
                  <wp:posOffset>119253</wp:posOffset>
                </wp:positionV>
                <wp:extent cx="5486400" cy="19050"/>
                <wp:effectExtent l="0" t="0" r="0" b="0"/>
                <wp:wrapTopAndBottom/>
                <wp:docPr id="612" name="Group 612"/>
                <wp:cNvGraphicFramePr>
                  <a:graphicFrameLocks/>
                </wp:cNvGraphicFramePr>
                <a:graphic>
                  <a:graphicData uri="http://schemas.microsoft.com/office/word/2010/wordprocessingGroup">
                    <wpg:wgp>
                      <wpg:cNvPr id="612" name="Group 612"/>
                      <wpg:cNvGrpSpPr/>
                      <wpg:grpSpPr>
                        <a:xfrm>
                          <a:off x="0" y="0"/>
                          <a:ext cx="5486400" cy="19050"/>
                          <a:chExt cx="5486400" cy="19050"/>
                        </a:xfrm>
                      </wpg:grpSpPr>
                      <wps:wsp>
                        <wps:cNvPr id="613" name="Graphic 613"/>
                        <wps:cNvSpPr/>
                        <wps:spPr>
                          <a:xfrm>
                            <a:off x="0" y="0"/>
                            <a:ext cx="5486400" cy="19050"/>
                          </a:xfrm>
                          <a:custGeom>
                            <a:avLst/>
                            <a:gdLst/>
                            <a:ahLst/>
                            <a:cxnLst/>
                            <a:rect l="l" t="t" r="r" b="b"/>
                            <a:pathLst>
                              <a:path w="5486400" h="19050">
                                <a:moveTo>
                                  <a:pt x="5486400" y="0"/>
                                </a:moveTo>
                                <a:lnTo>
                                  <a:pt x="0" y="0"/>
                                </a:lnTo>
                                <a:lnTo>
                                  <a:pt x="0" y="19050"/>
                                </a:lnTo>
                                <a:lnTo>
                                  <a:pt x="5486400" y="19050"/>
                                </a:lnTo>
                                <a:lnTo>
                                  <a:pt x="5486400" y="0"/>
                                </a:lnTo>
                                <a:close/>
                              </a:path>
                            </a:pathLst>
                          </a:custGeom>
                          <a:solidFill>
                            <a:srgbClr val="808080"/>
                          </a:solidFill>
                        </wps:spPr>
                        <wps:bodyPr wrap="square" lIns="0" tIns="0" rIns="0" bIns="0" rtlCol="0">
                          <a:prstTxWarp prst="textNoShape">
                            <a:avLst/>
                          </a:prstTxWarp>
                          <a:noAutofit/>
                        </wps:bodyPr>
                      </wps:wsp>
                      <wps:wsp>
                        <wps:cNvPr id="614" name="Graphic 614"/>
                        <wps:cNvSpPr/>
                        <wps:spPr>
                          <a:xfrm>
                            <a:off x="0" y="0"/>
                            <a:ext cx="5483860" cy="3175"/>
                          </a:xfrm>
                          <a:custGeom>
                            <a:avLst/>
                            <a:gdLst/>
                            <a:ahLst/>
                            <a:cxnLst/>
                            <a:rect l="l" t="t" r="r" b="b"/>
                            <a:pathLst>
                              <a:path w="5483860" h="3175">
                                <a:moveTo>
                                  <a:pt x="5483352" y="0"/>
                                </a:moveTo>
                                <a:lnTo>
                                  <a:pt x="3048" y="0"/>
                                </a:lnTo>
                                <a:lnTo>
                                  <a:pt x="0" y="0"/>
                                </a:lnTo>
                                <a:lnTo>
                                  <a:pt x="0" y="3048"/>
                                </a:lnTo>
                                <a:lnTo>
                                  <a:pt x="3048" y="3048"/>
                                </a:lnTo>
                                <a:lnTo>
                                  <a:pt x="5483352" y="3048"/>
                                </a:lnTo>
                                <a:lnTo>
                                  <a:pt x="5483352" y="0"/>
                                </a:lnTo>
                                <a:close/>
                              </a:path>
                            </a:pathLst>
                          </a:custGeom>
                          <a:solidFill>
                            <a:srgbClr val="ACA89A"/>
                          </a:solidFill>
                        </wps:spPr>
                        <wps:bodyPr wrap="square" lIns="0" tIns="0" rIns="0" bIns="0" rtlCol="0">
                          <a:prstTxWarp prst="textNoShape">
                            <a:avLst/>
                          </a:prstTxWarp>
                          <a:noAutofit/>
                        </wps:bodyPr>
                      </wps:wsp>
                      <wps:wsp>
                        <wps:cNvPr id="615" name="Graphic 615"/>
                        <wps:cNvSpPr/>
                        <wps:spPr>
                          <a:xfrm>
                            <a:off x="5483352"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F1EFE2"/>
                          </a:solidFill>
                        </wps:spPr>
                        <wps:bodyPr wrap="square" lIns="0" tIns="0" rIns="0" bIns="0" rtlCol="0">
                          <a:prstTxWarp prst="textNoShape">
                            <a:avLst/>
                          </a:prstTxWarp>
                          <a:noAutofit/>
                        </wps:bodyPr>
                      </wps:wsp>
                      <wps:wsp>
                        <wps:cNvPr id="616" name="Graphic 616"/>
                        <wps:cNvSpPr/>
                        <wps:spPr>
                          <a:xfrm>
                            <a:off x="0" y="0"/>
                            <a:ext cx="5486400" cy="16510"/>
                          </a:xfrm>
                          <a:custGeom>
                            <a:avLst/>
                            <a:gdLst/>
                            <a:ahLst/>
                            <a:cxnLst/>
                            <a:rect l="l" t="t" r="r" b="b"/>
                            <a:pathLst>
                              <a:path w="5486400" h="16510">
                                <a:moveTo>
                                  <a:pt x="3048" y="3048"/>
                                </a:moveTo>
                                <a:lnTo>
                                  <a:pt x="0" y="3048"/>
                                </a:lnTo>
                                <a:lnTo>
                                  <a:pt x="0" y="16002"/>
                                </a:lnTo>
                                <a:lnTo>
                                  <a:pt x="3048" y="16002"/>
                                </a:lnTo>
                                <a:lnTo>
                                  <a:pt x="3048" y="3048"/>
                                </a:lnTo>
                                <a:close/>
                              </a:path>
                              <a:path w="5486400" h="16510">
                                <a:moveTo>
                                  <a:pt x="5486387" y="0"/>
                                </a:moveTo>
                                <a:lnTo>
                                  <a:pt x="5483352" y="0"/>
                                </a:lnTo>
                                <a:lnTo>
                                  <a:pt x="5483352" y="3048"/>
                                </a:lnTo>
                                <a:lnTo>
                                  <a:pt x="5486387" y="3048"/>
                                </a:lnTo>
                                <a:lnTo>
                                  <a:pt x="5486387" y="0"/>
                                </a:lnTo>
                                <a:close/>
                              </a:path>
                            </a:pathLst>
                          </a:custGeom>
                          <a:solidFill>
                            <a:srgbClr val="ACA89A"/>
                          </a:solidFill>
                        </wps:spPr>
                        <wps:bodyPr wrap="square" lIns="0" tIns="0" rIns="0" bIns="0" rtlCol="0">
                          <a:prstTxWarp prst="textNoShape">
                            <a:avLst/>
                          </a:prstTxWarp>
                          <a:noAutofit/>
                        </wps:bodyPr>
                      </wps:wsp>
                      <wps:wsp>
                        <wps:cNvPr id="617" name="Graphic 617"/>
                        <wps:cNvSpPr/>
                        <wps:spPr>
                          <a:xfrm>
                            <a:off x="5483352" y="3048"/>
                            <a:ext cx="3175" cy="13335"/>
                          </a:xfrm>
                          <a:custGeom>
                            <a:avLst/>
                            <a:gdLst/>
                            <a:ahLst/>
                            <a:cxnLst/>
                            <a:rect l="l" t="t" r="r" b="b"/>
                            <a:pathLst>
                              <a:path w="3175" h="13335">
                                <a:moveTo>
                                  <a:pt x="3047" y="0"/>
                                </a:moveTo>
                                <a:lnTo>
                                  <a:pt x="0" y="0"/>
                                </a:lnTo>
                                <a:lnTo>
                                  <a:pt x="0" y="12954"/>
                                </a:lnTo>
                                <a:lnTo>
                                  <a:pt x="3047" y="12954"/>
                                </a:lnTo>
                                <a:lnTo>
                                  <a:pt x="3047" y="0"/>
                                </a:lnTo>
                                <a:close/>
                              </a:path>
                            </a:pathLst>
                          </a:custGeom>
                          <a:solidFill>
                            <a:srgbClr val="F1EFE2"/>
                          </a:solidFill>
                        </wps:spPr>
                        <wps:bodyPr wrap="square" lIns="0" tIns="0" rIns="0" bIns="0" rtlCol="0">
                          <a:prstTxWarp prst="textNoShape">
                            <a:avLst/>
                          </a:prstTxWarp>
                          <a:noAutofit/>
                        </wps:bodyPr>
                      </wps:wsp>
                      <wps:wsp>
                        <wps:cNvPr id="618" name="Graphic 618"/>
                        <wps:cNvSpPr/>
                        <wps:spPr>
                          <a:xfrm>
                            <a:off x="0" y="1600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CA89A"/>
                          </a:solidFill>
                        </wps:spPr>
                        <wps:bodyPr wrap="square" lIns="0" tIns="0" rIns="0" bIns="0" rtlCol="0">
                          <a:prstTxWarp prst="textNoShape">
                            <a:avLst/>
                          </a:prstTxWarp>
                          <a:noAutofit/>
                        </wps:bodyPr>
                      </wps:wsp>
                      <wps:wsp>
                        <wps:cNvPr id="619" name="Graphic 619"/>
                        <wps:cNvSpPr/>
                        <wps:spPr>
                          <a:xfrm>
                            <a:off x="0" y="16002"/>
                            <a:ext cx="5486400" cy="3175"/>
                          </a:xfrm>
                          <a:custGeom>
                            <a:avLst/>
                            <a:gdLst/>
                            <a:ahLst/>
                            <a:cxnLst/>
                            <a:rect l="l" t="t" r="r" b="b"/>
                            <a:pathLst>
                              <a:path w="5486400" h="3175">
                                <a:moveTo>
                                  <a:pt x="5486400" y="0"/>
                                </a:moveTo>
                                <a:lnTo>
                                  <a:pt x="5483352" y="0"/>
                                </a:lnTo>
                                <a:lnTo>
                                  <a:pt x="0" y="0"/>
                                </a:lnTo>
                                <a:lnTo>
                                  <a:pt x="0" y="3048"/>
                                </a:lnTo>
                                <a:lnTo>
                                  <a:pt x="5483352" y="3048"/>
                                </a:lnTo>
                                <a:lnTo>
                                  <a:pt x="5486387" y="3048"/>
                                </a:lnTo>
                                <a:lnTo>
                                  <a:pt x="5486400" y="0"/>
                                </a:lnTo>
                                <a:close/>
                              </a:path>
                            </a:pathLst>
                          </a:custGeom>
                          <a:solidFill>
                            <a:srgbClr val="F1EFE2"/>
                          </a:solidFill>
                        </wps:spPr>
                        <wps:bodyPr wrap="square" lIns="0" tIns="0" rIns="0" bIns="0" rtlCol="0">
                          <a:prstTxWarp prst="textNoShape">
                            <a:avLst/>
                          </a:prstTxWarp>
                          <a:noAutofit/>
                        </wps:bodyPr>
                      </wps:wsp>
                    </wpg:wgp>
                  </a:graphicData>
                </a:graphic>
              </wp:anchor>
            </w:drawing>
          </mc:Choice>
          <mc:Fallback>
            <w:pict>
              <v:group style="position:absolute;margin-left:90pt;margin-top:9.390015pt;width:432pt;height:1.5pt;mso-position-horizontal-relative:page;mso-position-vertical-relative:paragraph;z-index:-15668224;mso-wrap-distance-left:0;mso-wrap-distance-right:0" id="docshapegroup588" coordorigin="1800,188" coordsize="8640,30">
                <v:rect style="position:absolute;left:1800;top:187;width:8640;height:30" id="docshape589" filled="true" fillcolor="#808080" stroked="false">
                  <v:fill type="solid"/>
                </v:rect>
                <v:shape style="position:absolute;left:1800;top:187;width:8636;height:5" id="docshape590" coordorigin="1800,188" coordsize="8636,5" path="m10435,188l1805,188,1800,188,1800,193,1805,193,10435,193,10435,188xe" filled="true" fillcolor="#aca89a" stroked="false">
                  <v:path arrowok="t"/>
                  <v:fill type="solid"/>
                </v:shape>
                <v:rect style="position:absolute;left:10435;top:187;width:5;height:5" id="docshape591" filled="true" fillcolor="#f1efe2" stroked="false">
                  <v:fill type="solid"/>
                </v:rect>
                <v:shape style="position:absolute;left:1800;top:187;width:8640;height:26" id="docshape592" coordorigin="1800,188" coordsize="8640,26" path="m1805,193l1800,193,1800,213,1805,213,1805,193xm10440,188l10435,188,10435,193,10440,193,10440,188xe" filled="true" fillcolor="#aca89a" stroked="false">
                  <v:path arrowok="t"/>
                  <v:fill type="solid"/>
                </v:shape>
                <v:rect style="position:absolute;left:10435;top:192;width:5;height:21" id="docshape593" filled="true" fillcolor="#f1efe2" stroked="false">
                  <v:fill type="solid"/>
                </v:rect>
                <v:rect style="position:absolute;left:1800;top:213;width:5;height:5" id="docshape594" filled="true" fillcolor="#aca89a" stroked="false">
                  <v:fill type="solid"/>
                </v:rect>
                <v:shape style="position:absolute;left:1800;top:213;width:8640;height:5" id="docshape595" coordorigin="1800,213" coordsize="8640,5" path="m10440,213l10435,213,1800,213,1800,218,10435,218,10440,218,10440,213xe" filled="true" fillcolor="#f1efe2" stroked="false">
                  <v:path arrowok="t"/>
                  <v:fill type="solid"/>
                </v:shape>
                <w10:wrap type="topAndBottom"/>
              </v:group>
            </w:pict>
          </mc:Fallback>
        </mc:AlternateContent>
      </w:r>
    </w:p>
    <w:p>
      <w:pPr>
        <w:pStyle w:val="BodyText"/>
        <w:spacing w:before="53"/>
      </w:pPr>
    </w:p>
    <w:p>
      <w:pPr>
        <w:pStyle w:val="BodyText"/>
        <w:ind w:left="159" w:right="498"/>
        <w:jc w:val="both"/>
      </w:pPr>
      <w:r>
        <w:rPr/>
        <w:t>Source. Ministry of Education, Form A of the States till 1960- 61. The figures for 1965- 66 were estimated in the Secretariat of the Commission.</w:t>
      </w:r>
    </w:p>
    <w:p>
      <w:pPr>
        <w:pStyle w:val="BodyText"/>
        <w:spacing w:before="3"/>
      </w:pPr>
    </w:p>
    <w:p>
      <w:pPr>
        <w:pStyle w:val="BodyText"/>
        <w:spacing w:before="1"/>
        <w:ind w:left="159" w:right="494"/>
        <w:jc w:val="both"/>
      </w:pPr>
      <w:r>
        <w:rPr/>
        <w:t>In short, we have shown the first year of the Intermediate class as a part of Classes XI</w:t>
      </w:r>
      <w:r>
        <w:rPr>
          <w:spacing w:val="80"/>
        </w:rPr>
        <w:t> </w:t>
      </w:r>
      <w:r>
        <w:rPr/>
        <w:t>and XII in all cases. Where the three-year degree course has been adopted, the second year</w:t>
      </w:r>
      <w:r>
        <w:rPr>
          <w:spacing w:val="9"/>
        </w:rPr>
        <w:t> </w:t>
      </w:r>
      <w:r>
        <w:rPr/>
        <w:t>has</w:t>
      </w:r>
      <w:r>
        <w:rPr>
          <w:spacing w:val="10"/>
        </w:rPr>
        <w:t> </w:t>
      </w:r>
      <w:r>
        <w:rPr/>
        <w:t>been</w:t>
      </w:r>
      <w:r>
        <w:rPr>
          <w:spacing w:val="10"/>
        </w:rPr>
        <w:t> </w:t>
      </w:r>
      <w:r>
        <w:rPr/>
        <w:t>shown</w:t>
      </w:r>
      <w:r>
        <w:rPr>
          <w:spacing w:val="10"/>
        </w:rPr>
        <w:t> </w:t>
      </w:r>
      <w:r>
        <w:rPr/>
        <w:t>in</w:t>
      </w:r>
      <w:r>
        <w:rPr>
          <w:spacing w:val="10"/>
        </w:rPr>
        <w:t> </w:t>
      </w:r>
      <w:r>
        <w:rPr/>
        <w:t>the</w:t>
      </w:r>
      <w:r>
        <w:rPr>
          <w:spacing w:val="10"/>
        </w:rPr>
        <w:t> </w:t>
      </w:r>
      <w:r>
        <w:rPr/>
        <w:t>undergraduate</w:t>
      </w:r>
      <w:r>
        <w:rPr>
          <w:spacing w:val="10"/>
        </w:rPr>
        <w:t> </w:t>
      </w:r>
      <w:r>
        <w:rPr/>
        <w:t>stage.</w:t>
      </w:r>
      <w:r>
        <w:rPr>
          <w:spacing w:val="10"/>
        </w:rPr>
        <w:t> </w:t>
      </w:r>
      <w:r>
        <w:rPr/>
        <w:t>Where</w:t>
      </w:r>
      <w:r>
        <w:rPr>
          <w:spacing w:val="10"/>
        </w:rPr>
        <w:t> </w:t>
      </w:r>
      <w:r>
        <w:rPr/>
        <w:t>the</w:t>
      </w:r>
      <w:r>
        <w:rPr>
          <w:spacing w:val="10"/>
        </w:rPr>
        <w:t> </w:t>
      </w:r>
      <w:r>
        <w:rPr/>
        <w:t>three-year</w:t>
      </w:r>
      <w:r>
        <w:rPr>
          <w:spacing w:val="10"/>
        </w:rPr>
        <w:t> </w:t>
      </w:r>
      <w:r>
        <w:rPr/>
        <w:t>degree</w:t>
      </w:r>
      <w:r>
        <w:rPr>
          <w:spacing w:val="10"/>
        </w:rPr>
        <w:t> </w:t>
      </w:r>
      <w:r>
        <w:rPr/>
        <w:t>course</w:t>
      </w:r>
      <w:r>
        <w:rPr>
          <w:spacing w:val="10"/>
        </w:rPr>
        <w:t> </w:t>
      </w:r>
      <w:r>
        <w:rPr>
          <w:spacing w:val="-5"/>
        </w:rPr>
        <w:t>has</w:t>
      </w:r>
    </w:p>
    <w:p>
      <w:pPr>
        <w:spacing w:after="0"/>
        <w:jc w:val="both"/>
        <w:sectPr>
          <w:pgSz w:w="12240" w:h="15840"/>
          <w:pgMar w:header="0" w:footer="743" w:top="1360" w:bottom="940" w:left="1640" w:right="1300"/>
        </w:sectPr>
      </w:pPr>
    </w:p>
    <w:p>
      <w:pPr>
        <w:pStyle w:val="BodyText"/>
        <w:spacing w:before="76"/>
        <w:ind w:left="160" w:right="499"/>
        <w:jc w:val="both"/>
      </w:pPr>
      <w:r>
        <w:rPr/>
        <w:t>not been adopted, both the years have been shown under classes XI and XII, the only exception to this being the city of Bombay for which no separate figures are available.</w:t>
      </w:r>
    </w:p>
    <w:p>
      <w:pPr>
        <w:pStyle w:val="BodyText"/>
        <w:spacing w:before="4"/>
      </w:pPr>
    </w:p>
    <w:p>
      <w:pPr>
        <w:pStyle w:val="BodyText"/>
        <w:ind w:left="160" w:right="498"/>
        <w:jc w:val="both"/>
      </w:pPr>
      <w:r>
        <w:rPr/>
        <w:t>The Intermediate (Commerce) classes have been regarded as part of general education and the corresponding enrolment has been shown under Classes XI and XII.</w:t>
      </w:r>
    </w:p>
    <w:p>
      <w:pPr>
        <w:pStyle w:val="BodyText"/>
        <w:spacing w:before="6"/>
      </w:pPr>
    </w:p>
    <w:p>
      <w:pPr>
        <w:pStyle w:val="BodyText"/>
        <w:ind w:left="160"/>
        <w:jc w:val="both"/>
      </w:pPr>
      <w:r>
        <w:rPr/>
        <w:t>The</w:t>
      </w:r>
      <w:r>
        <w:rPr>
          <w:spacing w:val="-1"/>
        </w:rPr>
        <w:t> </w:t>
      </w:r>
      <w:r>
        <w:rPr/>
        <w:t>retabulated</w:t>
      </w:r>
      <w:r>
        <w:rPr>
          <w:spacing w:val="-1"/>
        </w:rPr>
        <w:t> </w:t>
      </w:r>
      <w:r>
        <w:rPr/>
        <w:t>enrolments</w:t>
      </w:r>
      <w:r>
        <w:rPr>
          <w:spacing w:val="-1"/>
        </w:rPr>
        <w:t> </w:t>
      </w:r>
      <w:r>
        <w:rPr/>
        <w:t>on</w:t>
      </w:r>
      <w:r>
        <w:rPr>
          <w:spacing w:val="-1"/>
        </w:rPr>
        <w:t> </w:t>
      </w:r>
      <w:r>
        <w:rPr/>
        <w:t>these</w:t>
      </w:r>
      <w:r>
        <w:rPr>
          <w:spacing w:val="-1"/>
        </w:rPr>
        <w:t> </w:t>
      </w:r>
      <w:r>
        <w:rPr/>
        <w:t>assumptions</w:t>
      </w:r>
      <w:r>
        <w:rPr>
          <w:spacing w:val="-1"/>
        </w:rPr>
        <w:t> </w:t>
      </w:r>
      <w:r>
        <w:rPr/>
        <w:t>have</w:t>
      </w:r>
      <w:r>
        <w:rPr>
          <w:spacing w:val="-1"/>
        </w:rPr>
        <w:t> </w:t>
      </w:r>
      <w:r>
        <w:rPr/>
        <w:t>been</w:t>
      </w:r>
      <w:r>
        <w:rPr>
          <w:spacing w:val="-1"/>
        </w:rPr>
        <w:t> </w:t>
      </w:r>
      <w:r>
        <w:rPr/>
        <w:t>given</w:t>
      </w:r>
      <w:r>
        <w:rPr>
          <w:spacing w:val="-1"/>
        </w:rPr>
        <w:t> </w:t>
      </w:r>
      <w:r>
        <w:rPr/>
        <w:t>in</w:t>
      </w:r>
      <w:r>
        <w:rPr>
          <w:spacing w:val="-1"/>
        </w:rPr>
        <w:t> </w:t>
      </w:r>
      <w:r>
        <w:rPr/>
        <w:t>Table </w:t>
      </w:r>
      <w:r>
        <w:rPr>
          <w:spacing w:val="-4"/>
        </w:rPr>
        <w:t>AI.7</w:t>
      </w:r>
    </w:p>
    <w:p>
      <w:pPr>
        <w:pStyle w:val="BodyText"/>
        <w:spacing w:before="2"/>
      </w:pPr>
    </w:p>
    <w:p>
      <w:pPr>
        <w:spacing w:before="1"/>
        <w:ind w:left="160" w:right="497" w:firstLine="0"/>
        <w:jc w:val="both"/>
        <w:rPr>
          <w:sz w:val="24"/>
        </w:rPr>
      </w:pPr>
      <w:r>
        <w:rPr>
          <w:b/>
          <w:sz w:val="24"/>
        </w:rPr>
        <w:t>AI.11. General Education (Undergraduate Stage). </w:t>
      </w:r>
      <w:r>
        <w:rPr>
          <w:sz w:val="24"/>
        </w:rPr>
        <w:t>In our retabulation, the enrolments in general education at the undergraduate stage include the following:</w:t>
      </w:r>
    </w:p>
    <w:p>
      <w:pPr>
        <w:pStyle w:val="BodyText"/>
        <w:spacing w:before="3"/>
      </w:pPr>
    </w:p>
    <w:p>
      <w:pPr>
        <w:pStyle w:val="ListParagraph"/>
        <w:numPr>
          <w:ilvl w:val="0"/>
          <w:numId w:val="141"/>
        </w:numPr>
        <w:tabs>
          <w:tab w:pos="447" w:val="left" w:leader="none"/>
        </w:tabs>
        <w:spacing w:line="240" w:lineRule="auto" w:before="0" w:after="0"/>
        <w:ind w:left="160" w:right="492" w:firstLine="0"/>
        <w:jc w:val="left"/>
        <w:rPr>
          <w:sz w:val="24"/>
        </w:rPr>
      </w:pPr>
      <w:r>
        <w:rPr>
          <w:sz w:val="24"/>
        </w:rPr>
        <w:t>Enrolments</w:t>
      </w:r>
      <w:r>
        <w:rPr>
          <w:spacing w:val="-1"/>
          <w:sz w:val="24"/>
        </w:rPr>
        <w:t> </w:t>
      </w:r>
      <w:r>
        <w:rPr>
          <w:sz w:val="24"/>
        </w:rPr>
        <w:t>in</w:t>
      </w:r>
      <w:r>
        <w:rPr>
          <w:spacing w:val="-1"/>
          <w:sz w:val="24"/>
        </w:rPr>
        <w:t> </w:t>
      </w:r>
      <w:r>
        <w:rPr>
          <w:sz w:val="24"/>
        </w:rPr>
        <w:t>the</w:t>
      </w:r>
      <w:r>
        <w:rPr>
          <w:spacing w:val="-1"/>
          <w:sz w:val="24"/>
        </w:rPr>
        <w:t> </w:t>
      </w:r>
      <w:r>
        <w:rPr>
          <w:sz w:val="24"/>
        </w:rPr>
        <w:t>second</w:t>
      </w:r>
      <w:r>
        <w:rPr>
          <w:spacing w:val="-1"/>
          <w:sz w:val="24"/>
        </w:rPr>
        <w:t> </w:t>
      </w:r>
      <w:r>
        <w:rPr>
          <w:sz w:val="24"/>
        </w:rPr>
        <w:t>year</w:t>
      </w:r>
      <w:r>
        <w:rPr>
          <w:spacing w:val="-3"/>
          <w:sz w:val="24"/>
        </w:rPr>
        <w:t> </w:t>
      </w:r>
      <w:r>
        <w:rPr>
          <w:sz w:val="24"/>
        </w:rPr>
        <w:t>of</w:t>
      </w:r>
      <w:r>
        <w:rPr>
          <w:spacing w:val="-1"/>
          <w:sz w:val="24"/>
        </w:rPr>
        <w:t> </w:t>
      </w:r>
      <w:r>
        <w:rPr>
          <w:sz w:val="24"/>
        </w:rPr>
        <w:t>the</w:t>
      </w:r>
      <w:r>
        <w:rPr>
          <w:spacing w:val="-1"/>
          <w:sz w:val="24"/>
        </w:rPr>
        <w:t> </w:t>
      </w:r>
      <w:r>
        <w:rPr>
          <w:sz w:val="24"/>
        </w:rPr>
        <w:t>Intermediate</w:t>
      </w:r>
      <w:r>
        <w:rPr>
          <w:spacing w:val="-1"/>
          <w:sz w:val="24"/>
        </w:rPr>
        <w:t> </w:t>
      </w:r>
      <w:r>
        <w:rPr>
          <w:sz w:val="24"/>
        </w:rPr>
        <w:t>classes</w:t>
      </w:r>
      <w:r>
        <w:rPr>
          <w:spacing w:val="-1"/>
          <w:sz w:val="24"/>
        </w:rPr>
        <w:t> </w:t>
      </w:r>
      <w:r>
        <w:rPr>
          <w:sz w:val="24"/>
        </w:rPr>
        <w:t>in</w:t>
      </w:r>
      <w:r>
        <w:rPr>
          <w:spacing w:val="-1"/>
          <w:sz w:val="24"/>
        </w:rPr>
        <w:t> </w:t>
      </w:r>
      <w:r>
        <w:rPr>
          <w:sz w:val="24"/>
        </w:rPr>
        <w:t>all</w:t>
      </w:r>
      <w:r>
        <w:rPr>
          <w:spacing w:val="-1"/>
          <w:sz w:val="24"/>
        </w:rPr>
        <w:t> </w:t>
      </w:r>
      <w:r>
        <w:rPr>
          <w:sz w:val="24"/>
        </w:rPr>
        <w:t>States</w:t>
      </w:r>
      <w:r>
        <w:rPr>
          <w:spacing w:val="-1"/>
          <w:sz w:val="24"/>
        </w:rPr>
        <w:t> </w:t>
      </w:r>
      <w:r>
        <w:rPr>
          <w:sz w:val="24"/>
        </w:rPr>
        <w:t>which</w:t>
      </w:r>
      <w:r>
        <w:rPr>
          <w:spacing w:val="-1"/>
          <w:sz w:val="24"/>
        </w:rPr>
        <w:t> </w:t>
      </w:r>
      <w:r>
        <w:rPr>
          <w:sz w:val="24"/>
        </w:rPr>
        <w:t>have</w:t>
      </w:r>
      <w:r>
        <w:rPr>
          <w:spacing w:val="-1"/>
          <w:sz w:val="24"/>
        </w:rPr>
        <w:t> </w:t>
      </w:r>
      <w:r>
        <w:rPr>
          <w:sz w:val="24"/>
        </w:rPr>
        <w:t>now adopted the three- year degree course.</w:t>
      </w:r>
    </w:p>
    <w:p>
      <w:pPr>
        <w:pStyle w:val="BodyText"/>
        <w:spacing w:before="5"/>
      </w:pPr>
    </w:p>
    <w:p>
      <w:pPr>
        <w:pStyle w:val="ListParagraph"/>
        <w:numPr>
          <w:ilvl w:val="0"/>
          <w:numId w:val="141"/>
        </w:numPr>
        <w:tabs>
          <w:tab w:pos="513" w:val="left" w:leader="none"/>
        </w:tabs>
        <w:spacing w:line="240" w:lineRule="auto" w:before="0" w:after="0"/>
        <w:ind w:left="513" w:right="0" w:hanging="353"/>
        <w:jc w:val="left"/>
        <w:rPr>
          <w:sz w:val="24"/>
        </w:rPr>
      </w:pPr>
      <w:r>
        <w:rPr>
          <w:sz w:val="24"/>
        </w:rPr>
        <w:t>Enrolments</w:t>
      </w:r>
      <w:r>
        <w:rPr>
          <w:spacing w:val="-1"/>
          <w:sz w:val="24"/>
        </w:rPr>
        <w:t> </w:t>
      </w:r>
      <w:r>
        <w:rPr>
          <w:sz w:val="24"/>
        </w:rPr>
        <w:t>in the</w:t>
      </w:r>
      <w:r>
        <w:rPr>
          <w:spacing w:val="-1"/>
          <w:sz w:val="24"/>
        </w:rPr>
        <w:t> </w:t>
      </w:r>
      <w:r>
        <w:rPr>
          <w:sz w:val="24"/>
        </w:rPr>
        <w:t>First Degree</w:t>
      </w:r>
      <w:r>
        <w:rPr>
          <w:spacing w:val="-1"/>
          <w:sz w:val="24"/>
        </w:rPr>
        <w:t> </w:t>
      </w:r>
      <w:r>
        <w:rPr>
          <w:sz w:val="24"/>
        </w:rPr>
        <w:t>Courses for</w:t>
      </w:r>
      <w:r>
        <w:rPr>
          <w:spacing w:val="-1"/>
          <w:sz w:val="24"/>
        </w:rPr>
        <w:t> </w:t>
      </w:r>
      <w:r>
        <w:rPr>
          <w:sz w:val="24"/>
        </w:rPr>
        <w:t>Arts and </w:t>
      </w:r>
      <w:r>
        <w:rPr>
          <w:spacing w:val="-2"/>
          <w:sz w:val="24"/>
        </w:rPr>
        <w:t>Science.</w:t>
      </w:r>
    </w:p>
    <w:p>
      <w:pPr>
        <w:pStyle w:val="BodyText"/>
        <w:spacing w:before="5"/>
      </w:pPr>
    </w:p>
    <w:p>
      <w:pPr>
        <w:pStyle w:val="ListParagraph"/>
        <w:numPr>
          <w:ilvl w:val="0"/>
          <w:numId w:val="141"/>
        </w:numPr>
        <w:tabs>
          <w:tab w:pos="578" w:val="left" w:leader="none"/>
        </w:tabs>
        <w:spacing w:line="240" w:lineRule="auto" w:before="0" w:after="0"/>
        <w:ind w:left="578" w:right="0" w:hanging="418"/>
        <w:jc w:val="left"/>
        <w:rPr>
          <w:sz w:val="24"/>
        </w:rPr>
      </w:pPr>
      <w:r>
        <w:rPr>
          <w:sz w:val="24"/>
        </w:rPr>
        <w:t>Enrolments</w:t>
      </w:r>
      <w:r>
        <w:rPr>
          <w:spacing w:val="-4"/>
          <w:sz w:val="24"/>
        </w:rPr>
        <w:t> </w:t>
      </w:r>
      <w:r>
        <w:rPr>
          <w:sz w:val="24"/>
        </w:rPr>
        <w:t>in</w:t>
      </w:r>
      <w:r>
        <w:rPr>
          <w:spacing w:val="-2"/>
          <w:sz w:val="24"/>
        </w:rPr>
        <w:t> </w:t>
      </w:r>
      <w:r>
        <w:rPr>
          <w:sz w:val="24"/>
        </w:rPr>
        <w:t>the</w:t>
      </w:r>
      <w:r>
        <w:rPr>
          <w:spacing w:val="-2"/>
          <w:sz w:val="24"/>
        </w:rPr>
        <w:t> </w:t>
      </w:r>
      <w:r>
        <w:rPr>
          <w:sz w:val="24"/>
        </w:rPr>
        <w:t>First</w:t>
      </w:r>
      <w:r>
        <w:rPr>
          <w:spacing w:val="-2"/>
          <w:sz w:val="24"/>
        </w:rPr>
        <w:t> </w:t>
      </w:r>
      <w:r>
        <w:rPr>
          <w:sz w:val="24"/>
        </w:rPr>
        <w:t>Degree</w:t>
      </w:r>
      <w:r>
        <w:rPr>
          <w:spacing w:val="-2"/>
          <w:sz w:val="24"/>
        </w:rPr>
        <w:t> </w:t>
      </w:r>
      <w:r>
        <w:rPr>
          <w:sz w:val="24"/>
        </w:rPr>
        <w:t>Courses</w:t>
      </w:r>
      <w:r>
        <w:rPr>
          <w:spacing w:val="-2"/>
          <w:sz w:val="24"/>
        </w:rPr>
        <w:t> </w:t>
      </w:r>
      <w:r>
        <w:rPr>
          <w:sz w:val="24"/>
        </w:rPr>
        <w:t>for</w:t>
      </w:r>
      <w:r>
        <w:rPr>
          <w:spacing w:val="-1"/>
          <w:sz w:val="24"/>
        </w:rPr>
        <w:t> </w:t>
      </w:r>
      <w:r>
        <w:rPr>
          <w:spacing w:val="-2"/>
          <w:sz w:val="24"/>
        </w:rPr>
        <w:t>Commerce.</w:t>
      </w:r>
    </w:p>
    <w:p>
      <w:pPr>
        <w:pStyle w:val="BodyText"/>
        <w:spacing w:before="2"/>
      </w:pPr>
    </w:p>
    <w:p>
      <w:pPr>
        <w:pStyle w:val="BodyText"/>
        <w:ind w:left="159" w:right="496"/>
        <w:jc w:val="both"/>
      </w:pPr>
      <w:r>
        <w:rPr>
          <w:b/>
        </w:rPr>
        <w:t>AI.12. General Education (Postgraduate and Research). </w:t>
      </w:r>
      <w:r>
        <w:rPr/>
        <w:t>There are no </w:t>
      </w:r>
      <w:r>
        <w:rPr/>
        <w:t>difficulties</w:t>
      </w:r>
      <w:r>
        <w:rPr>
          <w:spacing w:val="40"/>
        </w:rPr>
        <w:t> </w:t>
      </w:r>
      <w:r>
        <w:rPr/>
        <w:t>about the enrolments in general education at the postgraduate stage and research. These have been taken from the publications of the Ministry of Education and are given in</w:t>
      </w:r>
      <w:r>
        <w:rPr>
          <w:spacing w:val="40"/>
        </w:rPr>
        <w:t> </w:t>
      </w:r>
      <w:r>
        <w:rPr/>
        <w:t>Table AI.8 along with the enrolments at undergraduate stage.</w:t>
      </w:r>
    </w:p>
    <w:p>
      <w:pPr>
        <w:pStyle w:val="BodyText"/>
        <w:spacing w:before="4"/>
      </w:pPr>
    </w:p>
    <w:p>
      <w:pPr>
        <w:pStyle w:val="BodyText"/>
        <w:ind w:left="159" w:right="497"/>
        <w:jc w:val="both"/>
      </w:pPr>
      <w:r>
        <w:rPr>
          <w:b/>
        </w:rPr>
        <w:t>Al. 13. Vocational Schools</w:t>
      </w:r>
      <w:r>
        <w:rPr/>
        <w:t>. The enrolment in vocational schools is of a mixed character. In some courses such as polytechnics, admission is given only to those who have completed the secondary school. In other courses such as teacher-training or in industrial training institutes, admission is given to those who have completed the secondary school as well as to those who have completed the primary school only. In some other courses such as arts and crafts (e.g. tailoring) the admission is mostly of those who have not completed the secondary school, although there are a few students who have done so. It is, therefore, necessary to make certain assumptions regarding the enrolment of students who have completed the secondary school and of those who have completed the primary school only. We make the following assumptions:</w:t>
      </w:r>
    </w:p>
    <w:p>
      <w:pPr>
        <w:pStyle w:val="BodyText"/>
        <w:spacing w:before="5"/>
      </w:pPr>
    </w:p>
    <w:p>
      <w:pPr>
        <w:pStyle w:val="ListParagraph"/>
        <w:numPr>
          <w:ilvl w:val="0"/>
          <w:numId w:val="142"/>
        </w:numPr>
        <w:tabs>
          <w:tab w:pos="455" w:val="left" w:leader="none"/>
        </w:tabs>
        <w:spacing w:line="240" w:lineRule="auto" w:before="0" w:after="0"/>
        <w:ind w:left="160" w:right="498" w:firstLine="0"/>
        <w:jc w:val="left"/>
        <w:rPr>
          <w:sz w:val="24"/>
        </w:rPr>
      </w:pPr>
      <w:r>
        <w:rPr>
          <w:sz w:val="24"/>
        </w:rPr>
        <w:t>Teacher Training. 20 per cent of the enrolment was regarded as not having completed the secondary school.</w:t>
      </w:r>
    </w:p>
    <w:p>
      <w:pPr>
        <w:pStyle w:val="BodyText"/>
        <w:spacing w:before="4"/>
      </w:pPr>
    </w:p>
    <w:p>
      <w:pPr>
        <w:pStyle w:val="ListParagraph"/>
        <w:numPr>
          <w:ilvl w:val="0"/>
          <w:numId w:val="142"/>
        </w:numPr>
        <w:tabs>
          <w:tab w:pos="583" w:val="left" w:leader="none"/>
        </w:tabs>
        <w:spacing w:line="240" w:lineRule="auto" w:before="0" w:after="0"/>
        <w:ind w:left="160" w:right="499" w:firstLine="0"/>
        <w:jc w:val="left"/>
        <w:rPr>
          <w:sz w:val="24"/>
        </w:rPr>
      </w:pPr>
      <w:r>
        <w:rPr>
          <w:sz w:val="24"/>
        </w:rPr>
        <w:t>Arts</w:t>
      </w:r>
      <w:r>
        <w:rPr>
          <w:spacing w:val="67"/>
          <w:sz w:val="24"/>
        </w:rPr>
        <w:t> </w:t>
      </w:r>
      <w:r>
        <w:rPr>
          <w:sz w:val="24"/>
        </w:rPr>
        <w:t>and</w:t>
      </w:r>
      <w:r>
        <w:rPr>
          <w:spacing w:val="67"/>
          <w:sz w:val="24"/>
        </w:rPr>
        <w:t> </w:t>
      </w:r>
      <w:r>
        <w:rPr>
          <w:sz w:val="24"/>
        </w:rPr>
        <w:t>Crafts.</w:t>
      </w:r>
      <w:r>
        <w:rPr>
          <w:spacing w:val="67"/>
          <w:sz w:val="24"/>
        </w:rPr>
        <w:t> </w:t>
      </w:r>
      <w:r>
        <w:rPr>
          <w:sz w:val="24"/>
        </w:rPr>
        <w:t>All</w:t>
      </w:r>
      <w:r>
        <w:rPr>
          <w:spacing w:val="67"/>
          <w:sz w:val="24"/>
        </w:rPr>
        <w:t> </w:t>
      </w:r>
      <w:r>
        <w:rPr>
          <w:sz w:val="24"/>
        </w:rPr>
        <w:t>the</w:t>
      </w:r>
      <w:r>
        <w:rPr>
          <w:spacing w:val="67"/>
          <w:sz w:val="24"/>
        </w:rPr>
        <w:t> </w:t>
      </w:r>
      <w:r>
        <w:rPr>
          <w:sz w:val="24"/>
        </w:rPr>
        <w:t>enrolment</w:t>
      </w:r>
      <w:r>
        <w:rPr>
          <w:spacing w:val="67"/>
          <w:sz w:val="24"/>
        </w:rPr>
        <w:t> </w:t>
      </w:r>
      <w:r>
        <w:rPr>
          <w:sz w:val="24"/>
        </w:rPr>
        <w:t>was</w:t>
      </w:r>
      <w:r>
        <w:rPr>
          <w:spacing w:val="67"/>
          <w:sz w:val="24"/>
        </w:rPr>
        <w:t> </w:t>
      </w:r>
      <w:r>
        <w:rPr>
          <w:sz w:val="24"/>
        </w:rPr>
        <w:t>regarded</w:t>
      </w:r>
      <w:r>
        <w:rPr>
          <w:spacing w:val="67"/>
          <w:sz w:val="24"/>
        </w:rPr>
        <w:t> </w:t>
      </w:r>
      <w:r>
        <w:rPr>
          <w:sz w:val="24"/>
        </w:rPr>
        <w:t>as</w:t>
      </w:r>
      <w:r>
        <w:rPr>
          <w:spacing w:val="67"/>
          <w:sz w:val="24"/>
        </w:rPr>
        <w:t> </w:t>
      </w:r>
      <w:r>
        <w:rPr>
          <w:sz w:val="24"/>
        </w:rPr>
        <w:t>not</w:t>
      </w:r>
      <w:r>
        <w:rPr>
          <w:spacing w:val="67"/>
          <w:sz w:val="24"/>
        </w:rPr>
        <w:t> </w:t>
      </w:r>
      <w:r>
        <w:rPr>
          <w:sz w:val="24"/>
        </w:rPr>
        <w:t>having</w:t>
      </w:r>
      <w:r>
        <w:rPr>
          <w:spacing w:val="67"/>
          <w:sz w:val="24"/>
        </w:rPr>
        <w:t> </w:t>
      </w:r>
      <w:r>
        <w:rPr>
          <w:sz w:val="24"/>
        </w:rPr>
        <w:t>completed</w:t>
      </w:r>
      <w:r>
        <w:rPr>
          <w:spacing w:val="67"/>
          <w:sz w:val="24"/>
        </w:rPr>
        <w:t> </w:t>
      </w:r>
      <w:r>
        <w:rPr>
          <w:sz w:val="24"/>
        </w:rPr>
        <w:t>the secondary school.</w:t>
      </w:r>
    </w:p>
    <w:p>
      <w:pPr>
        <w:pStyle w:val="BodyText"/>
        <w:spacing w:before="3"/>
      </w:pPr>
    </w:p>
    <w:p>
      <w:pPr>
        <w:pStyle w:val="BodyText"/>
        <w:spacing w:before="1"/>
        <w:ind w:left="159" w:right="497"/>
        <w:jc w:val="both"/>
      </w:pPr>
      <w:r>
        <w:rPr/>
        <w:t>In all other vocational courses, such as engineering and technology, medicine </w:t>
      </w:r>
      <w:r>
        <w:rPr/>
        <w:t>and veterinary science, agriculture and forestry, commerce, physical education, library science, co-operation, marine training, etc., the enrolment was regarded as being of the higher secondary stage or equivalent to Classes XI to XII. We realize that there is a small proportion</w:t>
      </w:r>
      <w:r>
        <w:rPr>
          <w:spacing w:val="32"/>
        </w:rPr>
        <w:t> </w:t>
      </w:r>
      <w:r>
        <w:rPr/>
        <w:t>of</w:t>
      </w:r>
      <w:r>
        <w:rPr>
          <w:spacing w:val="33"/>
        </w:rPr>
        <w:t> </w:t>
      </w:r>
      <w:r>
        <w:rPr/>
        <w:t>students</w:t>
      </w:r>
      <w:r>
        <w:rPr>
          <w:spacing w:val="33"/>
        </w:rPr>
        <w:t> </w:t>
      </w:r>
      <w:r>
        <w:rPr/>
        <w:t>in</w:t>
      </w:r>
      <w:r>
        <w:rPr>
          <w:spacing w:val="32"/>
        </w:rPr>
        <w:t> </w:t>
      </w:r>
      <w:r>
        <w:rPr/>
        <w:t>agriculture</w:t>
      </w:r>
      <w:r>
        <w:rPr>
          <w:spacing w:val="33"/>
        </w:rPr>
        <w:t> </w:t>
      </w:r>
      <w:r>
        <w:rPr/>
        <w:t>and</w:t>
      </w:r>
      <w:r>
        <w:rPr>
          <w:spacing w:val="33"/>
        </w:rPr>
        <w:t> </w:t>
      </w:r>
      <w:r>
        <w:rPr/>
        <w:t>medical</w:t>
      </w:r>
      <w:r>
        <w:rPr>
          <w:spacing w:val="32"/>
        </w:rPr>
        <w:t> </w:t>
      </w:r>
      <w:r>
        <w:rPr/>
        <w:t>schools</w:t>
      </w:r>
      <w:r>
        <w:rPr>
          <w:spacing w:val="33"/>
        </w:rPr>
        <w:t> </w:t>
      </w:r>
      <w:r>
        <w:rPr/>
        <w:t>who</w:t>
      </w:r>
      <w:r>
        <w:rPr>
          <w:spacing w:val="33"/>
        </w:rPr>
        <w:t> </w:t>
      </w:r>
      <w:r>
        <w:rPr/>
        <w:t>have</w:t>
      </w:r>
      <w:r>
        <w:rPr>
          <w:spacing w:val="32"/>
        </w:rPr>
        <w:t> </w:t>
      </w:r>
      <w:r>
        <w:rPr/>
        <w:t>not</w:t>
      </w:r>
      <w:r>
        <w:rPr>
          <w:spacing w:val="33"/>
        </w:rPr>
        <w:t> </w:t>
      </w:r>
      <w:r>
        <w:rPr/>
        <w:t>completed</w:t>
      </w:r>
      <w:r>
        <w:rPr>
          <w:spacing w:val="33"/>
        </w:rPr>
        <w:t> </w:t>
      </w:r>
      <w:r>
        <w:rPr>
          <w:spacing w:val="-5"/>
        </w:rPr>
        <w:t>the</w:t>
      </w:r>
    </w:p>
    <w:p>
      <w:pPr>
        <w:spacing w:after="0"/>
        <w:jc w:val="both"/>
        <w:sectPr>
          <w:pgSz w:w="12240" w:h="15840"/>
          <w:pgMar w:header="0" w:footer="743" w:top="1360" w:bottom="940" w:left="1640" w:right="1300"/>
        </w:sectPr>
      </w:pPr>
    </w:p>
    <w:p>
      <w:pPr>
        <w:pStyle w:val="BodyText"/>
        <w:spacing w:before="76"/>
        <w:ind w:left="160" w:right="495"/>
        <w:jc w:val="both"/>
      </w:pPr>
      <w:r>
        <w:rPr/>
        <w:t>secondary school. But we have assumed that this will be off-set by the enrolment of students who have completed the secondary school and joined courses of arts and crafts.</w:t>
      </w:r>
    </w:p>
    <w:p>
      <w:pPr>
        <w:pStyle w:val="BodyText"/>
        <w:spacing w:before="4"/>
      </w:pPr>
    </w:p>
    <w:p>
      <w:pPr>
        <w:pStyle w:val="BodyText"/>
        <w:ind w:left="160" w:right="493"/>
        <w:jc w:val="both"/>
      </w:pPr>
      <w:r>
        <w:rPr/>
        <w:t>AI.14.</w:t>
      </w:r>
      <w:r>
        <w:rPr>
          <w:spacing w:val="-1"/>
        </w:rPr>
        <w:t> </w:t>
      </w:r>
      <w:r>
        <w:rPr/>
        <w:t>The</w:t>
      </w:r>
      <w:r>
        <w:rPr>
          <w:spacing w:val="-1"/>
        </w:rPr>
        <w:t> </w:t>
      </w:r>
      <w:r>
        <w:rPr/>
        <w:t>enrolments</w:t>
      </w:r>
      <w:r>
        <w:rPr>
          <w:spacing w:val="-1"/>
        </w:rPr>
        <w:t> </w:t>
      </w:r>
      <w:r>
        <w:rPr/>
        <w:t>in</w:t>
      </w:r>
      <w:r>
        <w:rPr>
          <w:spacing w:val="-1"/>
        </w:rPr>
        <w:t> </w:t>
      </w:r>
      <w:r>
        <w:rPr/>
        <w:t>vocational</w:t>
      </w:r>
      <w:r>
        <w:rPr>
          <w:spacing w:val="-1"/>
        </w:rPr>
        <w:t> </w:t>
      </w:r>
      <w:r>
        <w:rPr/>
        <w:t>courses</w:t>
      </w:r>
      <w:r>
        <w:rPr>
          <w:spacing w:val="-1"/>
        </w:rPr>
        <w:t> </w:t>
      </w:r>
      <w:r>
        <w:rPr/>
        <w:t>retabulated</w:t>
      </w:r>
      <w:r>
        <w:rPr>
          <w:spacing w:val="-1"/>
        </w:rPr>
        <w:t> </w:t>
      </w:r>
      <w:r>
        <w:rPr/>
        <w:t>on</w:t>
      </w:r>
      <w:r>
        <w:rPr>
          <w:spacing w:val="-1"/>
        </w:rPr>
        <w:t> </w:t>
      </w:r>
      <w:r>
        <w:rPr/>
        <w:t>these</w:t>
      </w:r>
      <w:r>
        <w:rPr>
          <w:spacing w:val="-1"/>
        </w:rPr>
        <w:t> </w:t>
      </w:r>
      <w:r>
        <w:rPr/>
        <w:t>bases</w:t>
      </w:r>
      <w:r>
        <w:rPr>
          <w:spacing w:val="-1"/>
        </w:rPr>
        <w:t> </w:t>
      </w:r>
      <w:r>
        <w:rPr/>
        <w:t>are</w:t>
      </w:r>
      <w:r>
        <w:rPr>
          <w:spacing w:val="-1"/>
        </w:rPr>
        <w:t> </w:t>
      </w:r>
      <w:r>
        <w:rPr/>
        <w:t>given</w:t>
      </w:r>
      <w:r>
        <w:rPr>
          <w:spacing w:val="-1"/>
        </w:rPr>
        <w:t> </w:t>
      </w:r>
      <w:r>
        <w:rPr/>
        <w:t>in</w:t>
      </w:r>
      <w:r>
        <w:rPr>
          <w:spacing w:val="-1"/>
        </w:rPr>
        <w:t> </w:t>
      </w:r>
      <w:r>
        <w:rPr/>
        <w:t>Table </w:t>
      </w:r>
      <w:r>
        <w:rPr>
          <w:spacing w:val="-4"/>
        </w:rPr>
        <w:t>AI.9</w:t>
      </w:r>
    </w:p>
    <w:p>
      <w:pPr>
        <w:pStyle w:val="BodyText"/>
        <w:spacing w:before="5"/>
      </w:pPr>
    </w:p>
    <w:p>
      <w:pPr>
        <w:spacing w:before="0"/>
        <w:ind w:left="160" w:right="499" w:firstLine="0"/>
        <w:jc w:val="both"/>
        <w:rPr>
          <w:sz w:val="24"/>
        </w:rPr>
      </w:pPr>
      <w:r>
        <w:rPr>
          <w:b/>
          <w:sz w:val="24"/>
        </w:rPr>
        <w:t>AI.15. Professional Education at the University Stage. </w:t>
      </w:r>
      <w:r>
        <w:rPr>
          <w:sz w:val="24"/>
        </w:rPr>
        <w:t>In professional education at </w:t>
      </w:r>
      <w:r>
        <w:rPr>
          <w:sz w:val="24"/>
        </w:rPr>
        <w:t>the university stage, we divided the enrolments into three parts:</w:t>
      </w:r>
    </w:p>
    <w:p>
      <w:pPr>
        <w:pStyle w:val="BodyText"/>
        <w:spacing w:before="5"/>
      </w:pPr>
    </w:p>
    <w:p>
      <w:pPr>
        <w:pStyle w:val="ListParagraph"/>
        <w:numPr>
          <w:ilvl w:val="0"/>
          <w:numId w:val="143"/>
        </w:numPr>
        <w:tabs>
          <w:tab w:pos="446" w:val="left" w:leader="none"/>
        </w:tabs>
        <w:spacing w:line="240" w:lineRule="auto" w:before="0" w:after="0"/>
        <w:ind w:left="446" w:right="0" w:hanging="286"/>
        <w:jc w:val="left"/>
        <w:rPr>
          <w:sz w:val="24"/>
        </w:rPr>
      </w:pPr>
      <w:r>
        <w:rPr>
          <w:sz w:val="24"/>
        </w:rPr>
        <w:t>Enrolments</w:t>
      </w:r>
      <w:r>
        <w:rPr>
          <w:spacing w:val="-1"/>
          <w:sz w:val="24"/>
        </w:rPr>
        <w:t> </w:t>
      </w:r>
      <w:r>
        <w:rPr>
          <w:sz w:val="24"/>
        </w:rPr>
        <w:t>corresponding</w:t>
      </w:r>
      <w:r>
        <w:rPr>
          <w:spacing w:val="-1"/>
          <w:sz w:val="24"/>
        </w:rPr>
        <w:t> </w:t>
      </w:r>
      <w:r>
        <w:rPr>
          <w:sz w:val="24"/>
        </w:rPr>
        <w:t>to</w:t>
      </w:r>
      <w:r>
        <w:rPr>
          <w:spacing w:val="-2"/>
          <w:sz w:val="24"/>
        </w:rPr>
        <w:t> </w:t>
      </w:r>
      <w:r>
        <w:rPr>
          <w:sz w:val="24"/>
        </w:rPr>
        <w:t>the</w:t>
      </w:r>
      <w:r>
        <w:rPr>
          <w:spacing w:val="-1"/>
          <w:sz w:val="24"/>
        </w:rPr>
        <w:t> </w:t>
      </w:r>
      <w:r>
        <w:rPr>
          <w:sz w:val="24"/>
        </w:rPr>
        <w:t>higher</w:t>
      </w:r>
      <w:r>
        <w:rPr>
          <w:spacing w:val="-2"/>
          <w:sz w:val="24"/>
        </w:rPr>
        <w:t> </w:t>
      </w:r>
      <w:r>
        <w:rPr>
          <w:sz w:val="24"/>
        </w:rPr>
        <w:t>secondary</w:t>
      </w:r>
      <w:r>
        <w:rPr>
          <w:spacing w:val="-2"/>
          <w:sz w:val="24"/>
        </w:rPr>
        <w:t> </w:t>
      </w:r>
      <w:r>
        <w:rPr>
          <w:sz w:val="24"/>
        </w:rPr>
        <w:t>stage</w:t>
      </w:r>
      <w:r>
        <w:rPr>
          <w:spacing w:val="-2"/>
          <w:sz w:val="24"/>
        </w:rPr>
        <w:t> </w:t>
      </w:r>
      <w:r>
        <w:rPr>
          <w:sz w:val="24"/>
        </w:rPr>
        <w:t>or Classes</w:t>
      </w:r>
      <w:r>
        <w:rPr>
          <w:spacing w:val="-1"/>
          <w:sz w:val="24"/>
        </w:rPr>
        <w:t> </w:t>
      </w:r>
      <w:r>
        <w:rPr>
          <w:sz w:val="24"/>
        </w:rPr>
        <w:t>XI</w:t>
      </w:r>
      <w:r>
        <w:rPr>
          <w:spacing w:val="-1"/>
          <w:sz w:val="24"/>
        </w:rPr>
        <w:t> </w:t>
      </w:r>
      <w:r>
        <w:rPr>
          <w:sz w:val="24"/>
        </w:rPr>
        <w:t>and </w:t>
      </w:r>
      <w:r>
        <w:rPr>
          <w:spacing w:val="-4"/>
          <w:sz w:val="24"/>
        </w:rPr>
        <w:t>XII;</w:t>
      </w:r>
    </w:p>
    <w:p>
      <w:pPr>
        <w:pStyle w:val="BodyText"/>
        <w:spacing w:before="3"/>
      </w:pPr>
    </w:p>
    <w:p>
      <w:pPr>
        <w:pStyle w:val="ListParagraph"/>
        <w:numPr>
          <w:ilvl w:val="0"/>
          <w:numId w:val="143"/>
        </w:numPr>
        <w:tabs>
          <w:tab w:pos="513" w:val="left" w:leader="none"/>
        </w:tabs>
        <w:spacing w:line="240" w:lineRule="auto" w:before="0" w:after="0"/>
        <w:ind w:left="513" w:right="0" w:hanging="353"/>
        <w:jc w:val="left"/>
        <w:rPr>
          <w:sz w:val="24"/>
        </w:rPr>
      </w:pPr>
      <w:r>
        <w:rPr>
          <w:sz w:val="24"/>
        </w:rPr>
        <w:t>Enrolments</w:t>
      </w:r>
      <w:r>
        <w:rPr>
          <w:spacing w:val="-1"/>
          <w:sz w:val="24"/>
        </w:rPr>
        <w:t> </w:t>
      </w:r>
      <w:r>
        <w:rPr>
          <w:sz w:val="24"/>
        </w:rPr>
        <w:t>for the first degree</w:t>
      </w:r>
      <w:r>
        <w:rPr>
          <w:spacing w:val="-1"/>
          <w:sz w:val="24"/>
        </w:rPr>
        <w:t> </w:t>
      </w:r>
      <w:r>
        <w:rPr>
          <w:sz w:val="24"/>
        </w:rPr>
        <w:t>or the undergraduate stage; </w:t>
      </w:r>
      <w:r>
        <w:rPr>
          <w:spacing w:val="-5"/>
          <w:sz w:val="24"/>
        </w:rPr>
        <w:t>and</w:t>
      </w:r>
    </w:p>
    <w:p>
      <w:pPr>
        <w:pStyle w:val="BodyText"/>
        <w:spacing w:before="5"/>
      </w:pPr>
    </w:p>
    <w:p>
      <w:pPr>
        <w:pStyle w:val="ListParagraph"/>
        <w:numPr>
          <w:ilvl w:val="0"/>
          <w:numId w:val="143"/>
        </w:numPr>
        <w:tabs>
          <w:tab w:pos="578" w:val="left" w:leader="none"/>
        </w:tabs>
        <w:spacing w:line="240" w:lineRule="auto" w:before="0" w:after="0"/>
        <w:ind w:left="578" w:right="0" w:hanging="418"/>
        <w:jc w:val="left"/>
        <w:rPr>
          <w:sz w:val="24"/>
        </w:rPr>
      </w:pPr>
      <w:r>
        <w:rPr>
          <w:sz w:val="24"/>
        </w:rPr>
        <w:t>Enrolments</w:t>
      </w:r>
      <w:r>
        <w:rPr>
          <w:spacing w:val="-4"/>
          <w:sz w:val="24"/>
        </w:rPr>
        <w:t> </w:t>
      </w:r>
      <w:r>
        <w:rPr>
          <w:sz w:val="24"/>
        </w:rPr>
        <w:t>for</w:t>
      </w:r>
      <w:r>
        <w:rPr>
          <w:spacing w:val="-3"/>
          <w:sz w:val="24"/>
        </w:rPr>
        <w:t> </w:t>
      </w:r>
      <w:r>
        <w:rPr>
          <w:sz w:val="24"/>
        </w:rPr>
        <w:t>the</w:t>
      </w:r>
      <w:r>
        <w:rPr>
          <w:spacing w:val="-3"/>
          <w:sz w:val="24"/>
        </w:rPr>
        <w:t> </w:t>
      </w:r>
      <w:r>
        <w:rPr>
          <w:sz w:val="24"/>
        </w:rPr>
        <w:t>second</w:t>
      </w:r>
      <w:r>
        <w:rPr>
          <w:spacing w:val="-3"/>
          <w:sz w:val="24"/>
        </w:rPr>
        <w:t> </w:t>
      </w:r>
      <w:r>
        <w:rPr>
          <w:sz w:val="24"/>
        </w:rPr>
        <w:t>degree</w:t>
      </w:r>
      <w:r>
        <w:rPr>
          <w:spacing w:val="-4"/>
          <w:sz w:val="24"/>
        </w:rPr>
        <w:t> </w:t>
      </w:r>
      <w:r>
        <w:rPr>
          <w:sz w:val="24"/>
        </w:rPr>
        <w:t>or</w:t>
      </w:r>
      <w:r>
        <w:rPr>
          <w:spacing w:val="-3"/>
          <w:sz w:val="24"/>
        </w:rPr>
        <w:t> </w:t>
      </w:r>
      <w:r>
        <w:rPr>
          <w:sz w:val="24"/>
        </w:rPr>
        <w:t>the</w:t>
      </w:r>
      <w:r>
        <w:rPr>
          <w:spacing w:val="-3"/>
          <w:sz w:val="24"/>
        </w:rPr>
        <w:t> </w:t>
      </w:r>
      <w:r>
        <w:rPr>
          <w:sz w:val="24"/>
        </w:rPr>
        <w:t>postgraduate</w:t>
      </w:r>
      <w:r>
        <w:rPr>
          <w:spacing w:val="-3"/>
          <w:sz w:val="24"/>
        </w:rPr>
        <w:t> </w:t>
      </w:r>
      <w:r>
        <w:rPr>
          <w:spacing w:val="-2"/>
          <w:sz w:val="24"/>
        </w:rPr>
        <w:t>stage.</w:t>
      </w:r>
    </w:p>
    <w:p>
      <w:pPr>
        <w:pStyle w:val="BodyText"/>
        <w:spacing w:before="5"/>
      </w:pPr>
    </w:p>
    <w:p>
      <w:pPr>
        <w:pStyle w:val="Heading2"/>
        <w:ind w:right="498"/>
        <w:jc w:val="both"/>
      </w:pPr>
      <w:r>
        <w:rPr/>
        <w:t>Enrolments corresponding to those at the higher secondary stage (Classes XI and </w:t>
      </w:r>
      <w:r>
        <w:rPr>
          <w:spacing w:val="-4"/>
        </w:rPr>
        <w:t>XII)</w:t>
      </w:r>
    </w:p>
    <w:p>
      <w:pPr>
        <w:pStyle w:val="BodyText"/>
        <w:spacing w:before="1"/>
        <w:rPr>
          <w:b/>
        </w:rPr>
      </w:pPr>
    </w:p>
    <w:p>
      <w:pPr>
        <w:pStyle w:val="BodyText"/>
        <w:ind w:left="160" w:right="494"/>
        <w:jc w:val="both"/>
      </w:pPr>
      <w:r>
        <w:rPr/>
        <w:t>In the statistics of enrolments in training colleges, the enrolments of graduates preparing for the B.T. or B.Ed. degree are mixed up with those of matriculates undergoing a one or two</w:t>
      </w:r>
      <w:r>
        <w:rPr>
          <w:spacing w:val="-1"/>
        </w:rPr>
        <w:t> </w:t>
      </w:r>
      <w:r>
        <w:rPr/>
        <w:t>year</w:t>
      </w:r>
      <w:r>
        <w:rPr>
          <w:spacing w:val="-1"/>
        </w:rPr>
        <w:t> </w:t>
      </w:r>
      <w:r>
        <w:rPr/>
        <w:t>course.</w:t>
      </w:r>
      <w:r>
        <w:rPr>
          <w:spacing w:val="-1"/>
        </w:rPr>
        <w:t> </w:t>
      </w:r>
      <w:r>
        <w:rPr/>
        <w:t>The</w:t>
      </w:r>
      <w:r>
        <w:rPr>
          <w:spacing w:val="-1"/>
        </w:rPr>
        <w:t> </w:t>
      </w:r>
      <w:r>
        <w:rPr/>
        <w:t>enrolments</w:t>
      </w:r>
      <w:r>
        <w:rPr>
          <w:spacing w:val="-1"/>
        </w:rPr>
        <w:t> </w:t>
      </w:r>
      <w:r>
        <w:rPr/>
        <w:t>in</w:t>
      </w:r>
      <w:r>
        <w:rPr>
          <w:spacing w:val="-1"/>
        </w:rPr>
        <w:t> </w:t>
      </w:r>
      <w:r>
        <w:rPr/>
        <w:t>the</w:t>
      </w:r>
      <w:r>
        <w:rPr>
          <w:spacing w:val="-1"/>
        </w:rPr>
        <w:t> </w:t>
      </w:r>
      <w:r>
        <w:rPr/>
        <w:t>B.T.</w:t>
      </w:r>
      <w:r>
        <w:rPr>
          <w:spacing w:val="-1"/>
        </w:rPr>
        <w:t> </w:t>
      </w:r>
      <w:r>
        <w:rPr/>
        <w:t>or</w:t>
      </w:r>
      <w:r>
        <w:rPr>
          <w:spacing w:val="-5"/>
        </w:rPr>
        <w:t> </w:t>
      </w:r>
      <w:r>
        <w:rPr/>
        <w:t>B.Ed.</w:t>
      </w:r>
      <w:r>
        <w:rPr>
          <w:spacing w:val="-1"/>
        </w:rPr>
        <w:t> </w:t>
      </w:r>
      <w:r>
        <w:rPr/>
        <w:t>class</w:t>
      </w:r>
      <w:r>
        <w:rPr>
          <w:spacing w:val="-1"/>
        </w:rPr>
        <w:t> </w:t>
      </w:r>
      <w:r>
        <w:rPr/>
        <w:t>are</w:t>
      </w:r>
      <w:r>
        <w:rPr>
          <w:spacing w:val="-1"/>
        </w:rPr>
        <w:t> </w:t>
      </w:r>
      <w:r>
        <w:rPr/>
        <w:t>also</w:t>
      </w:r>
      <w:r>
        <w:rPr>
          <w:spacing w:val="-1"/>
        </w:rPr>
        <w:t> </w:t>
      </w:r>
      <w:r>
        <w:rPr/>
        <w:t>separately</w:t>
      </w:r>
      <w:r>
        <w:rPr>
          <w:spacing w:val="-1"/>
        </w:rPr>
        <w:t> </w:t>
      </w:r>
      <w:r>
        <w:rPr/>
        <w:t>available</w:t>
      </w:r>
      <w:r>
        <w:rPr>
          <w:spacing w:val="-1"/>
        </w:rPr>
        <w:t> </w:t>
      </w:r>
      <w:r>
        <w:rPr/>
        <w:t>in the publication, Education in Universities</w:t>
      </w:r>
      <w:r>
        <w:rPr>
          <w:spacing w:val="-1"/>
        </w:rPr>
        <w:t> </w:t>
      </w:r>
      <w:r>
        <w:rPr/>
        <w:t>issued</w:t>
      </w:r>
      <w:r>
        <w:rPr>
          <w:spacing w:val="-1"/>
        </w:rPr>
        <w:t> </w:t>
      </w:r>
      <w:r>
        <w:rPr/>
        <w:t>by</w:t>
      </w:r>
      <w:r>
        <w:rPr>
          <w:spacing w:val="-1"/>
        </w:rPr>
        <w:t> </w:t>
      </w:r>
      <w:r>
        <w:rPr/>
        <w:t>the</w:t>
      </w:r>
      <w:r>
        <w:rPr>
          <w:spacing w:val="-1"/>
        </w:rPr>
        <w:t> </w:t>
      </w:r>
      <w:r>
        <w:rPr/>
        <w:t>Ministry of Education. Deducting these, after making adjustments for certain relevant factors, we estimated the enrolments of students in the training colleges who have completed the secondary school stage only. These have been shown as belonging to the higher secondary stage.</w:t>
      </w:r>
    </w:p>
    <w:p>
      <w:pPr>
        <w:pStyle w:val="BodyText"/>
        <w:spacing w:before="4"/>
      </w:pPr>
    </w:p>
    <w:p>
      <w:pPr>
        <w:pStyle w:val="BodyText"/>
        <w:ind w:left="160" w:right="496"/>
        <w:jc w:val="both"/>
      </w:pPr>
      <w:r>
        <w:rPr/>
        <w:t>Similarly the enrolments for Intermediate Science (Agriculture) have been estimated and shown as vocational education at the school stage corresponding to Classes XI and XII.</w:t>
      </w:r>
    </w:p>
    <w:p>
      <w:pPr>
        <w:pStyle w:val="BodyText"/>
        <w:spacing w:before="5"/>
      </w:pPr>
    </w:p>
    <w:p>
      <w:pPr>
        <w:pStyle w:val="BodyText"/>
        <w:ind w:left="160" w:right="498"/>
        <w:jc w:val="both"/>
      </w:pPr>
      <w:r>
        <w:rPr/>
        <w:t>In the same way we have estimated the enrolments in Intermediate (Commerce) and as pointed out earlier these have been shown under general education at the higher secondary stage.</w:t>
      </w:r>
    </w:p>
    <w:p>
      <w:pPr>
        <w:pStyle w:val="BodyText"/>
        <w:spacing w:before="4"/>
      </w:pPr>
    </w:p>
    <w:p>
      <w:pPr>
        <w:pStyle w:val="BodyText"/>
        <w:ind w:left="160" w:right="497"/>
        <w:jc w:val="both"/>
      </w:pPr>
      <w:r>
        <w:rPr/>
        <w:t>All the remaining enrolments in the professional courses in higher education were</w:t>
      </w:r>
      <w:r>
        <w:rPr>
          <w:spacing w:val="40"/>
        </w:rPr>
        <w:t> </w:t>
      </w:r>
      <w:r>
        <w:rPr/>
        <w:t>divided into two categories: enrolments at the first degree stage (or undergraduate) and enrolments at the second and research degrees (or postgraduate).</w:t>
      </w:r>
    </w:p>
    <w:p>
      <w:pPr>
        <w:pStyle w:val="BodyText"/>
        <w:spacing w:before="3"/>
      </w:pPr>
    </w:p>
    <w:p>
      <w:pPr>
        <w:pStyle w:val="BodyText"/>
        <w:spacing w:before="1"/>
        <w:ind w:left="160" w:right="497"/>
        <w:jc w:val="both"/>
      </w:pPr>
      <w:r>
        <w:rPr/>
        <w:t>AI.16. The retabulated enrolments on the above assumptions have been shown in Table Al. 10.</w:t>
      </w:r>
    </w:p>
    <w:p>
      <w:pPr>
        <w:pStyle w:val="BodyText"/>
        <w:spacing w:before="3"/>
      </w:pPr>
    </w:p>
    <w:p>
      <w:pPr>
        <w:pStyle w:val="BodyText"/>
        <w:ind w:left="160" w:right="497"/>
        <w:jc w:val="both"/>
      </w:pPr>
      <w:r>
        <w:rPr>
          <w:b/>
        </w:rPr>
        <w:t>AI.17. Total Enrolments. </w:t>
      </w:r>
      <w:r>
        <w:rPr/>
        <w:t>The total enrolments in the educational system as a whole, re- tabulated on the lines indicated above, are given in Table Al. 11. In this context the following points may be noted:</w:t>
      </w:r>
    </w:p>
    <w:p>
      <w:pPr>
        <w:pStyle w:val="BodyText"/>
        <w:spacing w:before="5"/>
      </w:pPr>
    </w:p>
    <w:p>
      <w:pPr>
        <w:pStyle w:val="ListParagraph"/>
        <w:numPr>
          <w:ilvl w:val="0"/>
          <w:numId w:val="144"/>
        </w:numPr>
        <w:tabs>
          <w:tab w:pos="518" w:val="left" w:leader="none"/>
        </w:tabs>
        <w:spacing w:line="240" w:lineRule="auto" w:before="0" w:after="0"/>
        <w:ind w:left="160" w:right="498" w:firstLine="0"/>
        <w:jc w:val="left"/>
        <w:rPr>
          <w:sz w:val="24"/>
        </w:rPr>
      </w:pPr>
      <w:r>
        <w:rPr>
          <w:sz w:val="24"/>
        </w:rPr>
        <w:t>Enrolments</w:t>
      </w:r>
      <w:r>
        <w:rPr>
          <w:spacing w:val="40"/>
          <w:sz w:val="24"/>
        </w:rPr>
        <w:t> </w:t>
      </w:r>
      <w:r>
        <w:rPr>
          <w:sz w:val="24"/>
        </w:rPr>
        <w:t>in</w:t>
      </w:r>
      <w:r>
        <w:rPr>
          <w:spacing w:val="40"/>
          <w:sz w:val="24"/>
        </w:rPr>
        <w:t> </w:t>
      </w:r>
      <w:r>
        <w:rPr>
          <w:sz w:val="24"/>
        </w:rPr>
        <w:t>vocational</w:t>
      </w:r>
      <w:r>
        <w:rPr>
          <w:spacing w:val="40"/>
          <w:sz w:val="24"/>
        </w:rPr>
        <w:t> </w:t>
      </w:r>
      <w:r>
        <w:rPr>
          <w:sz w:val="24"/>
        </w:rPr>
        <w:t>education</w:t>
      </w:r>
      <w:r>
        <w:rPr>
          <w:spacing w:val="40"/>
          <w:sz w:val="24"/>
        </w:rPr>
        <w:t> </w:t>
      </w:r>
      <w:r>
        <w:rPr>
          <w:sz w:val="24"/>
        </w:rPr>
        <w:t>corresponding</w:t>
      </w:r>
      <w:r>
        <w:rPr>
          <w:spacing w:val="40"/>
          <w:sz w:val="24"/>
        </w:rPr>
        <w:t> </w:t>
      </w:r>
      <w:r>
        <w:rPr>
          <w:sz w:val="24"/>
        </w:rPr>
        <w:t>to</w:t>
      </w:r>
      <w:r>
        <w:rPr>
          <w:spacing w:val="40"/>
          <w:sz w:val="24"/>
        </w:rPr>
        <w:t> </w:t>
      </w:r>
      <w:r>
        <w:rPr>
          <w:sz w:val="24"/>
        </w:rPr>
        <w:t>the</w:t>
      </w:r>
      <w:r>
        <w:rPr>
          <w:spacing w:val="40"/>
          <w:sz w:val="24"/>
        </w:rPr>
        <w:t> </w:t>
      </w:r>
      <w:r>
        <w:rPr>
          <w:sz w:val="24"/>
        </w:rPr>
        <w:t>lower</w:t>
      </w:r>
      <w:r>
        <w:rPr>
          <w:spacing w:val="40"/>
          <w:sz w:val="24"/>
        </w:rPr>
        <w:t> </w:t>
      </w:r>
      <w:r>
        <w:rPr>
          <w:sz w:val="24"/>
        </w:rPr>
        <w:t>secondary</w:t>
      </w:r>
      <w:r>
        <w:rPr>
          <w:spacing w:val="40"/>
          <w:sz w:val="24"/>
        </w:rPr>
        <w:t> </w:t>
      </w:r>
      <w:r>
        <w:rPr>
          <w:sz w:val="24"/>
        </w:rPr>
        <w:t>stage</w:t>
      </w:r>
      <w:r>
        <w:rPr>
          <w:spacing w:val="40"/>
          <w:sz w:val="24"/>
        </w:rPr>
        <w:t> </w:t>
      </w:r>
      <w:r>
        <w:rPr>
          <w:sz w:val="24"/>
        </w:rPr>
        <w:t>(Classes VIII-X) have been taken from the school portion in Table Al. 9.</w:t>
      </w:r>
    </w:p>
    <w:p>
      <w:pPr>
        <w:spacing w:after="0" w:line="240" w:lineRule="auto"/>
        <w:jc w:val="left"/>
        <w:rPr>
          <w:sz w:val="24"/>
        </w:rPr>
        <w:sectPr>
          <w:pgSz w:w="12240" w:h="15840"/>
          <w:pgMar w:header="0" w:footer="743" w:top="1360" w:bottom="940" w:left="1640" w:right="1300"/>
        </w:sectPr>
      </w:pPr>
    </w:p>
    <w:p>
      <w:pPr>
        <w:pStyle w:val="ListParagraph"/>
        <w:numPr>
          <w:ilvl w:val="0"/>
          <w:numId w:val="144"/>
        </w:numPr>
        <w:tabs>
          <w:tab w:pos="571" w:val="left" w:leader="none"/>
        </w:tabs>
        <w:spacing w:line="240" w:lineRule="auto" w:before="76" w:after="0"/>
        <w:ind w:left="160" w:right="498" w:firstLine="0"/>
        <w:jc w:val="left"/>
        <w:rPr>
          <w:sz w:val="24"/>
        </w:rPr>
      </w:pPr>
      <w:r>
        <w:rPr>
          <w:sz w:val="24"/>
        </w:rPr>
        <w:t>Enrolments</w:t>
      </w:r>
      <w:r>
        <w:rPr>
          <w:spacing w:val="40"/>
          <w:sz w:val="24"/>
        </w:rPr>
        <w:t> </w:t>
      </w:r>
      <w:r>
        <w:rPr>
          <w:sz w:val="24"/>
        </w:rPr>
        <w:t>in</w:t>
      </w:r>
      <w:r>
        <w:rPr>
          <w:spacing w:val="40"/>
          <w:sz w:val="24"/>
        </w:rPr>
        <w:t> </w:t>
      </w:r>
      <w:r>
        <w:rPr>
          <w:sz w:val="24"/>
        </w:rPr>
        <w:t>vocational</w:t>
      </w:r>
      <w:r>
        <w:rPr>
          <w:spacing w:val="40"/>
          <w:sz w:val="24"/>
        </w:rPr>
        <w:t> </w:t>
      </w:r>
      <w:r>
        <w:rPr>
          <w:sz w:val="24"/>
        </w:rPr>
        <w:t>education</w:t>
      </w:r>
      <w:r>
        <w:rPr>
          <w:spacing w:val="40"/>
          <w:sz w:val="24"/>
        </w:rPr>
        <w:t> </w:t>
      </w:r>
      <w:r>
        <w:rPr>
          <w:sz w:val="24"/>
        </w:rPr>
        <w:t>corresponding</w:t>
      </w:r>
      <w:r>
        <w:rPr>
          <w:spacing w:val="40"/>
          <w:sz w:val="24"/>
        </w:rPr>
        <w:t> </w:t>
      </w:r>
      <w:r>
        <w:rPr>
          <w:sz w:val="24"/>
        </w:rPr>
        <w:t>to</w:t>
      </w:r>
      <w:r>
        <w:rPr>
          <w:spacing w:val="40"/>
          <w:sz w:val="24"/>
        </w:rPr>
        <w:t> </w:t>
      </w:r>
      <w:r>
        <w:rPr>
          <w:sz w:val="24"/>
        </w:rPr>
        <w:t>the</w:t>
      </w:r>
      <w:r>
        <w:rPr>
          <w:spacing w:val="40"/>
          <w:sz w:val="24"/>
        </w:rPr>
        <w:t> </w:t>
      </w:r>
      <w:r>
        <w:rPr>
          <w:sz w:val="24"/>
        </w:rPr>
        <w:t>higher</w:t>
      </w:r>
      <w:r>
        <w:rPr>
          <w:spacing w:val="40"/>
          <w:sz w:val="24"/>
        </w:rPr>
        <w:t> </w:t>
      </w:r>
      <w:r>
        <w:rPr>
          <w:sz w:val="24"/>
        </w:rPr>
        <w:t>secondary</w:t>
      </w:r>
      <w:r>
        <w:rPr>
          <w:spacing w:val="40"/>
          <w:sz w:val="24"/>
        </w:rPr>
        <w:t> </w:t>
      </w:r>
      <w:r>
        <w:rPr>
          <w:sz w:val="24"/>
        </w:rPr>
        <w:t>stage (Classes XI-XII) have been taken from Tables Al. 9 and AI. 10.</w:t>
      </w:r>
    </w:p>
    <w:p>
      <w:pPr>
        <w:pStyle w:val="BodyText"/>
        <w:spacing w:before="4"/>
      </w:pPr>
    </w:p>
    <w:p>
      <w:pPr>
        <w:pStyle w:val="ListParagraph"/>
        <w:numPr>
          <w:ilvl w:val="0"/>
          <w:numId w:val="144"/>
        </w:numPr>
        <w:tabs>
          <w:tab w:pos="639" w:val="left" w:leader="none"/>
        </w:tabs>
        <w:spacing w:line="240" w:lineRule="auto" w:before="0" w:after="0"/>
        <w:ind w:left="160" w:right="496" w:firstLine="0"/>
        <w:jc w:val="left"/>
        <w:rPr>
          <w:sz w:val="24"/>
        </w:rPr>
      </w:pPr>
      <w:r>
        <w:rPr>
          <w:sz w:val="24"/>
        </w:rPr>
        <w:t>No</w:t>
      </w:r>
      <w:r>
        <w:rPr>
          <w:spacing w:val="40"/>
          <w:sz w:val="24"/>
        </w:rPr>
        <w:t> </w:t>
      </w:r>
      <w:r>
        <w:rPr>
          <w:sz w:val="24"/>
        </w:rPr>
        <w:t>attempt</w:t>
      </w:r>
      <w:r>
        <w:rPr>
          <w:spacing w:val="40"/>
          <w:sz w:val="24"/>
        </w:rPr>
        <w:t> </w:t>
      </w:r>
      <w:r>
        <w:rPr>
          <w:sz w:val="24"/>
        </w:rPr>
        <w:t>has</w:t>
      </w:r>
      <w:r>
        <w:rPr>
          <w:spacing w:val="40"/>
          <w:sz w:val="24"/>
        </w:rPr>
        <w:t> </w:t>
      </w:r>
      <w:r>
        <w:rPr>
          <w:sz w:val="24"/>
        </w:rPr>
        <w:t>been</w:t>
      </w:r>
      <w:r>
        <w:rPr>
          <w:spacing w:val="40"/>
          <w:sz w:val="24"/>
        </w:rPr>
        <w:t> </w:t>
      </w:r>
      <w:r>
        <w:rPr>
          <w:sz w:val="24"/>
        </w:rPr>
        <w:t>made</w:t>
      </w:r>
      <w:r>
        <w:rPr>
          <w:spacing w:val="40"/>
          <w:sz w:val="24"/>
        </w:rPr>
        <w:t> </w:t>
      </w:r>
      <w:r>
        <w:rPr>
          <w:sz w:val="24"/>
        </w:rPr>
        <w:t>to</w:t>
      </w:r>
      <w:r>
        <w:rPr>
          <w:spacing w:val="40"/>
          <w:sz w:val="24"/>
        </w:rPr>
        <w:t> </w:t>
      </w:r>
      <w:r>
        <w:rPr>
          <w:sz w:val="24"/>
        </w:rPr>
        <w:t>retabulate</w:t>
      </w:r>
      <w:r>
        <w:rPr>
          <w:spacing w:val="40"/>
          <w:sz w:val="24"/>
        </w:rPr>
        <w:t> </w:t>
      </w:r>
      <w:r>
        <w:rPr>
          <w:sz w:val="24"/>
        </w:rPr>
        <w:t>the</w:t>
      </w:r>
      <w:r>
        <w:rPr>
          <w:spacing w:val="40"/>
          <w:sz w:val="24"/>
        </w:rPr>
        <w:t> </w:t>
      </w:r>
      <w:r>
        <w:rPr>
          <w:sz w:val="24"/>
        </w:rPr>
        <w:t>enrolments</w:t>
      </w:r>
      <w:r>
        <w:rPr>
          <w:spacing w:val="40"/>
          <w:sz w:val="24"/>
        </w:rPr>
        <w:t> </w:t>
      </w:r>
      <w:r>
        <w:rPr>
          <w:sz w:val="24"/>
        </w:rPr>
        <w:t>in</w:t>
      </w:r>
      <w:r>
        <w:rPr>
          <w:spacing w:val="40"/>
          <w:sz w:val="24"/>
        </w:rPr>
        <w:t> </w:t>
      </w:r>
      <w:r>
        <w:rPr>
          <w:sz w:val="24"/>
        </w:rPr>
        <w:t>special</w:t>
      </w:r>
      <w:r>
        <w:rPr>
          <w:spacing w:val="40"/>
          <w:sz w:val="24"/>
        </w:rPr>
        <w:t> </w:t>
      </w:r>
      <w:r>
        <w:rPr>
          <w:sz w:val="24"/>
        </w:rPr>
        <w:t>schools</w:t>
      </w:r>
      <w:r>
        <w:rPr>
          <w:spacing w:val="40"/>
          <w:sz w:val="24"/>
        </w:rPr>
        <w:t> </w:t>
      </w:r>
      <w:r>
        <w:rPr>
          <w:sz w:val="24"/>
        </w:rPr>
        <w:t>and</w:t>
      </w:r>
      <w:r>
        <w:rPr>
          <w:spacing w:val="40"/>
          <w:sz w:val="24"/>
        </w:rPr>
        <w:t> </w:t>
      </w:r>
      <w:r>
        <w:rPr>
          <w:sz w:val="24"/>
        </w:rPr>
        <w:t>colleges. These have been reproduced from</w:t>
      </w:r>
      <w:r>
        <w:rPr>
          <w:spacing w:val="-2"/>
          <w:sz w:val="24"/>
        </w:rPr>
        <w:t> </w:t>
      </w:r>
      <w:r>
        <w:rPr>
          <w:sz w:val="24"/>
        </w:rPr>
        <w:t>the</w:t>
      </w:r>
      <w:r>
        <w:rPr>
          <w:spacing w:val="-2"/>
          <w:sz w:val="24"/>
        </w:rPr>
        <w:t> </w:t>
      </w:r>
      <w:r>
        <w:rPr>
          <w:sz w:val="24"/>
        </w:rPr>
        <w:t>publications</w:t>
      </w:r>
      <w:r>
        <w:rPr>
          <w:spacing w:val="-1"/>
          <w:sz w:val="24"/>
        </w:rPr>
        <w:t> </w:t>
      </w:r>
      <w:r>
        <w:rPr>
          <w:sz w:val="24"/>
        </w:rPr>
        <w:t>of</w:t>
      </w:r>
      <w:r>
        <w:rPr>
          <w:spacing w:val="-1"/>
          <w:sz w:val="24"/>
        </w:rPr>
        <w:t> </w:t>
      </w:r>
      <w:r>
        <w:rPr>
          <w:sz w:val="24"/>
        </w:rPr>
        <w:t>the</w:t>
      </w:r>
      <w:r>
        <w:rPr>
          <w:spacing w:val="-1"/>
          <w:sz w:val="24"/>
        </w:rPr>
        <w:t> </w:t>
      </w:r>
      <w:r>
        <w:rPr>
          <w:sz w:val="24"/>
        </w:rPr>
        <w:t>Ministry</w:t>
      </w:r>
      <w:r>
        <w:rPr>
          <w:spacing w:val="-1"/>
          <w:sz w:val="24"/>
        </w:rPr>
        <w:t> </w:t>
      </w:r>
      <w:r>
        <w:rPr>
          <w:sz w:val="24"/>
        </w:rPr>
        <w:t>of</w:t>
      </w:r>
      <w:r>
        <w:rPr>
          <w:spacing w:val="-1"/>
          <w:sz w:val="24"/>
        </w:rPr>
        <w:t> </w:t>
      </w:r>
      <w:r>
        <w:rPr>
          <w:sz w:val="24"/>
        </w:rPr>
        <w:t>Education.</w:t>
      </w:r>
    </w:p>
    <w:p>
      <w:pPr>
        <w:pStyle w:val="BodyText"/>
        <w:spacing w:before="5"/>
      </w:pPr>
    </w:p>
    <w:p>
      <w:pPr>
        <w:pStyle w:val="BodyText"/>
        <w:ind w:left="160" w:right="497"/>
        <w:jc w:val="both"/>
      </w:pPr>
      <w:r>
        <w:rPr>
          <w:b/>
        </w:rPr>
        <w:t>AI.18. Enrolment Statistics published by the Ministry of Education. </w:t>
      </w:r>
      <w:r>
        <w:rPr/>
        <w:t>The enrolment statistics published by the Ministry of Education adopt a different system of equivalence at the school stage. They start by equating the lowest classes with one another, i.e. Infant 'A' in Assam, Class I in a State like Maharashtra with 11-year school system and also Class</w:t>
      </w:r>
      <w:r>
        <w:rPr>
          <w:spacing w:val="-2"/>
        </w:rPr>
        <w:t> </w:t>
      </w:r>
      <w:r>
        <w:rPr/>
        <w:t>I</w:t>
      </w:r>
      <w:r>
        <w:rPr>
          <w:spacing w:val="-2"/>
        </w:rPr>
        <w:t> </w:t>
      </w:r>
      <w:r>
        <w:rPr/>
        <w:t>in</w:t>
      </w:r>
      <w:r>
        <w:rPr>
          <w:spacing w:val="-2"/>
        </w:rPr>
        <w:t> </w:t>
      </w:r>
      <w:r>
        <w:rPr/>
        <w:t>a</w:t>
      </w:r>
      <w:r>
        <w:rPr>
          <w:spacing w:val="-2"/>
        </w:rPr>
        <w:t> </w:t>
      </w:r>
      <w:r>
        <w:rPr/>
        <w:t>State</w:t>
      </w:r>
      <w:r>
        <w:rPr>
          <w:spacing w:val="-2"/>
        </w:rPr>
        <w:t> </w:t>
      </w:r>
      <w:r>
        <w:rPr/>
        <w:t>like</w:t>
      </w:r>
      <w:r>
        <w:rPr>
          <w:spacing w:val="-2"/>
        </w:rPr>
        <w:t> </w:t>
      </w:r>
      <w:r>
        <w:rPr/>
        <w:t>Uttar</w:t>
      </w:r>
      <w:r>
        <w:rPr>
          <w:spacing w:val="-2"/>
        </w:rPr>
        <w:t> </w:t>
      </w:r>
      <w:r>
        <w:rPr/>
        <w:t>Pradesh</w:t>
      </w:r>
      <w:r>
        <w:rPr>
          <w:spacing w:val="-2"/>
        </w:rPr>
        <w:t> </w:t>
      </w:r>
      <w:r>
        <w:rPr/>
        <w:t>with</w:t>
      </w:r>
      <w:r>
        <w:rPr>
          <w:spacing w:val="-2"/>
        </w:rPr>
        <w:t> </w:t>
      </w:r>
      <w:r>
        <w:rPr/>
        <w:t>a</w:t>
      </w:r>
      <w:r>
        <w:rPr>
          <w:spacing w:val="-3"/>
        </w:rPr>
        <w:t> </w:t>
      </w:r>
      <w:r>
        <w:rPr/>
        <w:t>10-year</w:t>
      </w:r>
      <w:r>
        <w:rPr>
          <w:spacing w:val="-2"/>
        </w:rPr>
        <w:t> </w:t>
      </w:r>
      <w:r>
        <w:rPr/>
        <w:t>school</w:t>
      </w:r>
      <w:r>
        <w:rPr>
          <w:spacing w:val="-2"/>
        </w:rPr>
        <w:t> </w:t>
      </w:r>
      <w:r>
        <w:rPr/>
        <w:t>system</w:t>
      </w:r>
      <w:r>
        <w:rPr>
          <w:spacing w:val="-4"/>
        </w:rPr>
        <w:t> </w:t>
      </w:r>
      <w:r>
        <w:rPr/>
        <w:t>are</w:t>
      </w:r>
      <w:r>
        <w:rPr>
          <w:spacing w:val="-2"/>
        </w:rPr>
        <w:t> </w:t>
      </w:r>
      <w:r>
        <w:rPr/>
        <w:t>all</w:t>
      </w:r>
      <w:r>
        <w:rPr>
          <w:spacing w:val="-2"/>
        </w:rPr>
        <w:t> </w:t>
      </w:r>
      <w:r>
        <w:rPr/>
        <w:t>equated</w:t>
      </w:r>
      <w:r>
        <w:rPr>
          <w:spacing w:val="-2"/>
        </w:rPr>
        <w:t> </w:t>
      </w:r>
      <w:r>
        <w:rPr/>
        <w:t>together. The equivalence proceeds upwards class by class. In this method, the main weakness is that</w:t>
      </w:r>
      <w:r>
        <w:rPr>
          <w:spacing w:val="-1"/>
        </w:rPr>
        <w:t> </w:t>
      </w:r>
      <w:r>
        <w:rPr/>
        <w:t>classes</w:t>
      </w:r>
      <w:r>
        <w:rPr>
          <w:spacing w:val="-1"/>
        </w:rPr>
        <w:t> </w:t>
      </w:r>
      <w:r>
        <w:rPr/>
        <w:t>which</w:t>
      </w:r>
      <w:r>
        <w:rPr>
          <w:spacing w:val="-1"/>
        </w:rPr>
        <w:t> </w:t>
      </w:r>
      <w:r>
        <w:rPr/>
        <w:t>are</w:t>
      </w:r>
      <w:r>
        <w:rPr>
          <w:spacing w:val="-1"/>
        </w:rPr>
        <w:t> </w:t>
      </w:r>
      <w:r>
        <w:rPr/>
        <w:t>quite</w:t>
      </w:r>
      <w:r>
        <w:rPr>
          <w:spacing w:val="-1"/>
        </w:rPr>
        <w:t> </w:t>
      </w:r>
      <w:r>
        <w:rPr/>
        <w:t>unlike</w:t>
      </w:r>
      <w:r>
        <w:rPr>
          <w:spacing w:val="-1"/>
        </w:rPr>
        <w:t> </w:t>
      </w:r>
      <w:r>
        <w:rPr/>
        <w:t>to</w:t>
      </w:r>
      <w:r>
        <w:rPr>
          <w:spacing w:val="-1"/>
        </w:rPr>
        <w:t> </w:t>
      </w:r>
      <w:r>
        <w:rPr/>
        <w:t>each</w:t>
      </w:r>
      <w:r>
        <w:rPr>
          <w:spacing w:val="-1"/>
        </w:rPr>
        <w:t> </w:t>
      </w:r>
      <w:r>
        <w:rPr/>
        <w:t>other</w:t>
      </w:r>
      <w:r>
        <w:rPr>
          <w:spacing w:val="-1"/>
        </w:rPr>
        <w:t> </w:t>
      </w:r>
      <w:r>
        <w:rPr/>
        <w:t>are</w:t>
      </w:r>
      <w:r>
        <w:rPr>
          <w:spacing w:val="-1"/>
        </w:rPr>
        <w:t> </w:t>
      </w:r>
      <w:r>
        <w:rPr/>
        <w:t>added</w:t>
      </w:r>
      <w:r>
        <w:rPr>
          <w:spacing w:val="-1"/>
        </w:rPr>
        <w:t> </w:t>
      </w:r>
      <w:r>
        <w:rPr/>
        <w:t>together.</w:t>
      </w:r>
      <w:r>
        <w:rPr>
          <w:spacing w:val="-1"/>
        </w:rPr>
        <w:t> </w:t>
      </w:r>
      <w:r>
        <w:rPr/>
        <w:t>For</w:t>
      </w:r>
      <w:r>
        <w:rPr>
          <w:spacing w:val="-1"/>
        </w:rPr>
        <w:t> </w:t>
      </w:r>
      <w:r>
        <w:rPr/>
        <w:t>example,</w:t>
      </w:r>
      <w:r>
        <w:rPr>
          <w:spacing w:val="-1"/>
        </w:rPr>
        <w:t> </w:t>
      </w:r>
      <w:r>
        <w:rPr/>
        <w:t>Class</w:t>
      </w:r>
      <w:r>
        <w:rPr>
          <w:spacing w:val="-1"/>
        </w:rPr>
        <w:t> </w:t>
      </w:r>
      <w:r>
        <w:rPr/>
        <w:t>X of Uttar Pradesh which is matriculation class is added to Class X of Bihar which is pre- matriculation class or Class XI of Delhi which is the higher secondary class is added to Class XI of Maharashtra which is the matriculation class.</w:t>
      </w:r>
    </w:p>
    <w:p>
      <w:pPr>
        <w:pStyle w:val="BodyText"/>
        <w:spacing w:before="4"/>
      </w:pPr>
    </w:p>
    <w:p>
      <w:pPr>
        <w:pStyle w:val="BodyText"/>
        <w:ind w:left="160" w:right="496"/>
        <w:jc w:val="both"/>
      </w:pPr>
      <w:r>
        <w:rPr/>
        <w:t>The enrolments according to this system have been given in Table Al. 12 for purposes of comparison. It will be seen that the totals of enrolments in Tables Al. 11 and Al. 12 tally. But the enrolments at substages do not tally for reasons already explained.</w:t>
      </w:r>
    </w:p>
    <w:p>
      <w:pPr>
        <w:spacing w:after="0"/>
        <w:jc w:val="both"/>
        <w:sectPr>
          <w:pgSz w:w="12240" w:h="15840"/>
          <w:pgMar w:header="0" w:footer="743" w:top="1360" w:bottom="940" w:left="1640" w:right="1300"/>
        </w:sectPr>
      </w:pPr>
    </w:p>
    <w:p>
      <w:pPr>
        <w:pStyle w:val="BodyText"/>
        <w:ind w:left="160"/>
        <w:rPr>
          <w:sz w:val="20"/>
        </w:rPr>
      </w:pPr>
      <w:r>
        <w:rPr>
          <w:sz w:val="20"/>
        </w:rPr>
        <w:drawing>
          <wp:inline distT="0" distB="0" distL="0" distR="0">
            <wp:extent cx="5489433" cy="6720840"/>
            <wp:effectExtent l="0" t="0" r="0" b="0"/>
            <wp:docPr id="620" name="Image 620"/>
            <wp:cNvGraphicFramePr>
              <a:graphicFrameLocks/>
            </wp:cNvGraphicFramePr>
            <a:graphic>
              <a:graphicData uri="http://schemas.openxmlformats.org/drawingml/2006/picture">
                <pic:pic>
                  <pic:nvPicPr>
                    <pic:cNvPr id="620" name="Image 620"/>
                    <pic:cNvPicPr/>
                  </pic:nvPicPr>
                  <pic:blipFill>
                    <a:blip r:embed="rId31" cstate="print"/>
                    <a:stretch>
                      <a:fillRect/>
                    </a:stretch>
                  </pic:blipFill>
                  <pic:spPr>
                    <a:xfrm>
                      <a:off x="0" y="0"/>
                      <a:ext cx="5489433" cy="672084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489433" cy="7056882"/>
            <wp:effectExtent l="0" t="0" r="0" b="0"/>
            <wp:docPr id="621" name="Image 621"/>
            <wp:cNvGraphicFramePr>
              <a:graphicFrameLocks/>
            </wp:cNvGraphicFramePr>
            <a:graphic>
              <a:graphicData uri="http://schemas.openxmlformats.org/drawingml/2006/picture">
                <pic:pic>
                  <pic:nvPicPr>
                    <pic:cNvPr id="621" name="Image 621"/>
                    <pic:cNvPicPr/>
                  </pic:nvPicPr>
                  <pic:blipFill>
                    <a:blip r:embed="rId32" cstate="print"/>
                    <a:stretch>
                      <a:fillRect/>
                    </a:stretch>
                  </pic:blipFill>
                  <pic:spPr>
                    <a:xfrm>
                      <a:off x="0" y="0"/>
                      <a:ext cx="5489433" cy="705688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581771" cy="6629400"/>
            <wp:effectExtent l="0" t="0" r="0" b="0"/>
            <wp:docPr id="622" name="Image 622"/>
            <wp:cNvGraphicFramePr>
              <a:graphicFrameLocks/>
            </wp:cNvGraphicFramePr>
            <a:graphic>
              <a:graphicData uri="http://schemas.openxmlformats.org/drawingml/2006/picture">
                <pic:pic>
                  <pic:nvPicPr>
                    <pic:cNvPr id="622" name="Image 622"/>
                    <pic:cNvPicPr/>
                  </pic:nvPicPr>
                  <pic:blipFill>
                    <a:blip r:embed="rId33" cstate="print"/>
                    <a:stretch>
                      <a:fillRect/>
                    </a:stretch>
                  </pic:blipFill>
                  <pic:spPr>
                    <a:xfrm>
                      <a:off x="0" y="0"/>
                      <a:ext cx="5581771" cy="662940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485770" cy="6629400"/>
            <wp:effectExtent l="0" t="0" r="0" b="0"/>
            <wp:docPr id="623" name="Image 623"/>
            <wp:cNvGraphicFramePr>
              <a:graphicFrameLocks/>
            </wp:cNvGraphicFramePr>
            <a:graphic>
              <a:graphicData uri="http://schemas.openxmlformats.org/drawingml/2006/picture">
                <pic:pic>
                  <pic:nvPicPr>
                    <pic:cNvPr id="623" name="Image 623"/>
                    <pic:cNvPicPr/>
                  </pic:nvPicPr>
                  <pic:blipFill>
                    <a:blip r:embed="rId34" cstate="print"/>
                    <a:stretch>
                      <a:fillRect/>
                    </a:stretch>
                  </pic:blipFill>
                  <pic:spPr>
                    <a:xfrm>
                      <a:off x="0" y="0"/>
                      <a:ext cx="5485770" cy="662940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477420" cy="6972300"/>
            <wp:effectExtent l="0" t="0" r="0" b="0"/>
            <wp:docPr id="624" name="Image 624"/>
            <wp:cNvGraphicFramePr>
              <a:graphicFrameLocks/>
            </wp:cNvGraphicFramePr>
            <a:graphic>
              <a:graphicData uri="http://schemas.openxmlformats.org/drawingml/2006/picture">
                <pic:pic>
                  <pic:nvPicPr>
                    <pic:cNvPr id="624" name="Image 624"/>
                    <pic:cNvPicPr/>
                  </pic:nvPicPr>
                  <pic:blipFill>
                    <a:blip r:embed="rId35" cstate="print"/>
                    <a:stretch>
                      <a:fillRect/>
                    </a:stretch>
                  </pic:blipFill>
                  <pic:spPr>
                    <a:xfrm>
                      <a:off x="0" y="0"/>
                      <a:ext cx="5477420" cy="6972300"/>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489433" cy="7056882"/>
            <wp:effectExtent l="0" t="0" r="0" b="0"/>
            <wp:docPr id="625" name="Image 625"/>
            <wp:cNvGraphicFramePr>
              <a:graphicFrameLocks/>
            </wp:cNvGraphicFramePr>
            <a:graphic>
              <a:graphicData uri="http://schemas.openxmlformats.org/drawingml/2006/picture">
                <pic:pic>
                  <pic:nvPicPr>
                    <pic:cNvPr id="625" name="Image 625"/>
                    <pic:cNvPicPr/>
                  </pic:nvPicPr>
                  <pic:blipFill>
                    <a:blip r:embed="rId36" cstate="print"/>
                    <a:stretch>
                      <a:fillRect/>
                    </a:stretch>
                  </pic:blipFill>
                  <pic:spPr>
                    <a:xfrm>
                      <a:off x="0" y="0"/>
                      <a:ext cx="5489433" cy="705688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BodyText"/>
        <w:ind w:left="160"/>
        <w:rPr>
          <w:sz w:val="20"/>
        </w:rPr>
      </w:pPr>
      <w:r>
        <w:rPr>
          <w:sz w:val="20"/>
        </w:rPr>
        <w:drawing>
          <wp:inline distT="0" distB="0" distL="0" distR="0">
            <wp:extent cx="5610409" cy="7056882"/>
            <wp:effectExtent l="0" t="0" r="0" b="0"/>
            <wp:docPr id="626" name="Image 626"/>
            <wp:cNvGraphicFramePr>
              <a:graphicFrameLocks/>
            </wp:cNvGraphicFramePr>
            <a:graphic>
              <a:graphicData uri="http://schemas.openxmlformats.org/drawingml/2006/picture">
                <pic:pic>
                  <pic:nvPicPr>
                    <pic:cNvPr id="626" name="Image 626"/>
                    <pic:cNvPicPr/>
                  </pic:nvPicPr>
                  <pic:blipFill>
                    <a:blip r:embed="rId37" cstate="print"/>
                    <a:stretch>
                      <a:fillRect/>
                    </a:stretch>
                  </pic:blipFill>
                  <pic:spPr>
                    <a:xfrm>
                      <a:off x="0" y="0"/>
                      <a:ext cx="5610409" cy="7056882"/>
                    </a:xfrm>
                    <a:prstGeom prst="rect">
                      <a:avLst/>
                    </a:prstGeom>
                  </pic:spPr>
                </pic:pic>
              </a:graphicData>
            </a:graphic>
          </wp:inline>
        </w:drawing>
      </w:r>
      <w:r>
        <w:rPr>
          <w:sz w:val="20"/>
        </w:rPr>
      </w:r>
    </w:p>
    <w:p>
      <w:pPr>
        <w:spacing w:after="0"/>
        <w:rPr>
          <w:sz w:val="20"/>
        </w:rPr>
        <w:sectPr>
          <w:pgSz w:w="12240" w:h="15840"/>
          <w:pgMar w:header="0" w:footer="743" w:top="1440" w:bottom="940" w:left="1640" w:right="1300"/>
        </w:sectPr>
      </w:pPr>
    </w:p>
    <w:p>
      <w:pPr>
        <w:pStyle w:val="Heading1"/>
        <w:spacing w:before="79"/>
      </w:pPr>
      <w:r>
        <w:rPr/>
        <w:t>APPENDIX</w:t>
      </w:r>
      <w:r>
        <w:rPr>
          <w:spacing w:val="-5"/>
        </w:rPr>
        <w:t> II</w:t>
      </w:r>
    </w:p>
    <w:p>
      <w:pPr>
        <w:pStyle w:val="BodyText"/>
        <w:rPr>
          <w:b/>
        </w:rPr>
      </w:pPr>
    </w:p>
    <w:p>
      <w:pPr>
        <w:spacing w:before="0"/>
        <w:ind w:left="291" w:right="629" w:firstLine="0"/>
        <w:jc w:val="center"/>
        <w:rPr>
          <w:b/>
          <w:sz w:val="24"/>
        </w:rPr>
      </w:pPr>
      <w:r>
        <w:rPr>
          <w:b/>
          <w:sz w:val="24"/>
        </w:rPr>
        <w:t>RESOLUTION</w:t>
      </w:r>
      <w:r>
        <w:rPr>
          <w:b/>
          <w:spacing w:val="-6"/>
          <w:sz w:val="24"/>
        </w:rPr>
        <w:t> </w:t>
      </w:r>
      <w:r>
        <w:rPr>
          <w:b/>
          <w:sz w:val="24"/>
        </w:rPr>
        <w:t>OF</w:t>
      </w:r>
      <w:r>
        <w:rPr>
          <w:b/>
          <w:spacing w:val="-6"/>
          <w:sz w:val="24"/>
        </w:rPr>
        <w:t> </w:t>
      </w:r>
      <w:r>
        <w:rPr>
          <w:b/>
          <w:sz w:val="24"/>
        </w:rPr>
        <w:t>THE</w:t>
      </w:r>
      <w:r>
        <w:rPr>
          <w:b/>
          <w:spacing w:val="-6"/>
          <w:sz w:val="24"/>
        </w:rPr>
        <w:t> </w:t>
      </w:r>
      <w:r>
        <w:rPr>
          <w:b/>
          <w:sz w:val="24"/>
        </w:rPr>
        <w:t>GOVERNMENT</w:t>
      </w:r>
      <w:r>
        <w:rPr>
          <w:b/>
          <w:spacing w:val="-5"/>
          <w:sz w:val="24"/>
        </w:rPr>
        <w:t> </w:t>
      </w:r>
      <w:r>
        <w:rPr>
          <w:b/>
          <w:sz w:val="24"/>
        </w:rPr>
        <w:t>OF</w:t>
      </w:r>
      <w:r>
        <w:rPr>
          <w:b/>
          <w:spacing w:val="-5"/>
          <w:sz w:val="24"/>
        </w:rPr>
        <w:t> </w:t>
      </w:r>
      <w:r>
        <w:rPr>
          <w:b/>
          <w:sz w:val="24"/>
        </w:rPr>
        <w:t>INDIA</w:t>
      </w:r>
      <w:r>
        <w:rPr>
          <w:b/>
          <w:spacing w:val="-5"/>
          <w:sz w:val="24"/>
        </w:rPr>
        <w:t> </w:t>
      </w:r>
      <w:r>
        <w:rPr>
          <w:b/>
          <w:sz w:val="24"/>
        </w:rPr>
        <w:t>SETTING</w:t>
      </w:r>
      <w:r>
        <w:rPr>
          <w:b/>
          <w:spacing w:val="-5"/>
          <w:sz w:val="24"/>
        </w:rPr>
        <w:t> </w:t>
      </w:r>
      <w:r>
        <w:rPr>
          <w:b/>
          <w:sz w:val="24"/>
        </w:rPr>
        <w:t>UP</w:t>
      </w:r>
      <w:r>
        <w:rPr>
          <w:b/>
          <w:spacing w:val="-5"/>
          <w:sz w:val="24"/>
        </w:rPr>
        <w:t> </w:t>
      </w:r>
      <w:r>
        <w:rPr>
          <w:b/>
          <w:sz w:val="24"/>
        </w:rPr>
        <w:t>THE EDUCATION COMMISSION</w:t>
      </w:r>
    </w:p>
    <w:p>
      <w:pPr>
        <w:pStyle w:val="BodyText"/>
        <w:rPr>
          <w:b/>
        </w:rPr>
      </w:pPr>
    </w:p>
    <w:p>
      <w:pPr>
        <w:pStyle w:val="BodyText"/>
        <w:spacing w:before="2"/>
        <w:rPr>
          <w:b/>
        </w:rPr>
      </w:pPr>
    </w:p>
    <w:p>
      <w:pPr>
        <w:pStyle w:val="BodyText"/>
        <w:ind w:left="160" w:right="496"/>
        <w:jc w:val="both"/>
      </w:pPr>
      <w:r>
        <w:rPr/>
        <w:t>AII.01. The Government of India, ever since the attainment of independence, have given considerable attention to the development of a national system of education rooted in the basic values and the cherished traditions of the Indian nation and suited to the needs and aspirations of a modern society. While some advances have been made in these</w:t>
      </w:r>
      <w:r>
        <w:rPr>
          <w:spacing w:val="40"/>
        </w:rPr>
        <w:t> </w:t>
      </w:r>
      <w:r>
        <w:rPr/>
        <w:t>directions, the educational system</w:t>
      </w:r>
      <w:r>
        <w:rPr>
          <w:spacing w:val="-2"/>
        </w:rPr>
        <w:t> </w:t>
      </w:r>
      <w:r>
        <w:rPr/>
        <w:t>has not generally evolved in accordance with</w:t>
      </w:r>
      <w:r>
        <w:rPr>
          <w:spacing w:val="-1"/>
        </w:rPr>
        <w:t> </w:t>
      </w:r>
      <w:r>
        <w:rPr/>
        <w:t>the</w:t>
      </w:r>
      <w:r>
        <w:rPr>
          <w:spacing w:val="-1"/>
        </w:rPr>
        <w:t> </w:t>
      </w:r>
      <w:r>
        <w:rPr/>
        <w:t>needs of the times, and a wide and distressing gulf continues to persist between thought and action in several sectors of this crucial field of national activity. In view of the important role of education in the economic and social development of the country, in the building of a truly democratic society, in the promotion of national integration and unity, and above all, for the transformation of the individual in the endless pursuit of excellence and perfection, it is now considered imperative to survey and examine the entire field of education in order to realize within the shortest possible period a well-balanced, integrated and adequate system of national education capable of making a powerful contribution to all spheres of national life.</w:t>
      </w:r>
    </w:p>
    <w:p>
      <w:pPr>
        <w:pStyle w:val="BodyText"/>
        <w:spacing w:before="3"/>
      </w:pPr>
    </w:p>
    <w:p>
      <w:pPr>
        <w:pStyle w:val="BodyText"/>
        <w:ind w:left="160" w:right="494"/>
        <w:jc w:val="both"/>
      </w:pPr>
      <w:r>
        <w:rPr/>
        <w:t>AII.02. The attainment of independence ushered in a new era of national development founded</w:t>
      </w:r>
      <w:r>
        <w:rPr>
          <w:spacing w:val="-2"/>
        </w:rPr>
        <w:t> </w:t>
      </w:r>
      <w:r>
        <w:rPr/>
        <w:t>upon:</w:t>
      </w:r>
      <w:r>
        <w:rPr>
          <w:spacing w:val="-2"/>
        </w:rPr>
        <w:t> </w:t>
      </w:r>
      <w:r>
        <w:rPr/>
        <w:t>the</w:t>
      </w:r>
      <w:r>
        <w:rPr>
          <w:spacing w:val="-2"/>
        </w:rPr>
        <w:t> </w:t>
      </w:r>
      <w:r>
        <w:rPr/>
        <w:t>adoption</w:t>
      </w:r>
      <w:r>
        <w:rPr>
          <w:spacing w:val="-2"/>
        </w:rPr>
        <w:t> </w:t>
      </w:r>
      <w:r>
        <w:rPr/>
        <w:t>of</w:t>
      </w:r>
      <w:r>
        <w:rPr>
          <w:spacing w:val="-2"/>
        </w:rPr>
        <w:t> </w:t>
      </w:r>
      <w:r>
        <w:rPr/>
        <w:t>a</w:t>
      </w:r>
      <w:r>
        <w:rPr>
          <w:spacing w:val="-2"/>
        </w:rPr>
        <w:t> </w:t>
      </w:r>
      <w:r>
        <w:rPr/>
        <w:t>secular</w:t>
      </w:r>
      <w:r>
        <w:rPr>
          <w:spacing w:val="-2"/>
        </w:rPr>
        <w:t> </w:t>
      </w:r>
      <w:r>
        <w:rPr/>
        <w:t>democracy,</w:t>
      </w:r>
      <w:r>
        <w:rPr>
          <w:spacing w:val="-2"/>
        </w:rPr>
        <w:t> </w:t>
      </w:r>
      <w:r>
        <w:rPr/>
        <w:t>not</w:t>
      </w:r>
      <w:r>
        <w:rPr>
          <w:spacing w:val="-2"/>
        </w:rPr>
        <w:t> </w:t>
      </w:r>
      <w:r>
        <w:rPr/>
        <w:t>only</w:t>
      </w:r>
      <w:r>
        <w:rPr>
          <w:spacing w:val="-2"/>
        </w:rPr>
        <w:t> </w:t>
      </w:r>
      <w:r>
        <w:rPr/>
        <w:t>as</w:t>
      </w:r>
      <w:r>
        <w:rPr>
          <w:spacing w:val="-2"/>
        </w:rPr>
        <w:t> </w:t>
      </w:r>
      <w:r>
        <w:rPr/>
        <w:t>a</w:t>
      </w:r>
      <w:r>
        <w:rPr>
          <w:spacing w:val="-2"/>
        </w:rPr>
        <w:t> </w:t>
      </w:r>
      <w:r>
        <w:rPr/>
        <w:t>form</w:t>
      </w:r>
      <w:r>
        <w:rPr>
          <w:spacing w:val="-4"/>
        </w:rPr>
        <w:t> </w:t>
      </w:r>
      <w:r>
        <w:rPr/>
        <w:t>of</w:t>
      </w:r>
      <w:r>
        <w:rPr>
          <w:spacing w:val="-2"/>
        </w:rPr>
        <w:t> </w:t>
      </w:r>
      <w:r>
        <w:rPr/>
        <w:t>government</w:t>
      </w:r>
      <w:r>
        <w:rPr>
          <w:spacing w:val="-2"/>
        </w:rPr>
        <w:t> </w:t>
      </w:r>
      <w:r>
        <w:rPr/>
        <w:t>but also as a way of life; the determination to eliminate the poverty of the people and to ensure a reasonable standard of living for all, through modernization of agriculture and rapid development of industry; the adoption of modern science and technology and their harmonizing with traditional spiritual values; the acceptance of a socialistic pattern of society which will secure equitable distribution of wealth and equality of opportunity for all in education, employment and cultural advancement. Greater emphasis came to be placed</w:t>
      </w:r>
      <w:r>
        <w:rPr>
          <w:spacing w:val="-3"/>
        </w:rPr>
        <w:t> </w:t>
      </w:r>
      <w:r>
        <w:rPr/>
        <w:t>on</w:t>
      </w:r>
      <w:r>
        <w:rPr>
          <w:spacing w:val="-3"/>
        </w:rPr>
        <w:t> </w:t>
      </w:r>
      <w:r>
        <w:rPr/>
        <w:t>educational</w:t>
      </w:r>
      <w:r>
        <w:rPr>
          <w:spacing w:val="-3"/>
        </w:rPr>
        <w:t> </w:t>
      </w:r>
      <w:r>
        <w:rPr/>
        <w:t>development</w:t>
      </w:r>
      <w:r>
        <w:rPr>
          <w:spacing w:val="-3"/>
        </w:rPr>
        <w:t> </w:t>
      </w:r>
      <w:r>
        <w:rPr/>
        <w:t>because</w:t>
      </w:r>
      <w:r>
        <w:rPr>
          <w:spacing w:val="-3"/>
        </w:rPr>
        <w:t> </w:t>
      </w:r>
      <w:r>
        <w:rPr/>
        <w:t>of</w:t>
      </w:r>
      <w:r>
        <w:rPr>
          <w:spacing w:val="-3"/>
        </w:rPr>
        <w:t> </w:t>
      </w:r>
      <w:r>
        <w:rPr/>
        <w:t>the</w:t>
      </w:r>
      <w:r>
        <w:rPr>
          <w:spacing w:val="-3"/>
        </w:rPr>
        <w:t> </w:t>
      </w:r>
      <w:r>
        <w:rPr/>
        <w:t>realization</w:t>
      </w:r>
      <w:r>
        <w:rPr>
          <w:spacing w:val="-5"/>
        </w:rPr>
        <w:t> </w:t>
      </w:r>
      <w:r>
        <w:rPr/>
        <w:t>that</w:t>
      </w:r>
      <w:r>
        <w:rPr>
          <w:spacing w:val="-3"/>
        </w:rPr>
        <w:t> </w:t>
      </w:r>
      <w:r>
        <w:rPr/>
        <w:t>education,</w:t>
      </w:r>
      <w:r>
        <w:rPr>
          <w:spacing w:val="-3"/>
        </w:rPr>
        <w:t> </w:t>
      </w:r>
      <w:r>
        <w:rPr/>
        <w:t>especially</w:t>
      </w:r>
      <w:r>
        <w:rPr>
          <w:spacing w:val="-3"/>
        </w:rPr>
        <w:t> </w:t>
      </w:r>
      <w:r>
        <w:rPr/>
        <w:t>in science and technology, is the most powerful instrument of social transformation and economic progress and that the attempt to create a new social order based on freedom, equality and justice can only succeed if the traditional educational system was revolutionized, both in content and extent.</w:t>
      </w:r>
    </w:p>
    <w:p>
      <w:pPr>
        <w:pStyle w:val="BodyText"/>
        <w:spacing w:before="4"/>
      </w:pPr>
    </w:p>
    <w:p>
      <w:pPr>
        <w:pStyle w:val="BodyText"/>
        <w:ind w:left="160" w:right="495"/>
        <w:jc w:val="both"/>
      </w:pPr>
      <w:r>
        <w:rPr/>
        <w:t>AII.03. Quantitatively, education at all levels has shown a phenomenal development in the post-Independence period. In spite of this expansion, however, there is widespread dissatisfaction about several aspects of educational development. For instance, it has not yet</w:t>
      </w:r>
      <w:r>
        <w:rPr>
          <w:spacing w:val="-1"/>
        </w:rPr>
        <w:t> </w:t>
      </w:r>
      <w:r>
        <w:rPr/>
        <w:t>been</w:t>
      </w:r>
      <w:r>
        <w:rPr>
          <w:spacing w:val="-1"/>
        </w:rPr>
        <w:t> </w:t>
      </w:r>
      <w:r>
        <w:rPr/>
        <w:t>possible</w:t>
      </w:r>
      <w:r>
        <w:rPr>
          <w:spacing w:val="-1"/>
        </w:rPr>
        <w:t> </w:t>
      </w:r>
      <w:r>
        <w:rPr/>
        <w:t>to</w:t>
      </w:r>
      <w:r>
        <w:rPr>
          <w:spacing w:val="-1"/>
        </w:rPr>
        <w:t> </w:t>
      </w:r>
      <w:r>
        <w:rPr/>
        <w:t>provide</w:t>
      </w:r>
      <w:r>
        <w:rPr>
          <w:spacing w:val="-4"/>
        </w:rPr>
        <w:t> </w:t>
      </w:r>
      <w:r>
        <w:rPr/>
        <w:t>free</w:t>
      </w:r>
      <w:r>
        <w:rPr>
          <w:spacing w:val="-2"/>
        </w:rPr>
        <w:t> </w:t>
      </w:r>
      <w:r>
        <w:rPr/>
        <w:t>and</w:t>
      </w:r>
      <w:r>
        <w:rPr>
          <w:spacing w:val="-2"/>
        </w:rPr>
        <w:t> </w:t>
      </w:r>
      <w:r>
        <w:rPr/>
        <w:t>universal</w:t>
      </w:r>
      <w:r>
        <w:rPr>
          <w:spacing w:val="-2"/>
        </w:rPr>
        <w:t> </w:t>
      </w:r>
      <w:r>
        <w:rPr/>
        <w:t>education</w:t>
      </w:r>
      <w:r>
        <w:rPr>
          <w:spacing w:val="-2"/>
        </w:rPr>
        <w:t> </w:t>
      </w:r>
      <w:r>
        <w:rPr/>
        <w:t>for</w:t>
      </w:r>
      <w:r>
        <w:rPr>
          <w:spacing w:val="-2"/>
        </w:rPr>
        <w:t> </w:t>
      </w:r>
      <w:r>
        <w:rPr/>
        <w:t>all</w:t>
      </w:r>
      <w:r>
        <w:rPr>
          <w:spacing w:val="-1"/>
        </w:rPr>
        <w:t> </w:t>
      </w:r>
      <w:r>
        <w:rPr/>
        <w:t>children</w:t>
      </w:r>
      <w:r>
        <w:rPr>
          <w:spacing w:val="-1"/>
        </w:rPr>
        <w:t> </w:t>
      </w:r>
      <w:r>
        <w:rPr/>
        <w:t>up</w:t>
      </w:r>
      <w:r>
        <w:rPr>
          <w:spacing w:val="-1"/>
        </w:rPr>
        <w:t> </w:t>
      </w:r>
      <w:r>
        <w:rPr/>
        <w:t>to</w:t>
      </w:r>
      <w:r>
        <w:rPr>
          <w:spacing w:val="-1"/>
        </w:rPr>
        <w:t> </w:t>
      </w:r>
      <w:r>
        <w:rPr/>
        <w:t>14</w:t>
      </w:r>
      <w:r>
        <w:rPr>
          <w:spacing w:val="-1"/>
        </w:rPr>
        <w:t> </w:t>
      </w:r>
      <w:r>
        <w:rPr/>
        <w:t>years</w:t>
      </w:r>
      <w:r>
        <w:rPr>
          <w:spacing w:val="-1"/>
        </w:rPr>
        <w:t> </w:t>
      </w:r>
      <w:r>
        <w:rPr/>
        <w:t>of age. The problem of mass illiteracy continues to be immense. It has not been possible to raise standards adequately at the secondary and university stages. The diversification of curricula in secondary and higher education has not kept pace with the times so that the problem of educated unemployment has been intensified on the one hand while, on the other, there is an equally acute shortage of trained manpower in several sectors. The remuneration and service conditions of teachers leave a great deal to be desired; and several</w:t>
      </w:r>
      <w:r>
        <w:rPr>
          <w:spacing w:val="20"/>
        </w:rPr>
        <w:t> </w:t>
      </w:r>
      <w:r>
        <w:rPr/>
        <w:t>important</w:t>
      </w:r>
      <w:r>
        <w:rPr>
          <w:spacing w:val="20"/>
        </w:rPr>
        <w:t> </w:t>
      </w:r>
      <w:r>
        <w:rPr/>
        <w:t>academic</w:t>
      </w:r>
      <w:r>
        <w:rPr>
          <w:spacing w:val="20"/>
        </w:rPr>
        <w:t> </w:t>
      </w:r>
      <w:r>
        <w:rPr/>
        <w:t>problems</w:t>
      </w:r>
      <w:r>
        <w:rPr>
          <w:spacing w:val="20"/>
        </w:rPr>
        <w:t> </w:t>
      </w:r>
      <w:r>
        <w:rPr/>
        <w:t>are</w:t>
      </w:r>
      <w:r>
        <w:rPr>
          <w:spacing w:val="20"/>
        </w:rPr>
        <w:t> </w:t>
      </w:r>
      <w:r>
        <w:rPr/>
        <w:t>still</w:t>
      </w:r>
      <w:r>
        <w:rPr>
          <w:spacing w:val="20"/>
        </w:rPr>
        <w:t> </w:t>
      </w:r>
      <w:r>
        <w:rPr/>
        <w:t>matters</w:t>
      </w:r>
      <w:r>
        <w:rPr>
          <w:spacing w:val="20"/>
        </w:rPr>
        <w:t> </w:t>
      </w:r>
      <w:r>
        <w:rPr/>
        <w:t>of</w:t>
      </w:r>
      <w:r>
        <w:rPr>
          <w:spacing w:val="20"/>
        </w:rPr>
        <w:t> </w:t>
      </w:r>
      <w:r>
        <w:rPr/>
        <w:t>intense</w:t>
      </w:r>
      <w:r>
        <w:rPr>
          <w:spacing w:val="20"/>
        </w:rPr>
        <w:t> </w:t>
      </w:r>
      <w:r>
        <w:rPr/>
        <w:t>controversies:</w:t>
      </w:r>
      <w:r>
        <w:rPr>
          <w:spacing w:val="20"/>
        </w:rPr>
        <w:t> </w:t>
      </w:r>
      <w:r>
        <w:rPr/>
        <w:t>In</w:t>
      </w:r>
      <w:r>
        <w:rPr>
          <w:spacing w:val="21"/>
        </w:rPr>
        <w:t> </w:t>
      </w:r>
      <w:r>
        <w:rPr>
          <w:spacing w:val="-2"/>
        </w:rPr>
        <w:t>short,</w:t>
      </w:r>
    </w:p>
    <w:p>
      <w:pPr>
        <w:spacing w:after="0"/>
        <w:jc w:val="both"/>
        <w:sectPr>
          <w:pgSz w:w="12240" w:h="15840"/>
          <w:pgMar w:header="0" w:footer="743" w:top="1360" w:bottom="940" w:left="1640" w:right="1300"/>
        </w:sectPr>
      </w:pPr>
    </w:p>
    <w:p>
      <w:pPr>
        <w:pStyle w:val="BodyText"/>
        <w:spacing w:before="76"/>
        <w:ind w:left="159" w:right="496"/>
        <w:jc w:val="both"/>
      </w:pPr>
      <w:r>
        <w:rPr/>
        <w:t>qualitative improvements in education have not kept pace with quantitative expansion, and national policies and programmes concerning the quality of education, even when these were well-conceived and generally agreed to, could not be implemented </w:t>
      </w:r>
      <w:r>
        <w:rPr>
          <w:spacing w:val="-2"/>
        </w:rPr>
        <w:t>satisfactorily.</w:t>
      </w:r>
    </w:p>
    <w:p>
      <w:pPr>
        <w:pStyle w:val="BodyText"/>
        <w:spacing w:before="4"/>
      </w:pPr>
    </w:p>
    <w:p>
      <w:pPr>
        <w:pStyle w:val="BodyText"/>
        <w:ind w:left="160" w:right="495"/>
        <w:jc w:val="both"/>
      </w:pPr>
      <w:r>
        <w:rPr/>
        <w:t>AII.04. The Government of India are convinced that education is the key to national prosperity and welfare and that no investment is likely to yield greater returns than investment in human resources of which the most important component is education. Government have also decided to mobilize all the resources of science and technology which can only be done on the foundation of good and progressive education and, to </w:t>
      </w:r>
      <w:r>
        <w:rPr/>
        <w:t>that end, to increase considerably their total investment in the development of education and scientific research. The nation must be prepared to pay for quality in education, and from the value attached to education by all sectors of the people it is clear that they will do so </w:t>
      </w:r>
      <w:r>
        <w:rPr>
          <w:spacing w:val="-2"/>
        </w:rPr>
        <w:t>willingly.</w:t>
      </w:r>
    </w:p>
    <w:p>
      <w:pPr>
        <w:pStyle w:val="BodyText"/>
        <w:spacing w:before="4"/>
      </w:pPr>
    </w:p>
    <w:p>
      <w:pPr>
        <w:pStyle w:val="BodyText"/>
        <w:ind w:left="159" w:right="495"/>
        <w:jc w:val="both"/>
      </w:pPr>
      <w:r>
        <w:rPr/>
        <w:t>AII.05. It is desirable to survey the entire field of educational development as the various parts of the educational system strongly interact with and influence one another. It is not possible to have progressive and strong universities without efficient secondary schools and the quality of these schools is determined by the functioning of elementary schools. What is needed, therefore, is a synoptic survey and an imaginative look at education considered as a whole and not fragmented into parts and stages. In the past, several commissions and committees have examined limited sectors and specific aspects of education. It is now proposed to have a comprehensive review of the entire educational </w:t>
      </w:r>
      <w:r>
        <w:rPr>
          <w:spacing w:val="-2"/>
        </w:rPr>
        <w:t>system.</w:t>
      </w:r>
    </w:p>
    <w:p>
      <w:pPr>
        <w:pStyle w:val="BodyText"/>
        <w:spacing w:before="5"/>
      </w:pPr>
    </w:p>
    <w:p>
      <w:pPr>
        <w:pStyle w:val="BodyText"/>
        <w:ind w:left="160" w:right="496"/>
        <w:jc w:val="both"/>
      </w:pPr>
      <w:r>
        <w:rPr/>
        <w:t>AII.06. While the planning of education for India must necessarily emanate from Indian experience and conditions, Government of India are of the opinion that it would be advantageous to draw upon the experience and thinking of educationists and scientists from other parts of the world in the common enterprise of seeking for the right type of education which is the quest of all mankind, specially at this time when the world is becoming closely knit together in so many ways. It has, therefore, been decided to associate with the Commission, either as members or as consultants, some eminent scientists and educationists from other countries. The United Nations Educational, Scientific and Cultural Organization has provided three members for the Commission, viz., Mr. Jean Thomas, Inspector General of Education, France, and formerly Assistant Director General of UNESCO, Prof. Shumovsky, Director, Methodological Division, Ministry of Higher and Special Secondary Education, RSFSR, Moscow, and Professor of Physics, Moscow University, and Prof. Sadatoshi Ihara, Professor of the First Faculty of Science and Technology, Waseda University, Tokyo, who have since joined the Commission. It is expected that the collaboration of some eminent scientists and educationists, as consultants, with the work of the Commission, will also be forthcoming. Negotiations are in progress with some more specialists and additions of names of</w:t>
      </w:r>
    </w:p>
    <w:p>
      <w:pPr>
        <w:pStyle w:val="BodyText"/>
        <w:spacing w:before="4"/>
      </w:pPr>
    </w:p>
    <w:p>
      <w:pPr>
        <w:pStyle w:val="BodyText"/>
        <w:ind w:left="160" w:right="498"/>
        <w:jc w:val="both"/>
      </w:pPr>
      <w:r>
        <w:rPr/>
        <w:t>*N.</w:t>
      </w:r>
      <w:r>
        <w:rPr>
          <w:spacing w:val="-1"/>
        </w:rPr>
        <w:t> </w:t>
      </w:r>
      <w:r>
        <w:rPr/>
        <w:t>F.41</w:t>
      </w:r>
      <w:r>
        <w:rPr>
          <w:spacing w:val="-1"/>
        </w:rPr>
        <w:t> </w:t>
      </w:r>
      <w:r>
        <w:rPr/>
        <w:t>3(3)64-E.I.</w:t>
      </w:r>
      <w:r>
        <w:rPr>
          <w:spacing w:val="-1"/>
        </w:rPr>
        <w:t> </w:t>
      </w:r>
      <w:r>
        <w:rPr/>
        <w:t>Ministry</w:t>
      </w:r>
      <w:r>
        <w:rPr>
          <w:spacing w:val="-1"/>
        </w:rPr>
        <w:t> </w:t>
      </w:r>
      <w:r>
        <w:rPr/>
        <w:t>of</w:t>
      </w:r>
      <w:r>
        <w:rPr>
          <w:spacing w:val="-1"/>
        </w:rPr>
        <w:t> </w:t>
      </w:r>
      <w:r>
        <w:rPr/>
        <w:t>Education,</w:t>
      </w:r>
      <w:r>
        <w:rPr>
          <w:spacing w:val="-1"/>
        </w:rPr>
        <w:t> </w:t>
      </w:r>
      <w:r>
        <w:rPr/>
        <w:t>Government</w:t>
      </w:r>
      <w:r>
        <w:rPr>
          <w:spacing w:val="-1"/>
        </w:rPr>
        <w:t> </w:t>
      </w:r>
      <w:r>
        <w:rPr/>
        <w:t>of</w:t>
      </w:r>
      <w:r>
        <w:rPr>
          <w:spacing w:val="-1"/>
        </w:rPr>
        <w:t> </w:t>
      </w:r>
      <w:r>
        <w:rPr/>
        <w:t>India,</w:t>
      </w:r>
      <w:r>
        <w:rPr>
          <w:spacing w:val="-1"/>
        </w:rPr>
        <w:t> </w:t>
      </w:r>
      <w:r>
        <w:rPr/>
        <w:t>New</w:t>
      </w:r>
      <w:r>
        <w:rPr>
          <w:spacing w:val="-1"/>
        </w:rPr>
        <w:t> </w:t>
      </w:r>
      <w:r>
        <w:rPr/>
        <w:t>Delhi,</w:t>
      </w:r>
      <w:r>
        <w:rPr>
          <w:spacing w:val="-1"/>
        </w:rPr>
        <w:t> </w:t>
      </w:r>
      <w:r>
        <w:rPr/>
        <w:t>the</w:t>
      </w:r>
      <w:r>
        <w:rPr>
          <w:spacing w:val="-1"/>
        </w:rPr>
        <w:t> </w:t>
      </w:r>
      <w:r>
        <w:rPr/>
        <w:t>14th</w:t>
      </w:r>
      <w:r>
        <w:rPr>
          <w:spacing w:val="-1"/>
        </w:rPr>
        <w:t> </w:t>
      </w:r>
      <w:r>
        <w:rPr/>
        <w:t>of July 1964 as finally modified.</w:t>
      </w:r>
    </w:p>
    <w:p>
      <w:pPr>
        <w:spacing w:after="0"/>
        <w:jc w:val="both"/>
        <w:sectPr>
          <w:pgSz w:w="12240" w:h="15840"/>
          <w:pgMar w:header="0" w:footer="743" w:top="1360" w:bottom="940" w:left="1640" w:right="1300"/>
        </w:sectPr>
      </w:pPr>
    </w:p>
    <w:p>
      <w:pPr>
        <w:pStyle w:val="BodyText"/>
        <w:spacing w:before="76"/>
        <w:ind w:left="160" w:right="498"/>
        <w:jc w:val="both"/>
      </w:pPr>
      <w:r>
        <w:rPr/>
        <w:t>foreign consultants will be notified from time to time. In addition, the Commission has been authorized to invite from time to time such other consultants in India in relation to any aspect of its enquiry as it may consider necessary.</w:t>
      </w:r>
    </w:p>
    <w:p>
      <w:pPr>
        <w:pStyle w:val="BodyText"/>
        <w:spacing w:before="4"/>
      </w:pPr>
    </w:p>
    <w:p>
      <w:pPr>
        <w:pStyle w:val="BodyText"/>
        <w:ind w:left="160" w:right="497"/>
        <w:jc w:val="both"/>
      </w:pPr>
      <w:r>
        <w:rPr/>
        <w:t>AII.07. For the purposes outlined in the foregoing paragraphs, Government of India have decided to set up an Education Commission consisting of the following members:</w:t>
      </w:r>
    </w:p>
    <w:p>
      <w:pPr>
        <w:pStyle w:val="BodyText"/>
        <w:spacing w:before="6"/>
      </w:pPr>
    </w:p>
    <w:p>
      <w:pPr>
        <w:pStyle w:val="Heading2"/>
        <w:ind w:left="3523" w:right="3860"/>
        <w:jc w:val="center"/>
        <w:rPr>
          <w:rFonts w:ascii="Arial"/>
        </w:rPr>
      </w:pPr>
      <w:r>
        <w:rPr>
          <w:rFonts w:ascii="Arial"/>
          <w:spacing w:val="-2"/>
        </w:rPr>
        <w:t>Chairman</w:t>
      </w:r>
    </w:p>
    <w:p>
      <w:pPr>
        <w:pStyle w:val="BodyText"/>
        <w:spacing w:before="4"/>
        <w:rPr>
          <w:rFonts w:ascii="Arial"/>
          <w:b/>
        </w:rPr>
      </w:pPr>
    </w:p>
    <w:p>
      <w:pPr>
        <w:pStyle w:val="ListParagraph"/>
        <w:numPr>
          <w:ilvl w:val="0"/>
          <w:numId w:val="145"/>
        </w:numPr>
        <w:tabs>
          <w:tab w:pos="400" w:val="left" w:leader="none"/>
        </w:tabs>
        <w:spacing w:line="240" w:lineRule="auto" w:before="0" w:after="0"/>
        <w:ind w:left="400" w:right="0" w:hanging="240"/>
        <w:jc w:val="left"/>
        <w:rPr>
          <w:sz w:val="24"/>
        </w:rPr>
      </w:pPr>
      <w:r>
        <w:rPr>
          <w:sz w:val="24"/>
        </w:rPr>
        <w:t>Prof.</w:t>
      </w:r>
      <w:r>
        <w:rPr>
          <w:spacing w:val="-1"/>
          <w:sz w:val="24"/>
        </w:rPr>
        <w:t> </w:t>
      </w:r>
      <w:r>
        <w:rPr>
          <w:sz w:val="24"/>
        </w:rPr>
        <w:t>D.</w:t>
      </w:r>
      <w:r>
        <w:rPr>
          <w:spacing w:val="-1"/>
          <w:sz w:val="24"/>
        </w:rPr>
        <w:t> </w:t>
      </w:r>
      <w:r>
        <w:rPr>
          <w:sz w:val="24"/>
        </w:rPr>
        <w:t>S. Kothari,</w:t>
      </w:r>
      <w:r>
        <w:rPr>
          <w:spacing w:val="-1"/>
          <w:sz w:val="24"/>
        </w:rPr>
        <w:t> </w:t>
      </w:r>
      <w:r>
        <w:rPr>
          <w:sz w:val="24"/>
        </w:rPr>
        <w:t>Chairman, University</w:t>
      </w:r>
      <w:r>
        <w:rPr>
          <w:spacing w:val="-1"/>
          <w:sz w:val="24"/>
        </w:rPr>
        <w:t> </w:t>
      </w:r>
      <w:r>
        <w:rPr>
          <w:sz w:val="24"/>
        </w:rPr>
        <w:t>Grants Commission,</w:t>
      </w:r>
      <w:r>
        <w:rPr>
          <w:spacing w:val="-1"/>
          <w:sz w:val="24"/>
        </w:rPr>
        <w:t> </w:t>
      </w:r>
      <w:r>
        <w:rPr>
          <w:sz w:val="24"/>
        </w:rPr>
        <w:t>New </w:t>
      </w:r>
      <w:r>
        <w:rPr>
          <w:spacing w:val="-2"/>
          <w:sz w:val="24"/>
        </w:rPr>
        <w:t>Delhi.</w:t>
      </w:r>
    </w:p>
    <w:p>
      <w:pPr>
        <w:pStyle w:val="BodyText"/>
        <w:spacing w:before="3"/>
      </w:pPr>
    </w:p>
    <w:p>
      <w:pPr>
        <w:pStyle w:val="Heading2"/>
        <w:spacing w:before="1"/>
        <w:ind w:left="3522" w:right="3860"/>
        <w:jc w:val="center"/>
        <w:rPr>
          <w:rFonts w:ascii="Arial"/>
        </w:rPr>
      </w:pPr>
      <w:r>
        <w:rPr>
          <w:rFonts w:ascii="Arial"/>
          <w:spacing w:val="-2"/>
        </w:rPr>
        <w:t>Members</w:t>
      </w:r>
    </w:p>
    <w:p>
      <w:pPr>
        <w:pStyle w:val="BodyText"/>
        <w:spacing w:before="3"/>
        <w:rPr>
          <w:rFonts w:ascii="Arial"/>
          <w:b/>
        </w:rPr>
      </w:pPr>
    </w:p>
    <w:p>
      <w:pPr>
        <w:pStyle w:val="ListParagraph"/>
        <w:numPr>
          <w:ilvl w:val="0"/>
          <w:numId w:val="145"/>
        </w:numPr>
        <w:tabs>
          <w:tab w:pos="406" w:val="left" w:leader="none"/>
        </w:tabs>
        <w:spacing w:line="240" w:lineRule="auto" w:before="0" w:after="0"/>
        <w:ind w:left="160" w:right="497" w:firstLine="0"/>
        <w:jc w:val="left"/>
        <w:rPr>
          <w:sz w:val="24"/>
        </w:rPr>
      </w:pPr>
      <w:r>
        <w:rPr>
          <w:sz w:val="24"/>
        </w:rPr>
        <w:t>Shri A. R. Dawood, former Director, Extension Programmes for Secondary </w:t>
      </w:r>
      <w:r>
        <w:rPr>
          <w:sz w:val="24"/>
        </w:rPr>
        <w:t>Education, New Delhi.</w:t>
      </w:r>
    </w:p>
    <w:p>
      <w:pPr>
        <w:pStyle w:val="BodyText"/>
        <w:spacing w:before="5"/>
      </w:pPr>
    </w:p>
    <w:p>
      <w:pPr>
        <w:pStyle w:val="ListParagraph"/>
        <w:numPr>
          <w:ilvl w:val="0"/>
          <w:numId w:val="145"/>
        </w:numPr>
        <w:tabs>
          <w:tab w:pos="400" w:val="left" w:leader="none"/>
        </w:tabs>
        <w:spacing w:line="240" w:lineRule="auto" w:before="0" w:after="0"/>
        <w:ind w:left="400" w:right="0" w:hanging="240"/>
        <w:jc w:val="left"/>
        <w:rPr>
          <w:sz w:val="24"/>
        </w:rPr>
      </w:pPr>
      <w:r>
        <w:rPr>
          <w:sz w:val="24"/>
        </w:rPr>
        <w:t>Mr.</w:t>
      </w:r>
      <w:r>
        <w:rPr>
          <w:spacing w:val="-6"/>
          <w:sz w:val="24"/>
        </w:rPr>
        <w:t> </w:t>
      </w:r>
      <w:r>
        <w:rPr>
          <w:sz w:val="24"/>
        </w:rPr>
        <w:t>H.</w:t>
      </w:r>
      <w:r>
        <w:rPr>
          <w:spacing w:val="-3"/>
          <w:sz w:val="24"/>
        </w:rPr>
        <w:t> </w:t>
      </w:r>
      <w:r>
        <w:rPr>
          <w:sz w:val="24"/>
        </w:rPr>
        <w:t>L.</w:t>
      </w:r>
      <w:r>
        <w:rPr>
          <w:spacing w:val="-3"/>
          <w:sz w:val="24"/>
        </w:rPr>
        <w:t> </w:t>
      </w:r>
      <w:r>
        <w:rPr>
          <w:sz w:val="24"/>
        </w:rPr>
        <w:t>Elvin,</w:t>
      </w:r>
      <w:r>
        <w:rPr>
          <w:spacing w:val="-3"/>
          <w:sz w:val="24"/>
        </w:rPr>
        <w:t> </w:t>
      </w:r>
      <w:r>
        <w:rPr>
          <w:sz w:val="24"/>
        </w:rPr>
        <w:t>Director,</w:t>
      </w:r>
      <w:r>
        <w:rPr>
          <w:spacing w:val="-4"/>
          <w:sz w:val="24"/>
        </w:rPr>
        <w:t> </w:t>
      </w:r>
      <w:r>
        <w:rPr>
          <w:sz w:val="24"/>
        </w:rPr>
        <w:t>Institute</w:t>
      </w:r>
      <w:r>
        <w:rPr>
          <w:spacing w:val="-4"/>
          <w:sz w:val="24"/>
        </w:rPr>
        <w:t> </w:t>
      </w:r>
      <w:r>
        <w:rPr>
          <w:sz w:val="24"/>
        </w:rPr>
        <w:t>of</w:t>
      </w:r>
      <w:r>
        <w:rPr>
          <w:spacing w:val="-4"/>
          <w:sz w:val="24"/>
        </w:rPr>
        <w:t> </w:t>
      </w:r>
      <w:r>
        <w:rPr>
          <w:sz w:val="24"/>
        </w:rPr>
        <w:t>Education,</w:t>
      </w:r>
      <w:r>
        <w:rPr>
          <w:spacing w:val="-4"/>
          <w:sz w:val="24"/>
        </w:rPr>
        <w:t> </w:t>
      </w:r>
      <w:r>
        <w:rPr>
          <w:sz w:val="24"/>
        </w:rPr>
        <w:t>University</w:t>
      </w:r>
      <w:r>
        <w:rPr>
          <w:spacing w:val="-4"/>
          <w:sz w:val="24"/>
        </w:rPr>
        <w:t> </w:t>
      </w:r>
      <w:r>
        <w:rPr>
          <w:sz w:val="24"/>
        </w:rPr>
        <w:t>of</w:t>
      </w:r>
      <w:r>
        <w:rPr>
          <w:spacing w:val="-4"/>
          <w:sz w:val="24"/>
        </w:rPr>
        <w:t> </w:t>
      </w:r>
      <w:r>
        <w:rPr>
          <w:sz w:val="24"/>
        </w:rPr>
        <w:t>London,</w:t>
      </w:r>
      <w:r>
        <w:rPr>
          <w:spacing w:val="-4"/>
          <w:sz w:val="24"/>
        </w:rPr>
        <w:t> </w:t>
      </w:r>
      <w:r>
        <w:rPr>
          <w:spacing w:val="-2"/>
          <w:sz w:val="24"/>
        </w:rPr>
        <w:t>London.</w:t>
      </w:r>
    </w:p>
    <w:p>
      <w:pPr>
        <w:pStyle w:val="BodyText"/>
        <w:spacing w:before="2"/>
      </w:pPr>
    </w:p>
    <w:p>
      <w:pPr>
        <w:pStyle w:val="ListParagraph"/>
        <w:numPr>
          <w:ilvl w:val="0"/>
          <w:numId w:val="145"/>
        </w:numPr>
        <w:tabs>
          <w:tab w:pos="446" w:val="left" w:leader="none"/>
        </w:tabs>
        <w:spacing w:line="240" w:lineRule="auto" w:before="0" w:after="0"/>
        <w:ind w:left="160" w:right="497" w:firstLine="0"/>
        <w:jc w:val="left"/>
        <w:rPr>
          <w:sz w:val="24"/>
        </w:rPr>
      </w:pPr>
      <w:r>
        <w:rPr>
          <w:sz w:val="24"/>
        </w:rPr>
        <w:t>Shri</w:t>
      </w:r>
      <w:r>
        <w:rPr>
          <w:spacing w:val="40"/>
          <w:sz w:val="24"/>
        </w:rPr>
        <w:t> </w:t>
      </w:r>
      <w:r>
        <w:rPr>
          <w:sz w:val="24"/>
        </w:rPr>
        <w:t>R.</w:t>
      </w:r>
      <w:r>
        <w:rPr>
          <w:spacing w:val="40"/>
          <w:sz w:val="24"/>
        </w:rPr>
        <w:t> </w:t>
      </w:r>
      <w:r>
        <w:rPr>
          <w:sz w:val="24"/>
        </w:rPr>
        <w:t>A.</w:t>
      </w:r>
      <w:r>
        <w:rPr>
          <w:spacing w:val="40"/>
          <w:sz w:val="24"/>
        </w:rPr>
        <w:t> </w:t>
      </w:r>
      <w:r>
        <w:rPr>
          <w:sz w:val="24"/>
        </w:rPr>
        <w:t>Gopalaswami,</w:t>
      </w:r>
      <w:r>
        <w:rPr>
          <w:spacing w:val="40"/>
          <w:sz w:val="24"/>
        </w:rPr>
        <w:t> </w:t>
      </w:r>
      <w:r>
        <w:rPr>
          <w:sz w:val="24"/>
        </w:rPr>
        <w:t>Director,</w:t>
      </w:r>
      <w:r>
        <w:rPr>
          <w:spacing w:val="40"/>
          <w:sz w:val="24"/>
        </w:rPr>
        <w:t> </w:t>
      </w:r>
      <w:r>
        <w:rPr>
          <w:sz w:val="24"/>
        </w:rPr>
        <w:t>Institute</w:t>
      </w:r>
      <w:r>
        <w:rPr>
          <w:spacing w:val="40"/>
          <w:sz w:val="24"/>
        </w:rPr>
        <w:t> </w:t>
      </w:r>
      <w:r>
        <w:rPr>
          <w:sz w:val="24"/>
        </w:rPr>
        <w:t>of</w:t>
      </w:r>
      <w:r>
        <w:rPr>
          <w:spacing w:val="40"/>
          <w:sz w:val="24"/>
        </w:rPr>
        <w:t> </w:t>
      </w:r>
      <w:r>
        <w:rPr>
          <w:sz w:val="24"/>
        </w:rPr>
        <w:t>Applied</w:t>
      </w:r>
      <w:r>
        <w:rPr>
          <w:spacing w:val="40"/>
          <w:sz w:val="24"/>
        </w:rPr>
        <w:t> </w:t>
      </w:r>
      <w:r>
        <w:rPr>
          <w:sz w:val="24"/>
        </w:rPr>
        <w:t>Manpower</w:t>
      </w:r>
      <w:r>
        <w:rPr>
          <w:spacing w:val="40"/>
          <w:sz w:val="24"/>
        </w:rPr>
        <w:t> </w:t>
      </w:r>
      <w:r>
        <w:rPr>
          <w:sz w:val="24"/>
        </w:rPr>
        <w:t>Research,</w:t>
      </w:r>
      <w:r>
        <w:rPr>
          <w:spacing w:val="40"/>
          <w:sz w:val="24"/>
        </w:rPr>
        <w:t> </w:t>
      </w:r>
      <w:r>
        <w:rPr>
          <w:sz w:val="24"/>
        </w:rPr>
        <w:t>New </w:t>
      </w:r>
      <w:r>
        <w:rPr>
          <w:spacing w:val="-2"/>
          <w:sz w:val="24"/>
        </w:rPr>
        <w:t>Delhi.</w:t>
      </w:r>
    </w:p>
    <w:p>
      <w:pPr>
        <w:pStyle w:val="BodyText"/>
        <w:spacing w:before="4"/>
      </w:pPr>
    </w:p>
    <w:p>
      <w:pPr>
        <w:pStyle w:val="ListParagraph"/>
        <w:numPr>
          <w:ilvl w:val="0"/>
          <w:numId w:val="145"/>
        </w:numPr>
        <w:tabs>
          <w:tab w:pos="459" w:val="left" w:leader="none"/>
        </w:tabs>
        <w:spacing w:line="240" w:lineRule="auto" w:before="0" w:after="0"/>
        <w:ind w:left="160" w:right="498" w:firstLine="0"/>
        <w:jc w:val="left"/>
        <w:rPr>
          <w:sz w:val="24"/>
        </w:rPr>
      </w:pPr>
      <w:r>
        <w:rPr>
          <w:sz w:val="24"/>
        </w:rPr>
        <w:t>Dr.</w:t>
      </w:r>
      <w:r>
        <w:rPr>
          <w:spacing w:val="40"/>
          <w:sz w:val="24"/>
        </w:rPr>
        <w:t> </w:t>
      </w:r>
      <w:r>
        <w:rPr>
          <w:sz w:val="24"/>
        </w:rPr>
        <w:t>V.</w:t>
      </w:r>
      <w:r>
        <w:rPr>
          <w:spacing w:val="40"/>
          <w:sz w:val="24"/>
        </w:rPr>
        <w:t> </w:t>
      </w:r>
      <w:r>
        <w:rPr>
          <w:sz w:val="24"/>
        </w:rPr>
        <w:t>S.</w:t>
      </w:r>
      <w:r>
        <w:rPr>
          <w:spacing w:val="40"/>
          <w:sz w:val="24"/>
        </w:rPr>
        <w:t> </w:t>
      </w:r>
      <w:r>
        <w:rPr>
          <w:sz w:val="24"/>
        </w:rPr>
        <w:t>Jha,</w:t>
      </w:r>
      <w:r>
        <w:rPr>
          <w:spacing w:val="40"/>
          <w:sz w:val="24"/>
        </w:rPr>
        <w:t> </w:t>
      </w:r>
      <w:r>
        <w:rPr>
          <w:sz w:val="24"/>
        </w:rPr>
        <w:t>former</w:t>
      </w:r>
      <w:r>
        <w:rPr>
          <w:spacing w:val="40"/>
          <w:sz w:val="24"/>
        </w:rPr>
        <w:t> </w:t>
      </w:r>
      <w:r>
        <w:rPr>
          <w:sz w:val="24"/>
        </w:rPr>
        <w:t>Director</w:t>
      </w:r>
      <w:r>
        <w:rPr>
          <w:spacing w:val="40"/>
          <w:sz w:val="24"/>
        </w:rPr>
        <w:t> </w:t>
      </w:r>
      <w:r>
        <w:rPr>
          <w:sz w:val="24"/>
        </w:rPr>
        <w:t>of</w:t>
      </w:r>
      <w:r>
        <w:rPr>
          <w:spacing w:val="40"/>
          <w:sz w:val="24"/>
        </w:rPr>
        <w:t> </w:t>
      </w:r>
      <w:r>
        <w:rPr>
          <w:sz w:val="24"/>
        </w:rPr>
        <w:t>the</w:t>
      </w:r>
      <w:r>
        <w:rPr>
          <w:spacing w:val="40"/>
          <w:sz w:val="24"/>
        </w:rPr>
        <w:t> </w:t>
      </w:r>
      <w:r>
        <w:rPr>
          <w:sz w:val="24"/>
        </w:rPr>
        <w:t>Commonwealth</w:t>
      </w:r>
      <w:r>
        <w:rPr>
          <w:spacing w:val="40"/>
          <w:sz w:val="24"/>
        </w:rPr>
        <w:t> </w:t>
      </w:r>
      <w:r>
        <w:rPr>
          <w:sz w:val="24"/>
        </w:rPr>
        <w:t>Education</w:t>
      </w:r>
      <w:r>
        <w:rPr>
          <w:spacing w:val="40"/>
          <w:sz w:val="24"/>
        </w:rPr>
        <w:t> </w:t>
      </w:r>
      <w:r>
        <w:rPr>
          <w:sz w:val="24"/>
        </w:rPr>
        <w:t>Liaison</w:t>
      </w:r>
      <w:r>
        <w:rPr>
          <w:spacing w:val="40"/>
          <w:sz w:val="24"/>
        </w:rPr>
        <w:t> </w:t>
      </w:r>
      <w:r>
        <w:rPr>
          <w:sz w:val="24"/>
        </w:rPr>
        <w:t>Unit</w:t>
      </w:r>
      <w:r>
        <w:rPr>
          <w:spacing w:val="40"/>
          <w:sz w:val="24"/>
        </w:rPr>
        <w:t> </w:t>
      </w:r>
      <w:r>
        <w:rPr>
          <w:sz w:val="24"/>
        </w:rPr>
        <w:t>in </w:t>
      </w:r>
      <w:r>
        <w:rPr>
          <w:spacing w:val="-2"/>
          <w:sz w:val="24"/>
        </w:rPr>
        <w:t>London.</w:t>
      </w:r>
    </w:p>
    <w:p>
      <w:pPr>
        <w:pStyle w:val="BodyText"/>
        <w:spacing w:before="6"/>
      </w:pPr>
    </w:p>
    <w:p>
      <w:pPr>
        <w:pStyle w:val="ListParagraph"/>
        <w:numPr>
          <w:ilvl w:val="0"/>
          <w:numId w:val="145"/>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P.</w:t>
      </w:r>
      <w:r>
        <w:rPr>
          <w:spacing w:val="-1"/>
          <w:sz w:val="24"/>
        </w:rPr>
        <w:t> </w:t>
      </w:r>
      <w:r>
        <w:rPr>
          <w:sz w:val="24"/>
        </w:rPr>
        <w:t>N.</w:t>
      </w:r>
      <w:r>
        <w:rPr>
          <w:spacing w:val="-1"/>
          <w:sz w:val="24"/>
        </w:rPr>
        <w:t> </w:t>
      </w:r>
      <w:r>
        <w:rPr>
          <w:sz w:val="24"/>
        </w:rPr>
        <w:t>Kirpal,</w:t>
      </w:r>
      <w:r>
        <w:rPr>
          <w:spacing w:val="-1"/>
          <w:sz w:val="24"/>
        </w:rPr>
        <w:t> </w:t>
      </w:r>
      <w:r>
        <w:rPr>
          <w:sz w:val="24"/>
        </w:rPr>
        <w:t>Educational</w:t>
      </w:r>
      <w:r>
        <w:rPr>
          <w:spacing w:val="-1"/>
          <w:sz w:val="24"/>
        </w:rPr>
        <w:t> </w:t>
      </w:r>
      <w:r>
        <w:rPr>
          <w:sz w:val="24"/>
        </w:rPr>
        <w:t>Adviser</w:t>
      </w:r>
      <w:r>
        <w:rPr>
          <w:spacing w:val="-1"/>
          <w:sz w:val="24"/>
        </w:rPr>
        <w:t> </w:t>
      </w:r>
      <w:r>
        <w:rPr>
          <w:sz w:val="24"/>
        </w:rPr>
        <w:t>to</w:t>
      </w:r>
      <w:r>
        <w:rPr>
          <w:spacing w:val="-3"/>
          <w:sz w:val="24"/>
        </w:rPr>
        <w:t> </w:t>
      </w:r>
      <w:r>
        <w:rPr>
          <w:sz w:val="24"/>
        </w:rPr>
        <w:t>the</w:t>
      </w:r>
      <w:r>
        <w:rPr>
          <w:spacing w:val="-1"/>
          <w:sz w:val="24"/>
        </w:rPr>
        <w:t> </w:t>
      </w:r>
      <w:r>
        <w:rPr>
          <w:sz w:val="24"/>
        </w:rPr>
        <w:t>Government</w:t>
      </w:r>
      <w:r>
        <w:rPr>
          <w:spacing w:val="1"/>
          <w:sz w:val="24"/>
        </w:rPr>
        <w:t> </w:t>
      </w:r>
      <w:r>
        <w:rPr>
          <w:sz w:val="24"/>
        </w:rPr>
        <w:t>of</w:t>
      </w:r>
      <w:r>
        <w:rPr>
          <w:spacing w:val="-1"/>
          <w:sz w:val="24"/>
        </w:rPr>
        <w:t> </w:t>
      </w:r>
      <w:r>
        <w:rPr>
          <w:sz w:val="24"/>
        </w:rPr>
        <w:t>India,</w:t>
      </w:r>
      <w:r>
        <w:rPr>
          <w:spacing w:val="-1"/>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45"/>
        </w:numPr>
        <w:tabs>
          <w:tab w:pos="411" w:val="left" w:leader="none"/>
        </w:tabs>
        <w:spacing w:line="240" w:lineRule="auto" w:before="1" w:after="0"/>
        <w:ind w:left="160" w:right="497" w:firstLine="0"/>
        <w:jc w:val="left"/>
        <w:rPr>
          <w:sz w:val="24"/>
        </w:rPr>
      </w:pPr>
      <w:r>
        <w:rPr>
          <w:sz w:val="24"/>
        </w:rPr>
        <w:t>Prof. M. V. Mathur, Professor of Economics and Public Administration, University of Rajasthan, Jaipur.</w:t>
      </w:r>
    </w:p>
    <w:p>
      <w:pPr>
        <w:pStyle w:val="BodyText"/>
        <w:spacing w:before="4"/>
      </w:pPr>
    </w:p>
    <w:p>
      <w:pPr>
        <w:pStyle w:val="ListParagraph"/>
        <w:numPr>
          <w:ilvl w:val="0"/>
          <w:numId w:val="145"/>
        </w:numPr>
        <w:tabs>
          <w:tab w:pos="400" w:val="left" w:leader="none"/>
        </w:tabs>
        <w:spacing w:line="240" w:lineRule="auto" w:before="1" w:after="0"/>
        <w:ind w:left="400" w:right="0" w:hanging="240"/>
        <w:jc w:val="left"/>
        <w:rPr>
          <w:sz w:val="24"/>
        </w:rPr>
      </w:pPr>
      <w:r>
        <w:rPr>
          <w:sz w:val="24"/>
        </w:rPr>
        <w:t>Dr.</w:t>
      </w:r>
      <w:r>
        <w:rPr>
          <w:spacing w:val="-1"/>
          <w:sz w:val="24"/>
        </w:rPr>
        <w:t> </w:t>
      </w:r>
      <w:r>
        <w:rPr>
          <w:sz w:val="24"/>
        </w:rPr>
        <w:t>B.</w:t>
      </w:r>
      <w:r>
        <w:rPr>
          <w:spacing w:val="-1"/>
          <w:sz w:val="24"/>
        </w:rPr>
        <w:t> </w:t>
      </w:r>
      <w:r>
        <w:rPr>
          <w:sz w:val="24"/>
        </w:rPr>
        <w:t>P. Pal,</w:t>
      </w:r>
      <w:r>
        <w:rPr>
          <w:spacing w:val="-1"/>
          <w:sz w:val="24"/>
        </w:rPr>
        <w:t> </w:t>
      </w:r>
      <w:r>
        <w:rPr>
          <w:sz w:val="24"/>
        </w:rPr>
        <w:t>Director,</w:t>
      </w:r>
      <w:r>
        <w:rPr>
          <w:spacing w:val="-1"/>
          <w:sz w:val="24"/>
        </w:rPr>
        <w:t> </w:t>
      </w:r>
      <w:r>
        <w:rPr>
          <w:sz w:val="24"/>
        </w:rPr>
        <w:t>Indian Agricultural</w:t>
      </w:r>
      <w:r>
        <w:rPr>
          <w:spacing w:val="-1"/>
          <w:sz w:val="24"/>
        </w:rPr>
        <w:t> </w:t>
      </w:r>
      <w:r>
        <w:rPr>
          <w:sz w:val="24"/>
        </w:rPr>
        <w:t>Research</w:t>
      </w:r>
      <w:r>
        <w:rPr>
          <w:spacing w:val="-1"/>
          <w:sz w:val="24"/>
        </w:rPr>
        <w:t> </w:t>
      </w:r>
      <w:r>
        <w:rPr>
          <w:sz w:val="24"/>
        </w:rPr>
        <w:t>Institute,</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45"/>
        </w:numPr>
        <w:tabs>
          <w:tab w:pos="437" w:val="left" w:leader="none"/>
        </w:tabs>
        <w:spacing w:line="240" w:lineRule="auto" w:before="0" w:after="0"/>
        <w:ind w:left="160" w:right="499" w:firstLine="0"/>
        <w:jc w:val="left"/>
        <w:rPr>
          <w:sz w:val="24"/>
        </w:rPr>
      </w:pPr>
      <w:r>
        <w:rPr>
          <w:sz w:val="24"/>
        </w:rPr>
        <w:t>Kumari</w:t>
      </w:r>
      <w:r>
        <w:rPr>
          <w:spacing w:val="33"/>
          <w:sz w:val="24"/>
        </w:rPr>
        <w:t> </w:t>
      </w:r>
      <w:r>
        <w:rPr>
          <w:sz w:val="24"/>
        </w:rPr>
        <w:t>S.</w:t>
      </w:r>
      <w:r>
        <w:rPr>
          <w:spacing w:val="33"/>
          <w:sz w:val="24"/>
        </w:rPr>
        <w:t> </w:t>
      </w:r>
      <w:r>
        <w:rPr>
          <w:sz w:val="24"/>
        </w:rPr>
        <w:t>Panandikar,</w:t>
      </w:r>
      <w:r>
        <w:rPr>
          <w:spacing w:val="33"/>
          <w:sz w:val="24"/>
        </w:rPr>
        <w:t> </w:t>
      </w:r>
      <w:r>
        <w:rPr>
          <w:sz w:val="24"/>
        </w:rPr>
        <w:t>Head</w:t>
      </w:r>
      <w:r>
        <w:rPr>
          <w:spacing w:val="33"/>
          <w:sz w:val="24"/>
        </w:rPr>
        <w:t> </w:t>
      </w:r>
      <w:r>
        <w:rPr>
          <w:sz w:val="24"/>
        </w:rPr>
        <w:t>of</w:t>
      </w:r>
      <w:r>
        <w:rPr>
          <w:spacing w:val="33"/>
          <w:sz w:val="24"/>
        </w:rPr>
        <w:t> </w:t>
      </w:r>
      <w:r>
        <w:rPr>
          <w:sz w:val="24"/>
        </w:rPr>
        <w:t>the</w:t>
      </w:r>
      <w:r>
        <w:rPr>
          <w:spacing w:val="33"/>
          <w:sz w:val="24"/>
        </w:rPr>
        <w:t> </w:t>
      </w:r>
      <w:r>
        <w:rPr>
          <w:sz w:val="24"/>
        </w:rPr>
        <w:t>Department</w:t>
      </w:r>
      <w:r>
        <w:rPr>
          <w:spacing w:val="33"/>
          <w:sz w:val="24"/>
        </w:rPr>
        <w:t> </w:t>
      </w:r>
      <w:r>
        <w:rPr>
          <w:sz w:val="24"/>
        </w:rPr>
        <w:t>of</w:t>
      </w:r>
      <w:r>
        <w:rPr>
          <w:spacing w:val="33"/>
          <w:sz w:val="24"/>
        </w:rPr>
        <w:t> </w:t>
      </w:r>
      <w:r>
        <w:rPr>
          <w:sz w:val="24"/>
        </w:rPr>
        <w:t>Education,</w:t>
      </w:r>
      <w:r>
        <w:rPr>
          <w:spacing w:val="33"/>
          <w:sz w:val="24"/>
        </w:rPr>
        <w:t> </w:t>
      </w:r>
      <w:r>
        <w:rPr>
          <w:sz w:val="24"/>
        </w:rPr>
        <w:t>Karnatak</w:t>
      </w:r>
      <w:r>
        <w:rPr>
          <w:spacing w:val="33"/>
          <w:sz w:val="24"/>
        </w:rPr>
        <w:t> </w:t>
      </w:r>
      <w:r>
        <w:rPr>
          <w:sz w:val="24"/>
        </w:rPr>
        <w:t>University, </w:t>
      </w:r>
      <w:r>
        <w:rPr>
          <w:spacing w:val="-2"/>
          <w:sz w:val="24"/>
        </w:rPr>
        <w:t>Dharwar.</w:t>
      </w:r>
    </w:p>
    <w:p>
      <w:pPr>
        <w:pStyle w:val="BodyText"/>
        <w:spacing w:before="5"/>
      </w:pPr>
    </w:p>
    <w:p>
      <w:pPr>
        <w:pStyle w:val="ListParagraph"/>
        <w:numPr>
          <w:ilvl w:val="0"/>
          <w:numId w:val="145"/>
        </w:numPr>
        <w:tabs>
          <w:tab w:pos="519" w:val="left" w:leader="none"/>
        </w:tabs>
        <w:spacing w:line="240" w:lineRule="auto" w:before="0" w:after="0"/>
        <w:ind w:left="519" w:right="0" w:hanging="359"/>
        <w:jc w:val="left"/>
        <w:rPr>
          <w:sz w:val="24"/>
        </w:rPr>
      </w:pPr>
      <w:r>
        <w:rPr>
          <w:sz w:val="24"/>
        </w:rPr>
        <w:t>Prof.</w:t>
      </w:r>
      <w:r>
        <w:rPr>
          <w:spacing w:val="-6"/>
          <w:sz w:val="24"/>
        </w:rPr>
        <w:t> </w:t>
      </w:r>
      <w:r>
        <w:rPr>
          <w:sz w:val="24"/>
        </w:rPr>
        <w:t>Roger</w:t>
      </w:r>
      <w:r>
        <w:rPr>
          <w:spacing w:val="-3"/>
          <w:sz w:val="24"/>
        </w:rPr>
        <w:t> </w:t>
      </w:r>
      <w:r>
        <w:rPr>
          <w:sz w:val="24"/>
        </w:rPr>
        <w:t>Revelle,</w:t>
      </w:r>
      <w:r>
        <w:rPr>
          <w:spacing w:val="-3"/>
          <w:sz w:val="24"/>
        </w:rPr>
        <w:t> </w:t>
      </w:r>
      <w:r>
        <w:rPr>
          <w:sz w:val="24"/>
        </w:rPr>
        <w:t>Dean</w:t>
      </w:r>
      <w:r>
        <w:rPr>
          <w:spacing w:val="-4"/>
          <w:sz w:val="24"/>
        </w:rPr>
        <w:t> </w:t>
      </w:r>
      <w:r>
        <w:rPr>
          <w:sz w:val="24"/>
        </w:rPr>
        <w:t>of</w:t>
      </w:r>
      <w:r>
        <w:rPr>
          <w:spacing w:val="-3"/>
          <w:sz w:val="24"/>
        </w:rPr>
        <w:t> </w:t>
      </w:r>
      <w:r>
        <w:rPr>
          <w:sz w:val="24"/>
        </w:rPr>
        <w:t>Research,</w:t>
      </w:r>
      <w:r>
        <w:rPr>
          <w:spacing w:val="-3"/>
          <w:sz w:val="24"/>
        </w:rPr>
        <w:t> </w:t>
      </w:r>
      <w:r>
        <w:rPr>
          <w:sz w:val="24"/>
        </w:rPr>
        <w:t>University</w:t>
      </w:r>
      <w:r>
        <w:rPr>
          <w:spacing w:val="-4"/>
          <w:sz w:val="24"/>
        </w:rPr>
        <w:t> </w:t>
      </w:r>
      <w:r>
        <w:rPr>
          <w:sz w:val="24"/>
        </w:rPr>
        <w:t>of</w:t>
      </w:r>
      <w:r>
        <w:rPr>
          <w:spacing w:val="-3"/>
          <w:sz w:val="24"/>
        </w:rPr>
        <w:t> </w:t>
      </w:r>
      <w:r>
        <w:rPr>
          <w:sz w:val="24"/>
        </w:rPr>
        <w:t>California,</w:t>
      </w:r>
      <w:r>
        <w:rPr>
          <w:spacing w:val="-3"/>
          <w:sz w:val="24"/>
        </w:rPr>
        <w:t> </w:t>
      </w:r>
      <w:r>
        <w:rPr>
          <w:spacing w:val="-5"/>
          <w:sz w:val="24"/>
        </w:rPr>
        <w:t>USA</w:t>
      </w:r>
    </w:p>
    <w:p>
      <w:pPr>
        <w:pStyle w:val="BodyText"/>
        <w:spacing w:before="2"/>
      </w:pPr>
    </w:p>
    <w:p>
      <w:pPr>
        <w:pStyle w:val="ListParagraph"/>
        <w:numPr>
          <w:ilvl w:val="0"/>
          <w:numId w:val="145"/>
        </w:numPr>
        <w:tabs>
          <w:tab w:pos="548" w:val="left" w:leader="none"/>
        </w:tabs>
        <w:spacing w:line="240" w:lineRule="auto" w:before="0" w:after="0"/>
        <w:ind w:left="160" w:right="495" w:firstLine="0"/>
        <w:jc w:val="left"/>
        <w:rPr>
          <w:sz w:val="24"/>
        </w:rPr>
      </w:pPr>
      <w:r>
        <w:rPr>
          <w:sz w:val="24"/>
        </w:rPr>
        <w:t>Dr.</w:t>
      </w:r>
      <w:r>
        <w:rPr>
          <w:spacing w:val="25"/>
          <w:sz w:val="24"/>
        </w:rPr>
        <w:t> </w:t>
      </w:r>
      <w:r>
        <w:rPr>
          <w:sz w:val="24"/>
        </w:rPr>
        <w:t>K.</w:t>
      </w:r>
      <w:r>
        <w:rPr>
          <w:spacing w:val="25"/>
          <w:sz w:val="24"/>
        </w:rPr>
        <w:t> </w:t>
      </w:r>
      <w:r>
        <w:rPr>
          <w:sz w:val="24"/>
        </w:rPr>
        <w:t>G.</w:t>
      </w:r>
      <w:r>
        <w:rPr>
          <w:spacing w:val="25"/>
          <w:sz w:val="24"/>
        </w:rPr>
        <w:t> </w:t>
      </w:r>
      <w:r>
        <w:rPr>
          <w:sz w:val="24"/>
        </w:rPr>
        <w:t>Saiyidain,</w:t>
      </w:r>
      <w:r>
        <w:rPr>
          <w:spacing w:val="25"/>
          <w:sz w:val="24"/>
        </w:rPr>
        <w:t> </w:t>
      </w:r>
      <w:r>
        <w:rPr>
          <w:sz w:val="24"/>
        </w:rPr>
        <w:t>former</w:t>
      </w:r>
      <w:r>
        <w:rPr>
          <w:spacing w:val="25"/>
          <w:sz w:val="24"/>
        </w:rPr>
        <w:t> </w:t>
      </w:r>
      <w:r>
        <w:rPr>
          <w:sz w:val="24"/>
        </w:rPr>
        <w:t>Educational</w:t>
      </w:r>
      <w:r>
        <w:rPr>
          <w:spacing w:val="24"/>
          <w:sz w:val="24"/>
        </w:rPr>
        <w:t> </w:t>
      </w:r>
      <w:r>
        <w:rPr>
          <w:sz w:val="24"/>
        </w:rPr>
        <w:t>Adviser</w:t>
      </w:r>
      <w:r>
        <w:rPr>
          <w:spacing w:val="25"/>
          <w:sz w:val="24"/>
        </w:rPr>
        <w:t> </w:t>
      </w:r>
      <w:r>
        <w:rPr>
          <w:sz w:val="24"/>
        </w:rPr>
        <w:t>to</w:t>
      </w:r>
      <w:r>
        <w:rPr>
          <w:spacing w:val="25"/>
          <w:sz w:val="24"/>
        </w:rPr>
        <w:t> </w:t>
      </w:r>
      <w:r>
        <w:rPr>
          <w:sz w:val="24"/>
        </w:rPr>
        <w:t>the</w:t>
      </w:r>
      <w:r>
        <w:rPr>
          <w:spacing w:val="25"/>
          <w:sz w:val="24"/>
        </w:rPr>
        <w:t> </w:t>
      </w:r>
      <w:r>
        <w:rPr>
          <w:sz w:val="24"/>
        </w:rPr>
        <w:t>Government</w:t>
      </w:r>
      <w:r>
        <w:rPr>
          <w:spacing w:val="25"/>
          <w:sz w:val="24"/>
        </w:rPr>
        <w:t> </w:t>
      </w:r>
      <w:r>
        <w:rPr>
          <w:sz w:val="24"/>
        </w:rPr>
        <w:t>of</w:t>
      </w:r>
      <w:r>
        <w:rPr>
          <w:spacing w:val="25"/>
          <w:sz w:val="24"/>
        </w:rPr>
        <w:t> </w:t>
      </w:r>
      <w:r>
        <w:rPr>
          <w:sz w:val="24"/>
        </w:rPr>
        <w:t>India,</w:t>
      </w:r>
      <w:r>
        <w:rPr>
          <w:spacing w:val="25"/>
          <w:sz w:val="24"/>
        </w:rPr>
        <w:t> </w:t>
      </w:r>
      <w:r>
        <w:rPr>
          <w:sz w:val="24"/>
        </w:rPr>
        <w:t>New </w:t>
      </w:r>
      <w:r>
        <w:rPr>
          <w:spacing w:val="-2"/>
          <w:sz w:val="24"/>
        </w:rPr>
        <w:t>Delhi.</w:t>
      </w:r>
    </w:p>
    <w:p>
      <w:pPr>
        <w:pStyle w:val="BodyText"/>
        <w:spacing w:before="6"/>
      </w:pPr>
    </w:p>
    <w:p>
      <w:pPr>
        <w:pStyle w:val="ListParagraph"/>
        <w:numPr>
          <w:ilvl w:val="0"/>
          <w:numId w:val="145"/>
        </w:numPr>
        <w:tabs>
          <w:tab w:pos="520" w:val="left" w:leader="none"/>
        </w:tabs>
        <w:spacing w:line="240" w:lineRule="auto" w:before="1" w:after="0"/>
        <w:ind w:left="520" w:right="0" w:hanging="360"/>
        <w:jc w:val="left"/>
        <w:rPr>
          <w:sz w:val="24"/>
        </w:rPr>
      </w:pPr>
      <w:r>
        <w:rPr>
          <w:sz w:val="24"/>
        </w:rPr>
        <w:t>Dr. T. Sen, Rector, Jadavpur University, </w:t>
      </w:r>
      <w:r>
        <w:rPr>
          <w:spacing w:val="-2"/>
          <w:sz w:val="24"/>
        </w:rPr>
        <w:t>Calcutta.</w:t>
      </w:r>
    </w:p>
    <w:p>
      <w:pPr>
        <w:pStyle w:val="BodyText"/>
        <w:spacing w:before="2"/>
      </w:pPr>
    </w:p>
    <w:p>
      <w:pPr>
        <w:pStyle w:val="ListParagraph"/>
        <w:numPr>
          <w:ilvl w:val="0"/>
          <w:numId w:val="145"/>
        </w:numPr>
        <w:tabs>
          <w:tab w:pos="556" w:val="left" w:leader="none"/>
        </w:tabs>
        <w:spacing w:line="240" w:lineRule="auto" w:before="0" w:after="0"/>
        <w:ind w:left="160" w:right="496" w:firstLine="0"/>
        <w:jc w:val="left"/>
        <w:rPr>
          <w:sz w:val="24"/>
        </w:rPr>
      </w:pPr>
      <w:r>
        <w:rPr>
          <w:sz w:val="24"/>
        </w:rPr>
        <w:t>Mr.</w:t>
      </w:r>
      <w:r>
        <w:rPr>
          <w:spacing w:val="33"/>
          <w:sz w:val="24"/>
        </w:rPr>
        <w:t> </w:t>
      </w:r>
      <w:r>
        <w:rPr>
          <w:sz w:val="24"/>
        </w:rPr>
        <w:t>Jean</w:t>
      </w:r>
      <w:r>
        <w:rPr>
          <w:spacing w:val="33"/>
          <w:sz w:val="24"/>
        </w:rPr>
        <w:t> </w:t>
      </w:r>
      <w:r>
        <w:rPr>
          <w:sz w:val="24"/>
        </w:rPr>
        <w:t>Thomas,</w:t>
      </w:r>
      <w:r>
        <w:rPr>
          <w:spacing w:val="33"/>
          <w:sz w:val="24"/>
        </w:rPr>
        <w:t> </w:t>
      </w:r>
      <w:r>
        <w:rPr>
          <w:sz w:val="24"/>
        </w:rPr>
        <w:t>Inspector</w:t>
      </w:r>
      <w:r>
        <w:rPr>
          <w:spacing w:val="33"/>
          <w:sz w:val="24"/>
        </w:rPr>
        <w:t> </w:t>
      </w:r>
      <w:r>
        <w:rPr>
          <w:sz w:val="24"/>
        </w:rPr>
        <w:t>General</w:t>
      </w:r>
      <w:r>
        <w:rPr>
          <w:spacing w:val="33"/>
          <w:sz w:val="24"/>
        </w:rPr>
        <w:t> </w:t>
      </w:r>
      <w:r>
        <w:rPr>
          <w:sz w:val="24"/>
        </w:rPr>
        <w:t>of</w:t>
      </w:r>
      <w:r>
        <w:rPr>
          <w:spacing w:val="33"/>
          <w:sz w:val="24"/>
        </w:rPr>
        <w:t> </w:t>
      </w:r>
      <w:r>
        <w:rPr>
          <w:sz w:val="24"/>
        </w:rPr>
        <w:t>Education,</w:t>
      </w:r>
      <w:r>
        <w:rPr>
          <w:spacing w:val="33"/>
          <w:sz w:val="24"/>
        </w:rPr>
        <w:t> </w:t>
      </w:r>
      <w:r>
        <w:rPr>
          <w:sz w:val="24"/>
        </w:rPr>
        <w:t>France,</w:t>
      </w:r>
      <w:r>
        <w:rPr>
          <w:spacing w:val="33"/>
          <w:sz w:val="24"/>
        </w:rPr>
        <w:t> </w:t>
      </w:r>
      <w:r>
        <w:rPr>
          <w:sz w:val="24"/>
        </w:rPr>
        <w:t>and</w:t>
      </w:r>
      <w:r>
        <w:rPr>
          <w:spacing w:val="33"/>
          <w:sz w:val="24"/>
        </w:rPr>
        <w:t> </w:t>
      </w:r>
      <w:r>
        <w:rPr>
          <w:sz w:val="24"/>
        </w:rPr>
        <w:t>formerly</w:t>
      </w:r>
      <w:r>
        <w:rPr>
          <w:spacing w:val="33"/>
          <w:sz w:val="24"/>
        </w:rPr>
        <w:t> </w:t>
      </w:r>
      <w:r>
        <w:rPr>
          <w:sz w:val="24"/>
        </w:rPr>
        <w:t>Assistant Director-General of UNESCO.</w:t>
      </w:r>
    </w:p>
    <w:p>
      <w:pPr>
        <w:spacing w:after="0" w:line="240" w:lineRule="auto"/>
        <w:jc w:val="left"/>
        <w:rPr>
          <w:sz w:val="24"/>
        </w:rPr>
        <w:sectPr>
          <w:pgSz w:w="12240" w:h="15840"/>
          <w:pgMar w:header="0" w:footer="743" w:top="1360" w:bottom="940" w:left="1640" w:right="1300"/>
        </w:sectPr>
      </w:pPr>
    </w:p>
    <w:p>
      <w:pPr>
        <w:pStyle w:val="ListParagraph"/>
        <w:numPr>
          <w:ilvl w:val="0"/>
          <w:numId w:val="145"/>
        </w:numPr>
        <w:tabs>
          <w:tab w:pos="544" w:val="left" w:leader="none"/>
        </w:tabs>
        <w:spacing w:line="240" w:lineRule="auto" w:before="76" w:after="0"/>
        <w:ind w:left="159" w:right="497" w:firstLine="0"/>
        <w:jc w:val="both"/>
        <w:rPr>
          <w:sz w:val="24"/>
        </w:rPr>
      </w:pPr>
      <w:r>
        <w:rPr>
          <w:sz w:val="24"/>
        </w:rPr>
        <w:t>Prof. S. A. Shumovsky, Director, Methodological Division, Ministry of Higher and Special Secondary Education, RSFSR, Moscow, and Professor of Physics, </w:t>
      </w:r>
      <w:r>
        <w:rPr>
          <w:sz w:val="24"/>
        </w:rPr>
        <w:t>Moscow </w:t>
      </w:r>
      <w:r>
        <w:rPr>
          <w:spacing w:val="-2"/>
          <w:sz w:val="24"/>
        </w:rPr>
        <w:t>University.</w:t>
      </w:r>
    </w:p>
    <w:p>
      <w:pPr>
        <w:pStyle w:val="BodyText"/>
        <w:spacing w:before="4"/>
      </w:pPr>
    </w:p>
    <w:p>
      <w:pPr>
        <w:pStyle w:val="ListParagraph"/>
        <w:numPr>
          <w:ilvl w:val="0"/>
          <w:numId w:val="145"/>
        </w:numPr>
        <w:tabs>
          <w:tab w:pos="569" w:val="left" w:leader="none"/>
        </w:tabs>
        <w:spacing w:line="240" w:lineRule="auto" w:before="0" w:after="0"/>
        <w:ind w:left="159" w:right="496" w:firstLine="0"/>
        <w:jc w:val="both"/>
        <w:rPr>
          <w:sz w:val="24"/>
        </w:rPr>
      </w:pPr>
      <w:r>
        <w:rPr>
          <w:sz w:val="24"/>
        </w:rPr>
        <w:t>Prof. Sadatoshi Ihara, Professor of the First Faculty of Science and Technology, Waseda University, Tokyo.</w:t>
      </w:r>
    </w:p>
    <w:p>
      <w:pPr>
        <w:pStyle w:val="BodyText"/>
        <w:spacing w:before="6"/>
      </w:pPr>
    </w:p>
    <w:p>
      <w:pPr>
        <w:pStyle w:val="Heading2"/>
        <w:ind w:left="293" w:right="629"/>
        <w:jc w:val="center"/>
        <w:rPr>
          <w:rFonts w:ascii="Arial"/>
        </w:rPr>
      </w:pPr>
      <w:r>
        <w:rPr>
          <w:rFonts w:ascii="Arial"/>
          <w:spacing w:val="-2"/>
        </w:rPr>
        <w:t>Member-Secretary</w:t>
      </w:r>
    </w:p>
    <w:p>
      <w:pPr>
        <w:pStyle w:val="BodyText"/>
        <w:spacing w:before="4"/>
        <w:rPr>
          <w:rFonts w:ascii="Arial"/>
          <w:b/>
        </w:rPr>
      </w:pPr>
    </w:p>
    <w:p>
      <w:pPr>
        <w:pStyle w:val="ListParagraph"/>
        <w:numPr>
          <w:ilvl w:val="0"/>
          <w:numId w:val="145"/>
        </w:numPr>
        <w:tabs>
          <w:tab w:pos="526" w:val="left" w:leader="none"/>
        </w:tabs>
        <w:spacing w:line="240" w:lineRule="auto" w:before="0" w:after="0"/>
        <w:ind w:left="159" w:right="499" w:firstLine="0"/>
        <w:jc w:val="both"/>
        <w:rPr>
          <w:sz w:val="24"/>
        </w:rPr>
      </w:pPr>
      <w:r>
        <w:rPr>
          <w:sz w:val="24"/>
        </w:rPr>
        <w:t>Shri J. P. Naik, Head of the Department of Educational Planning, Administration and Finance, Gokhale Institute of Politics and Economics, Poona.</w:t>
      </w:r>
    </w:p>
    <w:p>
      <w:pPr>
        <w:pStyle w:val="BodyText"/>
        <w:spacing w:before="3"/>
      </w:pPr>
    </w:p>
    <w:p>
      <w:pPr>
        <w:pStyle w:val="Heading2"/>
        <w:spacing w:before="1"/>
        <w:ind w:left="290" w:right="630"/>
        <w:jc w:val="center"/>
        <w:rPr>
          <w:rFonts w:ascii="Arial"/>
        </w:rPr>
      </w:pPr>
      <w:r>
        <w:rPr>
          <w:rFonts w:ascii="Arial"/>
          <w:spacing w:val="-2"/>
        </w:rPr>
        <w:t>Associate</w:t>
      </w:r>
      <w:r>
        <w:rPr>
          <w:rFonts w:ascii="Arial"/>
          <w:spacing w:val="-4"/>
        </w:rPr>
        <w:t> </w:t>
      </w:r>
      <w:r>
        <w:rPr>
          <w:rFonts w:ascii="Arial"/>
          <w:spacing w:val="-2"/>
        </w:rPr>
        <w:t>Secretary</w:t>
      </w:r>
    </w:p>
    <w:p>
      <w:pPr>
        <w:pStyle w:val="BodyText"/>
        <w:spacing w:before="3"/>
        <w:rPr>
          <w:rFonts w:ascii="Arial"/>
          <w:b/>
        </w:rPr>
      </w:pPr>
    </w:p>
    <w:p>
      <w:pPr>
        <w:pStyle w:val="ListParagraph"/>
        <w:numPr>
          <w:ilvl w:val="0"/>
          <w:numId w:val="145"/>
        </w:numPr>
        <w:tabs>
          <w:tab w:pos="616" w:val="left" w:leader="none"/>
        </w:tabs>
        <w:spacing w:line="240" w:lineRule="auto" w:before="0" w:after="0"/>
        <w:ind w:left="159" w:right="500" w:firstLine="0"/>
        <w:jc w:val="both"/>
        <w:rPr>
          <w:sz w:val="24"/>
        </w:rPr>
      </w:pPr>
      <w:r>
        <w:rPr>
          <w:sz w:val="24"/>
        </w:rPr>
        <w:t>Mr. J. F. McDougall, Assistant Director, Department of School and Higher Education, UNESCO, Paris.</w:t>
      </w:r>
    </w:p>
    <w:p>
      <w:pPr>
        <w:pStyle w:val="BodyText"/>
        <w:spacing w:before="4"/>
      </w:pPr>
    </w:p>
    <w:p>
      <w:pPr>
        <w:pStyle w:val="BodyText"/>
        <w:ind w:left="159" w:right="497"/>
        <w:jc w:val="both"/>
      </w:pPr>
      <w:r>
        <w:rPr/>
        <w:t>AII.08.</w:t>
      </w:r>
      <w:r>
        <w:rPr>
          <w:spacing w:val="-4"/>
        </w:rPr>
        <w:t> </w:t>
      </w:r>
      <w:r>
        <w:rPr/>
        <w:t>The</w:t>
      </w:r>
      <w:r>
        <w:rPr>
          <w:spacing w:val="-4"/>
        </w:rPr>
        <w:t> </w:t>
      </w:r>
      <w:r>
        <w:rPr/>
        <w:t>Commission</w:t>
      </w:r>
      <w:r>
        <w:rPr>
          <w:spacing w:val="-4"/>
        </w:rPr>
        <w:t> </w:t>
      </w:r>
      <w:r>
        <w:rPr/>
        <w:t>will</w:t>
      </w:r>
      <w:r>
        <w:rPr>
          <w:spacing w:val="-4"/>
        </w:rPr>
        <w:t> </w:t>
      </w:r>
      <w:r>
        <w:rPr/>
        <w:t>advise</w:t>
      </w:r>
      <w:r>
        <w:rPr>
          <w:spacing w:val="-3"/>
        </w:rPr>
        <w:t> </w:t>
      </w:r>
      <w:r>
        <w:rPr/>
        <w:t>Government</w:t>
      </w:r>
      <w:r>
        <w:rPr>
          <w:spacing w:val="-1"/>
        </w:rPr>
        <w:t> </w:t>
      </w:r>
      <w:r>
        <w:rPr/>
        <w:t>on</w:t>
      </w:r>
      <w:r>
        <w:rPr>
          <w:spacing w:val="-3"/>
        </w:rPr>
        <w:t> </w:t>
      </w:r>
      <w:r>
        <w:rPr/>
        <w:t>the</w:t>
      </w:r>
      <w:r>
        <w:rPr>
          <w:spacing w:val="-3"/>
        </w:rPr>
        <w:t> </w:t>
      </w:r>
      <w:r>
        <w:rPr/>
        <w:t>national</w:t>
      </w:r>
      <w:r>
        <w:rPr>
          <w:spacing w:val="-3"/>
        </w:rPr>
        <w:t> </w:t>
      </w:r>
      <w:r>
        <w:rPr/>
        <w:t>pattern</w:t>
      </w:r>
      <w:r>
        <w:rPr>
          <w:spacing w:val="-3"/>
        </w:rPr>
        <w:t> </w:t>
      </w:r>
      <w:r>
        <w:rPr/>
        <w:t>of</w:t>
      </w:r>
      <w:r>
        <w:rPr>
          <w:spacing w:val="-4"/>
        </w:rPr>
        <w:t> </w:t>
      </w:r>
      <w:r>
        <w:rPr/>
        <w:t>education</w:t>
      </w:r>
      <w:r>
        <w:rPr>
          <w:spacing w:val="-3"/>
        </w:rPr>
        <w:t> </w:t>
      </w:r>
      <w:r>
        <w:rPr/>
        <w:t>and on the general principles and policies for the development of education at all stages and</w:t>
      </w:r>
      <w:r>
        <w:rPr>
          <w:spacing w:val="40"/>
        </w:rPr>
        <w:t> </w:t>
      </w:r>
      <w:r>
        <w:rPr/>
        <w:t>in all its aspects. It need not, however, examine the problems of medical or legal education, but such aspects of these problems as are necessary for its comprehensive enquiry may be looked into.</w:t>
      </w:r>
    </w:p>
    <w:p>
      <w:pPr>
        <w:pStyle w:val="BodyText"/>
        <w:spacing w:before="3"/>
      </w:pPr>
    </w:p>
    <w:p>
      <w:pPr>
        <w:pStyle w:val="BodyText"/>
        <w:spacing w:before="1"/>
        <w:ind w:left="159" w:right="495"/>
        <w:jc w:val="both"/>
      </w:pPr>
      <w:r>
        <w:rPr/>
        <w:t>AII.09. The Commission will submit its final report as early as</w:t>
      </w:r>
      <w:r>
        <w:rPr>
          <w:spacing w:val="-1"/>
        </w:rPr>
        <w:t> </w:t>
      </w:r>
      <w:r>
        <w:rPr/>
        <w:t>possible and not later than the 31st March, 1966. Where immediate implementation of certain programmes is necessary the Commission may also submit, from time to time, interim reports dealing with limited sectors on problems of education. Government are anxious that the implementation</w:t>
      </w:r>
      <w:r>
        <w:rPr>
          <w:spacing w:val="-1"/>
        </w:rPr>
        <w:t> </w:t>
      </w:r>
      <w:r>
        <w:rPr/>
        <w:t>of</w:t>
      </w:r>
      <w:r>
        <w:rPr>
          <w:spacing w:val="-1"/>
        </w:rPr>
        <w:t> </w:t>
      </w:r>
      <w:r>
        <w:rPr/>
        <w:t>agreed</w:t>
      </w:r>
      <w:r>
        <w:rPr>
          <w:spacing w:val="-1"/>
        </w:rPr>
        <w:t> </w:t>
      </w:r>
      <w:r>
        <w:rPr/>
        <w:t>recommendations</w:t>
      </w:r>
      <w:r>
        <w:rPr>
          <w:spacing w:val="-1"/>
        </w:rPr>
        <w:t> </w:t>
      </w:r>
      <w:r>
        <w:rPr/>
        <w:t>about</w:t>
      </w:r>
      <w:r>
        <w:rPr>
          <w:spacing w:val="-1"/>
        </w:rPr>
        <w:t> </w:t>
      </w:r>
      <w:r>
        <w:rPr/>
        <w:t>specific</w:t>
      </w:r>
      <w:r>
        <w:rPr>
          <w:spacing w:val="-1"/>
        </w:rPr>
        <w:t> </w:t>
      </w:r>
      <w:r>
        <w:rPr/>
        <w:t>matters</w:t>
      </w:r>
      <w:r>
        <w:rPr>
          <w:spacing w:val="-1"/>
        </w:rPr>
        <w:t> </w:t>
      </w:r>
      <w:r>
        <w:rPr/>
        <w:t>of</w:t>
      </w:r>
      <w:r>
        <w:rPr>
          <w:spacing w:val="-1"/>
        </w:rPr>
        <w:t> </w:t>
      </w:r>
      <w:r>
        <w:rPr/>
        <w:t>importance</w:t>
      </w:r>
      <w:r>
        <w:rPr>
          <w:spacing w:val="-1"/>
        </w:rPr>
        <w:t> </w:t>
      </w:r>
      <w:r>
        <w:rPr/>
        <w:t>shall</w:t>
      </w:r>
      <w:r>
        <w:rPr>
          <w:spacing w:val="-1"/>
        </w:rPr>
        <w:t> </w:t>
      </w:r>
      <w:r>
        <w:rPr/>
        <w:t>on no account be held up until the completion of the Commission's work. On the other hand its expert advice and guidance should be continuously available to those charged with the responsibility for implementing educational programmes and policies.</w:t>
      </w:r>
    </w:p>
    <w:p>
      <w:pPr>
        <w:pStyle w:val="BodyText"/>
        <w:spacing w:before="3"/>
      </w:pPr>
    </w:p>
    <w:p>
      <w:pPr>
        <w:pStyle w:val="BodyText"/>
        <w:ind w:left="159" w:right="498"/>
        <w:jc w:val="both"/>
      </w:pPr>
      <w:r>
        <w:rPr/>
        <w:t>Ordered that a copy of the Resolution be communicated to all State Governments and Administrations of Union Territories and to all Ministries of the Government of India.</w:t>
      </w:r>
    </w:p>
    <w:p>
      <w:pPr>
        <w:pStyle w:val="BodyText"/>
        <w:spacing w:before="5"/>
      </w:pPr>
    </w:p>
    <w:p>
      <w:pPr>
        <w:pStyle w:val="BodyText"/>
        <w:ind w:left="159"/>
        <w:jc w:val="both"/>
      </w:pPr>
      <w:r>
        <w:rPr/>
        <w:t>Ordered</w:t>
      </w:r>
      <w:r>
        <w:rPr>
          <w:spacing w:val="-2"/>
        </w:rPr>
        <w:t> </w:t>
      </w:r>
      <w:r>
        <w:rPr/>
        <w:t>also</w:t>
      </w:r>
      <w:r>
        <w:rPr>
          <w:spacing w:val="-1"/>
        </w:rPr>
        <w:t> </w:t>
      </w:r>
      <w:r>
        <w:rPr/>
        <w:t>that</w:t>
      </w:r>
      <w:r>
        <w:rPr>
          <w:spacing w:val="-1"/>
        </w:rPr>
        <w:t> </w:t>
      </w:r>
      <w:r>
        <w:rPr/>
        <w:t>the</w:t>
      </w:r>
      <w:r>
        <w:rPr>
          <w:spacing w:val="-1"/>
        </w:rPr>
        <w:t> </w:t>
      </w:r>
      <w:r>
        <w:rPr/>
        <w:t>Resolution</w:t>
      </w:r>
      <w:r>
        <w:rPr>
          <w:spacing w:val="-1"/>
        </w:rPr>
        <w:t> </w:t>
      </w:r>
      <w:r>
        <w:rPr/>
        <w:t>be</w:t>
      </w:r>
      <w:r>
        <w:rPr>
          <w:spacing w:val="-1"/>
        </w:rPr>
        <w:t> </w:t>
      </w:r>
      <w:r>
        <w:rPr/>
        <w:t>published</w:t>
      </w:r>
      <w:r>
        <w:rPr>
          <w:spacing w:val="-3"/>
        </w:rPr>
        <w:t> </w:t>
      </w:r>
      <w:r>
        <w:rPr/>
        <w:t>in</w:t>
      </w:r>
      <w:r>
        <w:rPr>
          <w:spacing w:val="-2"/>
        </w:rPr>
        <w:t> </w:t>
      </w:r>
      <w:r>
        <w:rPr/>
        <w:t>the</w:t>
      </w:r>
      <w:r>
        <w:rPr>
          <w:spacing w:val="-1"/>
        </w:rPr>
        <w:t> </w:t>
      </w:r>
      <w:r>
        <w:rPr/>
        <w:t>Gazette</w:t>
      </w:r>
      <w:r>
        <w:rPr>
          <w:spacing w:val="-1"/>
        </w:rPr>
        <w:t> </w:t>
      </w:r>
      <w:r>
        <w:rPr/>
        <w:t>of</w:t>
      </w:r>
      <w:r>
        <w:rPr>
          <w:spacing w:val="-1"/>
        </w:rPr>
        <w:t> </w:t>
      </w:r>
      <w:r>
        <w:rPr/>
        <w:t>India</w:t>
      </w:r>
      <w:r>
        <w:rPr>
          <w:spacing w:val="-1"/>
        </w:rPr>
        <w:t> </w:t>
      </w:r>
      <w:r>
        <w:rPr/>
        <w:t>for</w:t>
      </w:r>
      <w:r>
        <w:rPr>
          <w:spacing w:val="-1"/>
        </w:rPr>
        <w:t> </w:t>
      </w:r>
      <w:r>
        <w:rPr>
          <w:spacing w:val="-2"/>
        </w:rPr>
        <w:t>information.</w:t>
      </w:r>
    </w:p>
    <w:p>
      <w:pPr>
        <w:pStyle w:val="BodyText"/>
      </w:pPr>
    </w:p>
    <w:p>
      <w:pPr>
        <w:pStyle w:val="BodyText"/>
      </w:pPr>
    </w:p>
    <w:p>
      <w:pPr>
        <w:pStyle w:val="BodyText"/>
        <w:spacing w:before="9"/>
      </w:pPr>
    </w:p>
    <w:p>
      <w:pPr>
        <w:pStyle w:val="BodyText"/>
        <w:ind w:right="1078"/>
        <w:jc w:val="right"/>
      </w:pPr>
      <w:r>
        <w:rPr/>
        <w:t>PREM</w:t>
      </w:r>
      <w:r>
        <w:rPr>
          <w:spacing w:val="-4"/>
        </w:rPr>
        <w:t> </w:t>
      </w:r>
      <w:r>
        <w:rPr>
          <w:spacing w:val="-2"/>
        </w:rPr>
        <w:t>KIRPAL</w:t>
      </w:r>
    </w:p>
    <w:p>
      <w:pPr>
        <w:pStyle w:val="BodyText"/>
        <w:spacing w:before="3"/>
      </w:pPr>
    </w:p>
    <w:p>
      <w:pPr>
        <w:pStyle w:val="BodyText"/>
        <w:ind w:left="4479"/>
      </w:pPr>
      <w:r>
        <w:rPr/>
        <w:t>Secretary</w:t>
      </w:r>
      <w:r>
        <w:rPr>
          <w:spacing w:val="-2"/>
        </w:rPr>
        <w:t> </w:t>
      </w:r>
      <w:r>
        <w:rPr/>
        <w:t>to</w:t>
      </w:r>
      <w:r>
        <w:rPr>
          <w:spacing w:val="-1"/>
        </w:rPr>
        <w:t> </w:t>
      </w:r>
      <w:r>
        <w:rPr/>
        <w:t>the</w:t>
      </w:r>
      <w:r>
        <w:rPr>
          <w:spacing w:val="-2"/>
        </w:rPr>
        <w:t> </w:t>
      </w:r>
      <w:r>
        <w:rPr/>
        <w:t>Government</w:t>
      </w:r>
      <w:r>
        <w:rPr>
          <w:spacing w:val="-1"/>
        </w:rPr>
        <w:t> </w:t>
      </w:r>
      <w:r>
        <w:rPr/>
        <w:t>of</w:t>
      </w:r>
      <w:r>
        <w:rPr>
          <w:spacing w:val="-1"/>
        </w:rPr>
        <w:t> </w:t>
      </w:r>
      <w:r>
        <w:rPr>
          <w:spacing w:val="-2"/>
        </w:rPr>
        <w:t>India</w:t>
      </w:r>
    </w:p>
    <w:p>
      <w:pPr>
        <w:pStyle w:val="BodyText"/>
      </w:pPr>
    </w:p>
    <w:p>
      <w:pPr>
        <w:pStyle w:val="BodyText"/>
      </w:pPr>
    </w:p>
    <w:p>
      <w:pPr>
        <w:pStyle w:val="BodyText"/>
        <w:spacing w:before="9"/>
      </w:pPr>
    </w:p>
    <w:p>
      <w:pPr>
        <w:pStyle w:val="BodyText"/>
        <w:ind w:left="159"/>
      </w:pPr>
      <w:r>
        <w:rPr>
          <w:spacing w:val="-10"/>
        </w:rPr>
        <w:t>B</w:t>
      </w:r>
    </w:p>
    <w:p>
      <w:pPr>
        <w:spacing w:after="0"/>
        <w:sectPr>
          <w:pgSz w:w="12240" w:h="15840"/>
          <w:pgMar w:header="0" w:footer="743" w:top="1360" w:bottom="940" w:left="1640" w:right="1300"/>
        </w:sectPr>
      </w:pPr>
    </w:p>
    <w:p>
      <w:pPr>
        <w:pStyle w:val="Heading1"/>
        <w:spacing w:before="79"/>
      </w:pPr>
      <w:r>
        <w:rPr/>
        <w:t>APPENDIX </w:t>
      </w:r>
      <w:r>
        <w:rPr>
          <w:spacing w:val="-5"/>
        </w:rPr>
        <w:t>III</w:t>
      </w:r>
    </w:p>
    <w:p>
      <w:pPr>
        <w:pStyle w:val="BodyText"/>
        <w:rPr>
          <w:b/>
        </w:rPr>
      </w:pPr>
    </w:p>
    <w:p>
      <w:pPr>
        <w:spacing w:before="0"/>
        <w:ind w:left="290" w:right="629" w:firstLine="0"/>
        <w:jc w:val="center"/>
        <w:rPr>
          <w:b/>
          <w:sz w:val="24"/>
        </w:rPr>
      </w:pPr>
      <w:r>
        <w:rPr>
          <w:b/>
          <w:sz w:val="24"/>
        </w:rPr>
        <w:t>CONSULTANTS</w:t>
      </w:r>
      <w:r>
        <w:rPr>
          <w:b/>
          <w:spacing w:val="-5"/>
          <w:sz w:val="24"/>
        </w:rPr>
        <w:t> </w:t>
      </w:r>
      <w:r>
        <w:rPr>
          <w:b/>
          <w:sz w:val="24"/>
        </w:rPr>
        <w:t>TO</w:t>
      </w:r>
      <w:r>
        <w:rPr>
          <w:b/>
          <w:spacing w:val="-5"/>
          <w:sz w:val="24"/>
        </w:rPr>
        <w:t> </w:t>
      </w:r>
      <w:r>
        <w:rPr>
          <w:b/>
          <w:sz w:val="24"/>
        </w:rPr>
        <w:t>THE</w:t>
      </w:r>
      <w:r>
        <w:rPr>
          <w:b/>
          <w:spacing w:val="-6"/>
          <w:sz w:val="24"/>
        </w:rPr>
        <w:t> </w:t>
      </w:r>
      <w:r>
        <w:rPr>
          <w:b/>
          <w:sz w:val="24"/>
        </w:rPr>
        <w:t>EDUCATION</w:t>
      </w:r>
      <w:r>
        <w:rPr>
          <w:b/>
          <w:spacing w:val="-5"/>
          <w:sz w:val="24"/>
        </w:rPr>
        <w:t> </w:t>
      </w:r>
      <w:r>
        <w:rPr>
          <w:b/>
          <w:spacing w:val="-2"/>
          <w:sz w:val="24"/>
        </w:rPr>
        <w:t>COMMISSION</w:t>
      </w:r>
    </w:p>
    <w:p>
      <w:pPr>
        <w:pStyle w:val="BodyText"/>
        <w:rPr>
          <w:b/>
        </w:rPr>
      </w:pPr>
    </w:p>
    <w:p>
      <w:pPr>
        <w:pStyle w:val="BodyText"/>
        <w:spacing w:before="2"/>
        <w:rPr>
          <w:b/>
        </w:rPr>
      </w:pPr>
    </w:p>
    <w:p>
      <w:pPr>
        <w:pStyle w:val="ListParagraph"/>
        <w:numPr>
          <w:ilvl w:val="0"/>
          <w:numId w:val="146"/>
        </w:numPr>
        <w:tabs>
          <w:tab w:pos="436" w:val="left" w:leader="none"/>
        </w:tabs>
        <w:spacing w:line="240" w:lineRule="auto" w:before="0" w:after="0"/>
        <w:ind w:left="160" w:right="498" w:firstLine="0"/>
        <w:jc w:val="left"/>
        <w:rPr>
          <w:sz w:val="24"/>
        </w:rPr>
      </w:pPr>
      <w:r>
        <w:rPr>
          <w:sz w:val="24"/>
        </w:rPr>
        <w:t>Dr.</w:t>
      </w:r>
      <w:r>
        <w:rPr>
          <w:spacing w:val="32"/>
          <w:sz w:val="24"/>
        </w:rPr>
        <w:t> </w:t>
      </w:r>
      <w:r>
        <w:rPr>
          <w:sz w:val="24"/>
        </w:rPr>
        <w:t>James</w:t>
      </w:r>
      <w:r>
        <w:rPr>
          <w:spacing w:val="32"/>
          <w:sz w:val="24"/>
        </w:rPr>
        <w:t> </w:t>
      </w:r>
      <w:r>
        <w:rPr>
          <w:sz w:val="24"/>
        </w:rPr>
        <w:t>E.</w:t>
      </w:r>
      <w:r>
        <w:rPr>
          <w:spacing w:val="32"/>
          <w:sz w:val="24"/>
        </w:rPr>
        <w:t> </w:t>
      </w:r>
      <w:r>
        <w:rPr>
          <w:sz w:val="24"/>
        </w:rPr>
        <w:t>Allen,</w:t>
      </w:r>
      <w:r>
        <w:rPr>
          <w:spacing w:val="32"/>
          <w:sz w:val="24"/>
        </w:rPr>
        <w:t> </w:t>
      </w:r>
      <w:r>
        <w:rPr>
          <w:sz w:val="24"/>
        </w:rPr>
        <w:t>Jr.,</w:t>
      </w:r>
      <w:r>
        <w:rPr>
          <w:spacing w:val="32"/>
          <w:sz w:val="24"/>
        </w:rPr>
        <w:t> </w:t>
      </w:r>
      <w:r>
        <w:rPr>
          <w:sz w:val="24"/>
        </w:rPr>
        <w:t>Commissioner,</w:t>
      </w:r>
      <w:r>
        <w:rPr>
          <w:spacing w:val="32"/>
          <w:sz w:val="24"/>
        </w:rPr>
        <w:t> </w:t>
      </w:r>
      <w:r>
        <w:rPr>
          <w:sz w:val="24"/>
        </w:rPr>
        <w:t>State</w:t>
      </w:r>
      <w:r>
        <w:rPr>
          <w:spacing w:val="32"/>
          <w:sz w:val="24"/>
        </w:rPr>
        <w:t> </w:t>
      </w:r>
      <w:r>
        <w:rPr>
          <w:sz w:val="24"/>
        </w:rPr>
        <w:t>Education</w:t>
      </w:r>
      <w:r>
        <w:rPr>
          <w:spacing w:val="32"/>
          <w:sz w:val="24"/>
        </w:rPr>
        <w:t> </w:t>
      </w:r>
      <w:r>
        <w:rPr>
          <w:sz w:val="24"/>
        </w:rPr>
        <w:t>Department,</w:t>
      </w:r>
      <w:r>
        <w:rPr>
          <w:spacing w:val="32"/>
          <w:sz w:val="24"/>
        </w:rPr>
        <w:t> </w:t>
      </w:r>
      <w:r>
        <w:rPr>
          <w:sz w:val="24"/>
        </w:rPr>
        <w:t>and</w:t>
      </w:r>
      <w:r>
        <w:rPr>
          <w:spacing w:val="32"/>
          <w:sz w:val="24"/>
        </w:rPr>
        <w:t> </w:t>
      </w:r>
      <w:r>
        <w:rPr>
          <w:sz w:val="24"/>
        </w:rPr>
        <w:t>President, University of the State of New York, New York, USA.</w:t>
      </w:r>
    </w:p>
    <w:p>
      <w:pPr>
        <w:pStyle w:val="BodyText"/>
        <w:spacing w:before="4"/>
      </w:pPr>
    </w:p>
    <w:p>
      <w:pPr>
        <w:pStyle w:val="ListParagraph"/>
        <w:numPr>
          <w:ilvl w:val="0"/>
          <w:numId w:val="146"/>
        </w:numPr>
        <w:tabs>
          <w:tab w:pos="408" w:val="left" w:leader="none"/>
        </w:tabs>
        <w:spacing w:line="240" w:lineRule="auto" w:before="0" w:after="0"/>
        <w:ind w:left="160" w:right="498" w:firstLine="0"/>
        <w:jc w:val="left"/>
        <w:rPr>
          <w:sz w:val="24"/>
        </w:rPr>
      </w:pPr>
      <w:r>
        <w:rPr>
          <w:sz w:val="24"/>
        </w:rPr>
        <w:t>Dr. C.E. Beeby, Visiting Professor, Centre for Studies in Education and Development, Graduate School of Education, Harvard University, Cambridge, Massachusetts, USA.</w:t>
      </w:r>
    </w:p>
    <w:p>
      <w:pPr>
        <w:pStyle w:val="BodyText"/>
        <w:spacing w:before="4"/>
      </w:pPr>
    </w:p>
    <w:p>
      <w:pPr>
        <w:pStyle w:val="ListParagraph"/>
        <w:numPr>
          <w:ilvl w:val="0"/>
          <w:numId w:val="146"/>
        </w:numPr>
        <w:tabs>
          <w:tab w:pos="422" w:val="left" w:leader="none"/>
        </w:tabs>
        <w:spacing w:line="240" w:lineRule="auto" w:before="0" w:after="0"/>
        <w:ind w:left="160" w:right="497" w:firstLine="0"/>
        <w:jc w:val="left"/>
        <w:rPr>
          <w:sz w:val="24"/>
        </w:rPr>
      </w:pPr>
      <w:r>
        <w:rPr>
          <w:sz w:val="24"/>
        </w:rPr>
        <w:t>Prof. P.M.S. Blackett, President of the Royal Society, UK, and Professor of Physics,</w:t>
      </w:r>
      <w:r>
        <w:rPr>
          <w:spacing w:val="40"/>
          <w:sz w:val="24"/>
        </w:rPr>
        <w:t> </w:t>
      </w:r>
      <w:r>
        <w:rPr>
          <w:sz w:val="24"/>
        </w:rPr>
        <w:t>Imperial College of Science and Technology, University of London, London.</w:t>
      </w:r>
    </w:p>
    <w:p>
      <w:pPr>
        <w:pStyle w:val="BodyText"/>
        <w:spacing w:before="3"/>
      </w:pPr>
    </w:p>
    <w:p>
      <w:pPr>
        <w:pStyle w:val="ListParagraph"/>
        <w:numPr>
          <w:ilvl w:val="0"/>
          <w:numId w:val="146"/>
        </w:numPr>
        <w:tabs>
          <w:tab w:pos="422" w:val="left" w:leader="none"/>
        </w:tabs>
        <w:spacing w:line="240" w:lineRule="auto" w:before="0" w:after="0"/>
        <w:ind w:left="160" w:right="497" w:firstLine="0"/>
        <w:jc w:val="left"/>
        <w:rPr>
          <w:sz w:val="24"/>
        </w:rPr>
      </w:pPr>
      <w:r>
        <w:rPr>
          <w:sz w:val="24"/>
        </w:rPr>
        <w:t>Recteur J.J. Capelle, Professor, University of Nancy, and former Director-General of Education in France, Paris.</w:t>
      </w:r>
    </w:p>
    <w:p>
      <w:pPr>
        <w:pStyle w:val="BodyText"/>
        <w:spacing w:before="4"/>
      </w:pPr>
    </w:p>
    <w:p>
      <w:pPr>
        <w:pStyle w:val="ListParagraph"/>
        <w:numPr>
          <w:ilvl w:val="0"/>
          <w:numId w:val="146"/>
        </w:numPr>
        <w:tabs>
          <w:tab w:pos="434" w:val="left" w:leader="none"/>
        </w:tabs>
        <w:spacing w:line="240" w:lineRule="auto" w:before="0" w:after="0"/>
        <w:ind w:left="160" w:right="498" w:firstLine="0"/>
        <w:jc w:val="left"/>
        <w:rPr>
          <w:sz w:val="24"/>
        </w:rPr>
      </w:pPr>
      <w:r>
        <w:rPr>
          <w:sz w:val="24"/>
        </w:rPr>
        <w:t>Sir</w:t>
      </w:r>
      <w:r>
        <w:rPr>
          <w:spacing w:val="30"/>
          <w:sz w:val="24"/>
        </w:rPr>
        <w:t> </w:t>
      </w:r>
      <w:r>
        <w:rPr>
          <w:sz w:val="24"/>
        </w:rPr>
        <w:t>Christopher</w:t>
      </w:r>
      <w:r>
        <w:rPr>
          <w:spacing w:val="30"/>
          <w:sz w:val="24"/>
        </w:rPr>
        <w:t> </w:t>
      </w:r>
      <w:r>
        <w:rPr>
          <w:sz w:val="24"/>
        </w:rPr>
        <w:t>Cox,</w:t>
      </w:r>
      <w:r>
        <w:rPr>
          <w:spacing w:val="30"/>
          <w:sz w:val="24"/>
        </w:rPr>
        <w:t> </w:t>
      </w:r>
      <w:r>
        <w:rPr>
          <w:sz w:val="24"/>
        </w:rPr>
        <w:t>Educational</w:t>
      </w:r>
      <w:r>
        <w:rPr>
          <w:spacing w:val="30"/>
          <w:sz w:val="24"/>
        </w:rPr>
        <w:t> </w:t>
      </w:r>
      <w:r>
        <w:rPr>
          <w:sz w:val="24"/>
        </w:rPr>
        <w:t>Adviser,</w:t>
      </w:r>
      <w:r>
        <w:rPr>
          <w:spacing w:val="30"/>
          <w:sz w:val="24"/>
        </w:rPr>
        <w:t> </w:t>
      </w:r>
      <w:r>
        <w:rPr>
          <w:sz w:val="24"/>
        </w:rPr>
        <w:t>Ministry</w:t>
      </w:r>
      <w:r>
        <w:rPr>
          <w:spacing w:val="31"/>
          <w:sz w:val="24"/>
        </w:rPr>
        <w:t> </w:t>
      </w:r>
      <w:r>
        <w:rPr>
          <w:sz w:val="24"/>
        </w:rPr>
        <w:t>of</w:t>
      </w:r>
      <w:r>
        <w:rPr>
          <w:spacing w:val="31"/>
          <w:sz w:val="24"/>
        </w:rPr>
        <w:t> </w:t>
      </w:r>
      <w:r>
        <w:rPr>
          <w:sz w:val="24"/>
        </w:rPr>
        <w:t>Overseas</w:t>
      </w:r>
      <w:r>
        <w:rPr>
          <w:spacing w:val="31"/>
          <w:sz w:val="24"/>
        </w:rPr>
        <w:t> </w:t>
      </w:r>
      <w:r>
        <w:rPr>
          <w:sz w:val="24"/>
        </w:rPr>
        <w:t>Development,</w:t>
      </w:r>
      <w:r>
        <w:rPr>
          <w:spacing w:val="31"/>
          <w:sz w:val="24"/>
        </w:rPr>
        <w:t> </w:t>
      </w:r>
      <w:r>
        <w:rPr>
          <w:sz w:val="24"/>
        </w:rPr>
        <w:t>UK, and Fellow, New College, Oxford.</w:t>
      </w:r>
    </w:p>
    <w:p>
      <w:pPr>
        <w:pStyle w:val="BodyText"/>
        <w:spacing w:before="5"/>
      </w:pPr>
    </w:p>
    <w:p>
      <w:pPr>
        <w:pStyle w:val="ListParagraph"/>
        <w:numPr>
          <w:ilvl w:val="0"/>
          <w:numId w:val="146"/>
        </w:numPr>
        <w:tabs>
          <w:tab w:pos="461" w:val="left" w:leader="none"/>
        </w:tabs>
        <w:spacing w:line="240" w:lineRule="auto" w:before="0" w:after="0"/>
        <w:ind w:left="160" w:right="496" w:firstLine="0"/>
        <w:jc w:val="left"/>
        <w:rPr>
          <w:sz w:val="24"/>
        </w:rPr>
      </w:pPr>
      <w:r>
        <w:rPr>
          <w:sz w:val="24"/>
        </w:rPr>
        <w:t>Dr.</w:t>
      </w:r>
      <w:r>
        <w:rPr>
          <w:spacing w:val="40"/>
          <w:sz w:val="24"/>
        </w:rPr>
        <w:t> </w:t>
      </w:r>
      <w:r>
        <w:rPr>
          <w:sz w:val="24"/>
        </w:rPr>
        <w:t>Philip</w:t>
      </w:r>
      <w:r>
        <w:rPr>
          <w:spacing w:val="40"/>
          <w:sz w:val="24"/>
        </w:rPr>
        <w:t> </w:t>
      </w:r>
      <w:r>
        <w:rPr>
          <w:sz w:val="24"/>
        </w:rPr>
        <w:t>H.</w:t>
      </w:r>
      <w:r>
        <w:rPr>
          <w:spacing w:val="40"/>
          <w:sz w:val="24"/>
        </w:rPr>
        <w:t> </w:t>
      </w:r>
      <w:r>
        <w:rPr>
          <w:sz w:val="24"/>
        </w:rPr>
        <w:t>Coombs,</w:t>
      </w:r>
      <w:r>
        <w:rPr>
          <w:spacing w:val="40"/>
          <w:sz w:val="24"/>
        </w:rPr>
        <w:t> </w:t>
      </w:r>
      <w:r>
        <w:rPr>
          <w:sz w:val="24"/>
        </w:rPr>
        <w:t>Director,</w:t>
      </w:r>
      <w:r>
        <w:rPr>
          <w:spacing w:val="40"/>
          <w:sz w:val="24"/>
        </w:rPr>
        <w:t> </w:t>
      </w:r>
      <w:r>
        <w:rPr>
          <w:sz w:val="24"/>
        </w:rPr>
        <w:t>UNESCO</w:t>
      </w:r>
      <w:r>
        <w:rPr>
          <w:spacing w:val="40"/>
          <w:sz w:val="24"/>
        </w:rPr>
        <w:t> </w:t>
      </w:r>
      <w:r>
        <w:rPr>
          <w:sz w:val="24"/>
        </w:rPr>
        <w:t>International</w:t>
      </w:r>
      <w:r>
        <w:rPr>
          <w:spacing w:val="40"/>
          <w:sz w:val="24"/>
        </w:rPr>
        <w:t> </w:t>
      </w:r>
      <w:r>
        <w:rPr>
          <w:sz w:val="24"/>
        </w:rPr>
        <w:t>Institute</w:t>
      </w:r>
      <w:r>
        <w:rPr>
          <w:spacing w:val="40"/>
          <w:sz w:val="24"/>
        </w:rPr>
        <w:t> </w:t>
      </w:r>
      <w:r>
        <w:rPr>
          <w:sz w:val="24"/>
        </w:rPr>
        <w:t>for</w:t>
      </w:r>
      <w:r>
        <w:rPr>
          <w:spacing w:val="40"/>
          <w:sz w:val="24"/>
        </w:rPr>
        <w:t> </w:t>
      </w:r>
      <w:r>
        <w:rPr>
          <w:sz w:val="24"/>
        </w:rPr>
        <w:t>Educational Planning, Paris.</w:t>
      </w:r>
    </w:p>
    <w:p>
      <w:pPr>
        <w:pStyle w:val="BodyText"/>
        <w:spacing w:before="3"/>
      </w:pPr>
    </w:p>
    <w:p>
      <w:pPr>
        <w:pStyle w:val="ListParagraph"/>
        <w:numPr>
          <w:ilvl w:val="0"/>
          <w:numId w:val="146"/>
        </w:numPr>
        <w:tabs>
          <w:tab w:pos="449" w:val="left" w:leader="none"/>
        </w:tabs>
        <w:spacing w:line="240" w:lineRule="auto" w:before="1" w:after="0"/>
        <w:ind w:left="160" w:right="498" w:firstLine="0"/>
        <w:jc w:val="left"/>
        <w:rPr>
          <w:sz w:val="24"/>
        </w:rPr>
      </w:pPr>
      <w:r>
        <w:rPr>
          <w:sz w:val="24"/>
        </w:rPr>
        <w:t>Prof.</w:t>
      </w:r>
      <w:r>
        <w:rPr>
          <w:spacing w:val="40"/>
          <w:sz w:val="24"/>
        </w:rPr>
        <w:t> </w:t>
      </w:r>
      <w:r>
        <w:rPr>
          <w:sz w:val="24"/>
        </w:rPr>
        <w:t>Andre</w:t>
      </w:r>
      <w:r>
        <w:rPr>
          <w:spacing w:val="40"/>
          <w:sz w:val="24"/>
        </w:rPr>
        <w:t> </w:t>
      </w:r>
      <w:r>
        <w:rPr>
          <w:sz w:val="24"/>
        </w:rPr>
        <w:t>Daniere,</w:t>
      </w:r>
      <w:r>
        <w:rPr>
          <w:spacing w:val="40"/>
          <w:sz w:val="24"/>
        </w:rPr>
        <w:t> </w:t>
      </w:r>
      <w:r>
        <w:rPr>
          <w:sz w:val="24"/>
        </w:rPr>
        <w:t>Centre</w:t>
      </w:r>
      <w:r>
        <w:rPr>
          <w:spacing w:val="40"/>
          <w:sz w:val="24"/>
        </w:rPr>
        <w:t> </w:t>
      </w:r>
      <w:r>
        <w:rPr>
          <w:sz w:val="24"/>
        </w:rPr>
        <w:t>for</w:t>
      </w:r>
      <w:r>
        <w:rPr>
          <w:spacing w:val="40"/>
          <w:sz w:val="24"/>
        </w:rPr>
        <w:t> </w:t>
      </w:r>
      <w:r>
        <w:rPr>
          <w:sz w:val="24"/>
        </w:rPr>
        <w:t>Studies</w:t>
      </w:r>
      <w:r>
        <w:rPr>
          <w:spacing w:val="40"/>
          <w:sz w:val="24"/>
        </w:rPr>
        <w:t> </w:t>
      </w:r>
      <w:r>
        <w:rPr>
          <w:sz w:val="24"/>
        </w:rPr>
        <w:t>in</w:t>
      </w:r>
      <w:r>
        <w:rPr>
          <w:spacing w:val="40"/>
          <w:sz w:val="24"/>
        </w:rPr>
        <w:t> </w:t>
      </w:r>
      <w:r>
        <w:rPr>
          <w:sz w:val="24"/>
        </w:rPr>
        <w:t>Education</w:t>
      </w:r>
      <w:r>
        <w:rPr>
          <w:spacing w:val="40"/>
          <w:sz w:val="24"/>
        </w:rPr>
        <w:t> </w:t>
      </w:r>
      <w:r>
        <w:rPr>
          <w:sz w:val="24"/>
        </w:rPr>
        <w:t>and</w:t>
      </w:r>
      <w:r>
        <w:rPr>
          <w:spacing w:val="40"/>
          <w:sz w:val="24"/>
        </w:rPr>
        <w:t> </w:t>
      </w:r>
      <w:r>
        <w:rPr>
          <w:sz w:val="24"/>
        </w:rPr>
        <w:t>Development,</w:t>
      </w:r>
      <w:r>
        <w:rPr>
          <w:spacing w:val="40"/>
          <w:sz w:val="24"/>
        </w:rPr>
        <w:t> </w:t>
      </w:r>
      <w:r>
        <w:rPr>
          <w:sz w:val="24"/>
        </w:rPr>
        <w:t>Graduate School of Education, Harvard University, Cambridge, Massachusetts, USA.</w:t>
      </w:r>
    </w:p>
    <w:p>
      <w:pPr>
        <w:pStyle w:val="BodyText"/>
        <w:spacing w:before="4"/>
      </w:pPr>
    </w:p>
    <w:p>
      <w:pPr>
        <w:pStyle w:val="ListParagraph"/>
        <w:numPr>
          <w:ilvl w:val="0"/>
          <w:numId w:val="146"/>
        </w:numPr>
        <w:tabs>
          <w:tab w:pos="398" w:val="left" w:leader="none"/>
        </w:tabs>
        <w:spacing w:line="240" w:lineRule="auto" w:before="0" w:after="0"/>
        <w:ind w:left="398" w:right="0" w:hanging="238"/>
        <w:jc w:val="left"/>
        <w:rPr>
          <w:sz w:val="24"/>
        </w:rPr>
      </w:pPr>
      <w:r>
        <w:rPr>
          <w:sz w:val="24"/>
        </w:rPr>
        <w:t>Prof.</w:t>
      </w:r>
      <w:r>
        <w:rPr>
          <w:spacing w:val="-4"/>
          <w:sz w:val="24"/>
        </w:rPr>
        <w:t> </w:t>
      </w:r>
      <w:r>
        <w:rPr>
          <w:sz w:val="24"/>
        </w:rPr>
        <w:t>S.</w:t>
      </w:r>
      <w:r>
        <w:rPr>
          <w:spacing w:val="-4"/>
          <w:sz w:val="24"/>
        </w:rPr>
        <w:t> </w:t>
      </w:r>
      <w:r>
        <w:rPr>
          <w:sz w:val="24"/>
        </w:rPr>
        <w:t>Dedijer,</w:t>
      </w:r>
      <w:r>
        <w:rPr>
          <w:spacing w:val="-3"/>
          <w:sz w:val="24"/>
        </w:rPr>
        <w:t> </w:t>
      </w:r>
      <w:r>
        <w:rPr>
          <w:sz w:val="24"/>
        </w:rPr>
        <w:t>Institute</w:t>
      </w:r>
      <w:r>
        <w:rPr>
          <w:spacing w:val="-4"/>
          <w:sz w:val="24"/>
        </w:rPr>
        <w:t> </w:t>
      </w:r>
      <w:r>
        <w:rPr>
          <w:sz w:val="24"/>
        </w:rPr>
        <w:t>of</w:t>
      </w:r>
      <w:r>
        <w:rPr>
          <w:spacing w:val="-3"/>
          <w:sz w:val="24"/>
        </w:rPr>
        <w:t> </w:t>
      </w:r>
      <w:r>
        <w:rPr>
          <w:sz w:val="24"/>
        </w:rPr>
        <w:t>Sociology,</w:t>
      </w:r>
      <w:r>
        <w:rPr>
          <w:spacing w:val="-3"/>
          <w:sz w:val="24"/>
        </w:rPr>
        <w:t> </w:t>
      </w:r>
      <w:r>
        <w:rPr>
          <w:sz w:val="24"/>
        </w:rPr>
        <w:t>University</w:t>
      </w:r>
      <w:r>
        <w:rPr>
          <w:spacing w:val="-2"/>
          <w:sz w:val="24"/>
        </w:rPr>
        <w:t> </w:t>
      </w:r>
      <w:r>
        <w:rPr>
          <w:sz w:val="24"/>
        </w:rPr>
        <w:t>of</w:t>
      </w:r>
      <w:r>
        <w:rPr>
          <w:spacing w:val="-3"/>
          <w:sz w:val="24"/>
        </w:rPr>
        <w:t> </w:t>
      </w:r>
      <w:r>
        <w:rPr>
          <w:sz w:val="24"/>
        </w:rPr>
        <w:t>Lund,</w:t>
      </w:r>
      <w:r>
        <w:rPr>
          <w:spacing w:val="-2"/>
          <w:sz w:val="24"/>
        </w:rPr>
        <w:t> Sweden.</w:t>
      </w:r>
    </w:p>
    <w:p>
      <w:pPr>
        <w:pStyle w:val="BodyText"/>
        <w:spacing w:before="4"/>
      </w:pPr>
    </w:p>
    <w:p>
      <w:pPr>
        <w:pStyle w:val="ListParagraph"/>
        <w:numPr>
          <w:ilvl w:val="0"/>
          <w:numId w:val="146"/>
        </w:numPr>
        <w:tabs>
          <w:tab w:pos="417" w:val="left" w:leader="none"/>
        </w:tabs>
        <w:spacing w:line="240" w:lineRule="auto" w:before="0" w:after="0"/>
        <w:ind w:left="160" w:right="497" w:firstLine="0"/>
        <w:jc w:val="left"/>
        <w:rPr>
          <w:sz w:val="24"/>
        </w:rPr>
      </w:pPr>
      <w:r>
        <w:rPr>
          <w:sz w:val="24"/>
        </w:rPr>
        <w:t>Dr. Nicholas DeWitt, Director, International Survey of Educational Development and Planning, Indiana University, Bloomington, Indiana, USA.</w:t>
      </w:r>
    </w:p>
    <w:p>
      <w:pPr>
        <w:pStyle w:val="BodyText"/>
        <w:spacing w:before="4"/>
      </w:pPr>
    </w:p>
    <w:p>
      <w:pPr>
        <w:pStyle w:val="ListParagraph"/>
        <w:numPr>
          <w:ilvl w:val="0"/>
          <w:numId w:val="146"/>
        </w:numPr>
        <w:tabs>
          <w:tab w:pos="569" w:val="left" w:leader="none"/>
        </w:tabs>
        <w:spacing w:line="240" w:lineRule="auto" w:before="0" w:after="0"/>
        <w:ind w:left="160" w:right="497" w:firstLine="0"/>
        <w:jc w:val="left"/>
        <w:rPr>
          <w:sz w:val="24"/>
        </w:rPr>
      </w:pPr>
      <w:r>
        <w:rPr>
          <w:sz w:val="24"/>
        </w:rPr>
        <w:t>Dr.</w:t>
      </w:r>
      <w:r>
        <w:rPr>
          <w:spacing w:val="40"/>
          <w:sz w:val="24"/>
        </w:rPr>
        <w:t> </w:t>
      </w:r>
      <w:r>
        <w:rPr>
          <w:sz w:val="24"/>
        </w:rPr>
        <w:t>John</w:t>
      </w:r>
      <w:r>
        <w:rPr>
          <w:spacing w:val="40"/>
          <w:sz w:val="24"/>
        </w:rPr>
        <w:t> </w:t>
      </w:r>
      <w:r>
        <w:rPr>
          <w:sz w:val="24"/>
        </w:rPr>
        <w:t>Guy</w:t>
      </w:r>
      <w:r>
        <w:rPr>
          <w:spacing w:val="40"/>
          <w:sz w:val="24"/>
        </w:rPr>
        <w:t> </w:t>
      </w:r>
      <w:r>
        <w:rPr>
          <w:sz w:val="24"/>
        </w:rPr>
        <w:t>Fowlkes,</w:t>
      </w:r>
      <w:r>
        <w:rPr>
          <w:spacing w:val="40"/>
          <w:sz w:val="24"/>
        </w:rPr>
        <w:t> </w:t>
      </w:r>
      <w:r>
        <w:rPr>
          <w:sz w:val="24"/>
        </w:rPr>
        <w:t>School</w:t>
      </w:r>
      <w:r>
        <w:rPr>
          <w:spacing w:val="40"/>
          <w:sz w:val="24"/>
        </w:rPr>
        <w:t> </w:t>
      </w:r>
      <w:r>
        <w:rPr>
          <w:sz w:val="24"/>
        </w:rPr>
        <w:t>of</w:t>
      </w:r>
      <w:r>
        <w:rPr>
          <w:spacing w:val="40"/>
          <w:sz w:val="24"/>
        </w:rPr>
        <w:t> </w:t>
      </w:r>
      <w:r>
        <w:rPr>
          <w:sz w:val="24"/>
        </w:rPr>
        <w:t>Education,</w:t>
      </w:r>
      <w:r>
        <w:rPr>
          <w:spacing w:val="40"/>
          <w:sz w:val="24"/>
        </w:rPr>
        <w:t> </w:t>
      </w:r>
      <w:r>
        <w:rPr>
          <w:sz w:val="24"/>
        </w:rPr>
        <w:t>University</w:t>
      </w:r>
      <w:r>
        <w:rPr>
          <w:spacing w:val="40"/>
          <w:sz w:val="24"/>
        </w:rPr>
        <w:t> </w:t>
      </w:r>
      <w:r>
        <w:rPr>
          <w:sz w:val="24"/>
        </w:rPr>
        <w:t>of</w:t>
      </w:r>
      <w:r>
        <w:rPr>
          <w:spacing w:val="40"/>
          <w:sz w:val="24"/>
        </w:rPr>
        <w:t> </w:t>
      </w:r>
      <w:r>
        <w:rPr>
          <w:sz w:val="24"/>
        </w:rPr>
        <w:t>Wisconsin,</w:t>
      </w:r>
      <w:r>
        <w:rPr>
          <w:spacing w:val="40"/>
          <w:sz w:val="24"/>
        </w:rPr>
        <w:t> </w:t>
      </w:r>
      <w:r>
        <w:rPr>
          <w:sz w:val="24"/>
        </w:rPr>
        <w:t>Madison, </w:t>
      </w:r>
      <w:r>
        <w:rPr>
          <w:spacing w:val="-4"/>
          <w:sz w:val="24"/>
        </w:rPr>
        <w:t>USA.</w:t>
      </w:r>
    </w:p>
    <w:p>
      <w:pPr>
        <w:pStyle w:val="BodyText"/>
        <w:spacing w:before="3"/>
      </w:pPr>
    </w:p>
    <w:p>
      <w:pPr>
        <w:pStyle w:val="ListParagraph"/>
        <w:numPr>
          <w:ilvl w:val="0"/>
          <w:numId w:val="146"/>
        </w:numPr>
        <w:tabs>
          <w:tab w:pos="536" w:val="left" w:leader="none"/>
        </w:tabs>
        <w:spacing w:line="240" w:lineRule="auto" w:before="0" w:after="0"/>
        <w:ind w:left="160" w:right="496" w:firstLine="0"/>
        <w:jc w:val="left"/>
        <w:rPr>
          <w:sz w:val="24"/>
        </w:rPr>
      </w:pPr>
      <w:r>
        <w:rPr>
          <w:sz w:val="24"/>
        </w:rPr>
        <w:t>Sir Willis Jackson, Head of the Department and Professor of Electrical Engineering, Imperial College of Science &amp; Technology, University of London, London.</w:t>
      </w:r>
    </w:p>
    <w:p>
      <w:pPr>
        <w:pStyle w:val="BodyText"/>
        <w:spacing w:before="5"/>
      </w:pPr>
    </w:p>
    <w:p>
      <w:pPr>
        <w:pStyle w:val="ListParagraph"/>
        <w:numPr>
          <w:ilvl w:val="0"/>
          <w:numId w:val="146"/>
        </w:numPr>
        <w:tabs>
          <w:tab w:pos="528" w:val="left" w:leader="none"/>
        </w:tabs>
        <w:spacing w:line="240" w:lineRule="auto" w:before="0" w:after="0"/>
        <w:ind w:left="159" w:right="498" w:firstLine="0"/>
        <w:jc w:val="left"/>
        <w:rPr>
          <w:sz w:val="24"/>
        </w:rPr>
      </w:pPr>
      <w:r>
        <w:rPr>
          <w:sz w:val="24"/>
        </w:rPr>
        <w:t>Dr. J. Paul Leonard, Professor of Education, Columbia University Teachers' College, and Chief of Party, Columbia University Team in India, New Delhi.</w:t>
      </w:r>
    </w:p>
    <w:p>
      <w:pPr>
        <w:pStyle w:val="BodyText"/>
        <w:spacing w:before="4"/>
      </w:pPr>
    </w:p>
    <w:p>
      <w:pPr>
        <w:pStyle w:val="ListParagraph"/>
        <w:numPr>
          <w:ilvl w:val="0"/>
          <w:numId w:val="146"/>
        </w:numPr>
        <w:tabs>
          <w:tab w:pos="573" w:val="left" w:leader="none"/>
        </w:tabs>
        <w:spacing w:line="240" w:lineRule="auto" w:before="0" w:after="0"/>
        <w:ind w:left="159" w:right="497" w:firstLine="0"/>
        <w:jc w:val="left"/>
        <w:rPr>
          <w:sz w:val="24"/>
        </w:rPr>
      </w:pPr>
      <w:r>
        <w:rPr>
          <w:sz w:val="24"/>
        </w:rPr>
        <w:t>Dr.</w:t>
      </w:r>
      <w:r>
        <w:rPr>
          <w:spacing w:val="40"/>
          <w:sz w:val="24"/>
        </w:rPr>
        <w:t> </w:t>
      </w:r>
      <w:r>
        <w:rPr>
          <w:sz w:val="24"/>
        </w:rPr>
        <w:t>Gordon</w:t>
      </w:r>
      <w:r>
        <w:rPr>
          <w:spacing w:val="40"/>
          <w:sz w:val="24"/>
        </w:rPr>
        <w:t> </w:t>
      </w:r>
      <w:r>
        <w:rPr>
          <w:sz w:val="24"/>
        </w:rPr>
        <w:t>N.</w:t>
      </w:r>
      <w:r>
        <w:rPr>
          <w:spacing w:val="40"/>
          <w:sz w:val="24"/>
        </w:rPr>
        <w:t> </w:t>
      </w:r>
      <w:r>
        <w:rPr>
          <w:sz w:val="24"/>
        </w:rPr>
        <w:t>Mackenzie,</w:t>
      </w:r>
      <w:r>
        <w:rPr>
          <w:spacing w:val="40"/>
          <w:sz w:val="24"/>
        </w:rPr>
        <w:t> </w:t>
      </w:r>
      <w:r>
        <w:rPr>
          <w:sz w:val="24"/>
        </w:rPr>
        <w:t>Professor</w:t>
      </w:r>
      <w:r>
        <w:rPr>
          <w:spacing w:val="40"/>
          <w:sz w:val="24"/>
        </w:rPr>
        <w:t> </w:t>
      </w:r>
      <w:r>
        <w:rPr>
          <w:sz w:val="24"/>
        </w:rPr>
        <w:t>of</w:t>
      </w:r>
      <w:r>
        <w:rPr>
          <w:spacing w:val="40"/>
          <w:sz w:val="24"/>
        </w:rPr>
        <w:t> </w:t>
      </w:r>
      <w:r>
        <w:rPr>
          <w:sz w:val="24"/>
        </w:rPr>
        <w:t>Education,</w:t>
      </w:r>
      <w:r>
        <w:rPr>
          <w:spacing w:val="40"/>
          <w:sz w:val="24"/>
        </w:rPr>
        <w:t> </w:t>
      </w:r>
      <w:r>
        <w:rPr>
          <w:sz w:val="24"/>
        </w:rPr>
        <w:t>Teachers'</w:t>
      </w:r>
      <w:r>
        <w:rPr>
          <w:spacing w:val="40"/>
          <w:sz w:val="24"/>
        </w:rPr>
        <w:t> </w:t>
      </w:r>
      <w:r>
        <w:rPr>
          <w:sz w:val="24"/>
        </w:rPr>
        <w:t>College,</w:t>
      </w:r>
      <w:r>
        <w:rPr>
          <w:spacing w:val="40"/>
          <w:sz w:val="24"/>
        </w:rPr>
        <w:t> </w:t>
      </w:r>
      <w:r>
        <w:rPr>
          <w:sz w:val="24"/>
        </w:rPr>
        <w:t>Columbia University, New York, USA.</w:t>
      </w:r>
    </w:p>
    <w:p>
      <w:pPr>
        <w:pStyle w:val="BodyText"/>
        <w:spacing w:before="3"/>
      </w:pPr>
    </w:p>
    <w:p>
      <w:pPr>
        <w:pStyle w:val="ListParagraph"/>
        <w:numPr>
          <w:ilvl w:val="0"/>
          <w:numId w:val="146"/>
        </w:numPr>
        <w:tabs>
          <w:tab w:pos="522" w:val="left" w:leader="none"/>
        </w:tabs>
        <w:spacing w:line="240" w:lineRule="auto" w:before="1" w:after="0"/>
        <w:ind w:left="159" w:right="497" w:firstLine="0"/>
        <w:jc w:val="left"/>
        <w:rPr>
          <w:sz w:val="24"/>
        </w:rPr>
      </w:pPr>
      <w:r>
        <w:rPr>
          <w:sz w:val="24"/>
        </w:rPr>
        <w:t>Professor C. A. Moser, Director, Unit for Economic and Statistical Studies on Higher Education, London School of Economics and Political Science, London.</w:t>
      </w:r>
    </w:p>
    <w:p>
      <w:pPr>
        <w:spacing w:after="0" w:line="240" w:lineRule="auto"/>
        <w:jc w:val="left"/>
        <w:rPr>
          <w:sz w:val="24"/>
        </w:rPr>
        <w:sectPr>
          <w:pgSz w:w="12240" w:h="15840"/>
          <w:pgMar w:header="0" w:footer="743" w:top="1360" w:bottom="940" w:left="1640" w:right="1300"/>
        </w:sectPr>
      </w:pPr>
    </w:p>
    <w:p>
      <w:pPr>
        <w:pStyle w:val="ListParagraph"/>
        <w:numPr>
          <w:ilvl w:val="0"/>
          <w:numId w:val="146"/>
        </w:numPr>
        <w:tabs>
          <w:tab w:pos="561" w:val="left" w:leader="none"/>
        </w:tabs>
        <w:spacing w:line="240" w:lineRule="auto" w:before="76" w:after="0"/>
        <w:ind w:left="160" w:right="498" w:firstLine="0"/>
        <w:jc w:val="both"/>
        <w:rPr>
          <w:sz w:val="24"/>
        </w:rPr>
      </w:pPr>
      <w:r>
        <w:rPr>
          <w:sz w:val="24"/>
        </w:rPr>
        <w:t>Prof. S. Okita, Executive Director, Japan Economic Research Centre, Tokyo, and Special Adviser to the Minister of Economic Planning Agency, Government of Japan.</w:t>
      </w:r>
    </w:p>
    <w:p>
      <w:pPr>
        <w:pStyle w:val="BodyText"/>
        <w:spacing w:before="4"/>
      </w:pPr>
    </w:p>
    <w:p>
      <w:pPr>
        <w:pStyle w:val="ListParagraph"/>
        <w:numPr>
          <w:ilvl w:val="0"/>
          <w:numId w:val="146"/>
        </w:numPr>
        <w:tabs>
          <w:tab w:pos="573" w:val="left" w:leader="none"/>
        </w:tabs>
        <w:spacing w:line="240" w:lineRule="auto" w:before="0" w:after="0"/>
        <w:ind w:left="159" w:right="498" w:firstLine="0"/>
        <w:jc w:val="both"/>
        <w:rPr>
          <w:sz w:val="24"/>
        </w:rPr>
      </w:pPr>
      <w:r>
        <w:rPr>
          <w:sz w:val="24"/>
        </w:rPr>
        <w:t>Professor A.R. Prest, Professor of Economics and Public Finance, University of Manchester, Manchester, England.</w:t>
      </w:r>
    </w:p>
    <w:p>
      <w:pPr>
        <w:pStyle w:val="BodyText"/>
        <w:spacing w:before="5"/>
      </w:pPr>
    </w:p>
    <w:p>
      <w:pPr>
        <w:pStyle w:val="ListParagraph"/>
        <w:numPr>
          <w:ilvl w:val="0"/>
          <w:numId w:val="146"/>
        </w:numPr>
        <w:tabs>
          <w:tab w:pos="545" w:val="left" w:leader="none"/>
        </w:tabs>
        <w:spacing w:line="240" w:lineRule="auto" w:before="0" w:after="0"/>
        <w:ind w:left="159" w:right="496" w:firstLine="0"/>
        <w:jc w:val="both"/>
        <w:rPr>
          <w:sz w:val="24"/>
        </w:rPr>
      </w:pPr>
      <w:r>
        <w:rPr>
          <w:sz w:val="24"/>
        </w:rPr>
        <w:t>Lord Robbins, Professor Emeritus, London School of Economics, and Chairman of Financial Times, London. Recently Chairman of the Committee on Higher Education, </w:t>
      </w:r>
      <w:r>
        <w:rPr>
          <w:spacing w:val="-4"/>
          <w:sz w:val="24"/>
        </w:rPr>
        <w:t>UK.</w:t>
      </w:r>
    </w:p>
    <w:p>
      <w:pPr>
        <w:pStyle w:val="BodyText"/>
        <w:spacing w:before="3"/>
      </w:pPr>
    </w:p>
    <w:p>
      <w:pPr>
        <w:pStyle w:val="ListParagraph"/>
        <w:numPr>
          <w:ilvl w:val="0"/>
          <w:numId w:val="146"/>
        </w:numPr>
        <w:tabs>
          <w:tab w:pos="592" w:val="left" w:leader="none"/>
        </w:tabs>
        <w:spacing w:line="240" w:lineRule="auto" w:before="1" w:after="0"/>
        <w:ind w:left="159" w:right="497" w:firstLine="0"/>
        <w:jc w:val="both"/>
        <w:rPr>
          <w:sz w:val="24"/>
        </w:rPr>
      </w:pPr>
      <w:r>
        <w:rPr>
          <w:sz w:val="24"/>
        </w:rPr>
        <w:t>Professor Edward A. Shils, Professor of Sociology and Social Thought in the Committee on Social Thought, University of Chicago, USA, and Fellow of King's College, Cambridge, UK.</w:t>
      </w:r>
    </w:p>
    <w:p>
      <w:pPr>
        <w:pStyle w:val="BodyText"/>
        <w:spacing w:before="4"/>
      </w:pPr>
    </w:p>
    <w:p>
      <w:pPr>
        <w:pStyle w:val="ListParagraph"/>
        <w:numPr>
          <w:ilvl w:val="0"/>
          <w:numId w:val="146"/>
        </w:numPr>
        <w:tabs>
          <w:tab w:pos="518" w:val="left" w:leader="none"/>
        </w:tabs>
        <w:spacing w:line="240" w:lineRule="auto" w:before="1" w:after="0"/>
        <w:ind w:left="518" w:right="0" w:hanging="359"/>
        <w:jc w:val="both"/>
        <w:rPr>
          <w:sz w:val="24"/>
        </w:rPr>
      </w:pPr>
      <w:r>
        <w:rPr>
          <w:sz w:val="24"/>
        </w:rPr>
        <w:t>Dr.</w:t>
      </w:r>
      <w:r>
        <w:rPr>
          <w:spacing w:val="-2"/>
          <w:sz w:val="24"/>
        </w:rPr>
        <w:t> </w:t>
      </w:r>
      <w:r>
        <w:rPr>
          <w:sz w:val="24"/>
        </w:rPr>
        <w:t>Frederick</w:t>
      </w:r>
      <w:r>
        <w:rPr>
          <w:spacing w:val="-2"/>
          <w:sz w:val="24"/>
        </w:rPr>
        <w:t> </w:t>
      </w:r>
      <w:r>
        <w:rPr>
          <w:sz w:val="24"/>
        </w:rPr>
        <w:t>Seitz,</w:t>
      </w:r>
      <w:r>
        <w:rPr>
          <w:spacing w:val="-1"/>
          <w:sz w:val="24"/>
        </w:rPr>
        <w:t> </w:t>
      </w:r>
      <w:r>
        <w:rPr>
          <w:sz w:val="24"/>
        </w:rPr>
        <w:t>President,</w:t>
      </w:r>
      <w:r>
        <w:rPr>
          <w:spacing w:val="-2"/>
          <w:sz w:val="24"/>
        </w:rPr>
        <w:t> </w:t>
      </w:r>
      <w:r>
        <w:rPr>
          <w:sz w:val="24"/>
        </w:rPr>
        <w:t>National</w:t>
      </w:r>
      <w:r>
        <w:rPr>
          <w:spacing w:val="-1"/>
          <w:sz w:val="24"/>
        </w:rPr>
        <w:t> </w:t>
      </w:r>
      <w:r>
        <w:rPr>
          <w:sz w:val="24"/>
        </w:rPr>
        <w:t>Academy</w:t>
      </w:r>
      <w:r>
        <w:rPr>
          <w:spacing w:val="-1"/>
          <w:sz w:val="24"/>
        </w:rPr>
        <w:t> </w:t>
      </w:r>
      <w:r>
        <w:rPr>
          <w:sz w:val="24"/>
        </w:rPr>
        <w:t>of Sciences,</w:t>
      </w:r>
      <w:r>
        <w:rPr>
          <w:spacing w:val="-1"/>
          <w:sz w:val="24"/>
        </w:rPr>
        <w:t> </w:t>
      </w:r>
      <w:r>
        <w:rPr>
          <w:sz w:val="24"/>
        </w:rPr>
        <w:t>Washington, </w:t>
      </w:r>
      <w:r>
        <w:rPr>
          <w:spacing w:val="-4"/>
          <w:sz w:val="24"/>
        </w:rPr>
        <w:t>USA.</w:t>
      </w:r>
    </w:p>
    <w:p>
      <w:pPr>
        <w:pStyle w:val="BodyText"/>
        <w:spacing w:before="2"/>
      </w:pPr>
    </w:p>
    <w:p>
      <w:pPr>
        <w:pStyle w:val="ListParagraph"/>
        <w:numPr>
          <w:ilvl w:val="0"/>
          <w:numId w:val="146"/>
        </w:numPr>
        <w:tabs>
          <w:tab w:pos="562" w:val="left" w:leader="none"/>
        </w:tabs>
        <w:spacing w:line="240" w:lineRule="auto" w:before="0" w:after="0"/>
        <w:ind w:left="159" w:right="497" w:firstLine="0"/>
        <w:jc w:val="both"/>
        <w:rPr>
          <w:sz w:val="24"/>
        </w:rPr>
      </w:pPr>
      <w:r>
        <w:rPr>
          <w:sz w:val="24"/>
        </w:rPr>
        <w:t>Professor W.C. Smith, Professor of World Religions and Director, Centre for the Study of World Religions, Harvard University, Cambridge, Massachusetts, USA.</w:t>
      </w:r>
    </w:p>
    <w:p>
      <w:pPr>
        <w:spacing w:after="0" w:line="240" w:lineRule="auto"/>
        <w:jc w:val="both"/>
        <w:rPr>
          <w:sz w:val="24"/>
        </w:rPr>
        <w:sectPr>
          <w:pgSz w:w="12240" w:h="15840"/>
          <w:pgMar w:header="0" w:footer="743" w:top="1360" w:bottom="940" w:left="1640" w:right="1300"/>
        </w:sectPr>
      </w:pPr>
    </w:p>
    <w:p>
      <w:pPr>
        <w:pStyle w:val="Heading1"/>
        <w:spacing w:before="79"/>
      </w:pPr>
      <w:r>
        <w:rPr/>
        <w:t>APPENDIX</w:t>
      </w:r>
      <w:r>
        <w:rPr>
          <w:spacing w:val="-5"/>
        </w:rPr>
        <w:t> IV</w:t>
      </w:r>
    </w:p>
    <w:p>
      <w:pPr>
        <w:pStyle w:val="BodyText"/>
        <w:rPr>
          <w:b/>
        </w:rPr>
      </w:pPr>
    </w:p>
    <w:p>
      <w:pPr>
        <w:spacing w:before="0"/>
        <w:ind w:left="291" w:right="629" w:firstLine="0"/>
        <w:jc w:val="center"/>
        <w:rPr>
          <w:b/>
          <w:sz w:val="24"/>
        </w:rPr>
      </w:pPr>
      <w:r>
        <w:rPr>
          <w:b/>
          <w:sz w:val="24"/>
        </w:rPr>
        <w:t>TASK</w:t>
      </w:r>
      <w:r>
        <w:rPr>
          <w:b/>
          <w:spacing w:val="-4"/>
          <w:sz w:val="24"/>
        </w:rPr>
        <w:t> </w:t>
      </w:r>
      <w:r>
        <w:rPr>
          <w:b/>
          <w:sz w:val="24"/>
        </w:rPr>
        <w:t>FORCES</w:t>
      </w:r>
      <w:r>
        <w:rPr>
          <w:b/>
          <w:spacing w:val="-4"/>
          <w:sz w:val="24"/>
        </w:rPr>
        <w:t> </w:t>
      </w:r>
      <w:r>
        <w:rPr>
          <w:b/>
          <w:sz w:val="24"/>
        </w:rPr>
        <w:t>AND</w:t>
      </w:r>
      <w:r>
        <w:rPr>
          <w:b/>
          <w:spacing w:val="-4"/>
          <w:sz w:val="24"/>
        </w:rPr>
        <w:t> </w:t>
      </w:r>
      <w:r>
        <w:rPr>
          <w:b/>
          <w:sz w:val="24"/>
        </w:rPr>
        <w:t>WORKING</w:t>
      </w:r>
      <w:r>
        <w:rPr>
          <w:b/>
          <w:spacing w:val="-4"/>
          <w:sz w:val="24"/>
        </w:rPr>
        <w:t> </w:t>
      </w:r>
      <w:r>
        <w:rPr>
          <w:b/>
          <w:spacing w:val="-2"/>
          <w:sz w:val="24"/>
        </w:rPr>
        <w:t>GROUPS</w:t>
      </w:r>
    </w:p>
    <w:p>
      <w:pPr>
        <w:pStyle w:val="BodyText"/>
        <w:rPr>
          <w:b/>
        </w:rPr>
      </w:pPr>
    </w:p>
    <w:p>
      <w:pPr>
        <w:pStyle w:val="Heading2"/>
      </w:pPr>
      <w:r>
        <w:rPr/>
        <w:t>AIV.01</w:t>
      </w:r>
      <w:r>
        <w:rPr>
          <w:spacing w:val="-4"/>
        </w:rPr>
        <w:t> </w:t>
      </w:r>
      <w:r>
        <w:rPr/>
        <w:t>Task</w:t>
      </w:r>
      <w:r>
        <w:rPr>
          <w:spacing w:val="-4"/>
        </w:rPr>
        <w:t> </w:t>
      </w:r>
      <w:r>
        <w:rPr/>
        <w:t>Force</w:t>
      </w:r>
      <w:r>
        <w:rPr>
          <w:spacing w:val="-4"/>
        </w:rPr>
        <w:t> </w:t>
      </w:r>
      <w:r>
        <w:rPr/>
        <w:t>on</w:t>
      </w:r>
      <w:r>
        <w:rPr>
          <w:spacing w:val="-4"/>
        </w:rPr>
        <w:t> </w:t>
      </w:r>
      <w:r>
        <w:rPr/>
        <w:t>Adult</w:t>
      </w:r>
      <w:r>
        <w:rPr>
          <w:spacing w:val="-3"/>
        </w:rPr>
        <w:t> </w:t>
      </w:r>
      <w:r>
        <w:rPr>
          <w:spacing w:val="-2"/>
        </w:rPr>
        <w:t>Education</w:t>
      </w:r>
    </w:p>
    <w:p>
      <w:pPr>
        <w:pStyle w:val="BodyText"/>
        <w:spacing w:before="2"/>
        <w:rPr>
          <w:b/>
        </w:rPr>
      </w:pPr>
    </w:p>
    <w:p>
      <w:pPr>
        <w:pStyle w:val="ListParagraph"/>
        <w:numPr>
          <w:ilvl w:val="0"/>
          <w:numId w:val="147"/>
        </w:numPr>
        <w:tabs>
          <w:tab w:pos="400" w:val="left" w:leader="none"/>
        </w:tabs>
        <w:spacing w:line="240" w:lineRule="auto" w:before="0" w:after="0"/>
        <w:ind w:left="400" w:right="0" w:hanging="240"/>
        <w:jc w:val="left"/>
        <w:rPr>
          <w:sz w:val="24"/>
        </w:rPr>
      </w:pPr>
      <w:r>
        <w:rPr>
          <w:sz w:val="24"/>
        </w:rPr>
        <w:t>Dr.</w:t>
      </w:r>
      <w:r>
        <w:rPr>
          <w:spacing w:val="-5"/>
          <w:sz w:val="24"/>
        </w:rPr>
        <w:t> </w:t>
      </w:r>
      <w:r>
        <w:rPr>
          <w:sz w:val="24"/>
        </w:rPr>
        <w:t>V.</w:t>
      </w:r>
      <w:r>
        <w:rPr>
          <w:spacing w:val="-2"/>
          <w:sz w:val="24"/>
        </w:rPr>
        <w:t> </w:t>
      </w:r>
      <w:r>
        <w:rPr>
          <w:sz w:val="24"/>
        </w:rPr>
        <w:t>S.</w:t>
      </w:r>
      <w:r>
        <w:rPr>
          <w:spacing w:val="-3"/>
          <w:sz w:val="24"/>
        </w:rPr>
        <w:t> </w:t>
      </w:r>
      <w:r>
        <w:rPr>
          <w:sz w:val="24"/>
        </w:rPr>
        <w:t>Jha,</w:t>
      </w:r>
      <w:r>
        <w:rPr>
          <w:spacing w:val="-2"/>
          <w:sz w:val="24"/>
        </w:rPr>
        <w:t> </w:t>
      </w:r>
      <w:r>
        <w:rPr>
          <w:sz w:val="24"/>
        </w:rPr>
        <w:t>Member,</w:t>
      </w:r>
      <w:r>
        <w:rPr>
          <w:spacing w:val="-2"/>
          <w:sz w:val="24"/>
        </w:rPr>
        <w:t> </w:t>
      </w:r>
      <w:r>
        <w:rPr>
          <w:sz w:val="24"/>
        </w:rPr>
        <w:t>Education</w:t>
      </w:r>
      <w:r>
        <w:rPr>
          <w:spacing w:val="-4"/>
          <w:sz w:val="24"/>
        </w:rPr>
        <w:t> </w:t>
      </w:r>
      <w:r>
        <w:rPr>
          <w:sz w:val="24"/>
        </w:rPr>
        <w:t>Commission,</w:t>
      </w:r>
      <w:r>
        <w:rPr>
          <w:spacing w:val="-3"/>
          <w:sz w:val="24"/>
        </w:rPr>
        <w:t> </w:t>
      </w:r>
      <w:r>
        <w:rPr>
          <w:sz w:val="24"/>
        </w:rPr>
        <w:t>New</w:t>
      </w:r>
      <w:r>
        <w:rPr>
          <w:spacing w:val="-3"/>
          <w:sz w:val="24"/>
        </w:rPr>
        <w:t> </w:t>
      </w:r>
      <w:r>
        <w:rPr>
          <w:sz w:val="24"/>
        </w:rPr>
        <w:t>Delhi.</w:t>
      </w:r>
      <w:r>
        <w:rPr>
          <w:spacing w:val="-3"/>
          <w:sz w:val="24"/>
        </w:rPr>
        <w:t> </w:t>
      </w:r>
      <w:r>
        <w:rPr>
          <w:spacing w:val="-2"/>
          <w:sz w:val="24"/>
        </w:rPr>
        <w:t>Convener</w:t>
      </w:r>
    </w:p>
    <w:p>
      <w:pPr>
        <w:pStyle w:val="BodyText"/>
        <w:spacing w:before="4"/>
      </w:pPr>
    </w:p>
    <w:p>
      <w:pPr>
        <w:pStyle w:val="ListParagraph"/>
        <w:numPr>
          <w:ilvl w:val="0"/>
          <w:numId w:val="147"/>
        </w:numPr>
        <w:tabs>
          <w:tab w:pos="406" w:val="left" w:leader="none"/>
        </w:tabs>
        <w:spacing w:line="240" w:lineRule="auto" w:before="0" w:after="0"/>
        <w:ind w:left="160" w:right="496" w:firstLine="0"/>
        <w:jc w:val="left"/>
        <w:rPr>
          <w:sz w:val="24"/>
        </w:rPr>
      </w:pPr>
      <w:r>
        <w:rPr>
          <w:sz w:val="24"/>
        </w:rPr>
        <w:t>Shri Abdul Qadir, Director-General of Employment &amp; Training, Ministry of Labour &amp; Employment, New Delhi.</w:t>
      </w:r>
    </w:p>
    <w:p>
      <w:pPr>
        <w:pStyle w:val="BodyText"/>
        <w:spacing w:before="5"/>
      </w:pPr>
    </w:p>
    <w:p>
      <w:pPr>
        <w:pStyle w:val="ListParagraph"/>
        <w:numPr>
          <w:ilvl w:val="0"/>
          <w:numId w:val="147"/>
        </w:numPr>
        <w:tabs>
          <w:tab w:pos="400" w:val="left" w:leader="none"/>
        </w:tabs>
        <w:spacing w:line="240" w:lineRule="auto" w:before="0" w:after="0"/>
        <w:ind w:left="400" w:right="0" w:hanging="240"/>
        <w:jc w:val="left"/>
        <w:rPr>
          <w:sz w:val="24"/>
        </w:rPr>
      </w:pPr>
      <w:r>
        <w:rPr>
          <w:sz w:val="24"/>
        </w:rPr>
        <w:t>Shri</w:t>
      </w:r>
      <w:r>
        <w:rPr>
          <w:spacing w:val="-5"/>
          <w:sz w:val="24"/>
        </w:rPr>
        <w:t> </w:t>
      </w:r>
      <w:r>
        <w:rPr>
          <w:sz w:val="24"/>
        </w:rPr>
        <w:t>G.</w:t>
      </w:r>
      <w:r>
        <w:rPr>
          <w:spacing w:val="-3"/>
          <w:sz w:val="24"/>
        </w:rPr>
        <w:t> </w:t>
      </w:r>
      <w:r>
        <w:rPr>
          <w:sz w:val="24"/>
        </w:rPr>
        <w:t>K.</w:t>
      </w:r>
      <w:r>
        <w:rPr>
          <w:spacing w:val="-2"/>
          <w:sz w:val="24"/>
        </w:rPr>
        <w:t> </w:t>
      </w:r>
      <w:r>
        <w:rPr>
          <w:sz w:val="24"/>
        </w:rPr>
        <w:t>Chandiramani,</w:t>
      </w:r>
      <w:r>
        <w:rPr>
          <w:spacing w:val="-3"/>
          <w:sz w:val="24"/>
        </w:rPr>
        <w:t> </w:t>
      </w:r>
      <w:r>
        <w:rPr>
          <w:sz w:val="24"/>
        </w:rPr>
        <w:t>Additional</w:t>
      </w:r>
      <w:r>
        <w:rPr>
          <w:spacing w:val="-2"/>
          <w:sz w:val="24"/>
        </w:rPr>
        <w:t> </w:t>
      </w:r>
      <w:r>
        <w:rPr>
          <w:sz w:val="24"/>
        </w:rPr>
        <w:t>Secretary,</w:t>
      </w:r>
      <w:r>
        <w:rPr>
          <w:spacing w:val="-4"/>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47"/>
        </w:numPr>
        <w:tabs>
          <w:tab w:pos="400" w:val="left" w:leader="none"/>
        </w:tabs>
        <w:spacing w:line="240" w:lineRule="auto" w:before="1" w:after="0"/>
        <w:ind w:left="400" w:right="0" w:hanging="240"/>
        <w:jc w:val="left"/>
        <w:rPr>
          <w:sz w:val="24"/>
        </w:rPr>
      </w:pPr>
      <w:r>
        <w:rPr>
          <w:sz w:val="24"/>
        </w:rPr>
        <w:t>Shri</w:t>
      </w:r>
      <w:r>
        <w:rPr>
          <w:spacing w:val="-5"/>
          <w:sz w:val="24"/>
        </w:rPr>
        <w:t> </w:t>
      </w:r>
      <w:r>
        <w:rPr>
          <w:sz w:val="24"/>
        </w:rPr>
        <w:t>A.</w:t>
      </w:r>
      <w:r>
        <w:rPr>
          <w:spacing w:val="-2"/>
          <w:sz w:val="24"/>
        </w:rPr>
        <w:t> </w:t>
      </w:r>
      <w:r>
        <w:rPr>
          <w:sz w:val="24"/>
        </w:rPr>
        <w:t>R.</w:t>
      </w:r>
      <w:r>
        <w:rPr>
          <w:spacing w:val="-3"/>
          <w:sz w:val="24"/>
        </w:rPr>
        <w:t> </w:t>
      </w:r>
      <w:r>
        <w:rPr>
          <w:sz w:val="24"/>
        </w:rPr>
        <w:t>Deshpande,</w:t>
      </w:r>
      <w:r>
        <w:rPr>
          <w:spacing w:val="-2"/>
          <w:sz w:val="24"/>
        </w:rPr>
        <w:t> </w:t>
      </w:r>
      <w:r>
        <w:rPr>
          <w:sz w:val="24"/>
        </w:rPr>
        <w:t>Adviser</w:t>
      </w:r>
      <w:r>
        <w:rPr>
          <w:spacing w:val="-3"/>
          <w:sz w:val="24"/>
        </w:rPr>
        <w:t> </w:t>
      </w:r>
      <w:r>
        <w:rPr>
          <w:sz w:val="24"/>
        </w:rPr>
        <w:t>(Social</w:t>
      </w:r>
      <w:r>
        <w:rPr>
          <w:spacing w:val="-2"/>
          <w:sz w:val="24"/>
        </w:rPr>
        <w:t> </w:t>
      </w:r>
      <w:r>
        <w:rPr>
          <w:sz w:val="24"/>
        </w:rPr>
        <w:t>Education),</w:t>
      </w:r>
      <w:r>
        <w:rPr>
          <w:spacing w:val="-4"/>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47"/>
        </w:numPr>
        <w:tabs>
          <w:tab w:pos="399" w:val="left" w:leader="none"/>
        </w:tabs>
        <w:spacing w:line="240" w:lineRule="auto" w:before="0" w:after="0"/>
        <w:ind w:left="399" w:right="0" w:hanging="240"/>
        <w:jc w:val="left"/>
        <w:rPr>
          <w:sz w:val="24"/>
        </w:rPr>
      </w:pPr>
      <w:r>
        <w:rPr>
          <w:sz w:val="24"/>
        </w:rPr>
        <w:t>Shrimati</w:t>
      </w:r>
      <w:r>
        <w:rPr>
          <w:spacing w:val="-1"/>
          <w:sz w:val="24"/>
        </w:rPr>
        <w:t> </w:t>
      </w:r>
      <w:r>
        <w:rPr>
          <w:sz w:val="24"/>
        </w:rPr>
        <w:t>Durgabai</w:t>
      </w:r>
      <w:r>
        <w:rPr>
          <w:spacing w:val="-1"/>
          <w:sz w:val="24"/>
        </w:rPr>
        <w:t> </w:t>
      </w:r>
      <w:r>
        <w:rPr>
          <w:sz w:val="24"/>
        </w:rPr>
        <w:t>Deshmukh,</w:t>
      </w:r>
      <w:r>
        <w:rPr>
          <w:spacing w:val="-1"/>
          <w:sz w:val="24"/>
        </w:rPr>
        <w:t> </w:t>
      </w:r>
      <w:r>
        <w:rPr>
          <w:sz w:val="24"/>
        </w:rPr>
        <w:t>Vice-Chancellor's</w:t>
      </w:r>
      <w:r>
        <w:rPr>
          <w:spacing w:val="-2"/>
          <w:sz w:val="24"/>
        </w:rPr>
        <w:t> </w:t>
      </w:r>
      <w:r>
        <w:rPr>
          <w:sz w:val="24"/>
        </w:rPr>
        <w:t>Residence,</w:t>
      </w:r>
      <w:r>
        <w:rPr>
          <w:spacing w:val="-1"/>
          <w:sz w:val="24"/>
        </w:rPr>
        <w:t> </w:t>
      </w:r>
      <w:r>
        <w:rPr>
          <w:sz w:val="24"/>
        </w:rPr>
        <w:t>Delhi</w:t>
      </w:r>
      <w:r>
        <w:rPr>
          <w:spacing w:val="-1"/>
          <w:sz w:val="24"/>
        </w:rPr>
        <w:t> </w:t>
      </w:r>
      <w:r>
        <w:rPr>
          <w:sz w:val="24"/>
        </w:rPr>
        <w:t>University, </w:t>
      </w:r>
      <w:r>
        <w:rPr>
          <w:spacing w:val="-2"/>
          <w:sz w:val="24"/>
        </w:rPr>
        <w:t>Delhi.</w:t>
      </w:r>
    </w:p>
    <w:p>
      <w:pPr>
        <w:pStyle w:val="BodyText"/>
        <w:spacing w:before="5"/>
      </w:pPr>
    </w:p>
    <w:p>
      <w:pPr>
        <w:pStyle w:val="ListParagraph"/>
        <w:numPr>
          <w:ilvl w:val="0"/>
          <w:numId w:val="147"/>
        </w:numPr>
        <w:tabs>
          <w:tab w:pos="400" w:val="left" w:leader="none"/>
        </w:tabs>
        <w:spacing w:line="240" w:lineRule="auto" w:before="0" w:after="0"/>
        <w:ind w:left="400" w:right="0" w:hanging="240"/>
        <w:jc w:val="left"/>
        <w:rPr>
          <w:sz w:val="24"/>
        </w:rPr>
      </w:pPr>
      <w:r>
        <w:rPr>
          <w:sz w:val="24"/>
        </w:rPr>
        <w:t>Mrs.</w:t>
      </w:r>
      <w:r>
        <w:rPr>
          <w:spacing w:val="-1"/>
          <w:sz w:val="24"/>
        </w:rPr>
        <w:t> </w:t>
      </w:r>
      <w:r>
        <w:rPr>
          <w:sz w:val="24"/>
        </w:rPr>
        <w:t>Welthy</w:t>
      </w:r>
      <w:r>
        <w:rPr>
          <w:spacing w:val="-1"/>
          <w:sz w:val="24"/>
        </w:rPr>
        <w:t> </w:t>
      </w:r>
      <w:r>
        <w:rPr>
          <w:sz w:val="24"/>
        </w:rPr>
        <w:t>Fisher,</w:t>
      </w:r>
      <w:r>
        <w:rPr>
          <w:spacing w:val="-1"/>
          <w:sz w:val="24"/>
        </w:rPr>
        <w:t> </w:t>
      </w:r>
      <w:r>
        <w:rPr>
          <w:sz w:val="24"/>
        </w:rPr>
        <w:t>Literacy House,</w:t>
      </w:r>
      <w:r>
        <w:rPr>
          <w:spacing w:val="-1"/>
          <w:sz w:val="24"/>
        </w:rPr>
        <w:t> </w:t>
      </w:r>
      <w:r>
        <w:rPr>
          <w:sz w:val="24"/>
        </w:rPr>
        <w:t>Kanpur</w:t>
      </w:r>
      <w:r>
        <w:rPr>
          <w:spacing w:val="-1"/>
          <w:sz w:val="24"/>
        </w:rPr>
        <w:t> </w:t>
      </w:r>
      <w:r>
        <w:rPr>
          <w:sz w:val="24"/>
        </w:rPr>
        <w:t>Road, </w:t>
      </w:r>
      <w:r>
        <w:rPr>
          <w:spacing w:val="-2"/>
          <w:sz w:val="24"/>
        </w:rPr>
        <w:t>Lucknow.</w:t>
      </w:r>
    </w:p>
    <w:p>
      <w:pPr>
        <w:pStyle w:val="BodyText"/>
        <w:spacing w:before="3"/>
      </w:pPr>
    </w:p>
    <w:p>
      <w:pPr>
        <w:pStyle w:val="ListParagraph"/>
        <w:numPr>
          <w:ilvl w:val="0"/>
          <w:numId w:val="147"/>
        </w:numPr>
        <w:tabs>
          <w:tab w:pos="398" w:val="left" w:leader="none"/>
        </w:tabs>
        <w:spacing w:line="240" w:lineRule="auto" w:before="1" w:after="0"/>
        <w:ind w:left="398" w:right="0" w:hanging="238"/>
        <w:jc w:val="left"/>
        <w:rPr>
          <w:sz w:val="24"/>
        </w:rPr>
      </w:pPr>
      <w:r>
        <w:rPr>
          <w:sz w:val="24"/>
        </w:rPr>
        <w:t>Shri</w:t>
      </w:r>
      <w:r>
        <w:rPr>
          <w:spacing w:val="-6"/>
          <w:sz w:val="24"/>
        </w:rPr>
        <w:t> </w:t>
      </w:r>
      <w:r>
        <w:rPr>
          <w:sz w:val="24"/>
        </w:rPr>
        <w:t>K.</w:t>
      </w:r>
      <w:r>
        <w:rPr>
          <w:spacing w:val="-4"/>
          <w:sz w:val="24"/>
        </w:rPr>
        <w:t> </w:t>
      </w:r>
      <w:r>
        <w:rPr>
          <w:sz w:val="24"/>
        </w:rPr>
        <w:t>L.</w:t>
      </w:r>
      <w:r>
        <w:rPr>
          <w:spacing w:val="-4"/>
          <w:sz w:val="24"/>
        </w:rPr>
        <w:t> </w:t>
      </w:r>
      <w:r>
        <w:rPr>
          <w:sz w:val="24"/>
        </w:rPr>
        <w:t>Joshi,</w:t>
      </w:r>
      <w:r>
        <w:rPr>
          <w:spacing w:val="-4"/>
          <w:sz w:val="24"/>
        </w:rPr>
        <w:t> </w:t>
      </w:r>
      <w:r>
        <w:rPr>
          <w:sz w:val="24"/>
        </w:rPr>
        <w:t>Secretary,</w:t>
      </w:r>
      <w:r>
        <w:rPr>
          <w:spacing w:val="-4"/>
          <w:sz w:val="24"/>
        </w:rPr>
        <w:t> </w:t>
      </w:r>
      <w:r>
        <w:rPr>
          <w:sz w:val="24"/>
        </w:rPr>
        <w:t>University</w:t>
      </w:r>
      <w:r>
        <w:rPr>
          <w:spacing w:val="-4"/>
          <w:sz w:val="24"/>
        </w:rPr>
        <w:t> </w:t>
      </w:r>
      <w:r>
        <w:rPr>
          <w:sz w:val="24"/>
        </w:rPr>
        <w:t>Grants</w:t>
      </w:r>
      <w:r>
        <w:rPr>
          <w:spacing w:val="-4"/>
          <w:sz w:val="24"/>
        </w:rPr>
        <w:t> </w:t>
      </w:r>
      <w:r>
        <w:rPr>
          <w:sz w:val="24"/>
        </w:rPr>
        <w:t>Commission,</w:t>
      </w:r>
      <w:r>
        <w:rPr>
          <w:spacing w:val="-4"/>
          <w:sz w:val="24"/>
        </w:rPr>
        <w:t> </w:t>
      </w:r>
      <w:r>
        <w:rPr>
          <w:sz w:val="24"/>
        </w:rPr>
        <w:t>New</w:t>
      </w:r>
      <w:r>
        <w:rPr>
          <w:spacing w:val="-4"/>
          <w:sz w:val="24"/>
        </w:rPr>
        <w:t> </w:t>
      </w:r>
      <w:r>
        <w:rPr>
          <w:spacing w:val="-2"/>
          <w:sz w:val="24"/>
        </w:rPr>
        <w:t>Delhi.</w:t>
      </w:r>
    </w:p>
    <w:p>
      <w:pPr>
        <w:pStyle w:val="BodyText"/>
        <w:spacing w:before="3"/>
      </w:pPr>
    </w:p>
    <w:p>
      <w:pPr>
        <w:pStyle w:val="ListParagraph"/>
        <w:numPr>
          <w:ilvl w:val="0"/>
          <w:numId w:val="147"/>
        </w:numPr>
        <w:tabs>
          <w:tab w:pos="400" w:val="left" w:leader="none"/>
        </w:tabs>
        <w:spacing w:line="240" w:lineRule="auto" w:before="0" w:after="0"/>
        <w:ind w:left="400" w:right="0" w:hanging="240"/>
        <w:jc w:val="left"/>
        <w:rPr>
          <w:sz w:val="24"/>
        </w:rPr>
      </w:pPr>
      <w:r>
        <w:rPr>
          <w:sz w:val="24"/>
        </w:rPr>
        <w:t>Shri</w:t>
      </w:r>
      <w:r>
        <w:rPr>
          <w:spacing w:val="-3"/>
          <w:sz w:val="24"/>
        </w:rPr>
        <w:t> </w:t>
      </w:r>
      <w:r>
        <w:rPr>
          <w:sz w:val="24"/>
        </w:rPr>
        <w:t>D. R. Kalia, Director,</w:t>
      </w:r>
      <w:r>
        <w:rPr>
          <w:spacing w:val="-1"/>
          <w:sz w:val="24"/>
        </w:rPr>
        <w:t> </w:t>
      </w:r>
      <w:r>
        <w:rPr>
          <w:sz w:val="24"/>
        </w:rPr>
        <w:t>Delhi Public Library, </w:t>
      </w:r>
      <w:r>
        <w:rPr>
          <w:spacing w:val="-2"/>
          <w:sz w:val="24"/>
        </w:rPr>
        <w:t>Delhi.</w:t>
      </w:r>
    </w:p>
    <w:p>
      <w:pPr>
        <w:pStyle w:val="BodyText"/>
        <w:spacing w:before="4"/>
      </w:pPr>
    </w:p>
    <w:p>
      <w:pPr>
        <w:pStyle w:val="ListParagraph"/>
        <w:numPr>
          <w:ilvl w:val="0"/>
          <w:numId w:val="147"/>
        </w:numPr>
        <w:tabs>
          <w:tab w:pos="443" w:val="left" w:leader="none"/>
        </w:tabs>
        <w:spacing w:line="240" w:lineRule="auto" w:before="0" w:after="0"/>
        <w:ind w:left="160" w:right="497" w:firstLine="0"/>
        <w:jc w:val="left"/>
        <w:rPr>
          <w:sz w:val="24"/>
        </w:rPr>
      </w:pPr>
      <w:r>
        <w:rPr>
          <w:sz w:val="24"/>
        </w:rPr>
        <w:t>Dr.</w:t>
      </w:r>
      <w:r>
        <w:rPr>
          <w:spacing w:val="39"/>
          <w:sz w:val="24"/>
        </w:rPr>
        <w:t> </w:t>
      </w:r>
      <w:r>
        <w:rPr>
          <w:sz w:val="24"/>
        </w:rPr>
        <w:t>T.</w:t>
      </w:r>
      <w:r>
        <w:rPr>
          <w:spacing w:val="39"/>
          <w:sz w:val="24"/>
        </w:rPr>
        <w:t> </w:t>
      </w:r>
      <w:r>
        <w:rPr>
          <w:sz w:val="24"/>
        </w:rPr>
        <w:t>A.</w:t>
      </w:r>
      <w:r>
        <w:rPr>
          <w:spacing w:val="39"/>
          <w:sz w:val="24"/>
        </w:rPr>
        <w:t> </w:t>
      </w:r>
      <w:r>
        <w:rPr>
          <w:sz w:val="24"/>
        </w:rPr>
        <w:t>Koshy,</w:t>
      </w:r>
      <w:r>
        <w:rPr>
          <w:spacing w:val="39"/>
          <w:sz w:val="24"/>
        </w:rPr>
        <w:t> </w:t>
      </w:r>
      <w:r>
        <w:rPr>
          <w:sz w:val="24"/>
        </w:rPr>
        <w:t>Director,</w:t>
      </w:r>
      <w:r>
        <w:rPr>
          <w:spacing w:val="39"/>
          <w:sz w:val="24"/>
        </w:rPr>
        <w:t> </w:t>
      </w:r>
      <w:r>
        <w:rPr>
          <w:sz w:val="24"/>
        </w:rPr>
        <w:t>National</w:t>
      </w:r>
      <w:r>
        <w:rPr>
          <w:spacing w:val="39"/>
          <w:sz w:val="24"/>
        </w:rPr>
        <w:t> </w:t>
      </w:r>
      <w:r>
        <w:rPr>
          <w:sz w:val="24"/>
        </w:rPr>
        <w:t>Fundamental</w:t>
      </w:r>
      <w:r>
        <w:rPr>
          <w:spacing w:val="39"/>
          <w:sz w:val="24"/>
        </w:rPr>
        <w:t> </w:t>
      </w:r>
      <w:r>
        <w:rPr>
          <w:sz w:val="24"/>
        </w:rPr>
        <w:t>Education</w:t>
      </w:r>
      <w:r>
        <w:rPr>
          <w:spacing w:val="39"/>
          <w:sz w:val="24"/>
        </w:rPr>
        <w:t> </w:t>
      </w:r>
      <w:r>
        <w:rPr>
          <w:sz w:val="24"/>
        </w:rPr>
        <w:t>Centre,</w:t>
      </w:r>
      <w:r>
        <w:rPr>
          <w:spacing w:val="39"/>
          <w:sz w:val="24"/>
        </w:rPr>
        <w:t> </w:t>
      </w:r>
      <w:r>
        <w:rPr>
          <w:sz w:val="24"/>
        </w:rPr>
        <w:t>38-A,</w:t>
      </w:r>
      <w:r>
        <w:rPr>
          <w:spacing w:val="39"/>
          <w:sz w:val="24"/>
        </w:rPr>
        <w:t> </w:t>
      </w:r>
      <w:r>
        <w:rPr>
          <w:sz w:val="24"/>
        </w:rPr>
        <w:t>Friends Colony (East), Mathura Road, New Delhi.</w:t>
      </w:r>
    </w:p>
    <w:p>
      <w:pPr>
        <w:pStyle w:val="BodyText"/>
        <w:spacing w:before="5"/>
      </w:pPr>
    </w:p>
    <w:p>
      <w:pPr>
        <w:pStyle w:val="ListParagraph"/>
        <w:numPr>
          <w:ilvl w:val="0"/>
          <w:numId w:val="147"/>
        </w:numPr>
        <w:tabs>
          <w:tab w:pos="520" w:val="left" w:leader="none"/>
        </w:tabs>
        <w:spacing w:line="240" w:lineRule="auto" w:before="0" w:after="0"/>
        <w:ind w:left="520" w:right="0" w:hanging="360"/>
        <w:jc w:val="left"/>
        <w:rPr>
          <w:sz w:val="24"/>
        </w:rPr>
      </w:pPr>
      <w:r>
        <w:rPr>
          <w:sz w:val="24"/>
        </w:rPr>
        <w:t>Mr.</w:t>
      </w:r>
      <w:r>
        <w:rPr>
          <w:spacing w:val="-6"/>
          <w:sz w:val="24"/>
        </w:rPr>
        <w:t> </w:t>
      </w:r>
      <w:r>
        <w:rPr>
          <w:sz w:val="24"/>
        </w:rPr>
        <w:t>J.</w:t>
      </w:r>
      <w:r>
        <w:rPr>
          <w:spacing w:val="-3"/>
          <w:sz w:val="24"/>
        </w:rPr>
        <w:t> </w:t>
      </w:r>
      <w:r>
        <w:rPr>
          <w:sz w:val="24"/>
        </w:rPr>
        <w:t>F.</w:t>
      </w:r>
      <w:r>
        <w:rPr>
          <w:spacing w:val="-3"/>
          <w:sz w:val="24"/>
        </w:rPr>
        <w:t> </w:t>
      </w:r>
      <w:r>
        <w:rPr>
          <w:sz w:val="24"/>
        </w:rPr>
        <w:t>McDougall,</w:t>
      </w:r>
      <w:r>
        <w:rPr>
          <w:spacing w:val="-3"/>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47"/>
        </w:numPr>
        <w:tabs>
          <w:tab w:pos="520" w:val="left" w:leader="none"/>
        </w:tabs>
        <w:spacing w:line="240" w:lineRule="auto" w:before="0" w:after="0"/>
        <w:ind w:left="520" w:right="0" w:hanging="360"/>
        <w:jc w:val="left"/>
        <w:rPr>
          <w:sz w:val="24"/>
        </w:rPr>
      </w:pPr>
      <w:r>
        <w:rPr>
          <w:sz w:val="24"/>
        </w:rPr>
        <w:t>Dr.</w:t>
      </w:r>
      <w:r>
        <w:rPr>
          <w:spacing w:val="-1"/>
          <w:sz w:val="24"/>
        </w:rPr>
        <w:t> </w:t>
      </w:r>
      <w:r>
        <w:rPr>
          <w:sz w:val="24"/>
        </w:rPr>
        <w:t>M. S. Mehra,</w:t>
      </w:r>
      <w:r>
        <w:rPr>
          <w:spacing w:val="-1"/>
          <w:sz w:val="24"/>
        </w:rPr>
        <w:t> </w:t>
      </w:r>
      <w:r>
        <w:rPr>
          <w:sz w:val="24"/>
        </w:rPr>
        <w:t>Vice-Chancellor,</w:t>
      </w:r>
      <w:r>
        <w:rPr>
          <w:spacing w:val="-1"/>
          <w:sz w:val="24"/>
        </w:rPr>
        <w:t> </w:t>
      </w:r>
      <w:r>
        <w:rPr>
          <w:sz w:val="24"/>
        </w:rPr>
        <w:t>Rajasthan</w:t>
      </w:r>
      <w:r>
        <w:rPr>
          <w:spacing w:val="-1"/>
          <w:sz w:val="24"/>
        </w:rPr>
        <w:t> </w:t>
      </w:r>
      <w:r>
        <w:rPr>
          <w:sz w:val="24"/>
        </w:rPr>
        <w:t>University,</w:t>
      </w:r>
      <w:r>
        <w:rPr>
          <w:spacing w:val="-1"/>
          <w:sz w:val="24"/>
        </w:rPr>
        <w:t> </w:t>
      </w:r>
      <w:r>
        <w:rPr>
          <w:spacing w:val="-2"/>
          <w:sz w:val="24"/>
        </w:rPr>
        <w:t>Jaipur.</w:t>
      </w:r>
    </w:p>
    <w:p>
      <w:pPr>
        <w:pStyle w:val="BodyText"/>
        <w:spacing w:before="4"/>
      </w:pPr>
    </w:p>
    <w:p>
      <w:pPr>
        <w:pStyle w:val="ListParagraph"/>
        <w:numPr>
          <w:ilvl w:val="0"/>
          <w:numId w:val="147"/>
        </w:numPr>
        <w:tabs>
          <w:tab w:pos="634" w:val="left" w:leader="none"/>
        </w:tabs>
        <w:spacing w:line="240" w:lineRule="auto" w:before="0" w:after="0"/>
        <w:ind w:left="159" w:right="497" w:firstLine="0"/>
        <w:jc w:val="left"/>
        <w:rPr>
          <w:sz w:val="24"/>
        </w:rPr>
      </w:pPr>
      <w:r>
        <w:rPr>
          <w:sz w:val="24"/>
        </w:rPr>
        <w:t>Mrs.</w:t>
      </w:r>
      <w:r>
        <w:rPr>
          <w:spacing w:val="80"/>
          <w:w w:val="150"/>
          <w:sz w:val="24"/>
        </w:rPr>
        <w:t> </w:t>
      </w:r>
      <w:r>
        <w:rPr>
          <w:sz w:val="24"/>
        </w:rPr>
        <w:t>A.</w:t>
      </w:r>
      <w:r>
        <w:rPr>
          <w:spacing w:val="80"/>
          <w:w w:val="150"/>
          <w:sz w:val="24"/>
        </w:rPr>
        <w:t> </w:t>
      </w:r>
      <w:r>
        <w:rPr>
          <w:sz w:val="24"/>
        </w:rPr>
        <w:t>R.</w:t>
      </w:r>
      <w:r>
        <w:rPr>
          <w:spacing w:val="80"/>
          <w:w w:val="150"/>
          <w:sz w:val="24"/>
        </w:rPr>
        <w:t> </w:t>
      </w:r>
      <w:r>
        <w:rPr>
          <w:sz w:val="24"/>
        </w:rPr>
        <w:t>Moore,</w:t>
      </w:r>
      <w:r>
        <w:rPr>
          <w:spacing w:val="80"/>
          <w:w w:val="150"/>
          <w:sz w:val="24"/>
        </w:rPr>
        <w:t> </w:t>
      </w:r>
      <w:r>
        <w:rPr>
          <w:sz w:val="24"/>
        </w:rPr>
        <w:t>Regional</w:t>
      </w:r>
      <w:r>
        <w:rPr>
          <w:spacing w:val="80"/>
          <w:w w:val="150"/>
          <w:sz w:val="24"/>
        </w:rPr>
        <w:t> </w:t>
      </w:r>
      <w:r>
        <w:rPr>
          <w:sz w:val="24"/>
        </w:rPr>
        <w:t>Adviser</w:t>
      </w:r>
      <w:r>
        <w:rPr>
          <w:spacing w:val="80"/>
          <w:w w:val="150"/>
          <w:sz w:val="24"/>
        </w:rPr>
        <w:t> </w:t>
      </w:r>
      <w:r>
        <w:rPr>
          <w:sz w:val="24"/>
        </w:rPr>
        <w:t>on</w:t>
      </w:r>
      <w:r>
        <w:rPr>
          <w:spacing w:val="80"/>
          <w:w w:val="150"/>
          <w:sz w:val="24"/>
        </w:rPr>
        <w:t> </w:t>
      </w:r>
      <w:r>
        <w:rPr>
          <w:sz w:val="24"/>
        </w:rPr>
        <w:t>Health</w:t>
      </w:r>
      <w:r>
        <w:rPr>
          <w:spacing w:val="80"/>
          <w:w w:val="150"/>
          <w:sz w:val="24"/>
        </w:rPr>
        <w:t> </w:t>
      </w:r>
      <w:r>
        <w:rPr>
          <w:sz w:val="24"/>
        </w:rPr>
        <w:t>Education,</w:t>
      </w:r>
      <w:r>
        <w:rPr>
          <w:spacing w:val="80"/>
          <w:w w:val="150"/>
          <w:sz w:val="24"/>
        </w:rPr>
        <w:t> </w:t>
      </w:r>
      <w:r>
        <w:rPr>
          <w:sz w:val="24"/>
        </w:rPr>
        <w:t>World</w:t>
      </w:r>
      <w:r>
        <w:rPr>
          <w:spacing w:val="80"/>
          <w:w w:val="150"/>
          <w:sz w:val="24"/>
        </w:rPr>
        <w:t> </w:t>
      </w:r>
      <w:r>
        <w:rPr>
          <w:sz w:val="24"/>
        </w:rPr>
        <w:t>Health Organization, WHO House, Ring Road, New Delhi.</w:t>
      </w:r>
    </w:p>
    <w:p>
      <w:pPr>
        <w:pStyle w:val="BodyText"/>
        <w:spacing w:before="5"/>
      </w:pPr>
    </w:p>
    <w:p>
      <w:pPr>
        <w:pStyle w:val="ListParagraph"/>
        <w:numPr>
          <w:ilvl w:val="0"/>
          <w:numId w:val="147"/>
        </w:numPr>
        <w:tabs>
          <w:tab w:pos="516" w:val="left" w:leader="none"/>
        </w:tabs>
        <w:spacing w:line="240" w:lineRule="auto" w:before="0" w:after="0"/>
        <w:ind w:left="516" w:right="0" w:hanging="357"/>
        <w:jc w:val="left"/>
        <w:rPr>
          <w:sz w:val="24"/>
        </w:rPr>
      </w:pPr>
      <w:r>
        <w:rPr>
          <w:sz w:val="24"/>
        </w:rPr>
        <w:t>Shri</w:t>
      </w:r>
      <w:r>
        <w:rPr>
          <w:spacing w:val="-9"/>
          <w:sz w:val="24"/>
        </w:rPr>
        <w:t> </w:t>
      </w:r>
      <w:r>
        <w:rPr>
          <w:sz w:val="24"/>
        </w:rPr>
        <w:t>J.</w:t>
      </w:r>
      <w:r>
        <w:rPr>
          <w:spacing w:val="-7"/>
          <w:sz w:val="24"/>
        </w:rPr>
        <w:t> </w:t>
      </w:r>
      <w:r>
        <w:rPr>
          <w:sz w:val="24"/>
        </w:rPr>
        <w:t>P.</w:t>
      </w:r>
      <w:r>
        <w:rPr>
          <w:spacing w:val="-6"/>
          <w:sz w:val="24"/>
        </w:rPr>
        <w:t> </w:t>
      </w:r>
      <w:r>
        <w:rPr>
          <w:sz w:val="24"/>
        </w:rPr>
        <w:t>Naik,</w:t>
      </w:r>
      <w:r>
        <w:rPr>
          <w:spacing w:val="-7"/>
          <w:sz w:val="24"/>
        </w:rPr>
        <w:t> </w:t>
      </w:r>
      <w:r>
        <w:rPr>
          <w:sz w:val="24"/>
        </w:rPr>
        <w:t>Member-Secretary,</w:t>
      </w:r>
      <w:r>
        <w:rPr>
          <w:spacing w:val="-7"/>
          <w:sz w:val="24"/>
        </w:rPr>
        <w:t> </w:t>
      </w:r>
      <w:r>
        <w:rPr>
          <w:sz w:val="24"/>
        </w:rPr>
        <w:t>Education</w:t>
      </w:r>
      <w:r>
        <w:rPr>
          <w:spacing w:val="-6"/>
          <w:sz w:val="24"/>
        </w:rPr>
        <w:t> </w:t>
      </w:r>
      <w:r>
        <w:rPr>
          <w:sz w:val="24"/>
        </w:rPr>
        <w:t>Commission.</w:t>
      </w:r>
      <w:r>
        <w:rPr>
          <w:spacing w:val="-7"/>
          <w:sz w:val="24"/>
        </w:rPr>
        <w:t> </w:t>
      </w:r>
      <w:r>
        <w:rPr>
          <w:sz w:val="24"/>
        </w:rPr>
        <w:t>New</w:t>
      </w:r>
      <w:r>
        <w:rPr>
          <w:spacing w:val="-6"/>
          <w:sz w:val="24"/>
        </w:rPr>
        <w:t> </w:t>
      </w:r>
      <w:r>
        <w:rPr>
          <w:spacing w:val="-2"/>
          <w:sz w:val="24"/>
        </w:rPr>
        <w:t>Delhi.</w:t>
      </w:r>
    </w:p>
    <w:p>
      <w:pPr>
        <w:pStyle w:val="BodyText"/>
        <w:spacing w:before="2"/>
      </w:pPr>
    </w:p>
    <w:p>
      <w:pPr>
        <w:pStyle w:val="ListParagraph"/>
        <w:numPr>
          <w:ilvl w:val="0"/>
          <w:numId w:val="147"/>
        </w:numPr>
        <w:tabs>
          <w:tab w:pos="526" w:val="left" w:leader="none"/>
        </w:tabs>
        <w:spacing w:line="240" w:lineRule="auto" w:before="0" w:after="0"/>
        <w:ind w:left="160" w:right="499" w:firstLine="0"/>
        <w:jc w:val="left"/>
        <w:rPr>
          <w:sz w:val="24"/>
        </w:rPr>
      </w:pPr>
      <w:r>
        <w:rPr>
          <w:sz w:val="24"/>
        </w:rPr>
        <w:t>Dr. M. S. Randhawa, Special Secretary, Ministry of Food &amp; Agriculture (Department of Agriculture), New Delhi.</w:t>
      </w:r>
    </w:p>
    <w:p>
      <w:pPr>
        <w:pStyle w:val="BodyText"/>
        <w:spacing w:before="6"/>
      </w:pPr>
    </w:p>
    <w:p>
      <w:pPr>
        <w:pStyle w:val="ListParagraph"/>
        <w:numPr>
          <w:ilvl w:val="0"/>
          <w:numId w:val="147"/>
        </w:numPr>
        <w:tabs>
          <w:tab w:pos="519" w:val="left" w:leader="none"/>
        </w:tabs>
        <w:spacing w:line="240" w:lineRule="auto" w:before="1" w:after="0"/>
        <w:ind w:left="519" w:right="0" w:hanging="359"/>
        <w:jc w:val="left"/>
        <w:rPr>
          <w:sz w:val="24"/>
        </w:rPr>
      </w:pPr>
      <w:r>
        <w:rPr>
          <w:sz w:val="24"/>
        </w:rPr>
        <w:t>Dr.</w:t>
      </w:r>
      <w:r>
        <w:rPr>
          <w:spacing w:val="-2"/>
          <w:sz w:val="24"/>
        </w:rPr>
        <w:t> </w:t>
      </w:r>
      <w:r>
        <w:rPr>
          <w:sz w:val="24"/>
        </w:rPr>
        <w:t>K.</w:t>
      </w:r>
      <w:r>
        <w:rPr>
          <w:spacing w:val="-1"/>
          <w:sz w:val="24"/>
        </w:rPr>
        <w:t> </w:t>
      </w:r>
      <w:r>
        <w:rPr>
          <w:sz w:val="24"/>
        </w:rPr>
        <w:t>G.</w:t>
      </w:r>
      <w:r>
        <w:rPr>
          <w:spacing w:val="-1"/>
          <w:sz w:val="24"/>
        </w:rPr>
        <w:t> </w:t>
      </w:r>
      <w:r>
        <w:rPr>
          <w:sz w:val="24"/>
        </w:rPr>
        <w:t>Saiyidain,</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3"/>
      </w:pPr>
    </w:p>
    <w:p>
      <w:pPr>
        <w:pStyle w:val="ListParagraph"/>
        <w:numPr>
          <w:ilvl w:val="0"/>
          <w:numId w:val="147"/>
        </w:numPr>
        <w:tabs>
          <w:tab w:pos="520" w:val="left" w:leader="none"/>
        </w:tabs>
        <w:spacing w:line="240" w:lineRule="auto" w:before="0" w:after="0"/>
        <w:ind w:left="520" w:right="0" w:hanging="360"/>
        <w:jc w:val="left"/>
        <w:rPr>
          <w:sz w:val="24"/>
        </w:rPr>
      </w:pPr>
      <w:r>
        <w:rPr>
          <w:sz w:val="24"/>
        </w:rPr>
        <w:t>Dr.</w:t>
      </w:r>
      <w:r>
        <w:rPr>
          <w:spacing w:val="-1"/>
          <w:sz w:val="24"/>
        </w:rPr>
        <w:t> </w:t>
      </w:r>
      <w:r>
        <w:rPr>
          <w:sz w:val="24"/>
        </w:rPr>
        <w:t>Hans Simons, Ford Foundation, 32,</w:t>
      </w:r>
      <w:r>
        <w:rPr>
          <w:spacing w:val="-1"/>
          <w:sz w:val="24"/>
        </w:rPr>
        <w:t> </w:t>
      </w:r>
      <w:r>
        <w:rPr>
          <w:sz w:val="24"/>
        </w:rPr>
        <w:t>Feroze Shah Road, New </w:t>
      </w:r>
      <w:r>
        <w:rPr>
          <w:spacing w:val="-2"/>
          <w:sz w:val="24"/>
        </w:rPr>
        <w:t>Delhi.</w:t>
      </w:r>
    </w:p>
    <w:p>
      <w:pPr>
        <w:pStyle w:val="BodyText"/>
        <w:spacing w:before="4"/>
      </w:pPr>
    </w:p>
    <w:p>
      <w:pPr>
        <w:pStyle w:val="ListParagraph"/>
        <w:numPr>
          <w:ilvl w:val="0"/>
          <w:numId w:val="147"/>
        </w:numPr>
        <w:tabs>
          <w:tab w:pos="520" w:val="left" w:leader="none"/>
        </w:tabs>
        <w:spacing w:line="240" w:lineRule="auto" w:before="0" w:after="0"/>
        <w:ind w:left="520" w:right="0" w:hanging="360"/>
        <w:jc w:val="left"/>
        <w:rPr>
          <w:sz w:val="24"/>
        </w:rPr>
      </w:pPr>
      <w:r>
        <w:rPr>
          <w:sz w:val="24"/>
        </w:rPr>
        <w:t>Shri Sohan Singh, Asia Foundation, 29, Rajpur Road, </w:t>
      </w:r>
      <w:r>
        <w:rPr>
          <w:spacing w:val="-2"/>
          <w:sz w:val="24"/>
        </w:rPr>
        <w:t>Delhi.</w:t>
      </w:r>
    </w:p>
    <w:p>
      <w:pPr>
        <w:pStyle w:val="BodyText"/>
        <w:spacing w:before="2"/>
      </w:pPr>
    </w:p>
    <w:p>
      <w:pPr>
        <w:pStyle w:val="ListParagraph"/>
        <w:numPr>
          <w:ilvl w:val="0"/>
          <w:numId w:val="147"/>
        </w:numPr>
        <w:tabs>
          <w:tab w:pos="527" w:val="left" w:leader="none"/>
        </w:tabs>
        <w:spacing w:line="240" w:lineRule="auto" w:before="0" w:after="0"/>
        <w:ind w:left="160" w:right="500" w:firstLine="0"/>
        <w:jc w:val="left"/>
        <w:rPr>
          <w:sz w:val="24"/>
        </w:rPr>
      </w:pPr>
      <w:r>
        <w:rPr>
          <w:sz w:val="24"/>
        </w:rPr>
        <w:t>Dr. S. M. S. Chari, Deputy Educational Adviser, Education Commission, New Delhi. </w:t>
      </w:r>
      <w:r>
        <w:rPr>
          <w:spacing w:val="-2"/>
          <w:sz w:val="24"/>
        </w:rPr>
        <w:t>Secretary</w:t>
      </w:r>
    </w:p>
    <w:p>
      <w:pPr>
        <w:spacing w:after="0" w:line="240" w:lineRule="auto"/>
        <w:jc w:val="left"/>
        <w:rPr>
          <w:sz w:val="24"/>
        </w:rPr>
        <w:sectPr>
          <w:pgSz w:w="12240" w:h="15840"/>
          <w:pgMar w:header="0" w:footer="743" w:top="1360" w:bottom="940" w:left="1640" w:right="1300"/>
        </w:sectPr>
      </w:pPr>
    </w:p>
    <w:p>
      <w:pPr>
        <w:spacing w:before="78"/>
        <w:ind w:left="160" w:right="0" w:firstLine="0"/>
        <w:jc w:val="left"/>
        <w:rPr>
          <w:rFonts w:ascii="Arial"/>
          <w:b/>
          <w:sz w:val="24"/>
        </w:rPr>
      </w:pPr>
      <w:r>
        <w:rPr>
          <w:rFonts w:ascii="Arial"/>
          <w:b/>
          <w:sz w:val="24"/>
        </w:rPr>
        <w:t>Sub-Group</w:t>
      </w:r>
      <w:r>
        <w:rPr>
          <w:rFonts w:ascii="Arial"/>
          <w:b/>
          <w:spacing w:val="-1"/>
          <w:sz w:val="24"/>
        </w:rPr>
        <w:t> </w:t>
      </w:r>
      <w:r>
        <w:rPr>
          <w:rFonts w:ascii="Arial"/>
          <w:b/>
          <w:sz w:val="24"/>
        </w:rPr>
        <w:t>on</w:t>
      </w:r>
      <w:r>
        <w:rPr>
          <w:rFonts w:ascii="Arial"/>
          <w:b/>
          <w:spacing w:val="-1"/>
          <w:sz w:val="24"/>
        </w:rPr>
        <w:t> </w:t>
      </w:r>
      <w:r>
        <w:rPr>
          <w:rFonts w:ascii="Arial"/>
          <w:b/>
          <w:sz w:val="24"/>
        </w:rPr>
        <w:t>Literacy</w:t>
      </w:r>
      <w:r>
        <w:rPr>
          <w:rFonts w:ascii="Arial"/>
          <w:b/>
          <w:spacing w:val="-3"/>
          <w:sz w:val="24"/>
        </w:rPr>
        <w:t> </w:t>
      </w:r>
      <w:r>
        <w:rPr>
          <w:rFonts w:ascii="Arial"/>
          <w:b/>
          <w:spacing w:val="-2"/>
          <w:sz w:val="24"/>
        </w:rPr>
        <w:t>Education</w:t>
      </w:r>
    </w:p>
    <w:p>
      <w:pPr>
        <w:pStyle w:val="Heading1"/>
        <w:spacing w:before="1"/>
        <w:ind w:left="160" w:right="0"/>
        <w:jc w:val="left"/>
      </w:pPr>
      <w:r>
        <w:rPr>
          <w:spacing w:val="-2"/>
        </w:rPr>
        <w:t>EMBERS</w:t>
      </w:r>
    </w:p>
    <w:p>
      <w:pPr>
        <w:pStyle w:val="BodyText"/>
        <w:spacing w:before="2"/>
        <w:rPr>
          <w:b/>
        </w:rPr>
      </w:pPr>
    </w:p>
    <w:p>
      <w:pPr>
        <w:pStyle w:val="ListParagraph"/>
        <w:numPr>
          <w:ilvl w:val="0"/>
          <w:numId w:val="148"/>
        </w:numPr>
        <w:tabs>
          <w:tab w:pos="434" w:val="left" w:leader="none"/>
        </w:tabs>
        <w:spacing w:line="240" w:lineRule="auto" w:before="0" w:after="0"/>
        <w:ind w:left="160" w:right="498" w:firstLine="0"/>
        <w:jc w:val="left"/>
        <w:rPr>
          <w:sz w:val="24"/>
        </w:rPr>
      </w:pPr>
      <w:r>
        <w:rPr>
          <w:sz w:val="24"/>
        </w:rPr>
        <w:t>Mrs.</w:t>
      </w:r>
      <w:r>
        <w:rPr>
          <w:spacing w:val="29"/>
          <w:sz w:val="24"/>
        </w:rPr>
        <w:t> </w:t>
      </w:r>
      <w:r>
        <w:rPr>
          <w:sz w:val="24"/>
        </w:rPr>
        <w:t>Durgabai</w:t>
      </w:r>
      <w:r>
        <w:rPr>
          <w:spacing w:val="29"/>
          <w:sz w:val="24"/>
        </w:rPr>
        <w:t> </w:t>
      </w:r>
      <w:r>
        <w:rPr>
          <w:sz w:val="24"/>
        </w:rPr>
        <w:t>Deshmukh,</w:t>
      </w:r>
      <w:r>
        <w:rPr>
          <w:spacing w:val="29"/>
          <w:sz w:val="24"/>
        </w:rPr>
        <w:t> </w:t>
      </w:r>
      <w:r>
        <w:rPr>
          <w:sz w:val="24"/>
        </w:rPr>
        <w:t>Vice-Chancellor's</w:t>
      </w:r>
      <w:r>
        <w:rPr>
          <w:spacing w:val="29"/>
          <w:sz w:val="24"/>
        </w:rPr>
        <w:t> </w:t>
      </w:r>
      <w:r>
        <w:rPr>
          <w:sz w:val="24"/>
        </w:rPr>
        <w:t>Residence,</w:t>
      </w:r>
      <w:r>
        <w:rPr>
          <w:spacing w:val="29"/>
          <w:sz w:val="24"/>
        </w:rPr>
        <w:t> </w:t>
      </w:r>
      <w:r>
        <w:rPr>
          <w:sz w:val="24"/>
        </w:rPr>
        <w:t>University</w:t>
      </w:r>
      <w:r>
        <w:rPr>
          <w:spacing w:val="29"/>
          <w:sz w:val="24"/>
        </w:rPr>
        <w:t> </w:t>
      </w:r>
      <w:r>
        <w:rPr>
          <w:sz w:val="24"/>
        </w:rPr>
        <w:t>of</w:t>
      </w:r>
      <w:r>
        <w:rPr>
          <w:spacing w:val="29"/>
          <w:sz w:val="24"/>
        </w:rPr>
        <w:t> </w:t>
      </w:r>
      <w:r>
        <w:rPr>
          <w:sz w:val="24"/>
        </w:rPr>
        <w:t>Delhi,</w:t>
      </w:r>
      <w:r>
        <w:rPr>
          <w:spacing w:val="29"/>
          <w:sz w:val="24"/>
        </w:rPr>
        <w:t> </w:t>
      </w:r>
      <w:r>
        <w:rPr>
          <w:sz w:val="24"/>
        </w:rPr>
        <w:t>Delhi. </w:t>
      </w:r>
      <w:r>
        <w:rPr>
          <w:spacing w:val="-2"/>
          <w:sz w:val="24"/>
        </w:rPr>
        <w:t>Convener</w:t>
      </w:r>
    </w:p>
    <w:p>
      <w:pPr>
        <w:pStyle w:val="BodyText"/>
        <w:spacing w:before="5"/>
      </w:pPr>
    </w:p>
    <w:p>
      <w:pPr>
        <w:pStyle w:val="ListParagraph"/>
        <w:numPr>
          <w:ilvl w:val="0"/>
          <w:numId w:val="148"/>
        </w:numPr>
        <w:tabs>
          <w:tab w:pos="400" w:val="left" w:leader="none"/>
        </w:tabs>
        <w:spacing w:line="240" w:lineRule="auto" w:before="0" w:after="0"/>
        <w:ind w:left="400" w:right="0" w:hanging="240"/>
        <w:jc w:val="left"/>
        <w:rPr>
          <w:sz w:val="24"/>
        </w:rPr>
      </w:pPr>
      <w:r>
        <w:rPr>
          <w:sz w:val="24"/>
        </w:rPr>
        <w:t>Shri</w:t>
      </w:r>
      <w:r>
        <w:rPr>
          <w:spacing w:val="-5"/>
          <w:sz w:val="24"/>
        </w:rPr>
        <w:t> </w:t>
      </w:r>
      <w:r>
        <w:rPr>
          <w:sz w:val="24"/>
        </w:rPr>
        <w:t>A.</w:t>
      </w:r>
      <w:r>
        <w:rPr>
          <w:spacing w:val="-2"/>
          <w:sz w:val="24"/>
        </w:rPr>
        <w:t> </w:t>
      </w:r>
      <w:r>
        <w:rPr>
          <w:sz w:val="24"/>
        </w:rPr>
        <w:t>R.</w:t>
      </w:r>
      <w:r>
        <w:rPr>
          <w:spacing w:val="-3"/>
          <w:sz w:val="24"/>
        </w:rPr>
        <w:t> </w:t>
      </w:r>
      <w:r>
        <w:rPr>
          <w:sz w:val="24"/>
        </w:rPr>
        <w:t>Deshpande,</w:t>
      </w:r>
      <w:r>
        <w:rPr>
          <w:spacing w:val="-2"/>
          <w:sz w:val="24"/>
        </w:rPr>
        <w:t> </w:t>
      </w:r>
      <w:r>
        <w:rPr>
          <w:sz w:val="24"/>
        </w:rPr>
        <w:t>Adviser</w:t>
      </w:r>
      <w:r>
        <w:rPr>
          <w:spacing w:val="-3"/>
          <w:sz w:val="24"/>
        </w:rPr>
        <w:t> </w:t>
      </w:r>
      <w:r>
        <w:rPr>
          <w:sz w:val="24"/>
        </w:rPr>
        <w:t>(Social</w:t>
      </w:r>
      <w:r>
        <w:rPr>
          <w:spacing w:val="-2"/>
          <w:sz w:val="24"/>
        </w:rPr>
        <w:t> </w:t>
      </w:r>
      <w:r>
        <w:rPr>
          <w:sz w:val="24"/>
        </w:rPr>
        <w:t>Education),</w:t>
      </w:r>
      <w:r>
        <w:rPr>
          <w:spacing w:val="-4"/>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4"/>
      </w:pPr>
    </w:p>
    <w:p>
      <w:pPr>
        <w:pStyle w:val="ListParagraph"/>
        <w:numPr>
          <w:ilvl w:val="0"/>
          <w:numId w:val="148"/>
        </w:numPr>
        <w:tabs>
          <w:tab w:pos="399" w:val="left" w:leader="none"/>
        </w:tabs>
        <w:spacing w:line="240" w:lineRule="auto" w:before="0" w:after="0"/>
        <w:ind w:left="399" w:right="0" w:hanging="240"/>
        <w:jc w:val="left"/>
        <w:rPr>
          <w:sz w:val="24"/>
        </w:rPr>
      </w:pPr>
      <w:r>
        <w:rPr>
          <w:sz w:val="24"/>
        </w:rPr>
        <w:t>Dr.</w:t>
      </w:r>
      <w:r>
        <w:rPr>
          <w:spacing w:val="-4"/>
          <w:sz w:val="24"/>
        </w:rPr>
        <w:t> </w:t>
      </w:r>
      <w:r>
        <w:rPr>
          <w:sz w:val="24"/>
        </w:rPr>
        <w:t>T.</w:t>
      </w:r>
      <w:r>
        <w:rPr>
          <w:spacing w:val="-1"/>
          <w:sz w:val="24"/>
        </w:rPr>
        <w:t> </w:t>
      </w:r>
      <w:r>
        <w:rPr>
          <w:sz w:val="24"/>
        </w:rPr>
        <w:t>A.</w:t>
      </w:r>
      <w:r>
        <w:rPr>
          <w:spacing w:val="-2"/>
          <w:sz w:val="24"/>
        </w:rPr>
        <w:t> </w:t>
      </w:r>
      <w:r>
        <w:rPr>
          <w:sz w:val="24"/>
        </w:rPr>
        <w:t>Koshy,</w:t>
      </w:r>
      <w:r>
        <w:rPr>
          <w:spacing w:val="-1"/>
          <w:sz w:val="24"/>
        </w:rPr>
        <w:t> </w:t>
      </w:r>
      <w:r>
        <w:rPr>
          <w:sz w:val="24"/>
        </w:rPr>
        <w:t>Director,</w:t>
      </w:r>
      <w:r>
        <w:rPr>
          <w:spacing w:val="-2"/>
          <w:sz w:val="24"/>
        </w:rPr>
        <w:t> </w:t>
      </w:r>
      <w:r>
        <w:rPr>
          <w:sz w:val="24"/>
        </w:rPr>
        <w:t>National</w:t>
      </w:r>
      <w:r>
        <w:rPr>
          <w:spacing w:val="-1"/>
          <w:sz w:val="24"/>
        </w:rPr>
        <w:t> </w:t>
      </w:r>
      <w:r>
        <w:rPr>
          <w:sz w:val="24"/>
        </w:rPr>
        <w:t>Fundamental</w:t>
      </w:r>
      <w:r>
        <w:rPr>
          <w:spacing w:val="-1"/>
          <w:sz w:val="24"/>
        </w:rPr>
        <w:t> </w:t>
      </w:r>
      <w:r>
        <w:rPr>
          <w:sz w:val="24"/>
        </w:rPr>
        <w:t>Education</w:t>
      </w:r>
      <w:r>
        <w:rPr>
          <w:spacing w:val="-3"/>
          <w:sz w:val="24"/>
        </w:rPr>
        <w:t> </w:t>
      </w:r>
      <w:r>
        <w:rPr>
          <w:sz w:val="24"/>
        </w:rPr>
        <w:t>Centre,</w:t>
      </w:r>
      <w:r>
        <w:rPr>
          <w:spacing w:val="-2"/>
          <w:sz w:val="24"/>
        </w:rPr>
        <w:t> </w:t>
      </w:r>
      <w:r>
        <w:rPr>
          <w:sz w:val="24"/>
        </w:rPr>
        <w:t>New</w:t>
      </w:r>
      <w:r>
        <w:rPr>
          <w:spacing w:val="-2"/>
          <w:sz w:val="24"/>
        </w:rPr>
        <w:t> Delhi.</w:t>
      </w:r>
    </w:p>
    <w:p>
      <w:pPr>
        <w:pStyle w:val="BodyText"/>
        <w:spacing w:before="3"/>
      </w:pPr>
    </w:p>
    <w:p>
      <w:pPr>
        <w:pStyle w:val="ListParagraph"/>
        <w:numPr>
          <w:ilvl w:val="0"/>
          <w:numId w:val="148"/>
        </w:numPr>
        <w:tabs>
          <w:tab w:pos="400" w:val="left" w:leader="none"/>
        </w:tabs>
        <w:spacing w:line="240" w:lineRule="auto" w:before="0" w:after="0"/>
        <w:ind w:left="400" w:right="0" w:hanging="240"/>
        <w:jc w:val="left"/>
        <w:rPr>
          <w:sz w:val="24"/>
        </w:rPr>
      </w:pPr>
      <w:r>
        <w:rPr>
          <w:sz w:val="24"/>
        </w:rPr>
        <w:t>Shri</w:t>
      </w:r>
      <w:r>
        <w:rPr>
          <w:spacing w:val="-3"/>
          <w:sz w:val="24"/>
        </w:rPr>
        <w:t> </w:t>
      </w:r>
      <w:r>
        <w:rPr>
          <w:sz w:val="24"/>
        </w:rPr>
        <w:t>Mustaq</w:t>
      </w:r>
      <w:r>
        <w:rPr>
          <w:spacing w:val="-2"/>
          <w:sz w:val="24"/>
        </w:rPr>
        <w:t> </w:t>
      </w:r>
      <w:r>
        <w:rPr>
          <w:sz w:val="24"/>
        </w:rPr>
        <w:t>Ahmed,</w:t>
      </w:r>
      <w:r>
        <w:rPr>
          <w:spacing w:val="-2"/>
          <w:sz w:val="24"/>
        </w:rPr>
        <w:t> </w:t>
      </w:r>
      <w:r>
        <w:rPr>
          <w:sz w:val="24"/>
        </w:rPr>
        <w:t>Director,</w:t>
      </w:r>
      <w:r>
        <w:rPr>
          <w:spacing w:val="-3"/>
          <w:sz w:val="24"/>
        </w:rPr>
        <w:t> </w:t>
      </w:r>
      <w:r>
        <w:rPr>
          <w:sz w:val="24"/>
        </w:rPr>
        <w:t>Literacy</w:t>
      </w:r>
      <w:r>
        <w:rPr>
          <w:spacing w:val="-3"/>
          <w:sz w:val="24"/>
        </w:rPr>
        <w:t> </w:t>
      </w:r>
      <w:r>
        <w:rPr>
          <w:sz w:val="24"/>
        </w:rPr>
        <w:t>House,</w:t>
      </w:r>
      <w:r>
        <w:rPr>
          <w:spacing w:val="-3"/>
          <w:sz w:val="24"/>
        </w:rPr>
        <w:t> </w:t>
      </w:r>
      <w:r>
        <w:rPr>
          <w:spacing w:val="-2"/>
          <w:sz w:val="24"/>
        </w:rPr>
        <w:t>Lucknow.</w:t>
      </w:r>
    </w:p>
    <w:p>
      <w:pPr>
        <w:pStyle w:val="BodyText"/>
        <w:spacing w:before="4"/>
      </w:pPr>
    </w:p>
    <w:p>
      <w:pPr>
        <w:pStyle w:val="ListParagraph"/>
        <w:numPr>
          <w:ilvl w:val="0"/>
          <w:numId w:val="148"/>
        </w:numPr>
        <w:tabs>
          <w:tab w:pos="425" w:val="left" w:leader="none"/>
        </w:tabs>
        <w:spacing w:line="240" w:lineRule="auto" w:before="0" w:after="0"/>
        <w:ind w:left="160" w:right="498" w:firstLine="0"/>
        <w:jc w:val="left"/>
        <w:rPr>
          <w:sz w:val="24"/>
        </w:rPr>
      </w:pPr>
      <w:r>
        <w:rPr>
          <w:sz w:val="24"/>
        </w:rPr>
        <w:t>Shri H. P. Saxena, Assistant Director, National Fundamental Education Centre, New</w:t>
      </w:r>
      <w:r>
        <w:rPr>
          <w:spacing w:val="40"/>
          <w:sz w:val="24"/>
        </w:rPr>
        <w:t> </w:t>
      </w:r>
      <w:r>
        <w:rPr>
          <w:spacing w:val="-2"/>
          <w:sz w:val="24"/>
        </w:rPr>
        <w:t>Delhi.</w:t>
      </w:r>
    </w:p>
    <w:p>
      <w:pPr>
        <w:pStyle w:val="BodyText"/>
        <w:spacing w:before="5"/>
      </w:pPr>
    </w:p>
    <w:p>
      <w:pPr>
        <w:spacing w:before="0"/>
        <w:ind w:left="160" w:right="0" w:firstLine="0"/>
        <w:jc w:val="left"/>
        <w:rPr>
          <w:rFonts w:ascii="Arial"/>
          <w:b/>
          <w:sz w:val="24"/>
        </w:rPr>
      </w:pPr>
      <w:r>
        <w:rPr>
          <w:rFonts w:ascii="Arial"/>
          <w:b/>
          <w:sz w:val="24"/>
        </w:rPr>
        <w:t>Sub-Group</w:t>
      </w:r>
      <w:r>
        <w:rPr>
          <w:rFonts w:ascii="Arial"/>
          <w:b/>
          <w:spacing w:val="35"/>
          <w:sz w:val="24"/>
        </w:rPr>
        <w:t> </w:t>
      </w:r>
      <w:r>
        <w:rPr>
          <w:rFonts w:ascii="Arial"/>
          <w:b/>
          <w:sz w:val="24"/>
        </w:rPr>
        <w:t>on</w:t>
      </w:r>
      <w:r>
        <w:rPr>
          <w:rFonts w:ascii="Arial"/>
          <w:b/>
          <w:spacing w:val="35"/>
          <w:sz w:val="24"/>
        </w:rPr>
        <w:t> </w:t>
      </w:r>
      <w:r>
        <w:rPr>
          <w:rFonts w:ascii="Arial"/>
          <w:b/>
          <w:sz w:val="24"/>
        </w:rPr>
        <w:t>Role</w:t>
      </w:r>
      <w:r>
        <w:rPr>
          <w:rFonts w:ascii="Arial"/>
          <w:b/>
          <w:spacing w:val="34"/>
          <w:sz w:val="24"/>
        </w:rPr>
        <w:t> </w:t>
      </w:r>
      <w:r>
        <w:rPr>
          <w:rFonts w:ascii="Arial"/>
          <w:b/>
          <w:sz w:val="24"/>
        </w:rPr>
        <w:t>of</w:t>
      </w:r>
      <w:r>
        <w:rPr>
          <w:rFonts w:ascii="Arial"/>
          <w:b/>
          <w:spacing w:val="34"/>
          <w:sz w:val="24"/>
        </w:rPr>
        <w:t> </w:t>
      </w:r>
      <w:r>
        <w:rPr>
          <w:rFonts w:ascii="Arial"/>
          <w:b/>
          <w:sz w:val="24"/>
        </w:rPr>
        <w:t>Universities</w:t>
      </w:r>
      <w:r>
        <w:rPr>
          <w:rFonts w:ascii="Arial"/>
          <w:b/>
          <w:spacing w:val="34"/>
          <w:sz w:val="24"/>
        </w:rPr>
        <w:t> </w:t>
      </w:r>
      <w:r>
        <w:rPr>
          <w:rFonts w:ascii="Arial"/>
          <w:b/>
          <w:sz w:val="24"/>
        </w:rPr>
        <w:t>and</w:t>
      </w:r>
      <w:r>
        <w:rPr>
          <w:rFonts w:ascii="Arial"/>
          <w:b/>
          <w:spacing w:val="34"/>
          <w:sz w:val="24"/>
        </w:rPr>
        <w:t> </w:t>
      </w:r>
      <w:r>
        <w:rPr>
          <w:rFonts w:ascii="Arial"/>
          <w:b/>
          <w:sz w:val="24"/>
        </w:rPr>
        <w:t>Institutions</w:t>
      </w:r>
      <w:r>
        <w:rPr>
          <w:rFonts w:ascii="Arial"/>
          <w:b/>
          <w:spacing w:val="35"/>
          <w:sz w:val="24"/>
        </w:rPr>
        <w:t> </w:t>
      </w:r>
      <w:r>
        <w:rPr>
          <w:rFonts w:ascii="Arial"/>
          <w:b/>
          <w:sz w:val="24"/>
        </w:rPr>
        <w:t>of</w:t>
      </w:r>
      <w:r>
        <w:rPr>
          <w:rFonts w:ascii="Arial"/>
          <w:b/>
          <w:spacing w:val="35"/>
          <w:sz w:val="24"/>
        </w:rPr>
        <w:t> </w:t>
      </w:r>
      <w:r>
        <w:rPr>
          <w:rFonts w:ascii="Arial"/>
          <w:b/>
          <w:sz w:val="24"/>
        </w:rPr>
        <w:t>Higher</w:t>
      </w:r>
      <w:r>
        <w:rPr>
          <w:rFonts w:ascii="Arial"/>
          <w:b/>
          <w:spacing w:val="35"/>
          <w:sz w:val="24"/>
        </w:rPr>
        <w:t> </w:t>
      </w:r>
      <w:r>
        <w:rPr>
          <w:rFonts w:ascii="Arial"/>
          <w:b/>
          <w:sz w:val="24"/>
        </w:rPr>
        <w:t>Learning</w:t>
      </w:r>
      <w:r>
        <w:rPr>
          <w:rFonts w:ascii="Arial"/>
          <w:b/>
          <w:spacing w:val="35"/>
          <w:sz w:val="24"/>
        </w:rPr>
        <w:t> </w:t>
      </w:r>
      <w:r>
        <w:rPr>
          <w:rFonts w:ascii="Arial"/>
          <w:b/>
          <w:sz w:val="24"/>
        </w:rPr>
        <w:t>in Adult Education</w:t>
      </w:r>
    </w:p>
    <w:p>
      <w:pPr>
        <w:pStyle w:val="Heading1"/>
        <w:spacing w:before="1"/>
        <w:ind w:left="160" w:right="0"/>
        <w:jc w:val="left"/>
      </w:pPr>
      <w:r>
        <w:rPr>
          <w:spacing w:val="-2"/>
        </w:rPr>
        <w:t>MEMBERS</w:t>
      </w:r>
    </w:p>
    <w:p>
      <w:pPr>
        <w:pStyle w:val="BodyText"/>
        <w:spacing w:before="2"/>
        <w:rPr>
          <w:b/>
        </w:rPr>
      </w:pPr>
    </w:p>
    <w:p>
      <w:pPr>
        <w:pStyle w:val="ListParagraph"/>
        <w:numPr>
          <w:ilvl w:val="0"/>
          <w:numId w:val="149"/>
        </w:numPr>
        <w:tabs>
          <w:tab w:pos="399" w:val="left" w:leader="none"/>
        </w:tabs>
        <w:spacing w:line="240" w:lineRule="auto" w:before="1" w:after="0"/>
        <w:ind w:left="399" w:right="0" w:hanging="239"/>
        <w:jc w:val="left"/>
        <w:rPr>
          <w:sz w:val="24"/>
        </w:rPr>
      </w:pPr>
      <w:r>
        <w:rPr>
          <w:sz w:val="24"/>
        </w:rPr>
        <w:t>Shri</w:t>
      </w:r>
      <w:r>
        <w:rPr>
          <w:spacing w:val="-1"/>
          <w:sz w:val="24"/>
        </w:rPr>
        <w:t> </w:t>
      </w:r>
      <w:r>
        <w:rPr>
          <w:sz w:val="24"/>
        </w:rPr>
        <w:t>Sohan</w:t>
      </w:r>
      <w:r>
        <w:rPr>
          <w:spacing w:val="-1"/>
          <w:sz w:val="24"/>
        </w:rPr>
        <w:t> </w:t>
      </w:r>
      <w:r>
        <w:rPr>
          <w:sz w:val="24"/>
        </w:rPr>
        <w:t>Singh,</w:t>
      </w:r>
      <w:r>
        <w:rPr>
          <w:spacing w:val="-1"/>
          <w:sz w:val="24"/>
        </w:rPr>
        <w:t> </w:t>
      </w:r>
      <w:r>
        <w:rPr>
          <w:sz w:val="24"/>
        </w:rPr>
        <w:t>Asia</w:t>
      </w:r>
      <w:r>
        <w:rPr>
          <w:spacing w:val="-1"/>
          <w:sz w:val="24"/>
        </w:rPr>
        <w:t> </w:t>
      </w:r>
      <w:r>
        <w:rPr>
          <w:sz w:val="24"/>
        </w:rPr>
        <w:t>Foundation,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3"/>
      </w:pPr>
    </w:p>
    <w:p>
      <w:pPr>
        <w:pStyle w:val="ListParagraph"/>
        <w:numPr>
          <w:ilvl w:val="0"/>
          <w:numId w:val="149"/>
        </w:numPr>
        <w:tabs>
          <w:tab w:pos="398" w:val="left" w:leader="none"/>
        </w:tabs>
        <w:spacing w:line="240" w:lineRule="auto" w:before="0" w:after="0"/>
        <w:ind w:left="398" w:right="0" w:hanging="238"/>
        <w:jc w:val="left"/>
        <w:rPr>
          <w:sz w:val="24"/>
        </w:rPr>
      </w:pPr>
      <w:r>
        <w:rPr>
          <w:sz w:val="24"/>
        </w:rPr>
        <w:t>Shri</w:t>
      </w:r>
      <w:r>
        <w:rPr>
          <w:spacing w:val="-7"/>
          <w:sz w:val="24"/>
        </w:rPr>
        <w:t> </w:t>
      </w:r>
      <w:r>
        <w:rPr>
          <w:sz w:val="24"/>
        </w:rPr>
        <w:t>Bashiruddin,</w:t>
      </w:r>
      <w:r>
        <w:rPr>
          <w:spacing w:val="-6"/>
          <w:sz w:val="24"/>
        </w:rPr>
        <w:t> </w:t>
      </w:r>
      <w:r>
        <w:rPr>
          <w:sz w:val="24"/>
        </w:rPr>
        <w:t>33-A,</w:t>
      </w:r>
      <w:r>
        <w:rPr>
          <w:spacing w:val="-7"/>
          <w:sz w:val="24"/>
        </w:rPr>
        <w:t> </w:t>
      </w:r>
      <w:r>
        <w:rPr>
          <w:sz w:val="24"/>
        </w:rPr>
        <w:t>Kasturba</w:t>
      </w:r>
      <w:r>
        <w:rPr>
          <w:spacing w:val="-6"/>
          <w:sz w:val="24"/>
        </w:rPr>
        <w:t> </w:t>
      </w:r>
      <w:r>
        <w:rPr>
          <w:sz w:val="24"/>
        </w:rPr>
        <w:t>Gandhi</w:t>
      </w:r>
      <w:r>
        <w:rPr>
          <w:spacing w:val="-7"/>
          <w:sz w:val="24"/>
        </w:rPr>
        <w:t> </w:t>
      </w:r>
      <w:r>
        <w:rPr>
          <w:sz w:val="24"/>
        </w:rPr>
        <w:t>Marg,</w:t>
      </w:r>
      <w:r>
        <w:rPr>
          <w:spacing w:val="-6"/>
          <w:sz w:val="24"/>
        </w:rPr>
        <w:t> </w:t>
      </w:r>
      <w:r>
        <w:rPr>
          <w:spacing w:val="-2"/>
          <w:sz w:val="24"/>
        </w:rPr>
        <w:t>Allahabad.</w:t>
      </w:r>
    </w:p>
    <w:p>
      <w:pPr>
        <w:pStyle w:val="BodyText"/>
        <w:spacing w:before="4"/>
      </w:pPr>
    </w:p>
    <w:p>
      <w:pPr>
        <w:pStyle w:val="ListParagraph"/>
        <w:numPr>
          <w:ilvl w:val="0"/>
          <w:numId w:val="149"/>
        </w:numPr>
        <w:tabs>
          <w:tab w:pos="428" w:val="left" w:leader="none"/>
        </w:tabs>
        <w:spacing w:line="240" w:lineRule="auto" w:before="0" w:after="0"/>
        <w:ind w:left="160" w:right="497" w:firstLine="0"/>
        <w:jc w:val="left"/>
        <w:rPr>
          <w:sz w:val="24"/>
        </w:rPr>
      </w:pPr>
      <w:r>
        <w:rPr>
          <w:sz w:val="24"/>
        </w:rPr>
        <w:t>Dr. Nagendra, Chairman, University Extension Lectures Board, University of Delhi, </w:t>
      </w:r>
      <w:r>
        <w:rPr>
          <w:spacing w:val="-2"/>
          <w:sz w:val="24"/>
        </w:rPr>
        <w:t>Delhi.</w:t>
      </w:r>
    </w:p>
    <w:p>
      <w:pPr>
        <w:pStyle w:val="BodyText"/>
        <w:spacing w:before="5"/>
      </w:pPr>
    </w:p>
    <w:p>
      <w:pPr>
        <w:pStyle w:val="ListParagraph"/>
        <w:numPr>
          <w:ilvl w:val="0"/>
          <w:numId w:val="149"/>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K. G. Saiyidain, Member,</w:t>
      </w:r>
      <w:r>
        <w:rPr>
          <w:spacing w:val="-2"/>
          <w:sz w:val="24"/>
        </w:rPr>
        <w:t> </w:t>
      </w:r>
      <w:r>
        <w:rPr>
          <w:sz w:val="24"/>
        </w:rPr>
        <w:t>Education Commission, New </w:t>
      </w:r>
      <w:r>
        <w:rPr>
          <w:spacing w:val="-2"/>
          <w:sz w:val="24"/>
        </w:rPr>
        <w:t>Delhi.</w:t>
      </w:r>
    </w:p>
    <w:p>
      <w:pPr>
        <w:pStyle w:val="BodyText"/>
        <w:spacing w:before="3"/>
      </w:pPr>
    </w:p>
    <w:p>
      <w:pPr>
        <w:pStyle w:val="ListParagraph"/>
        <w:numPr>
          <w:ilvl w:val="0"/>
          <w:numId w:val="149"/>
        </w:numPr>
        <w:tabs>
          <w:tab w:pos="398" w:val="left" w:leader="none"/>
        </w:tabs>
        <w:spacing w:line="240" w:lineRule="auto" w:before="0" w:after="0"/>
        <w:ind w:left="398" w:right="0" w:hanging="238"/>
        <w:jc w:val="left"/>
        <w:rPr>
          <w:sz w:val="24"/>
        </w:rPr>
      </w:pPr>
      <w:r>
        <w:rPr>
          <w:sz w:val="24"/>
        </w:rPr>
        <w:t>Dr.</w:t>
      </w:r>
      <w:r>
        <w:rPr>
          <w:spacing w:val="-6"/>
          <w:sz w:val="24"/>
        </w:rPr>
        <w:t> </w:t>
      </w:r>
      <w:r>
        <w:rPr>
          <w:sz w:val="24"/>
        </w:rPr>
        <w:t>Hans</w:t>
      </w:r>
      <w:r>
        <w:rPr>
          <w:spacing w:val="-5"/>
          <w:sz w:val="24"/>
        </w:rPr>
        <w:t> </w:t>
      </w:r>
      <w:r>
        <w:rPr>
          <w:sz w:val="24"/>
        </w:rPr>
        <w:t>Simons,</w:t>
      </w:r>
      <w:r>
        <w:rPr>
          <w:spacing w:val="-5"/>
          <w:sz w:val="24"/>
        </w:rPr>
        <w:t> </w:t>
      </w:r>
      <w:r>
        <w:rPr>
          <w:sz w:val="24"/>
        </w:rPr>
        <w:t>Ford</w:t>
      </w:r>
      <w:r>
        <w:rPr>
          <w:spacing w:val="-4"/>
          <w:sz w:val="24"/>
        </w:rPr>
        <w:t> </w:t>
      </w:r>
      <w:r>
        <w:rPr>
          <w:sz w:val="24"/>
        </w:rPr>
        <w:t>Foundation,</w:t>
      </w:r>
      <w:r>
        <w:rPr>
          <w:spacing w:val="-5"/>
          <w:sz w:val="24"/>
        </w:rPr>
        <w:t> </w:t>
      </w:r>
      <w:r>
        <w:rPr>
          <w:sz w:val="24"/>
        </w:rPr>
        <w:t>New</w:t>
      </w:r>
      <w:r>
        <w:rPr>
          <w:spacing w:val="-5"/>
          <w:sz w:val="24"/>
        </w:rPr>
        <w:t> </w:t>
      </w:r>
      <w:r>
        <w:rPr>
          <w:spacing w:val="-2"/>
          <w:sz w:val="24"/>
        </w:rPr>
        <w:t>Delhi.</w:t>
      </w:r>
    </w:p>
    <w:p>
      <w:pPr>
        <w:pStyle w:val="BodyText"/>
        <w:spacing w:before="4"/>
      </w:pPr>
    </w:p>
    <w:p>
      <w:pPr>
        <w:pStyle w:val="ListParagraph"/>
        <w:numPr>
          <w:ilvl w:val="0"/>
          <w:numId w:val="149"/>
        </w:numPr>
        <w:tabs>
          <w:tab w:pos="468" w:val="left" w:leader="none"/>
        </w:tabs>
        <w:spacing w:line="240" w:lineRule="auto" w:before="0" w:after="0"/>
        <w:ind w:left="160" w:right="499" w:firstLine="0"/>
        <w:jc w:val="left"/>
        <w:rPr>
          <w:sz w:val="24"/>
        </w:rPr>
      </w:pPr>
      <w:r>
        <w:rPr>
          <w:sz w:val="24"/>
        </w:rPr>
        <w:t>Shri</w:t>
      </w:r>
      <w:r>
        <w:rPr>
          <w:spacing w:val="40"/>
          <w:sz w:val="24"/>
        </w:rPr>
        <w:t> </w:t>
      </w:r>
      <w:r>
        <w:rPr>
          <w:sz w:val="24"/>
        </w:rPr>
        <w:t>Uma</w:t>
      </w:r>
      <w:r>
        <w:rPr>
          <w:spacing w:val="40"/>
          <w:sz w:val="24"/>
        </w:rPr>
        <w:t> </w:t>
      </w:r>
      <w:r>
        <w:rPr>
          <w:sz w:val="24"/>
        </w:rPr>
        <w:t>Shankar,</w:t>
      </w:r>
      <w:r>
        <w:rPr>
          <w:spacing w:val="40"/>
          <w:sz w:val="24"/>
        </w:rPr>
        <w:t> </w:t>
      </w:r>
      <w:r>
        <w:rPr>
          <w:sz w:val="24"/>
        </w:rPr>
        <w:t>Director,</w:t>
      </w:r>
      <w:r>
        <w:rPr>
          <w:spacing w:val="40"/>
          <w:sz w:val="24"/>
        </w:rPr>
        <w:t> </w:t>
      </w:r>
      <w:r>
        <w:rPr>
          <w:sz w:val="24"/>
        </w:rPr>
        <w:t>Adult</w:t>
      </w:r>
      <w:r>
        <w:rPr>
          <w:spacing w:val="40"/>
          <w:sz w:val="24"/>
        </w:rPr>
        <w:t> </w:t>
      </w:r>
      <w:r>
        <w:rPr>
          <w:sz w:val="24"/>
        </w:rPr>
        <w:t>Education</w:t>
      </w:r>
      <w:r>
        <w:rPr>
          <w:spacing w:val="40"/>
          <w:sz w:val="24"/>
        </w:rPr>
        <w:t> </w:t>
      </w:r>
      <w:r>
        <w:rPr>
          <w:sz w:val="24"/>
        </w:rPr>
        <w:t>Department,</w:t>
      </w:r>
      <w:r>
        <w:rPr>
          <w:spacing w:val="40"/>
          <w:sz w:val="24"/>
        </w:rPr>
        <w:t> </w:t>
      </w:r>
      <w:r>
        <w:rPr>
          <w:sz w:val="24"/>
        </w:rPr>
        <w:t>Rajasthan</w:t>
      </w:r>
      <w:r>
        <w:rPr>
          <w:spacing w:val="40"/>
          <w:sz w:val="24"/>
        </w:rPr>
        <w:t> </w:t>
      </w:r>
      <w:r>
        <w:rPr>
          <w:sz w:val="24"/>
        </w:rPr>
        <w:t>University, </w:t>
      </w:r>
      <w:r>
        <w:rPr>
          <w:spacing w:val="-2"/>
          <w:sz w:val="24"/>
        </w:rPr>
        <w:t>Jaipur.</w:t>
      </w:r>
    </w:p>
    <w:p>
      <w:pPr>
        <w:pStyle w:val="BodyText"/>
        <w:spacing w:before="5"/>
      </w:pPr>
    </w:p>
    <w:p>
      <w:pPr>
        <w:spacing w:before="0"/>
        <w:ind w:left="160" w:right="0" w:firstLine="0"/>
        <w:jc w:val="left"/>
        <w:rPr>
          <w:rFonts w:ascii="Arial"/>
          <w:b/>
          <w:sz w:val="24"/>
        </w:rPr>
      </w:pPr>
      <w:r>
        <w:rPr>
          <w:rFonts w:ascii="Arial"/>
          <w:b/>
          <w:sz w:val="24"/>
        </w:rPr>
        <w:t>Sub-Group</w:t>
      </w:r>
      <w:r>
        <w:rPr>
          <w:rFonts w:ascii="Arial"/>
          <w:b/>
          <w:spacing w:val="-1"/>
          <w:sz w:val="24"/>
        </w:rPr>
        <w:t> </w:t>
      </w:r>
      <w:r>
        <w:rPr>
          <w:rFonts w:ascii="Arial"/>
          <w:b/>
          <w:sz w:val="24"/>
        </w:rPr>
        <w:t>on</w:t>
      </w:r>
      <w:r>
        <w:rPr>
          <w:rFonts w:ascii="Arial"/>
          <w:b/>
          <w:spacing w:val="-1"/>
          <w:sz w:val="24"/>
        </w:rPr>
        <w:t> </w:t>
      </w:r>
      <w:r>
        <w:rPr>
          <w:rFonts w:ascii="Arial"/>
          <w:b/>
          <w:sz w:val="24"/>
        </w:rPr>
        <w:t>Education</w:t>
      </w:r>
      <w:r>
        <w:rPr>
          <w:rFonts w:ascii="Arial"/>
          <w:b/>
          <w:spacing w:val="-1"/>
          <w:sz w:val="24"/>
        </w:rPr>
        <w:t> </w:t>
      </w:r>
      <w:r>
        <w:rPr>
          <w:rFonts w:ascii="Arial"/>
          <w:b/>
          <w:sz w:val="24"/>
        </w:rPr>
        <w:t>of</w:t>
      </w:r>
      <w:r>
        <w:rPr>
          <w:rFonts w:ascii="Arial"/>
          <w:b/>
          <w:spacing w:val="-1"/>
          <w:sz w:val="24"/>
        </w:rPr>
        <w:t> </w:t>
      </w:r>
      <w:r>
        <w:rPr>
          <w:rFonts w:ascii="Arial"/>
          <w:b/>
          <w:spacing w:val="-2"/>
          <w:sz w:val="24"/>
        </w:rPr>
        <w:t>Workers</w:t>
      </w:r>
    </w:p>
    <w:p>
      <w:pPr>
        <w:pStyle w:val="Heading1"/>
        <w:spacing w:before="1"/>
        <w:ind w:left="160" w:right="0"/>
        <w:jc w:val="left"/>
      </w:pPr>
      <w:r>
        <w:rPr>
          <w:spacing w:val="-2"/>
        </w:rPr>
        <w:t>MEMBERS</w:t>
      </w:r>
    </w:p>
    <w:p>
      <w:pPr>
        <w:pStyle w:val="BodyText"/>
        <w:spacing w:before="2"/>
        <w:rPr>
          <w:b/>
        </w:rPr>
      </w:pPr>
    </w:p>
    <w:p>
      <w:pPr>
        <w:pStyle w:val="ListParagraph"/>
        <w:numPr>
          <w:ilvl w:val="0"/>
          <w:numId w:val="150"/>
        </w:numPr>
        <w:tabs>
          <w:tab w:pos="422" w:val="left" w:leader="none"/>
        </w:tabs>
        <w:spacing w:line="240" w:lineRule="auto" w:before="1" w:after="0"/>
        <w:ind w:left="160" w:right="497" w:firstLine="0"/>
        <w:jc w:val="left"/>
        <w:rPr>
          <w:sz w:val="24"/>
        </w:rPr>
      </w:pPr>
      <w:r>
        <w:rPr>
          <w:sz w:val="24"/>
        </w:rPr>
        <w:t>Dr. T. A. Koshy, Director, National Fundamental Education Centre, Friends Colony, New Delhi. Convener</w:t>
      </w:r>
    </w:p>
    <w:p>
      <w:pPr>
        <w:pStyle w:val="BodyText"/>
        <w:spacing w:before="3"/>
      </w:pPr>
    </w:p>
    <w:p>
      <w:pPr>
        <w:pStyle w:val="ListParagraph"/>
        <w:numPr>
          <w:ilvl w:val="0"/>
          <w:numId w:val="150"/>
        </w:numPr>
        <w:tabs>
          <w:tab w:pos="436" w:val="left" w:leader="none"/>
        </w:tabs>
        <w:spacing w:line="240" w:lineRule="auto" w:before="0" w:after="0"/>
        <w:ind w:left="160" w:right="499" w:firstLine="0"/>
        <w:jc w:val="left"/>
        <w:rPr>
          <w:sz w:val="24"/>
        </w:rPr>
      </w:pPr>
      <w:r>
        <w:rPr>
          <w:sz w:val="24"/>
        </w:rPr>
        <w:t>Shri</w:t>
      </w:r>
      <w:r>
        <w:rPr>
          <w:spacing w:val="31"/>
          <w:sz w:val="24"/>
        </w:rPr>
        <w:t> </w:t>
      </w:r>
      <w:r>
        <w:rPr>
          <w:sz w:val="24"/>
        </w:rPr>
        <w:t>Abdul</w:t>
      </w:r>
      <w:r>
        <w:rPr>
          <w:spacing w:val="31"/>
          <w:sz w:val="24"/>
        </w:rPr>
        <w:t> </w:t>
      </w:r>
      <w:r>
        <w:rPr>
          <w:sz w:val="24"/>
        </w:rPr>
        <w:t>Qadir,</w:t>
      </w:r>
      <w:r>
        <w:rPr>
          <w:spacing w:val="31"/>
          <w:sz w:val="24"/>
        </w:rPr>
        <w:t> </w:t>
      </w:r>
      <w:r>
        <w:rPr>
          <w:sz w:val="24"/>
        </w:rPr>
        <w:t>Director-General,</w:t>
      </w:r>
      <w:r>
        <w:rPr>
          <w:spacing w:val="31"/>
          <w:sz w:val="24"/>
        </w:rPr>
        <w:t> </w:t>
      </w:r>
      <w:r>
        <w:rPr>
          <w:sz w:val="24"/>
        </w:rPr>
        <w:t>Employment</w:t>
      </w:r>
      <w:r>
        <w:rPr>
          <w:spacing w:val="31"/>
          <w:sz w:val="24"/>
        </w:rPr>
        <w:t> </w:t>
      </w:r>
      <w:r>
        <w:rPr>
          <w:sz w:val="24"/>
        </w:rPr>
        <w:t>and</w:t>
      </w:r>
      <w:r>
        <w:rPr>
          <w:spacing w:val="31"/>
          <w:sz w:val="24"/>
        </w:rPr>
        <w:t> </w:t>
      </w:r>
      <w:r>
        <w:rPr>
          <w:sz w:val="24"/>
        </w:rPr>
        <w:t>Training,</w:t>
      </w:r>
      <w:r>
        <w:rPr>
          <w:spacing w:val="31"/>
          <w:sz w:val="24"/>
        </w:rPr>
        <w:t> </w:t>
      </w:r>
      <w:r>
        <w:rPr>
          <w:sz w:val="24"/>
        </w:rPr>
        <w:t>Ministry</w:t>
      </w:r>
      <w:r>
        <w:rPr>
          <w:spacing w:val="31"/>
          <w:sz w:val="24"/>
        </w:rPr>
        <w:t> </w:t>
      </w:r>
      <w:r>
        <w:rPr>
          <w:sz w:val="24"/>
        </w:rPr>
        <w:t>of</w:t>
      </w:r>
      <w:r>
        <w:rPr>
          <w:spacing w:val="31"/>
          <w:sz w:val="24"/>
        </w:rPr>
        <w:t> </w:t>
      </w:r>
      <w:r>
        <w:rPr>
          <w:sz w:val="24"/>
        </w:rPr>
        <w:t>Labour and Employment, New Delhi.</w:t>
      </w:r>
    </w:p>
    <w:p>
      <w:pPr>
        <w:pStyle w:val="BodyText"/>
        <w:spacing w:before="5"/>
      </w:pPr>
    </w:p>
    <w:p>
      <w:pPr>
        <w:pStyle w:val="ListParagraph"/>
        <w:numPr>
          <w:ilvl w:val="0"/>
          <w:numId w:val="150"/>
        </w:numPr>
        <w:tabs>
          <w:tab w:pos="400" w:val="left" w:leader="none"/>
        </w:tabs>
        <w:spacing w:line="240" w:lineRule="auto" w:before="0" w:after="0"/>
        <w:ind w:left="400" w:right="0" w:hanging="240"/>
        <w:jc w:val="left"/>
        <w:rPr>
          <w:sz w:val="24"/>
        </w:rPr>
      </w:pPr>
      <w:r>
        <w:rPr>
          <w:sz w:val="24"/>
        </w:rPr>
        <w:t>Shri N. Bhadriah, President, Mysore</w:t>
      </w:r>
      <w:r>
        <w:rPr>
          <w:spacing w:val="-1"/>
          <w:sz w:val="24"/>
        </w:rPr>
        <w:t> </w:t>
      </w:r>
      <w:r>
        <w:rPr>
          <w:sz w:val="24"/>
        </w:rPr>
        <w:t>State</w:t>
      </w:r>
      <w:r>
        <w:rPr>
          <w:spacing w:val="-1"/>
          <w:sz w:val="24"/>
        </w:rPr>
        <w:t> </w:t>
      </w:r>
      <w:r>
        <w:rPr>
          <w:sz w:val="24"/>
        </w:rPr>
        <w:t>Adult</w:t>
      </w:r>
      <w:r>
        <w:rPr>
          <w:spacing w:val="-1"/>
          <w:sz w:val="24"/>
        </w:rPr>
        <w:t> </w:t>
      </w:r>
      <w:r>
        <w:rPr>
          <w:sz w:val="24"/>
        </w:rPr>
        <w:t>Education</w:t>
      </w:r>
      <w:r>
        <w:rPr>
          <w:spacing w:val="-1"/>
          <w:sz w:val="24"/>
        </w:rPr>
        <w:t> </w:t>
      </w:r>
      <w:r>
        <w:rPr>
          <w:sz w:val="24"/>
        </w:rPr>
        <w:t>Council,</w:t>
      </w:r>
      <w:r>
        <w:rPr>
          <w:spacing w:val="-1"/>
          <w:sz w:val="24"/>
        </w:rPr>
        <w:t> </w:t>
      </w:r>
      <w:r>
        <w:rPr>
          <w:spacing w:val="-2"/>
          <w:sz w:val="24"/>
        </w:rPr>
        <w:t>Mysore.</w:t>
      </w:r>
    </w:p>
    <w:p>
      <w:pPr>
        <w:pStyle w:val="BodyText"/>
        <w:spacing w:before="4"/>
      </w:pPr>
    </w:p>
    <w:p>
      <w:pPr>
        <w:pStyle w:val="ListParagraph"/>
        <w:numPr>
          <w:ilvl w:val="0"/>
          <w:numId w:val="150"/>
        </w:numPr>
        <w:tabs>
          <w:tab w:pos="400" w:val="left" w:leader="none"/>
        </w:tabs>
        <w:spacing w:line="240" w:lineRule="auto" w:before="0" w:after="0"/>
        <w:ind w:left="400" w:right="0" w:hanging="240"/>
        <w:jc w:val="left"/>
        <w:rPr>
          <w:sz w:val="24"/>
        </w:rPr>
      </w:pPr>
      <w:r>
        <w:rPr>
          <w:sz w:val="24"/>
        </w:rPr>
        <w:t>Shri</w:t>
      </w:r>
      <w:r>
        <w:rPr>
          <w:spacing w:val="-5"/>
          <w:sz w:val="24"/>
        </w:rPr>
        <w:t> </w:t>
      </w:r>
      <w:r>
        <w:rPr>
          <w:sz w:val="24"/>
        </w:rPr>
        <w:t>L.</w:t>
      </w:r>
      <w:r>
        <w:rPr>
          <w:spacing w:val="-2"/>
          <w:sz w:val="24"/>
        </w:rPr>
        <w:t> </w:t>
      </w:r>
      <w:r>
        <w:rPr>
          <w:sz w:val="24"/>
        </w:rPr>
        <w:t>S.</w:t>
      </w:r>
      <w:r>
        <w:rPr>
          <w:spacing w:val="-3"/>
          <w:sz w:val="24"/>
        </w:rPr>
        <w:t> </w:t>
      </w:r>
      <w:r>
        <w:rPr>
          <w:sz w:val="24"/>
        </w:rPr>
        <w:t>Chandrakant,</w:t>
      </w:r>
      <w:r>
        <w:rPr>
          <w:spacing w:val="-2"/>
          <w:sz w:val="24"/>
        </w:rPr>
        <w:t> </w:t>
      </w:r>
      <w:r>
        <w:rPr>
          <w:sz w:val="24"/>
        </w:rPr>
        <w:t>joint</w:t>
      </w:r>
      <w:r>
        <w:rPr>
          <w:spacing w:val="-2"/>
          <w:sz w:val="24"/>
        </w:rPr>
        <w:t> </w:t>
      </w:r>
      <w:r>
        <w:rPr>
          <w:sz w:val="24"/>
        </w:rPr>
        <w:t>Educational</w:t>
      </w:r>
      <w:r>
        <w:rPr>
          <w:spacing w:val="-5"/>
          <w:sz w:val="24"/>
        </w:rPr>
        <w:t> </w:t>
      </w:r>
      <w:r>
        <w:rPr>
          <w:sz w:val="24"/>
        </w:rPr>
        <w:t>Adviser,</w:t>
      </w:r>
      <w:r>
        <w:rPr>
          <w:spacing w:val="-3"/>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spacing w:after="0" w:line="240" w:lineRule="auto"/>
        <w:jc w:val="left"/>
        <w:rPr>
          <w:sz w:val="24"/>
        </w:rPr>
        <w:sectPr>
          <w:pgSz w:w="12240" w:h="15840"/>
          <w:pgMar w:header="0" w:footer="743" w:top="1360" w:bottom="940" w:left="1640" w:right="1300"/>
        </w:sectPr>
      </w:pPr>
    </w:p>
    <w:p>
      <w:pPr>
        <w:pStyle w:val="ListParagraph"/>
        <w:numPr>
          <w:ilvl w:val="0"/>
          <w:numId w:val="150"/>
        </w:numPr>
        <w:tabs>
          <w:tab w:pos="467" w:val="left" w:leader="none"/>
        </w:tabs>
        <w:spacing w:line="240" w:lineRule="auto" w:before="76" w:after="0"/>
        <w:ind w:left="160" w:right="498" w:firstLine="0"/>
        <w:jc w:val="left"/>
        <w:rPr>
          <w:sz w:val="24"/>
        </w:rPr>
      </w:pPr>
      <w:r>
        <w:rPr>
          <w:sz w:val="24"/>
        </w:rPr>
        <w:t>Shri</w:t>
      </w:r>
      <w:r>
        <w:rPr>
          <w:spacing w:val="40"/>
          <w:sz w:val="24"/>
        </w:rPr>
        <w:t> </w:t>
      </w:r>
      <w:r>
        <w:rPr>
          <w:sz w:val="24"/>
        </w:rPr>
        <w:t>Chenstal</w:t>
      </w:r>
      <w:r>
        <w:rPr>
          <w:spacing w:val="40"/>
          <w:sz w:val="24"/>
        </w:rPr>
        <w:t> </w:t>
      </w:r>
      <w:r>
        <w:rPr>
          <w:sz w:val="24"/>
        </w:rPr>
        <w:t>Rao,</w:t>
      </w:r>
      <w:r>
        <w:rPr>
          <w:spacing w:val="40"/>
          <w:sz w:val="24"/>
        </w:rPr>
        <w:t> </w:t>
      </w:r>
      <w:r>
        <w:rPr>
          <w:sz w:val="24"/>
        </w:rPr>
        <w:t>Secretary,</w:t>
      </w:r>
      <w:r>
        <w:rPr>
          <w:spacing w:val="40"/>
          <w:sz w:val="24"/>
        </w:rPr>
        <w:t> </w:t>
      </w:r>
      <w:r>
        <w:rPr>
          <w:sz w:val="24"/>
        </w:rPr>
        <w:t>Federation</w:t>
      </w:r>
      <w:r>
        <w:rPr>
          <w:spacing w:val="40"/>
          <w:sz w:val="24"/>
        </w:rPr>
        <w:t> </w:t>
      </w:r>
      <w:r>
        <w:rPr>
          <w:sz w:val="24"/>
        </w:rPr>
        <w:t>of</w:t>
      </w:r>
      <w:r>
        <w:rPr>
          <w:spacing w:val="40"/>
          <w:sz w:val="24"/>
        </w:rPr>
        <w:t> </w:t>
      </w:r>
      <w:r>
        <w:rPr>
          <w:sz w:val="24"/>
        </w:rPr>
        <w:t>Indian</w:t>
      </w:r>
      <w:r>
        <w:rPr>
          <w:spacing w:val="40"/>
          <w:sz w:val="24"/>
        </w:rPr>
        <w:t> </w:t>
      </w:r>
      <w:r>
        <w:rPr>
          <w:sz w:val="24"/>
        </w:rPr>
        <w:t>Chambers</w:t>
      </w:r>
      <w:r>
        <w:rPr>
          <w:spacing w:val="40"/>
          <w:sz w:val="24"/>
        </w:rPr>
        <w:t> </w:t>
      </w:r>
      <w:r>
        <w:rPr>
          <w:sz w:val="24"/>
        </w:rPr>
        <w:t>of</w:t>
      </w:r>
      <w:r>
        <w:rPr>
          <w:spacing w:val="40"/>
          <w:sz w:val="24"/>
        </w:rPr>
        <w:t> </w:t>
      </w:r>
      <w:r>
        <w:rPr>
          <w:sz w:val="24"/>
        </w:rPr>
        <w:t>Commerce</w:t>
      </w:r>
      <w:r>
        <w:rPr>
          <w:spacing w:val="40"/>
          <w:sz w:val="24"/>
        </w:rPr>
        <w:t> </w:t>
      </w:r>
      <w:r>
        <w:rPr>
          <w:sz w:val="24"/>
        </w:rPr>
        <w:t>and</w:t>
      </w:r>
      <w:r>
        <w:rPr>
          <w:spacing w:val="40"/>
          <w:sz w:val="24"/>
        </w:rPr>
        <w:t> </w:t>
      </w:r>
      <w:r>
        <w:rPr>
          <w:sz w:val="24"/>
        </w:rPr>
        <w:t>Industry, New Delhi.</w:t>
      </w:r>
    </w:p>
    <w:p>
      <w:pPr>
        <w:pStyle w:val="BodyText"/>
        <w:spacing w:before="4"/>
      </w:pPr>
    </w:p>
    <w:p>
      <w:pPr>
        <w:pStyle w:val="ListParagraph"/>
        <w:numPr>
          <w:ilvl w:val="0"/>
          <w:numId w:val="150"/>
        </w:numPr>
        <w:tabs>
          <w:tab w:pos="424" w:val="left" w:leader="none"/>
        </w:tabs>
        <w:spacing w:line="240" w:lineRule="auto" w:before="0" w:after="0"/>
        <w:ind w:left="160" w:right="498" w:firstLine="0"/>
        <w:jc w:val="left"/>
        <w:rPr>
          <w:sz w:val="24"/>
        </w:rPr>
      </w:pPr>
      <w:r>
        <w:rPr>
          <w:sz w:val="24"/>
        </w:rPr>
        <w:t>Shri S. C. Datta, Secretary, Indian Adult Education Association, Indraprastha </w:t>
      </w:r>
      <w:r>
        <w:rPr>
          <w:sz w:val="24"/>
        </w:rPr>
        <w:t>Estate,</w:t>
      </w:r>
      <w:r>
        <w:rPr>
          <w:spacing w:val="40"/>
          <w:sz w:val="24"/>
        </w:rPr>
        <w:t> </w:t>
      </w:r>
      <w:r>
        <w:rPr>
          <w:sz w:val="24"/>
        </w:rPr>
        <w:t>New Delhi.</w:t>
      </w:r>
    </w:p>
    <w:p>
      <w:pPr>
        <w:pStyle w:val="BodyText"/>
        <w:spacing w:before="5"/>
      </w:pPr>
    </w:p>
    <w:p>
      <w:pPr>
        <w:pStyle w:val="ListParagraph"/>
        <w:numPr>
          <w:ilvl w:val="0"/>
          <w:numId w:val="150"/>
        </w:numPr>
        <w:tabs>
          <w:tab w:pos="414" w:val="left" w:leader="none"/>
        </w:tabs>
        <w:spacing w:line="240" w:lineRule="auto" w:before="0" w:after="0"/>
        <w:ind w:left="160" w:right="498" w:firstLine="0"/>
        <w:jc w:val="left"/>
        <w:rPr>
          <w:sz w:val="24"/>
        </w:rPr>
      </w:pPr>
      <w:r>
        <w:rPr>
          <w:sz w:val="24"/>
        </w:rPr>
        <w:t>Shri M. C. Nanavatty, Director (Social Education), Ministry of Food and </w:t>
      </w:r>
      <w:r>
        <w:rPr>
          <w:sz w:val="24"/>
        </w:rPr>
        <w:t>Agriculture, New Delhi.</w:t>
      </w:r>
    </w:p>
    <w:p>
      <w:pPr>
        <w:pStyle w:val="BodyText"/>
        <w:spacing w:before="3"/>
      </w:pPr>
    </w:p>
    <w:p>
      <w:pPr>
        <w:pStyle w:val="ListParagraph"/>
        <w:numPr>
          <w:ilvl w:val="0"/>
          <w:numId w:val="150"/>
        </w:numPr>
        <w:tabs>
          <w:tab w:pos="493" w:val="left" w:leader="none"/>
        </w:tabs>
        <w:spacing w:line="240" w:lineRule="auto" w:before="1" w:after="0"/>
        <w:ind w:left="160" w:right="497" w:firstLine="0"/>
        <w:jc w:val="left"/>
        <w:rPr>
          <w:sz w:val="24"/>
        </w:rPr>
      </w:pPr>
      <w:r>
        <w:rPr>
          <w:sz w:val="24"/>
        </w:rPr>
        <w:t>Shri</w:t>
      </w:r>
      <w:r>
        <w:rPr>
          <w:spacing w:val="80"/>
          <w:sz w:val="24"/>
        </w:rPr>
        <w:t> </w:t>
      </w:r>
      <w:r>
        <w:rPr>
          <w:sz w:val="24"/>
        </w:rPr>
        <w:t>Annasaheb</w:t>
      </w:r>
      <w:r>
        <w:rPr>
          <w:spacing w:val="80"/>
          <w:sz w:val="24"/>
        </w:rPr>
        <w:t> </w:t>
      </w:r>
      <w:r>
        <w:rPr>
          <w:sz w:val="24"/>
        </w:rPr>
        <w:t>Sahasrabuddhe,</w:t>
      </w:r>
      <w:r>
        <w:rPr>
          <w:spacing w:val="80"/>
          <w:sz w:val="24"/>
        </w:rPr>
        <w:t> </w:t>
      </w:r>
      <w:r>
        <w:rPr>
          <w:sz w:val="24"/>
        </w:rPr>
        <w:t>Chairman,</w:t>
      </w:r>
      <w:r>
        <w:rPr>
          <w:spacing w:val="80"/>
          <w:sz w:val="24"/>
        </w:rPr>
        <w:t> </w:t>
      </w:r>
      <w:r>
        <w:rPr>
          <w:sz w:val="24"/>
        </w:rPr>
        <w:t>Rural</w:t>
      </w:r>
      <w:r>
        <w:rPr>
          <w:spacing w:val="80"/>
          <w:sz w:val="24"/>
        </w:rPr>
        <w:t> </w:t>
      </w:r>
      <w:r>
        <w:rPr>
          <w:sz w:val="24"/>
        </w:rPr>
        <w:t>Industries</w:t>
      </w:r>
      <w:r>
        <w:rPr>
          <w:spacing w:val="80"/>
          <w:sz w:val="24"/>
        </w:rPr>
        <w:t> </w:t>
      </w:r>
      <w:r>
        <w:rPr>
          <w:sz w:val="24"/>
        </w:rPr>
        <w:t>Planning,</w:t>
      </w:r>
      <w:r>
        <w:rPr>
          <w:spacing w:val="80"/>
          <w:sz w:val="24"/>
        </w:rPr>
        <w:t> </w:t>
      </w:r>
      <w:r>
        <w:rPr>
          <w:sz w:val="24"/>
        </w:rPr>
        <w:t>Planning Commission, New Delhi.</w:t>
      </w:r>
    </w:p>
    <w:p>
      <w:pPr>
        <w:pStyle w:val="BodyText"/>
        <w:spacing w:before="4"/>
      </w:pPr>
    </w:p>
    <w:p>
      <w:pPr>
        <w:pStyle w:val="ListParagraph"/>
        <w:numPr>
          <w:ilvl w:val="0"/>
          <w:numId w:val="150"/>
        </w:numPr>
        <w:tabs>
          <w:tab w:pos="400" w:val="left" w:leader="none"/>
        </w:tabs>
        <w:spacing w:line="240" w:lineRule="auto" w:before="1" w:after="0"/>
        <w:ind w:left="400" w:right="0" w:hanging="240"/>
        <w:jc w:val="left"/>
        <w:rPr>
          <w:sz w:val="24"/>
        </w:rPr>
      </w:pPr>
      <w:r>
        <w:rPr>
          <w:sz w:val="24"/>
        </w:rPr>
        <w:t>Dr.</w:t>
      </w:r>
      <w:r>
        <w:rPr>
          <w:spacing w:val="-1"/>
          <w:sz w:val="24"/>
        </w:rPr>
        <w:t> </w:t>
      </w:r>
      <w:r>
        <w:rPr>
          <w:sz w:val="24"/>
        </w:rPr>
        <w:t>R.</w:t>
      </w:r>
      <w:r>
        <w:rPr>
          <w:spacing w:val="-1"/>
          <w:sz w:val="24"/>
        </w:rPr>
        <w:t> </w:t>
      </w:r>
      <w:r>
        <w:rPr>
          <w:sz w:val="24"/>
        </w:rPr>
        <w:t>K.</w:t>
      </w:r>
      <w:r>
        <w:rPr>
          <w:spacing w:val="-1"/>
          <w:sz w:val="24"/>
        </w:rPr>
        <w:t> </w:t>
      </w:r>
      <w:r>
        <w:rPr>
          <w:sz w:val="24"/>
        </w:rPr>
        <w:t>Singh, Director,</w:t>
      </w:r>
      <w:r>
        <w:rPr>
          <w:spacing w:val="-1"/>
          <w:sz w:val="24"/>
        </w:rPr>
        <w:t> </w:t>
      </w:r>
      <w:r>
        <w:rPr>
          <w:sz w:val="24"/>
        </w:rPr>
        <w:t>Rural</w:t>
      </w:r>
      <w:r>
        <w:rPr>
          <w:spacing w:val="-3"/>
          <w:sz w:val="24"/>
        </w:rPr>
        <w:t> </w:t>
      </w:r>
      <w:r>
        <w:rPr>
          <w:sz w:val="24"/>
        </w:rPr>
        <w:t>Institute,</w:t>
      </w:r>
      <w:r>
        <w:rPr>
          <w:spacing w:val="-1"/>
          <w:sz w:val="24"/>
        </w:rPr>
        <w:t> </w:t>
      </w:r>
      <w:r>
        <w:rPr>
          <w:sz w:val="24"/>
        </w:rPr>
        <w:t>Bichpuri</w:t>
      </w:r>
      <w:r>
        <w:rPr>
          <w:spacing w:val="-2"/>
          <w:sz w:val="24"/>
        </w:rPr>
        <w:t> </w:t>
      </w:r>
      <w:r>
        <w:rPr>
          <w:sz w:val="24"/>
        </w:rPr>
        <w:t>(Agra),</w:t>
      </w:r>
      <w:r>
        <w:rPr>
          <w:spacing w:val="-1"/>
          <w:sz w:val="24"/>
        </w:rPr>
        <w:t> </w:t>
      </w:r>
      <w:r>
        <w:rPr>
          <w:spacing w:val="-4"/>
          <w:sz w:val="24"/>
        </w:rPr>
        <w:t>U.P.</w:t>
      </w:r>
    </w:p>
    <w:p>
      <w:pPr>
        <w:pStyle w:val="BodyText"/>
        <w:spacing w:before="3"/>
      </w:pPr>
    </w:p>
    <w:p>
      <w:pPr>
        <w:spacing w:before="0"/>
        <w:ind w:left="160" w:right="0" w:firstLine="0"/>
        <w:jc w:val="left"/>
        <w:rPr>
          <w:rFonts w:ascii="Arial"/>
          <w:b/>
          <w:sz w:val="24"/>
        </w:rPr>
      </w:pPr>
      <w:r>
        <w:rPr>
          <w:rFonts w:ascii="Arial"/>
          <w:b/>
          <w:sz w:val="24"/>
        </w:rPr>
        <w:t>Sub-Group</w:t>
      </w:r>
      <w:r>
        <w:rPr>
          <w:rFonts w:ascii="Arial"/>
          <w:b/>
          <w:spacing w:val="-5"/>
          <w:sz w:val="24"/>
        </w:rPr>
        <w:t> </w:t>
      </w:r>
      <w:r>
        <w:rPr>
          <w:rFonts w:ascii="Arial"/>
          <w:b/>
          <w:sz w:val="24"/>
        </w:rPr>
        <w:t>on</w:t>
      </w:r>
      <w:r>
        <w:rPr>
          <w:rFonts w:ascii="Arial"/>
          <w:b/>
          <w:spacing w:val="-5"/>
          <w:sz w:val="24"/>
        </w:rPr>
        <w:t> </w:t>
      </w:r>
      <w:r>
        <w:rPr>
          <w:rFonts w:ascii="Arial"/>
          <w:b/>
          <w:sz w:val="24"/>
        </w:rPr>
        <w:t>Role</w:t>
      </w:r>
      <w:r>
        <w:rPr>
          <w:rFonts w:ascii="Arial"/>
          <w:b/>
          <w:spacing w:val="-6"/>
          <w:sz w:val="24"/>
        </w:rPr>
        <w:t> </w:t>
      </w:r>
      <w:r>
        <w:rPr>
          <w:rFonts w:ascii="Arial"/>
          <w:b/>
          <w:sz w:val="24"/>
        </w:rPr>
        <w:t>of</w:t>
      </w:r>
      <w:r>
        <w:rPr>
          <w:rFonts w:ascii="Arial"/>
          <w:b/>
          <w:spacing w:val="-5"/>
          <w:sz w:val="24"/>
        </w:rPr>
        <w:t> </w:t>
      </w:r>
      <w:r>
        <w:rPr>
          <w:rFonts w:ascii="Arial"/>
          <w:b/>
          <w:sz w:val="24"/>
        </w:rPr>
        <w:t>Cultural</w:t>
      </w:r>
      <w:r>
        <w:rPr>
          <w:rFonts w:ascii="Arial"/>
          <w:b/>
          <w:spacing w:val="-6"/>
          <w:sz w:val="24"/>
        </w:rPr>
        <w:t> </w:t>
      </w:r>
      <w:r>
        <w:rPr>
          <w:rFonts w:ascii="Arial"/>
          <w:b/>
          <w:sz w:val="24"/>
        </w:rPr>
        <w:t>Institutions</w:t>
      </w:r>
      <w:r>
        <w:rPr>
          <w:rFonts w:ascii="Arial"/>
          <w:b/>
          <w:spacing w:val="-4"/>
          <w:sz w:val="24"/>
        </w:rPr>
        <w:t> </w:t>
      </w:r>
      <w:r>
        <w:rPr>
          <w:rFonts w:ascii="Arial"/>
          <w:b/>
          <w:sz w:val="24"/>
        </w:rPr>
        <w:t>in</w:t>
      </w:r>
      <w:r>
        <w:rPr>
          <w:rFonts w:ascii="Arial"/>
          <w:b/>
          <w:spacing w:val="-5"/>
          <w:sz w:val="24"/>
        </w:rPr>
        <w:t> </w:t>
      </w:r>
      <w:r>
        <w:rPr>
          <w:rFonts w:ascii="Arial"/>
          <w:b/>
          <w:sz w:val="24"/>
        </w:rPr>
        <w:t>Adult</w:t>
      </w:r>
      <w:r>
        <w:rPr>
          <w:rFonts w:ascii="Arial"/>
          <w:b/>
          <w:spacing w:val="-6"/>
          <w:sz w:val="24"/>
        </w:rPr>
        <w:t> </w:t>
      </w:r>
      <w:r>
        <w:rPr>
          <w:rFonts w:ascii="Arial"/>
          <w:b/>
          <w:spacing w:val="-2"/>
          <w:sz w:val="24"/>
        </w:rPr>
        <w:t>Education</w:t>
      </w:r>
    </w:p>
    <w:p>
      <w:pPr>
        <w:pStyle w:val="Heading1"/>
        <w:spacing w:before="1"/>
        <w:ind w:left="160" w:right="0"/>
        <w:jc w:val="left"/>
      </w:pPr>
      <w:r>
        <w:rPr>
          <w:spacing w:val="-2"/>
        </w:rPr>
        <w:t>MEMBERS</w:t>
      </w:r>
    </w:p>
    <w:p>
      <w:pPr>
        <w:pStyle w:val="BodyText"/>
        <w:spacing w:before="3"/>
        <w:rPr>
          <w:b/>
        </w:rPr>
      </w:pPr>
    </w:p>
    <w:p>
      <w:pPr>
        <w:pStyle w:val="ListParagraph"/>
        <w:numPr>
          <w:ilvl w:val="0"/>
          <w:numId w:val="151"/>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D. R. Kalia, Director,</w:t>
      </w:r>
      <w:r>
        <w:rPr>
          <w:spacing w:val="-1"/>
          <w:sz w:val="24"/>
        </w:rPr>
        <w:t> </w:t>
      </w:r>
      <w:r>
        <w:rPr>
          <w:sz w:val="24"/>
        </w:rPr>
        <w:t>Delhi Public Library, Delhi. </w:t>
      </w:r>
      <w:r>
        <w:rPr>
          <w:spacing w:val="-2"/>
          <w:sz w:val="24"/>
        </w:rPr>
        <w:t>Convener</w:t>
      </w:r>
    </w:p>
    <w:p>
      <w:pPr>
        <w:pStyle w:val="BodyText"/>
        <w:spacing w:before="3"/>
      </w:pPr>
    </w:p>
    <w:p>
      <w:pPr>
        <w:pStyle w:val="ListParagraph"/>
        <w:numPr>
          <w:ilvl w:val="0"/>
          <w:numId w:val="151"/>
        </w:numPr>
        <w:tabs>
          <w:tab w:pos="516" w:val="left" w:leader="none"/>
        </w:tabs>
        <w:spacing w:line="240" w:lineRule="auto" w:before="0" w:after="0"/>
        <w:ind w:left="160" w:right="496" w:firstLine="0"/>
        <w:jc w:val="left"/>
        <w:rPr>
          <w:sz w:val="24"/>
        </w:rPr>
      </w:pPr>
      <w:r>
        <w:rPr>
          <w:sz w:val="24"/>
        </w:rPr>
        <w:t>Shrimati</w:t>
      </w:r>
      <w:r>
        <w:rPr>
          <w:spacing w:val="80"/>
          <w:sz w:val="24"/>
        </w:rPr>
        <w:t> </w:t>
      </w:r>
      <w:r>
        <w:rPr>
          <w:sz w:val="24"/>
        </w:rPr>
        <w:t>Kamladevi</w:t>
      </w:r>
      <w:r>
        <w:rPr>
          <w:spacing w:val="80"/>
          <w:sz w:val="24"/>
        </w:rPr>
        <w:t> </w:t>
      </w:r>
      <w:r>
        <w:rPr>
          <w:sz w:val="24"/>
        </w:rPr>
        <w:t>Chattopadhyay,</w:t>
      </w:r>
      <w:r>
        <w:rPr>
          <w:spacing w:val="80"/>
          <w:sz w:val="24"/>
        </w:rPr>
        <w:t> </w:t>
      </w:r>
      <w:r>
        <w:rPr>
          <w:sz w:val="24"/>
        </w:rPr>
        <w:t>Chairman,</w:t>
      </w:r>
      <w:r>
        <w:rPr>
          <w:spacing w:val="80"/>
          <w:sz w:val="24"/>
        </w:rPr>
        <w:t> </w:t>
      </w:r>
      <w:r>
        <w:rPr>
          <w:sz w:val="24"/>
        </w:rPr>
        <w:t>All-</w:t>
      </w:r>
      <w:r>
        <w:rPr>
          <w:spacing w:val="80"/>
          <w:sz w:val="24"/>
        </w:rPr>
        <w:t> </w:t>
      </w:r>
      <w:r>
        <w:rPr>
          <w:sz w:val="24"/>
        </w:rPr>
        <w:t>India</w:t>
      </w:r>
      <w:r>
        <w:rPr>
          <w:spacing w:val="80"/>
          <w:sz w:val="24"/>
        </w:rPr>
        <w:t> </w:t>
      </w:r>
      <w:r>
        <w:rPr>
          <w:sz w:val="24"/>
        </w:rPr>
        <w:t>Handicrafts</w:t>
      </w:r>
      <w:r>
        <w:rPr>
          <w:spacing w:val="80"/>
          <w:sz w:val="24"/>
        </w:rPr>
        <w:t> </w:t>
      </w:r>
      <w:r>
        <w:rPr>
          <w:sz w:val="24"/>
        </w:rPr>
        <w:t>Board,</w:t>
      </w:r>
      <w:r>
        <w:rPr>
          <w:spacing w:val="40"/>
          <w:sz w:val="24"/>
        </w:rPr>
        <w:t> </w:t>
      </w:r>
      <w:r>
        <w:rPr>
          <w:sz w:val="24"/>
        </w:rPr>
        <w:t>Wellingdon Crescent, New Delhi.</w:t>
      </w:r>
    </w:p>
    <w:p>
      <w:pPr>
        <w:pStyle w:val="BodyText"/>
        <w:spacing w:before="5"/>
      </w:pPr>
    </w:p>
    <w:p>
      <w:pPr>
        <w:pStyle w:val="ListParagraph"/>
        <w:numPr>
          <w:ilvl w:val="0"/>
          <w:numId w:val="151"/>
        </w:numPr>
        <w:tabs>
          <w:tab w:pos="399" w:val="left" w:leader="none"/>
        </w:tabs>
        <w:spacing w:line="240" w:lineRule="auto" w:before="0" w:after="0"/>
        <w:ind w:left="399" w:right="0" w:hanging="239"/>
        <w:jc w:val="left"/>
        <w:rPr>
          <w:sz w:val="24"/>
        </w:rPr>
      </w:pPr>
      <w:r>
        <w:rPr>
          <w:sz w:val="24"/>
        </w:rPr>
        <w:t>Shri</w:t>
      </w:r>
      <w:r>
        <w:rPr>
          <w:spacing w:val="-5"/>
          <w:sz w:val="24"/>
        </w:rPr>
        <w:t> </w:t>
      </w:r>
      <w:r>
        <w:rPr>
          <w:sz w:val="24"/>
        </w:rPr>
        <w:t>J.</w:t>
      </w:r>
      <w:r>
        <w:rPr>
          <w:spacing w:val="-3"/>
          <w:sz w:val="24"/>
        </w:rPr>
        <w:t> </w:t>
      </w:r>
      <w:r>
        <w:rPr>
          <w:sz w:val="24"/>
        </w:rPr>
        <w:t>C.</w:t>
      </w:r>
      <w:r>
        <w:rPr>
          <w:spacing w:val="-3"/>
          <w:sz w:val="24"/>
        </w:rPr>
        <w:t> </w:t>
      </w:r>
      <w:r>
        <w:rPr>
          <w:sz w:val="24"/>
        </w:rPr>
        <w:t>Mathur,</w:t>
      </w:r>
      <w:r>
        <w:rPr>
          <w:spacing w:val="-3"/>
          <w:sz w:val="24"/>
        </w:rPr>
        <w:t> </w:t>
      </w:r>
      <w:r>
        <w:rPr>
          <w:sz w:val="24"/>
        </w:rPr>
        <w:t>joint</w:t>
      </w:r>
      <w:r>
        <w:rPr>
          <w:spacing w:val="-3"/>
          <w:sz w:val="24"/>
        </w:rPr>
        <w:t> </w:t>
      </w:r>
      <w:r>
        <w:rPr>
          <w:sz w:val="24"/>
        </w:rPr>
        <w:t>Secretary,</w:t>
      </w:r>
      <w:r>
        <w:rPr>
          <w:spacing w:val="-2"/>
          <w:sz w:val="24"/>
        </w:rPr>
        <w:t> </w:t>
      </w:r>
      <w:r>
        <w:rPr>
          <w:sz w:val="24"/>
        </w:rPr>
        <w:t>Ministry</w:t>
      </w:r>
      <w:r>
        <w:rPr>
          <w:spacing w:val="-3"/>
          <w:sz w:val="24"/>
        </w:rPr>
        <w:t> </w:t>
      </w:r>
      <w:r>
        <w:rPr>
          <w:sz w:val="24"/>
        </w:rPr>
        <w:t>of</w:t>
      </w:r>
      <w:r>
        <w:rPr>
          <w:spacing w:val="-3"/>
          <w:sz w:val="24"/>
        </w:rPr>
        <w:t> </w:t>
      </w:r>
      <w:r>
        <w:rPr>
          <w:sz w:val="24"/>
        </w:rPr>
        <w:t>Food</w:t>
      </w:r>
      <w:r>
        <w:rPr>
          <w:spacing w:val="-3"/>
          <w:sz w:val="24"/>
        </w:rPr>
        <w:t> </w:t>
      </w:r>
      <w:r>
        <w:rPr>
          <w:sz w:val="24"/>
        </w:rPr>
        <w:t>and</w:t>
      </w:r>
      <w:r>
        <w:rPr>
          <w:spacing w:val="-3"/>
          <w:sz w:val="24"/>
        </w:rPr>
        <w:t> </w:t>
      </w:r>
      <w:r>
        <w:rPr>
          <w:sz w:val="24"/>
        </w:rPr>
        <w:t>Agriculture,</w:t>
      </w:r>
      <w:r>
        <w:rPr>
          <w:spacing w:val="-3"/>
          <w:sz w:val="24"/>
        </w:rPr>
        <w:t> </w:t>
      </w:r>
      <w:r>
        <w:rPr>
          <w:sz w:val="24"/>
        </w:rPr>
        <w:t>New</w:t>
      </w:r>
      <w:r>
        <w:rPr>
          <w:spacing w:val="-2"/>
          <w:sz w:val="24"/>
        </w:rPr>
        <w:t> Delhi.</w:t>
      </w:r>
    </w:p>
    <w:p>
      <w:pPr>
        <w:pStyle w:val="BodyText"/>
        <w:spacing w:before="5"/>
      </w:pPr>
    </w:p>
    <w:p>
      <w:pPr>
        <w:pStyle w:val="ListParagraph"/>
        <w:numPr>
          <w:ilvl w:val="0"/>
          <w:numId w:val="151"/>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Grace Morley, Director,</w:t>
      </w:r>
      <w:r>
        <w:rPr>
          <w:spacing w:val="-1"/>
          <w:sz w:val="24"/>
        </w:rPr>
        <w:t> </w:t>
      </w:r>
      <w:r>
        <w:rPr>
          <w:sz w:val="24"/>
        </w:rPr>
        <w:t>National Museum, New </w:t>
      </w:r>
      <w:r>
        <w:rPr>
          <w:spacing w:val="-2"/>
          <w:sz w:val="24"/>
        </w:rPr>
        <w:t>Delhi.</w:t>
      </w:r>
    </w:p>
    <w:p>
      <w:pPr>
        <w:pStyle w:val="BodyText"/>
        <w:spacing w:before="4"/>
      </w:pPr>
    </w:p>
    <w:p>
      <w:pPr>
        <w:pStyle w:val="ListParagraph"/>
        <w:numPr>
          <w:ilvl w:val="0"/>
          <w:numId w:val="151"/>
        </w:numPr>
        <w:tabs>
          <w:tab w:pos="399" w:val="left" w:leader="none"/>
        </w:tabs>
        <w:spacing w:line="240" w:lineRule="auto" w:before="0" w:after="0"/>
        <w:ind w:left="399" w:right="0" w:hanging="239"/>
        <w:jc w:val="left"/>
        <w:rPr>
          <w:sz w:val="24"/>
        </w:rPr>
      </w:pPr>
      <w:r>
        <w:rPr>
          <w:sz w:val="24"/>
        </w:rPr>
        <w:t>Dr.</w:t>
      </w:r>
      <w:r>
        <w:rPr>
          <w:spacing w:val="-3"/>
          <w:sz w:val="24"/>
        </w:rPr>
        <w:t> </w:t>
      </w:r>
      <w:r>
        <w:rPr>
          <w:sz w:val="24"/>
        </w:rPr>
        <w:t>Mulk</w:t>
      </w:r>
      <w:r>
        <w:rPr>
          <w:spacing w:val="-3"/>
          <w:sz w:val="24"/>
        </w:rPr>
        <w:t> </w:t>
      </w:r>
      <w:r>
        <w:rPr>
          <w:sz w:val="24"/>
        </w:rPr>
        <w:t>Raj</w:t>
      </w:r>
      <w:r>
        <w:rPr>
          <w:spacing w:val="-2"/>
          <w:sz w:val="24"/>
        </w:rPr>
        <w:t> </w:t>
      </w:r>
      <w:r>
        <w:rPr>
          <w:sz w:val="24"/>
        </w:rPr>
        <w:t>Anand,</w:t>
      </w:r>
      <w:r>
        <w:rPr>
          <w:spacing w:val="-3"/>
          <w:sz w:val="24"/>
        </w:rPr>
        <w:t> </w:t>
      </w:r>
      <w:r>
        <w:rPr>
          <w:sz w:val="24"/>
        </w:rPr>
        <w:t>Panjab</w:t>
      </w:r>
      <w:r>
        <w:rPr>
          <w:spacing w:val="-2"/>
          <w:sz w:val="24"/>
        </w:rPr>
        <w:t> </w:t>
      </w:r>
      <w:r>
        <w:rPr>
          <w:sz w:val="24"/>
        </w:rPr>
        <w:t>University,</w:t>
      </w:r>
      <w:r>
        <w:rPr>
          <w:spacing w:val="-2"/>
          <w:sz w:val="24"/>
        </w:rPr>
        <w:t> Chandigarh.</w:t>
      </w:r>
    </w:p>
    <w:p>
      <w:pPr>
        <w:pStyle w:val="BodyText"/>
        <w:spacing w:before="3"/>
      </w:pPr>
    </w:p>
    <w:p>
      <w:pPr>
        <w:pStyle w:val="ListParagraph"/>
        <w:numPr>
          <w:ilvl w:val="0"/>
          <w:numId w:val="151"/>
        </w:numPr>
        <w:tabs>
          <w:tab w:pos="400" w:val="left" w:leader="none"/>
        </w:tabs>
        <w:spacing w:line="240" w:lineRule="auto" w:before="0" w:after="0"/>
        <w:ind w:left="400" w:right="0" w:hanging="240"/>
        <w:jc w:val="left"/>
        <w:rPr>
          <w:sz w:val="24"/>
        </w:rPr>
      </w:pPr>
      <w:r>
        <w:rPr>
          <w:sz w:val="24"/>
        </w:rPr>
        <w:t>Dr.</w:t>
      </w:r>
      <w:r>
        <w:rPr>
          <w:spacing w:val="-4"/>
          <w:sz w:val="24"/>
        </w:rPr>
        <w:t> </w:t>
      </w:r>
      <w:r>
        <w:rPr>
          <w:sz w:val="24"/>
        </w:rPr>
        <w:t>M.</w:t>
      </w:r>
      <w:r>
        <w:rPr>
          <w:spacing w:val="-2"/>
          <w:sz w:val="24"/>
        </w:rPr>
        <w:t> </w:t>
      </w:r>
      <w:r>
        <w:rPr>
          <w:sz w:val="24"/>
        </w:rPr>
        <w:t>S.</w:t>
      </w:r>
      <w:r>
        <w:rPr>
          <w:spacing w:val="-2"/>
          <w:sz w:val="24"/>
        </w:rPr>
        <w:t> </w:t>
      </w:r>
      <w:r>
        <w:rPr>
          <w:sz w:val="24"/>
        </w:rPr>
        <w:t>Randhawa,</w:t>
      </w:r>
      <w:r>
        <w:rPr>
          <w:spacing w:val="-2"/>
          <w:sz w:val="24"/>
        </w:rPr>
        <w:t> </w:t>
      </w:r>
      <w:r>
        <w:rPr>
          <w:sz w:val="24"/>
        </w:rPr>
        <w:t>Special</w:t>
      </w:r>
      <w:r>
        <w:rPr>
          <w:spacing w:val="-1"/>
          <w:sz w:val="24"/>
        </w:rPr>
        <w:t> </w:t>
      </w:r>
      <w:r>
        <w:rPr>
          <w:sz w:val="24"/>
        </w:rPr>
        <w:t>Secretary,</w:t>
      </w:r>
      <w:r>
        <w:rPr>
          <w:spacing w:val="-2"/>
          <w:sz w:val="24"/>
        </w:rPr>
        <w:t> </w:t>
      </w:r>
      <w:r>
        <w:rPr>
          <w:sz w:val="24"/>
        </w:rPr>
        <w:t>Ministry</w:t>
      </w:r>
      <w:r>
        <w:rPr>
          <w:spacing w:val="-3"/>
          <w:sz w:val="24"/>
        </w:rPr>
        <w:t> </w:t>
      </w:r>
      <w:r>
        <w:rPr>
          <w:sz w:val="24"/>
        </w:rPr>
        <w:t>of</w:t>
      </w:r>
      <w:r>
        <w:rPr>
          <w:spacing w:val="-3"/>
          <w:sz w:val="24"/>
        </w:rPr>
        <w:t> </w:t>
      </w:r>
      <w:r>
        <w:rPr>
          <w:sz w:val="24"/>
        </w:rPr>
        <w:t>Food</w:t>
      </w:r>
      <w:r>
        <w:rPr>
          <w:spacing w:val="-2"/>
          <w:sz w:val="24"/>
        </w:rPr>
        <w:t> </w:t>
      </w:r>
      <w:r>
        <w:rPr>
          <w:sz w:val="24"/>
        </w:rPr>
        <w:t>and</w:t>
      </w:r>
      <w:r>
        <w:rPr>
          <w:spacing w:val="-3"/>
          <w:sz w:val="24"/>
        </w:rPr>
        <w:t> </w:t>
      </w:r>
      <w:r>
        <w:rPr>
          <w:sz w:val="24"/>
        </w:rPr>
        <w:t>Agriculture,</w:t>
      </w:r>
      <w:r>
        <w:rPr>
          <w:spacing w:val="-3"/>
          <w:sz w:val="24"/>
        </w:rPr>
        <w:t> </w:t>
      </w:r>
      <w:r>
        <w:rPr>
          <w:sz w:val="24"/>
        </w:rPr>
        <w:t>New</w:t>
      </w:r>
      <w:r>
        <w:rPr>
          <w:spacing w:val="-2"/>
          <w:sz w:val="24"/>
        </w:rPr>
        <w:t> Delhi.</w:t>
      </w:r>
    </w:p>
    <w:p>
      <w:pPr>
        <w:pStyle w:val="BodyText"/>
      </w:pPr>
    </w:p>
    <w:p>
      <w:pPr>
        <w:pStyle w:val="BodyText"/>
        <w:spacing w:before="6"/>
      </w:pPr>
    </w:p>
    <w:p>
      <w:pPr>
        <w:pStyle w:val="Heading2"/>
        <w:spacing w:before="1"/>
      </w:pPr>
      <w:r>
        <w:rPr/>
        <w:t>AIV.02. Task Force on</w:t>
      </w:r>
      <w:r>
        <w:rPr>
          <w:spacing w:val="-2"/>
        </w:rPr>
        <w:t> </w:t>
      </w:r>
      <w:r>
        <w:rPr/>
        <w:t>Agriculture </w:t>
      </w:r>
      <w:r>
        <w:rPr>
          <w:spacing w:val="-2"/>
        </w:rPr>
        <w:t>Education</w:t>
      </w:r>
    </w:p>
    <w:p>
      <w:pPr>
        <w:pStyle w:val="BodyText"/>
        <w:spacing w:before="2"/>
        <w:rPr>
          <w:b/>
        </w:rPr>
      </w:pPr>
    </w:p>
    <w:p>
      <w:pPr>
        <w:pStyle w:val="ListParagraph"/>
        <w:numPr>
          <w:ilvl w:val="0"/>
          <w:numId w:val="152"/>
        </w:numPr>
        <w:tabs>
          <w:tab w:pos="402" w:val="left" w:leader="none"/>
        </w:tabs>
        <w:spacing w:line="240" w:lineRule="auto" w:before="0" w:after="0"/>
        <w:ind w:left="160" w:right="497" w:firstLine="0"/>
        <w:jc w:val="left"/>
        <w:rPr>
          <w:sz w:val="24"/>
        </w:rPr>
      </w:pPr>
      <w:r>
        <w:rPr>
          <w:sz w:val="24"/>
        </w:rPr>
        <w:t>Dr.</w:t>
      </w:r>
      <w:r>
        <w:rPr>
          <w:spacing w:val="-2"/>
          <w:sz w:val="24"/>
        </w:rPr>
        <w:t> </w:t>
      </w:r>
      <w:r>
        <w:rPr>
          <w:sz w:val="24"/>
        </w:rPr>
        <w:t>B.</w:t>
      </w:r>
      <w:r>
        <w:rPr>
          <w:spacing w:val="-2"/>
          <w:sz w:val="24"/>
        </w:rPr>
        <w:t> </w:t>
      </w:r>
      <w:r>
        <w:rPr>
          <w:sz w:val="24"/>
        </w:rPr>
        <w:t>P.</w:t>
      </w:r>
      <w:r>
        <w:rPr>
          <w:spacing w:val="-2"/>
          <w:sz w:val="24"/>
        </w:rPr>
        <w:t> </w:t>
      </w:r>
      <w:r>
        <w:rPr>
          <w:sz w:val="24"/>
        </w:rPr>
        <w:t>Pal,</w:t>
      </w:r>
      <w:r>
        <w:rPr>
          <w:spacing w:val="-2"/>
          <w:sz w:val="24"/>
        </w:rPr>
        <w:t> </w:t>
      </w:r>
      <w:r>
        <w:rPr>
          <w:sz w:val="24"/>
        </w:rPr>
        <w:t>Director-General</w:t>
      </w:r>
      <w:r>
        <w:rPr>
          <w:spacing w:val="-2"/>
          <w:sz w:val="24"/>
        </w:rPr>
        <w:t> </w:t>
      </w:r>
      <w:r>
        <w:rPr>
          <w:sz w:val="24"/>
        </w:rPr>
        <w:t>and</w:t>
      </w:r>
      <w:r>
        <w:rPr>
          <w:spacing w:val="-2"/>
          <w:sz w:val="24"/>
        </w:rPr>
        <w:t> </w:t>
      </w:r>
      <w:r>
        <w:rPr>
          <w:sz w:val="24"/>
        </w:rPr>
        <w:t>Vice-</w:t>
      </w:r>
      <w:r>
        <w:rPr>
          <w:spacing w:val="-4"/>
          <w:sz w:val="24"/>
        </w:rPr>
        <w:t> </w:t>
      </w:r>
      <w:r>
        <w:rPr>
          <w:sz w:val="24"/>
        </w:rPr>
        <w:t>President,</w:t>
      </w:r>
      <w:r>
        <w:rPr>
          <w:spacing w:val="-3"/>
          <w:sz w:val="24"/>
        </w:rPr>
        <w:t> </w:t>
      </w:r>
      <w:r>
        <w:rPr>
          <w:sz w:val="24"/>
        </w:rPr>
        <w:t>I.C.A.R.</w:t>
      </w:r>
      <w:r>
        <w:rPr>
          <w:spacing w:val="-2"/>
          <w:sz w:val="24"/>
        </w:rPr>
        <w:t> </w:t>
      </w:r>
      <w:r>
        <w:rPr>
          <w:sz w:val="24"/>
        </w:rPr>
        <w:t>and</w:t>
      </w:r>
      <w:r>
        <w:rPr>
          <w:spacing w:val="-2"/>
          <w:sz w:val="24"/>
        </w:rPr>
        <w:t> </w:t>
      </w:r>
      <w:r>
        <w:rPr>
          <w:sz w:val="24"/>
        </w:rPr>
        <w:t>Additional</w:t>
      </w:r>
      <w:r>
        <w:rPr>
          <w:spacing w:val="-2"/>
          <w:sz w:val="24"/>
        </w:rPr>
        <w:t> </w:t>
      </w:r>
      <w:r>
        <w:rPr>
          <w:sz w:val="24"/>
        </w:rPr>
        <w:t>Secretary, Ministry of Food and Agriculture, New Delhi. Convener</w:t>
      </w:r>
    </w:p>
    <w:p>
      <w:pPr>
        <w:pStyle w:val="BodyText"/>
        <w:spacing w:before="3"/>
      </w:pPr>
    </w:p>
    <w:p>
      <w:pPr>
        <w:pStyle w:val="ListParagraph"/>
        <w:numPr>
          <w:ilvl w:val="0"/>
          <w:numId w:val="152"/>
        </w:numPr>
        <w:tabs>
          <w:tab w:pos="400" w:val="left" w:leader="none"/>
        </w:tabs>
        <w:spacing w:line="240" w:lineRule="auto" w:before="1" w:after="0"/>
        <w:ind w:left="400" w:right="0" w:hanging="240"/>
        <w:jc w:val="left"/>
        <w:rPr>
          <w:sz w:val="24"/>
        </w:rPr>
      </w:pPr>
      <w:r>
        <w:rPr>
          <w:sz w:val="24"/>
        </w:rPr>
        <w:t>Dr.</w:t>
      </w:r>
      <w:r>
        <w:rPr>
          <w:spacing w:val="-1"/>
          <w:sz w:val="24"/>
        </w:rPr>
        <w:t> </w:t>
      </w:r>
      <w:r>
        <w:rPr>
          <w:sz w:val="24"/>
        </w:rPr>
        <w:t>Amir Ali,</w:t>
      </w:r>
      <w:r>
        <w:rPr>
          <w:spacing w:val="-1"/>
          <w:sz w:val="24"/>
        </w:rPr>
        <w:t> </w:t>
      </w:r>
      <w:r>
        <w:rPr>
          <w:sz w:val="24"/>
        </w:rPr>
        <w:t>Director, Rural</w:t>
      </w:r>
      <w:r>
        <w:rPr>
          <w:spacing w:val="-1"/>
          <w:sz w:val="24"/>
        </w:rPr>
        <w:t> </w:t>
      </w:r>
      <w:r>
        <w:rPr>
          <w:sz w:val="24"/>
        </w:rPr>
        <w:t>Institute, Jamia</w:t>
      </w:r>
      <w:r>
        <w:rPr>
          <w:spacing w:val="-1"/>
          <w:sz w:val="24"/>
        </w:rPr>
        <w:t> </w:t>
      </w:r>
      <w:r>
        <w:rPr>
          <w:sz w:val="24"/>
        </w:rPr>
        <w:t>Millia, Jamia</w:t>
      </w:r>
      <w:r>
        <w:rPr>
          <w:spacing w:val="-1"/>
          <w:sz w:val="24"/>
        </w:rPr>
        <w:t> </w:t>
      </w:r>
      <w:r>
        <w:rPr>
          <w:sz w:val="24"/>
        </w:rPr>
        <w:t>Nagar, New </w:t>
      </w:r>
      <w:r>
        <w:rPr>
          <w:spacing w:val="-2"/>
          <w:sz w:val="24"/>
        </w:rPr>
        <w:t>Delhi.</w:t>
      </w:r>
    </w:p>
    <w:p>
      <w:pPr>
        <w:pStyle w:val="BodyText"/>
        <w:spacing w:before="4"/>
      </w:pPr>
    </w:p>
    <w:p>
      <w:pPr>
        <w:pStyle w:val="ListParagraph"/>
        <w:numPr>
          <w:ilvl w:val="0"/>
          <w:numId w:val="152"/>
        </w:numPr>
        <w:tabs>
          <w:tab w:pos="400" w:val="left" w:leader="none"/>
        </w:tabs>
        <w:spacing w:line="240" w:lineRule="auto" w:before="1" w:after="0"/>
        <w:ind w:left="400" w:right="0" w:hanging="240"/>
        <w:jc w:val="left"/>
        <w:rPr>
          <w:sz w:val="24"/>
        </w:rPr>
      </w:pPr>
      <w:r>
        <w:rPr>
          <w:sz w:val="24"/>
        </w:rPr>
        <w:t>Dr. Anant Rao, Dean, U.P. Agricultural University, Pant </w:t>
      </w:r>
      <w:r>
        <w:rPr>
          <w:spacing w:val="-2"/>
          <w:sz w:val="24"/>
        </w:rPr>
        <w:t>Nagar.</w:t>
      </w:r>
    </w:p>
    <w:p>
      <w:pPr>
        <w:pStyle w:val="BodyText"/>
        <w:spacing w:before="2"/>
      </w:pPr>
    </w:p>
    <w:p>
      <w:pPr>
        <w:pStyle w:val="ListParagraph"/>
        <w:numPr>
          <w:ilvl w:val="0"/>
          <w:numId w:val="152"/>
        </w:numPr>
        <w:tabs>
          <w:tab w:pos="461" w:val="left" w:leader="none"/>
        </w:tabs>
        <w:spacing w:line="240" w:lineRule="auto" w:before="0" w:after="0"/>
        <w:ind w:left="160" w:right="499" w:firstLine="0"/>
        <w:jc w:val="left"/>
        <w:rPr>
          <w:sz w:val="24"/>
        </w:rPr>
      </w:pPr>
      <w:r>
        <w:rPr>
          <w:sz w:val="24"/>
        </w:rPr>
        <w:t>Dr.</w:t>
      </w:r>
      <w:r>
        <w:rPr>
          <w:spacing w:val="40"/>
          <w:sz w:val="24"/>
        </w:rPr>
        <w:t> </w:t>
      </w:r>
      <w:r>
        <w:rPr>
          <w:sz w:val="24"/>
        </w:rPr>
        <w:t>Chintamani</w:t>
      </w:r>
      <w:r>
        <w:rPr>
          <w:spacing w:val="40"/>
          <w:sz w:val="24"/>
        </w:rPr>
        <w:t> </w:t>
      </w:r>
      <w:r>
        <w:rPr>
          <w:sz w:val="24"/>
        </w:rPr>
        <w:t>Singh,</w:t>
      </w:r>
      <w:r>
        <w:rPr>
          <w:spacing w:val="40"/>
          <w:sz w:val="24"/>
        </w:rPr>
        <w:t> </w:t>
      </w:r>
      <w:r>
        <w:rPr>
          <w:sz w:val="24"/>
        </w:rPr>
        <w:t>Dean,</w:t>
      </w:r>
      <w:r>
        <w:rPr>
          <w:spacing w:val="40"/>
          <w:sz w:val="24"/>
        </w:rPr>
        <w:t> </w:t>
      </w:r>
      <w:r>
        <w:rPr>
          <w:sz w:val="24"/>
        </w:rPr>
        <w:t>Veterinary</w:t>
      </w:r>
      <w:r>
        <w:rPr>
          <w:spacing w:val="40"/>
          <w:sz w:val="24"/>
        </w:rPr>
        <w:t> </w:t>
      </w:r>
      <w:r>
        <w:rPr>
          <w:sz w:val="24"/>
        </w:rPr>
        <w:t>College,</w:t>
      </w:r>
      <w:r>
        <w:rPr>
          <w:spacing w:val="40"/>
          <w:sz w:val="24"/>
        </w:rPr>
        <w:t> </w:t>
      </w:r>
      <w:r>
        <w:rPr>
          <w:sz w:val="24"/>
        </w:rPr>
        <w:t>Punjab</w:t>
      </w:r>
      <w:r>
        <w:rPr>
          <w:spacing w:val="40"/>
          <w:sz w:val="24"/>
        </w:rPr>
        <w:t> </w:t>
      </w:r>
      <w:r>
        <w:rPr>
          <w:sz w:val="24"/>
        </w:rPr>
        <w:t>Agricultural</w:t>
      </w:r>
      <w:r>
        <w:rPr>
          <w:spacing w:val="40"/>
          <w:sz w:val="24"/>
        </w:rPr>
        <w:t> </w:t>
      </w:r>
      <w:r>
        <w:rPr>
          <w:sz w:val="24"/>
        </w:rPr>
        <w:t>University, </w:t>
      </w:r>
      <w:r>
        <w:rPr>
          <w:spacing w:val="-2"/>
          <w:sz w:val="24"/>
        </w:rPr>
        <w:t>Hissar.</w:t>
      </w:r>
    </w:p>
    <w:p>
      <w:pPr>
        <w:pStyle w:val="BodyText"/>
        <w:spacing w:before="3"/>
      </w:pPr>
    </w:p>
    <w:p>
      <w:pPr>
        <w:pStyle w:val="ListParagraph"/>
        <w:numPr>
          <w:ilvl w:val="0"/>
          <w:numId w:val="152"/>
        </w:numPr>
        <w:tabs>
          <w:tab w:pos="407" w:val="left" w:leader="none"/>
        </w:tabs>
        <w:spacing w:line="240" w:lineRule="auto" w:before="1" w:after="0"/>
        <w:ind w:left="160" w:right="497" w:firstLine="0"/>
        <w:jc w:val="left"/>
        <w:rPr>
          <w:sz w:val="24"/>
        </w:rPr>
      </w:pPr>
      <w:r>
        <w:rPr>
          <w:sz w:val="24"/>
        </w:rPr>
        <w:t>Dr. R. W. Cummings, Field Director, Rockefeller Foundation Programme in India, 17, Kautilya Marg, Chanakyapuri, New Delhi-21.</w:t>
      </w:r>
    </w:p>
    <w:p>
      <w:pPr>
        <w:spacing w:after="0" w:line="240" w:lineRule="auto"/>
        <w:jc w:val="left"/>
        <w:rPr>
          <w:sz w:val="24"/>
        </w:rPr>
        <w:sectPr>
          <w:pgSz w:w="12240" w:h="15840"/>
          <w:pgMar w:header="0" w:footer="743" w:top="1360" w:bottom="940" w:left="1640" w:right="1300"/>
        </w:sectPr>
      </w:pPr>
    </w:p>
    <w:p>
      <w:pPr>
        <w:pStyle w:val="ListParagraph"/>
        <w:numPr>
          <w:ilvl w:val="0"/>
          <w:numId w:val="152"/>
        </w:numPr>
        <w:tabs>
          <w:tab w:pos="401" w:val="left" w:leader="none"/>
        </w:tabs>
        <w:spacing w:line="240" w:lineRule="auto" w:before="76" w:after="0"/>
        <w:ind w:left="160" w:right="495" w:firstLine="0"/>
        <w:jc w:val="left"/>
        <w:rPr>
          <w:sz w:val="24"/>
        </w:rPr>
      </w:pPr>
      <w:r>
        <w:rPr>
          <w:sz w:val="24"/>
        </w:rPr>
        <w:t>Prof.</w:t>
      </w:r>
      <w:r>
        <w:rPr>
          <w:spacing w:val="-2"/>
          <w:sz w:val="24"/>
        </w:rPr>
        <w:t> </w:t>
      </w:r>
      <w:r>
        <w:rPr>
          <w:sz w:val="24"/>
        </w:rPr>
        <w:t>V.</w:t>
      </w:r>
      <w:r>
        <w:rPr>
          <w:spacing w:val="-2"/>
          <w:sz w:val="24"/>
        </w:rPr>
        <w:t> </w:t>
      </w:r>
      <w:r>
        <w:rPr>
          <w:sz w:val="24"/>
        </w:rPr>
        <w:t>M.</w:t>
      </w:r>
      <w:r>
        <w:rPr>
          <w:spacing w:val="-2"/>
          <w:sz w:val="24"/>
        </w:rPr>
        <w:t> </w:t>
      </w:r>
      <w:r>
        <w:rPr>
          <w:sz w:val="24"/>
        </w:rPr>
        <w:t>Dandekar,</w:t>
      </w:r>
      <w:r>
        <w:rPr>
          <w:spacing w:val="-2"/>
          <w:sz w:val="24"/>
        </w:rPr>
        <w:t> </w:t>
      </w:r>
      <w:r>
        <w:rPr>
          <w:sz w:val="24"/>
        </w:rPr>
        <w:t>Centre</w:t>
      </w:r>
      <w:r>
        <w:rPr>
          <w:spacing w:val="-2"/>
          <w:sz w:val="24"/>
        </w:rPr>
        <w:t> </w:t>
      </w:r>
      <w:r>
        <w:rPr>
          <w:sz w:val="24"/>
        </w:rPr>
        <w:t>for</w:t>
      </w:r>
      <w:r>
        <w:rPr>
          <w:spacing w:val="-2"/>
          <w:sz w:val="24"/>
        </w:rPr>
        <w:t> </w:t>
      </w:r>
      <w:r>
        <w:rPr>
          <w:sz w:val="24"/>
        </w:rPr>
        <w:t>Advanced</w:t>
      </w:r>
      <w:r>
        <w:rPr>
          <w:spacing w:val="-2"/>
          <w:sz w:val="24"/>
        </w:rPr>
        <w:t> </w:t>
      </w:r>
      <w:r>
        <w:rPr>
          <w:sz w:val="24"/>
        </w:rPr>
        <w:t>Study</w:t>
      </w:r>
      <w:r>
        <w:rPr>
          <w:spacing w:val="-2"/>
          <w:sz w:val="24"/>
        </w:rPr>
        <w:t> </w:t>
      </w:r>
      <w:r>
        <w:rPr>
          <w:sz w:val="24"/>
        </w:rPr>
        <w:t>in</w:t>
      </w:r>
      <w:r>
        <w:rPr>
          <w:spacing w:val="-2"/>
          <w:sz w:val="24"/>
        </w:rPr>
        <w:t> </w:t>
      </w:r>
      <w:r>
        <w:rPr>
          <w:sz w:val="24"/>
        </w:rPr>
        <w:t>Agricultural</w:t>
      </w:r>
      <w:r>
        <w:rPr>
          <w:spacing w:val="-2"/>
          <w:sz w:val="24"/>
        </w:rPr>
        <w:t> </w:t>
      </w:r>
      <w:r>
        <w:rPr>
          <w:sz w:val="24"/>
        </w:rPr>
        <w:t>Economics,</w:t>
      </w:r>
      <w:r>
        <w:rPr>
          <w:spacing w:val="-2"/>
          <w:sz w:val="24"/>
        </w:rPr>
        <w:t> </w:t>
      </w:r>
      <w:r>
        <w:rPr>
          <w:sz w:val="24"/>
        </w:rPr>
        <w:t>Gokhale Institute of Politics and Economics, Poona.</w:t>
      </w:r>
    </w:p>
    <w:p>
      <w:pPr>
        <w:pStyle w:val="BodyText"/>
        <w:spacing w:before="4"/>
      </w:pPr>
    </w:p>
    <w:p>
      <w:pPr>
        <w:pStyle w:val="ListParagraph"/>
        <w:numPr>
          <w:ilvl w:val="0"/>
          <w:numId w:val="152"/>
        </w:numPr>
        <w:tabs>
          <w:tab w:pos="491" w:val="left" w:leader="none"/>
        </w:tabs>
        <w:spacing w:line="240" w:lineRule="auto" w:before="0" w:after="0"/>
        <w:ind w:left="160" w:right="497" w:firstLine="0"/>
        <w:jc w:val="left"/>
        <w:rPr>
          <w:sz w:val="24"/>
        </w:rPr>
      </w:pPr>
      <w:r>
        <w:rPr>
          <w:sz w:val="24"/>
        </w:rPr>
        <w:t>Dr.</w:t>
      </w:r>
      <w:r>
        <w:rPr>
          <w:spacing w:val="80"/>
          <w:sz w:val="24"/>
        </w:rPr>
        <w:t> </w:t>
      </w:r>
      <w:r>
        <w:rPr>
          <w:sz w:val="24"/>
        </w:rPr>
        <w:t>K.</w:t>
      </w:r>
      <w:r>
        <w:rPr>
          <w:spacing w:val="80"/>
          <w:sz w:val="24"/>
        </w:rPr>
        <w:t> </w:t>
      </w:r>
      <w:r>
        <w:rPr>
          <w:sz w:val="24"/>
        </w:rPr>
        <w:t>C.</w:t>
      </w:r>
      <w:r>
        <w:rPr>
          <w:spacing w:val="80"/>
          <w:sz w:val="24"/>
        </w:rPr>
        <w:t> </w:t>
      </w:r>
      <w:r>
        <w:rPr>
          <w:sz w:val="24"/>
        </w:rPr>
        <w:t>Kanungo,</w:t>
      </w:r>
      <w:r>
        <w:rPr>
          <w:spacing w:val="80"/>
          <w:sz w:val="24"/>
        </w:rPr>
        <w:t> </w:t>
      </w:r>
      <w:r>
        <w:rPr>
          <w:sz w:val="24"/>
        </w:rPr>
        <w:t>Head</w:t>
      </w:r>
      <w:r>
        <w:rPr>
          <w:spacing w:val="80"/>
          <w:sz w:val="24"/>
        </w:rPr>
        <w:t> </w:t>
      </w:r>
      <w:r>
        <w:rPr>
          <w:sz w:val="24"/>
        </w:rPr>
        <w:t>of</w:t>
      </w:r>
      <w:r>
        <w:rPr>
          <w:spacing w:val="80"/>
          <w:sz w:val="24"/>
        </w:rPr>
        <w:t> </w:t>
      </w:r>
      <w:r>
        <w:rPr>
          <w:sz w:val="24"/>
        </w:rPr>
        <w:t>the</w:t>
      </w:r>
      <w:r>
        <w:rPr>
          <w:spacing w:val="80"/>
          <w:sz w:val="24"/>
        </w:rPr>
        <w:t> </w:t>
      </w:r>
      <w:r>
        <w:rPr>
          <w:sz w:val="24"/>
        </w:rPr>
        <w:t>Division</w:t>
      </w:r>
      <w:r>
        <w:rPr>
          <w:spacing w:val="80"/>
          <w:sz w:val="24"/>
        </w:rPr>
        <w:t> </w:t>
      </w:r>
      <w:r>
        <w:rPr>
          <w:sz w:val="24"/>
        </w:rPr>
        <w:t>of</w:t>
      </w:r>
      <w:r>
        <w:rPr>
          <w:spacing w:val="80"/>
          <w:sz w:val="24"/>
        </w:rPr>
        <w:t> </w:t>
      </w:r>
      <w:r>
        <w:rPr>
          <w:sz w:val="24"/>
        </w:rPr>
        <w:t>Agricultural</w:t>
      </w:r>
      <w:r>
        <w:rPr>
          <w:spacing w:val="80"/>
          <w:sz w:val="24"/>
        </w:rPr>
        <w:t> </w:t>
      </w:r>
      <w:r>
        <w:rPr>
          <w:sz w:val="24"/>
        </w:rPr>
        <w:t>Economics,</w:t>
      </w:r>
      <w:r>
        <w:rPr>
          <w:spacing w:val="80"/>
          <w:sz w:val="24"/>
        </w:rPr>
        <w:t> </w:t>
      </w:r>
      <w:r>
        <w:rPr>
          <w:sz w:val="24"/>
        </w:rPr>
        <w:t>Indian Agricultural Research Institute, New Delhi.</w:t>
      </w:r>
    </w:p>
    <w:p>
      <w:pPr>
        <w:pStyle w:val="BodyText"/>
        <w:spacing w:before="5"/>
      </w:pPr>
    </w:p>
    <w:p>
      <w:pPr>
        <w:pStyle w:val="ListParagraph"/>
        <w:numPr>
          <w:ilvl w:val="0"/>
          <w:numId w:val="152"/>
        </w:numPr>
        <w:tabs>
          <w:tab w:pos="416" w:val="left" w:leader="none"/>
        </w:tabs>
        <w:spacing w:line="240" w:lineRule="auto" w:before="0" w:after="0"/>
        <w:ind w:left="160" w:right="495" w:firstLine="0"/>
        <w:jc w:val="left"/>
        <w:rPr>
          <w:sz w:val="24"/>
        </w:rPr>
      </w:pPr>
      <w:r>
        <w:rPr>
          <w:sz w:val="24"/>
        </w:rPr>
        <w:t>Dr. A. B. Joshi, Dean and Deputy Director (Education), Indian Agricultural Research Institute, New Delhi.</w:t>
      </w:r>
    </w:p>
    <w:p>
      <w:pPr>
        <w:pStyle w:val="BodyText"/>
        <w:spacing w:before="3"/>
      </w:pPr>
    </w:p>
    <w:p>
      <w:pPr>
        <w:pStyle w:val="ListParagraph"/>
        <w:numPr>
          <w:ilvl w:val="0"/>
          <w:numId w:val="152"/>
        </w:numPr>
        <w:tabs>
          <w:tab w:pos="434" w:val="left" w:leader="none"/>
        </w:tabs>
        <w:spacing w:line="240" w:lineRule="auto" w:before="1" w:after="0"/>
        <w:ind w:left="434" w:right="0" w:hanging="274"/>
        <w:jc w:val="left"/>
        <w:rPr>
          <w:sz w:val="24"/>
        </w:rPr>
      </w:pPr>
      <w:r>
        <w:rPr>
          <w:sz w:val="24"/>
        </w:rPr>
        <w:t>Managing</w:t>
      </w:r>
      <w:r>
        <w:rPr>
          <w:spacing w:val="33"/>
          <w:sz w:val="24"/>
        </w:rPr>
        <w:t> </w:t>
      </w:r>
      <w:r>
        <w:rPr>
          <w:sz w:val="24"/>
        </w:rPr>
        <w:t>Director,</w:t>
      </w:r>
      <w:r>
        <w:rPr>
          <w:spacing w:val="34"/>
          <w:sz w:val="24"/>
        </w:rPr>
        <w:t> </w:t>
      </w:r>
      <w:r>
        <w:rPr>
          <w:sz w:val="24"/>
        </w:rPr>
        <w:t>Banana</w:t>
      </w:r>
      <w:r>
        <w:rPr>
          <w:spacing w:val="34"/>
          <w:sz w:val="24"/>
        </w:rPr>
        <w:t> </w:t>
      </w:r>
      <w:r>
        <w:rPr>
          <w:sz w:val="24"/>
        </w:rPr>
        <w:t>and</w:t>
      </w:r>
      <w:r>
        <w:rPr>
          <w:spacing w:val="34"/>
          <w:sz w:val="24"/>
        </w:rPr>
        <w:t> </w:t>
      </w:r>
      <w:r>
        <w:rPr>
          <w:sz w:val="24"/>
        </w:rPr>
        <w:t>Fruit</w:t>
      </w:r>
      <w:r>
        <w:rPr>
          <w:spacing w:val="34"/>
          <w:sz w:val="24"/>
        </w:rPr>
        <w:t> </w:t>
      </w:r>
      <w:r>
        <w:rPr>
          <w:sz w:val="24"/>
        </w:rPr>
        <w:t>Development</w:t>
      </w:r>
      <w:r>
        <w:rPr>
          <w:spacing w:val="34"/>
          <w:sz w:val="24"/>
        </w:rPr>
        <w:t> </w:t>
      </w:r>
      <w:r>
        <w:rPr>
          <w:sz w:val="24"/>
        </w:rPr>
        <w:t>Corporation,</w:t>
      </w:r>
      <w:r>
        <w:rPr>
          <w:spacing w:val="35"/>
          <w:sz w:val="24"/>
        </w:rPr>
        <w:t> </w:t>
      </w:r>
      <w:r>
        <w:rPr>
          <w:sz w:val="24"/>
        </w:rPr>
        <w:t>7,</w:t>
      </w:r>
      <w:r>
        <w:rPr>
          <w:spacing w:val="35"/>
          <w:sz w:val="24"/>
        </w:rPr>
        <w:t> </w:t>
      </w:r>
      <w:r>
        <w:rPr>
          <w:sz w:val="24"/>
        </w:rPr>
        <w:t>1st</w:t>
      </w:r>
      <w:r>
        <w:rPr>
          <w:spacing w:val="35"/>
          <w:sz w:val="24"/>
        </w:rPr>
        <w:t> </w:t>
      </w:r>
      <w:r>
        <w:rPr>
          <w:sz w:val="24"/>
        </w:rPr>
        <w:t>Main</w:t>
      </w:r>
      <w:r>
        <w:rPr>
          <w:spacing w:val="35"/>
          <w:sz w:val="24"/>
        </w:rPr>
        <w:t> </w:t>
      </w:r>
      <w:r>
        <w:rPr>
          <w:spacing w:val="-2"/>
          <w:sz w:val="24"/>
        </w:rPr>
        <w:t>Road,</w:t>
      </w:r>
    </w:p>
    <w:p>
      <w:pPr>
        <w:pStyle w:val="BodyText"/>
        <w:spacing w:before="1"/>
        <w:ind w:left="160"/>
      </w:pPr>
      <w:r>
        <w:rPr/>
        <w:t>C.I.T. Colony, </w:t>
      </w:r>
      <w:r>
        <w:rPr>
          <w:spacing w:val="-2"/>
        </w:rPr>
        <w:t>Madras.</w:t>
      </w:r>
    </w:p>
    <w:p>
      <w:pPr>
        <w:pStyle w:val="BodyText"/>
        <w:spacing w:before="3"/>
      </w:pPr>
    </w:p>
    <w:p>
      <w:pPr>
        <w:pStyle w:val="ListParagraph"/>
        <w:numPr>
          <w:ilvl w:val="0"/>
          <w:numId w:val="152"/>
        </w:numPr>
        <w:tabs>
          <w:tab w:pos="520" w:val="left" w:leader="none"/>
        </w:tabs>
        <w:spacing w:line="240" w:lineRule="auto" w:before="1" w:after="0"/>
        <w:ind w:left="520" w:right="0" w:hanging="360"/>
        <w:jc w:val="left"/>
        <w:rPr>
          <w:sz w:val="24"/>
        </w:rPr>
      </w:pPr>
      <w:r>
        <w:rPr>
          <w:sz w:val="24"/>
        </w:rPr>
        <w:t>Mr.</w:t>
      </w:r>
      <w:r>
        <w:rPr>
          <w:spacing w:val="-6"/>
          <w:sz w:val="24"/>
        </w:rPr>
        <w:t> </w:t>
      </w:r>
      <w:r>
        <w:rPr>
          <w:sz w:val="24"/>
        </w:rPr>
        <w:t>J.</w:t>
      </w:r>
      <w:r>
        <w:rPr>
          <w:spacing w:val="-3"/>
          <w:sz w:val="24"/>
        </w:rPr>
        <w:t> </w:t>
      </w:r>
      <w:r>
        <w:rPr>
          <w:sz w:val="24"/>
        </w:rPr>
        <w:t>F.</w:t>
      </w:r>
      <w:r>
        <w:rPr>
          <w:spacing w:val="-3"/>
          <w:sz w:val="24"/>
        </w:rPr>
        <w:t> </w:t>
      </w:r>
      <w:r>
        <w:rPr>
          <w:sz w:val="24"/>
        </w:rPr>
        <w:t>McDougall,</w:t>
      </w:r>
      <w:r>
        <w:rPr>
          <w:spacing w:val="-3"/>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52"/>
        </w:numPr>
        <w:tabs>
          <w:tab w:pos="548" w:val="left" w:leader="none"/>
        </w:tabs>
        <w:spacing w:line="240" w:lineRule="auto" w:before="0" w:after="0"/>
        <w:ind w:left="160" w:right="498" w:firstLine="0"/>
        <w:jc w:val="left"/>
        <w:rPr>
          <w:sz w:val="24"/>
        </w:rPr>
      </w:pPr>
      <w:r>
        <w:rPr>
          <w:sz w:val="24"/>
        </w:rPr>
        <w:t>Dr. S. N. Mehrotra Deputy Secretary, Education Department, Government of </w:t>
      </w:r>
      <w:r>
        <w:rPr>
          <w:sz w:val="24"/>
        </w:rPr>
        <w:t>Uttar</w:t>
      </w:r>
      <w:r>
        <w:rPr>
          <w:spacing w:val="80"/>
          <w:sz w:val="24"/>
        </w:rPr>
        <w:t> </w:t>
      </w:r>
      <w:r>
        <w:rPr>
          <w:sz w:val="24"/>
        </w:rPr>
        <w:t>Pradesh, Lucknow.</w:t>
      </w:r>
    </w:p>
    <w:p>
      <w:pPr>
        <w:pStyle w:val="BodyText"/>
        <w:spacing w:before="5"/>
      </w:pPr>
    </w:p>
    <w:p>
      <w:pPr>
        <w:pStyle w:val="ListParagraph"/>
        <w:numPr>
          <w:ilvl w:val="0"/>
          <w:numId w:val="152"/>
        </w:numPr>
        <w:tabs>
          <w:tab w:pos="631" w:val="left" w:leader="none"/>
        </w:tabs>
        <w:spacing w:line="240" w:lineRule="auto" w:before="0" w:after="0"/>
        <w:ind w:left="160" w:right="496" w:firstLine="0"/>
        <w:jc w:val="left"/>
        <w:rPr>
          <w:sz w:val="24"/>
        </w:rPr>
      </w:pPr>
      <w:r>
        <w:rPr>
          <w:sz w:val="24"/>
        </w:rPr>
        <w:t>Dr.</w:t>
      </w:r>
      <w:r>
        <w:rPr>
          <w:spacing w:val="80"/>
          <w:sz w:val="24"/>
        </w:rPr>
        <w:t> </w:t>
      </w:r>
      <w:r>
        <w:rPr>
          <w:sz w:val="24"/>
        </w:rPr>
        <w:t>S.</w:t>
      </w:r>
      <w:r>
        <w:rPr>
          <w:spacing w:val="80"/>
          <w:sz w:val="24"/>
        </w:rPr>
        <w:t> </w:t>
      </w:r>
      <w:r>
        <w:rPr>
          <w:sz w:val="24"/>
        </w:rPr>
        <w:t>K.</w:t>
      </w:r>
      <w:r>
        <w:rPr>
          <w:spacing w:val="80"/>
          <w:sz w:val="24"/>
        </w:rPr>
        <w:t> </w:t>
      </w:r>
      <w:r>
        <w:rPr>
          <w:sz w:val="24"/>
        </w:rPr>
        <w:t>Mukherji,</w:t>
      </w:r>
      <w:r>
        <w:rPr>
          <w:spacing w:val="80"/>
          <w:sz w:val="24"/>
        </w:rPr>
        <w:t> </w:t>
      </w:r>
      <w:r>
        <w:rPr>
          <w:sz w:val="24"/>
        </w:rPr>
        <w:t>Deputy</w:t>
      </w:r>
      <w:r>
        <w:rPr>
          <w:spacing w:val="80"/>
          <w:sz w:val="24"/>
        </w:rPr>
        <w:t> </w:t>
      </w:r>
      <w:r>
        <w:rPr>
          <w:sz w:val="24"/>
        </w:rPr>
        <w:t>Agricultural</w:t>
      </w:r>
      <w:r>
        <w:rPr>
          <w:spacing w:val="80"/>
          <w:sz w:val="24"/>
        </w:rPr>
        <w:t> </w:t>
      </w:r>
      <w:r>
        <w:rPr>
          <w:sz w:val="24"/>
        </w:rPr>
        <w:t>Commissioner,</w:t>
      </w:r>
      <w:r>
        <w:rPr>
          <w:spacing w:val="80"/>
          <w:sz w:val="24"/>
        </w:rPr>
        <w:t> </w:t>
      </w:r>
      <w:r>
        <w:rPr>
          <w:sz w:val="24"/>
        </w:rPr>
        <w:t>Indian</w:t>
      </w:r>
      <w:r>
        <w:rPr>
          <w:spacing w:val="80"/>
          <w:sz w:val="24"/>
        </w:rPr>
        <w:t> </w:t>
      </w:r>
      <w:r>
        <w:rPr>
          <w:sz w:val="24"/>
        </w:rPr>
        <w:t>Council</w:t>
      </w:r>
      <w:r>
        <w:rPr>
          <w:spacing w:val="80"/>
          <w:sz w:val="24"/>
        </w:rPr>
        <w:t> </w:t>
      </w:r>
      <w:r>
        <w:rPr>
          <w:sz w:val="24"/>
        </w:rPr>
        <w:t>of</w:t>
      </w:r>
      <w:r>
        <w:rPr>
          <w:spacing w:val="40"/>
          <w:sz w:val="24"/>
        </w:rPr>
        <w:t> </w:t>
      </w:r>
      <w:r>
        <w:rPr>
          <w:sz w:val="24"/>
        </w:rPr>
        <w:t>Agricultural Research, Krishi Bhavan, New Delhi.</w:t>
      </w:r>
    </w:p>
    <w:p>
      <w:pPr>
        <w:pStyle w:val="BodyText"/>
        <w:spacing w:before="5"/>
      </w:pPr>
    </w:p>
    <w:p>
      <w:pPr>
        <w:pStyle w:val="ListParagraph"/>
        <w:numPr>
          <w:ilvl w:val="0"/>
          <w:numId w:val="152"/>
        </w:numPr>
        <w:tabs>
          <w:tab w:pos="517" w:val="left" w:leader="none"/>
        </w:tabs>
        <w:spacing w:line="240" w:lineRule="auto" w:before="0" w:after="0"/>
        <w:ind w:left="517" w:right="0" w:hanging="357"/>
        <w:jc w:val="left"/>
        <w:rPr>
          <w:sz w:val="24"/>
        </w:rPr>
      </w:pPr>
      <w:r>
        <w:rPr>
          <w:sz w:val="24"/>
        </w:rPr>
        <w:t>Shri</w:t>
      </w:r>
      <w:r>
        <w:rPr>
          <w:spacing w:val="-9"/>
          <w:sz w:val="24"/>
        </w:rPr>
        <w:t> </w:t>
      </w:r>
      <w:r>
        <w:rPr>
          <w:sz w:val="24"/>
        </w:rPr>
        <w:t>J.</w:t>
      </w:r>
      <w:r>
        <w:rPr>
          <w:spacing w:val="-7"/>
          <w:sz w:val="24"/>
        </w:rPr>
        <w:t> </w:t>
      </w:r>
      <w:r>
        <w:rPr>
          <w:sz w:val="24"/>
        </w:rPr>
        <w:t>P.</w:t>
      </w:r>
      <w:r>
        <w:rPr>
          <w:spacing w:val="-6"/>
          <w:sz w:val="24"/>
        </w:rPr>
        <w:t> </w:t>
      </w:r>
      <w:r>
        <w:rPr>
          <w:sz w:val="24"/>
        </w:rPr>
        <w:t>Naik,</w:t>
      </w:r>
      <w:r>
        <w:rPr>
          <w:spacing w:val="-7"/>
          <w:sz w:val="24"/>
        </w:rPr>
        <w:t> </w:t>
      </w:r>
      <w:r>
        <w:rPr>
          <w:sz w:val="24"/>
        </w:rPr>
        <w:t>Member-Secretary,</w:t>
      </w:r>
      <w:r>
        <w:rPr>
          <w:spacing w:val="-7"/>
          <w:sz w:val="24"/>
        </w:rPr>
        <w:t> </w:t>
      </w:r>
      <w:r>
        <w:rPr>
          <w:sz w:val="24"/>
        </w:rPr>
        <w:t>Education</w:t>
      </w:r>
      <w:r>
        <w:rPr>
          <w:spacing w:val="-6"/>
          <w:sz w:val="24"/>
        </w:rPr>
        <w:t> </w:t>
      </w:r>
      <w:r>
        <w:rPr>
          <w:sz w:val="24"/>
        </w:rPr>
        <w:t>Commission,</w:t>
      </w:r>
      <w:r>
        <w:rPr>
          <w:spacing w:val="-7"/>
          <w:sz w:val="24"/>
        </w:rPr>
        <w:t> </w:t>
      </w:r>
      <w:r>
        <w:rPr>
          <w:sz w:val="24"/>
        </w:rPr>
        <w:t>New</w:t>
      </w:r>
      <w:r>
        <w:rPr>
          <w:spacing w:val="-6"/>
          <w:sz w:val="24"/>
        </w:rPr>
        <w:t> </w:t>
      </w:r>
      <w:r>
        <w:rPr>
          <w:spacing w:val="-2"/>
          <w:sz w:val="24"/>
        </w:rPr>
        <w:t>Delhi.</w:t>
      </w:r>
    </w:p>
    <w:p>
      <w:pPr>
        <w:pStyle w:val="BodyText"/>
        <w:spacing w:before="2"/>
      </w:pPr>
    </w:p>
    <w:p>
      <w:pPr>
        <w:pStyle w:val="ListParagraph"/>
        <w:numPr>
          <w:ilvl w:val="0"/>
          <w:numId w:val="152"/>
        </w:numPr>
        <w:tabs>
          <w:tab w:pos="523" w:val="left" w:leader="none"/>
        </w:tabs>
        <w:spacing w:line="240" w:lineRule="auto" w:before="0" w:after="0"/>
        <w:ind w:left="160" w:right="499" w:firstLine="0"/>
        <w:jc w:val="left"/>
        <w:rPr>
          <w:sz w:val="24"/>
        </w:rPr>
      </w:pPr>
      <w:r>
        <w:rPr>
          <w:sz w:val="24"/>
        </w:rPr>
        <w:t>Dr. K. C. Naik, Vice-Chancellor, University of Agricultural Science,</w:t>
      </w:r>
      <w:r>
        <w:rPr>
          <w:spacing w:val="-1"/>
          <w:sz w:val="24"/>
        </w:rPr>
        <w:t> </w:t>
      </w:r>
      <w:r>
        <w:rPr>
          <w:sz w:val="24"/>
        </w:rPr>
        <w:t>9-XI</w:t>
      </w:r>
      <w:r>
        <w:rPr>
          <w:spacing w:val="-1"/>
          <w:sz w:val="24"/>
        </w:rPr>
        <w:t> </w:t>
      </w:r>
      <w:r>
        <w:rPr>
          <w:sz w:val="24"/>
        </w:rPr>
        <w:t>Main,</w:t>
      </w:r>
      <w:r>
        <w:rPr>
          <w:spacing w:val="-1"/>
          <w:sz w:val="24"/>
        </w:rPr>
        <w:t> </w:t>
      </w:r>
      <w:r>
        <w:rPr>
          <w:sz w:val="24"/>
        </w:rPr>
        <w:t>16th Cross, Malleswaram, Bangalore-3.</w:t>
      </w:r>
    </w:p>
    <w:p>
      <w:pPr>
        <w:pStyle w:val="BodyText"/>
        <w:spacing w:before="5"/>
      </w:pPr>
    </w:p>
    <w:p>
      <w:pPr>
        <w:pStyle w:val="ListParagraph"/>
        <w:numPr>
          <w:ilvl w:val="0"/>
          <w:numId w:val="152"/>
        </w:numPr>
        <w:tabs>
          <w:tab w:pos="545" w:val="left" w:leader="none"/>
        </w:tabs>
        <w:spacing w:line="240" w:lineRule="auto" w:before="0" w:after="0"/>
        <w:ind w:left="160" w:right="496" w:firstLine="0"/>
        <w:jc w:val="left"/>
        <w:rPr>
          <w:sz w:val="24"/>
        </w:rPr>
      </w:pPr>
      <w:r>
        <w:rPr>
          <w:sz w:val="24"/>
        </w:rPr>
        <w:t>Dr. N. K. Panikar, Director, Indian Programme, Indian Ocean Expedition, C.S.I.R.,</w:t>
      </w:r>
      <w:r>
        <w:rPr>
          <w:spacing w:val="40"/>
          <w:sz w:val="24"/>
        </w:rPr>
        <w:t> </w:t>
      </w:r>
      <w:r>
        <w:rPr>
          <w:sz w:val="24"/>
        </w:rPr>
        <w:t>New Delhi.</w:t>
      </w:r>
    </w:p>
    <w:p>
      <w:pPr>
        <w:pStyle w:val="BodyText"/>
        <w:spacing w:before="5"/>
      </w:pPr>
    </w:p>
    <w:p>
      <w:pPr>
        <w:pStyle w:val="ListParagraph"/>
        <w:numPr>
          <w:ilvl w:val="0"/>
          <w:numId w:val="152"/>
        </w:numPr>
        <w:tabs>
          <w:tab w:pos="520" w:val="left" w:leader="none"/>
        </w:tabs>
        <w:spacing w:line="240" w:lineRule="auto" w:before="0" w:after="0"/>
        <w:ind w:left="520" w:right="0" w:hanging="360"/>
        <w:jc w:val="left"/>
        <w:rPr>
          <w:sz w:val="24"/>
        </w:rPr>
      </w:pPr>
      <w:r>
        <w:rPr>
          <w:sz w:val="24"/>
        </w:rPr>
        <w:t>Shri C. S. Ranganathan, Fertilizer</w:t>
      </w:r>
      <w:r>
        <w:rPr>
          <w:spacing w:val="-1"/>
          <w:sz w:val="24"/>
        </w:rPr>
        <w:t> </w:t>
      </w:r>
      <w:r>
        <w:rPr>
          <w:sz w:val="24"/>
        </w:rPr>
        <w:t>Association of India, New </w:t>
      </w:r>
      <w:r>
        <w:rPr>
          <w:spacing w:val="-2"/>
          <w:sz w:val="24"/>
        </w:rPr>
        <w:t>Delhi.</w:t>
      </w:r>
    </w:p>
    <w:p>
      <w:pPr>
        <w:pStyle w:val="BodyText"/>
        <w:spacing w:before="3"/>
      </w:pPr>
    </w:p>
    <w:p>
      <w:pPr>
        <w:pStyle w:val="ListParagraph"/>
        <w:numPr>
          <w:ilvl w:val="0"/>
          <w:numId w:val="152"/>
        </w:numPr>
        <w:tabs>
          <w:tab w:pos="520" w:val="left" w:leader="none"/>
        </w:tabs>
        <w:spacing w:line="240" w:lineRule="auto" w:before="1" w:after="0"/>
        <w:ind w:left="520" w:right="0" w:hanging="360"/>
        <w:jc w:val="left"/>
        <w:rPr>
          <w:sz w:val="24"/>
        </w:rPr>
      </w:pPr>
      <w:r>
        <w:rPr>
          <w:sz w:val="24"/>
        </w:rPr>
        <w:t>Dr.</w:t>
      </w:r>
      <w:r>
        <w:rPr>
          <w:spacing w:val="-5"/>
          <w:sz w:val="24"/>
        </w:rPr>
        <w:t> </w:t>
      </w:r>
      <w:r>
        <w:rPr>
          <w:sz w:val="24"/>
        </w:rPr>
        <w:t>S.</w:t>
      </w:r>
      <w:r>
        <w:rPr>
          <w:spacing w:val="-3"/>
          <w:sz w:val="24"/>
        </w:rPr>
        <w:t> </w:t>
      </w:r>
      <w:r>
        <w:rPr>
          <w:sz w:val="24"/>
        </w:rPr>
        <w:t>C.</w:t>
      </w:r>
      <w:r>
        <w:rPr>
          <w:spacing w:val="-3"/>
          <w:sz w:val="24"/>
        </w:rPr>
        <w:t> </w:t>
      </w:r>
      <w:r>
        <w:rPr>
          <w:sz w:val="24"/>
        </w:rPr>
        <w:t>Verma,</w:t>
      </w:r>
      <w:r>
        <w:rPr>
          <w:spacing w:val="-2"/>
          <w:sz w:val="24"/>
        </w:rPr>
        <w:t> </w:t>
      </w:r>
      <w:r>
        <w:rPr>
          <w:sz w:val="24"/>
        </w:rPr>
        <w:t>Field</w:t>
      </w:r>
      <w:r>
        <w:rPr>
          <w:spacing w:val="-3"/>
          <w:sz w:val="24"/>
        </w:rPr>
        <w:t> </w:t>
      </w:r>
      <w:r>
        <w:rPr>
          <w:sz w:val="24"/>
        </w:rPr>
        <w:t>Adviser</w:t>
      </w:r>
      <w:r>
        <w:rPr>
          <w:spacing w:val="-3"/>
          <w:sz w:val="24"/>
        </w:rPr>
        <w:t> </w:t>
      </w:r>
      <w:r>
        <w:rPr>
          <w:sz w:val="24"/>
        </w:rPr>
        <w:t>(Agriculture),</w:t>
      </w:r>
      <w:r>
        <w:rPr>
          <w:spacing w:val="-3"/>
          <w:sz w:val="24"/>
        </w:rPr>
        <w:t> </w:t>
      </w:r>
      <w:r>
        <w:rPr>
          <w:sz w:val="24"/>
        </w:rPr>
        <w:t>N.C.E.R.T.,</w:t>
      </w:r>
      <w:r>
        <w:rPr>
          <w:spacing w:val="-4"/>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52"/>
        </w:numPr>
        <w:tabs>
          <w:tab w:pos="568" w:val="left" w:leader="none"/>
        </w:tabs>
        <w:spacing w:line="240" w:lineRule="auto" w:before="0" w:after="0"/>
        <w:ind w:left="160" w:right="498" w:firstLine="0"/>
        <w:jc w:val="left"/>
        <w:rPr>
          <w:sz w:val="24"/>
        </w:rPr>
      </w:pPr>
      <w:r>
        <w:rPr>
          <w:sz w:val="24"/>
        </w:rPr>
        <w:t>Shri</w:t>
      </w:r>
      <w:r>
        <w:rPr>
          <w:spacing w:val="40"/>
          <w:sz w:val="24"/>
        </w:rPr>
        <w:t> </w:t>
      </w:r>
      <w:r>
        <w:rPr>
          <w:sz w:val="24"/>
        </w:rPr>
        <w:t>S.</w:t>
      </w:r>
      <w:r>
        <w:rPr>
          <w:spacing w:val="40"/>
          <w:sz w:val="24"/>
        </w:rPr>
        <w:t> </w:t>
      </w:r>
      <w:r>
        <w:rPr>
          <w:sz w:val="24"/>
        </w:rPr>
        <w:t>Ramanujam,</w:t>
      </w:r>
      <w:r>
        <w:rPr>
          <w:spacing w:val="40"/>
          <w:sz w:val="24"/>
        </w:rPr>
        <w:t> </w:t>
      </w:r>
      <w:r>
        <w:rPr>
          <w:sz w:val="24"/>
        </w:rPr>
        <w:t>Assistant</w:t>
      </w:r>
      <w:r>
        <w:rPr>
          <w:spacing w:val="40"/>
          <w:sz w:val="24"/>
        </w:rPr>
        <w:t> </w:t>
      </w:r>
      <w:r>
        <w:rPr>
          <w:sz w:val="24"/>
        </w:rPr>
        <w:t>Educational</w:t>
      </w:r>
      <w:r>
        <w:rPr>
          <w:spacing w:val="40"/>
          <w:sz w:val="24"/>
        </w:rPr>
        <w:t> </w:t>
      </w:r>
      <w:r>
        <w:rPr>
          <w:sz w:val="24"/>
        </w:rPr>
        <w:t>Adviser,</w:t>
      </w:r>
      <w:r>
        <w:rPr>
          <w:spacing w:val="40"/>
          <w:sz w:val="24"/>
        </w:rPr>
        <w:t> </w:t>
      </w:r>
      <w:r>
        <w:rPr>
          <w:sz w:val="24"/>
        </w:rPr>
        <w:t>Education</w:t>
      </w:r>
      <w:r>
        <w:rPr>
          <w:spacing w:val="40"/>
          <w:sz w:val="24"/>
        </w:rPr>
        <w:t> </w:t>
      </w:r>
      <w:r>
        <w:rPr>
          <w:sz w:val="24"/>
        </w:rPr>
        <w:t>Commission,</w:t>
      </w:r>
      <w:r>
        <w:rPr>
          <w:spacing w:val="40"/>
          <w:sz w:val="24"/>
        </w:rPr>
        <w:t> </w:t>
      </w:r>
      <w:r>
        <w:rPr>
          <w:sz w:val="24"/>
        </w:rPr>
        <w:t>New Delhi. Secretary</w:t>
      </w:r>
    </w:p>
    <w:p>
      <w:pPr>
        <w:pStyle w:val="BodyText"/>
        <w:spacing w:before="6"/>
      </w:pPr>
    </w:p>
    <w:p>
      <w:pPr>
        <w:pStyle w:val="Heading2"/>
      </w:pPr>
      <w:r>
        <w:rPr/>
        <w:t>AIV.03. Task Force on</w:t>
      </w:r>
      <w:r>
        <w:rPr>
          <w:spacing w:val="-2"/>
        </w:rPr>
        <w:t> </w:t>
      </w:r>
      <w:r>
        <w:rPr/>
        <w:t>Educational </w:t>
      </w:r>
      <w:r>
        <w:rPr>
          <w:spacing w:val="-2"/>
        </w:rPr>
        <w:t>Administration</w:t>
      </w:r>
    </w:p>
    <w:p>
      <w:pPr>
        <w:pStyle w:val="BodyText"/>
        <w:spacing w:before="3"/>
        <w:rPr>
          <w:b/>
        </w:rPr>
      </w:pPr>
    </w:p>
    <w:p>
      <w:pPr>
        <w:pStyle w:val="ListParagraph"/>
        <w:numPr>
          <w:ilvl w:val="0"/>
          <w:numId w:val="153"/>
        </w:numPr>
        <w:tabs>
          <w:tab w:pos="511" w:val="left" w:leader="none"/>
        </w:tabs>
        <w:spacing w:line="240" w:lineRule="auto" w:before="0" w:after="0"/>
        <w:ind w:left="160" w:right="499" w:firstLine="0"/>
        <w:jc w:val="left"/>
        <w:rPr>
          <w:sz w:val="24"/>
        </w:rPr>
      </w:pPr>
      <w:r>
        <w:rPr>
          <w:sz w:val="24"/>
        </w:rPr>
        <w:t>Shri</w:t>
      </w:r>
      <w:r>
        <w:rPr>
          <w:spacing w:val="80"/>
          <w:sz w:val="24"/>
        </w:rPr>
        <w:t> </w:t>
      </w:r>
      <w:r>
        <w:rPr>
          <w:sz w:val="24"/>
        </w:rPr>
        <w:t>Prem</w:t>
      </w:r>
      <w:r>
        <w:rPr>
          <w:spacing w:val="80"/>
          <w:sz w:val="24"/>
        </w:rPr>
        <w:t> </w:t>
      </w:r>
      <w:r>
        <w:rPr>
          <w:sz w:val="24"/>
        </w:rPr>
        <w:t>Kirpal,</w:t>
      </w:r>
      <w:r>
        <w:rPr>
          <w:spacing w:val="80"/>
          <w:sz w:val="24"/>
        </w:rPr>
        <w:t> </w:t>
      </w:r>
      <w:r>
        <w:rPr>
          <w:sz w:val="24"/>
        </w:rPr>
        <w:t>Secretary,</w:t>
      </w:r>
      <w:r>
        <w:rPr>
          <w:spacing w:val="80"/>
          <w:sz w:val="24"/>
        </w:rPr>
        <w:t> </w:t>
      </w:r>
      <w:r>
        <w:rPr>
          <w:sz w:val="24"/>
        </w:rPr>
        <w:t>Ministry</w:t>
      </w:r>
      <w:r>
        <w:rPr>
          <w:spacing w:val="80"/>
          <w:sz w:val="24"/>
        </w:rPr>
        <w:t> </w:t>
      </w:r>
      <w:r>
        <w:rPr>
          <w:sz w:val="24"/>
        </w:rPr>
        <w:t>of</w:t>
      </w:r>
      <w:r>
        <w:rPr>
          <w:spacing w:val="80"/>
          <w:sz w:val="24"/>
        </w:rPr>
        <w:t> </w:t>
      </w:r>
      <w:r>
        <w:rPr>
          <w:sz w:val="24"/>
        </w:rPr>
        <w:t>Education</w:t>
      </w:r>
      <w:r>
        <w:rPr>
          <w:spacing w:val="80"/>
          <w:sz w:val="24"/>
        </w:rPr>
        <w:t> </w:t>
      </w:r>
      <w:r>
        <w:rPr>
          <w:sz w:val="24"/>
        </w:rPr>
        <w:t>and</w:t>
      </w:r>
      <w:r>
        <w:rPr>
          <w:spacing w:val="80"/>
          <w:sz w:val="24"/>
        </w:rPr>
        <w:t> </w:t>
      </w:r>
      <w:r>
        <w:rPr>
          <w:sz w:val="24"/>
        </w:rPr>
        <w:t>Member,</w:t>
      </w:r>
      <w:r>
        <w:rPr>
          <w:spacing w:val="80"/>
          <w:sz w:val="24"/>
        </w:rPr>
        <w:t> </w:t>
      </w:r>
      <w:r>
        <w:rPr>
          <w:sz w:val="24"/>
        </w:rPr>
        <w:t>Education</w:t>
      </w:r>
      <w:r>
        <w:rPr>
          <w:spacing w:val="80"/>
          <w:sz w:val="24"/>
        </w:rPr>
        <w:t> </w:t>
      </w:r>
      <w:r>
        <w:rPr>
          <w:sz w:val="24"/>
        </w:rPr>
        <w:t>Commission, New Delhi. Secretary</w:t>
      </w:r>
    </w:p>
    <w:p>
      <w:pPr>
        <w:pStyle w:val="BodyText"/>
        <w:spacing w:before="3"/>
      </w:pPr>
    </w:p>
    <w:p>
      <w:pPr>
        <w:pStyle w:val="ListParagraph"/>
        <w:numPr>
          <w:ilvl w:val="0"/>
          <w:numId w:val="153"/>
        </w:numPr>
        <w:tabs>
          <w:tab w:pos="401" w:val="left" w:leader="none"/>
        </w:tabs>
        <w:spacing w:line="240" w:lineRule="auto" w:before="0" w:after="0"/>
        <w:ind w:left="160" w:right="499" w:firstLine="0"/>
        <w:jc w:val="left"/>
        <w:rPr>
          <w:sz w:val="24"/>
        </w:rPr>
      </w:pPr>
      <w:r>
        <w:rPr>
          <w:sz w:val="24"/>
        </w:rPr>
        <w:t>Shri</w:t>
      </w:r>
      <w:r>
        <w:rPr>
          <w:spacing w:val="-2"/>
          <w:sz w:val="24"/>
        </w:rPr>
        <w:t> </w:t>
      </w:r>
      <w:r>
        <w:rPr>
          <w:sz w:val="24"/>
        </w:rPr>
        <w:t>A.</w:t>
      </w:r>
      <w:r>
        <w:rPr>
          <w:spacing w:val="-2"/>
          <w:sz w:val="24"/>
        </w:rPr>
        <w:t> </w:t>
      </w:r>
      <w:r>
        <w:rPr>
          <w:sz w:val="24"/>
        </w:rPr>
        <w:t>C.</w:t>
      </w:r>
      <w:r>
        <w:rPr>
          <w:spacing w:val="-2"/>
          <w:sz w:val="24"/>
        </w:rPr>
        <w:t> </w:t>
      </w:r>
      <w:r>
        <w:rPr>
          <w:sz w:val="24"/>
        </w:rPr>
        <w:t>Deve</w:t>
      </w:r>
      <w:r>
        <w:rPr>
          <w:spacing w:val="-2"/>
          <w:sz w:val="24"/>
        </w:rPr>
        <w:t> </w:t>
      </w:r>
      <w:r>
        <w:rPr>
          <w:sz w:val="24"/>
        </w:rPr>
        <w:t>Gowda,</w:t>
      </w:r>
      <w:r>
        <w:rPr>
          <w:spacing w:val="-2"/>
          <w:sz w:val="24"/>
        </w:rPr>
        <w:t> </w:t>
      </w:r>
      <w:r>
        <w:rPr>
          <w:sz w:val="24"/>
        </w:rPr>
        <w:t>Director,</w:t>
      </w:r>
      <w:r>
        <w:rPr>
          <w:spacing w:val="-4"/>
          <w:sz w:val="24"/>
        </w:rPr>
        <w:t> </w:t>
      </w:r>
      <w:r>
        <w:rPr>
          <w:sz w:val="24"/>
        </w:rPr>
        <w:t>Directorate</w:t>
      </w:r>
      <w:r>
        <w:rPr>
          <w:spacing w:val="-3"/>
          <w:sz w:val="24"/>
        </w:rPr>
        <w:t> </w:t>
      </w:r>
      <w:r>
        <w:rPr>
          <w:sz w:val="24"/>
        </w:rPr>
        <w:t>of</w:t>
      </w:r>
      <w:r>
        <w:rPr>
          <w:spacing w:val="-3"/>
          <w:sz w:val="24"/>
        </w:rPr>
        <w:t> </w:t>
      </w:r>
      <w:r>
        <w:rPr>
          <w:sz w:val="24"/>
        </w:rPr>
        <w:t>Extension</w:t>
      </w:r>
      <w:r>
        <w:rPr>
          <w:spacing w:val="-2"/>
          <w:sz w:val="24"/>
        </w:rPr>
        <w:t> </w:t>
      </w:r>
      <w:r>
        <w:rPr>
          <w:sz w:val="24"/>
        </w:rPr>
        <w:t>Programmes</w:t>
      </w:r>
      <w:r>
        <w:rPr>
          <w:spacing w:val="-2"/>
          <w:sz w:val="24"/>
        </w:rPr>
        <w:t> </w:t>
      </w:r>
      <w:r>
        <w:rPr>
          <w:sz w:val="24"/>
        </w:rPr>
        <w:t>for</w:t>
      </w:r>
      <w:r>
        <w:rPr>
          <w:spacing w:val="-2"/>
          <w:sz w:val="24"/>
        </w:rPr>
        <w:t> </w:t>
      </w:r>
      <w:r>
        <w:rPr>
          <w:sz w:val="24"/>
        </w:rPr>
        <w:t>Secondary Education (N.C.E.R.T.). 7, Lancer Road, Timarpur, Delhi-6.</w:t>
      </w:r>
    </w:p>
    <w:p>
      <w:pPr>
        <w:pStyle w:val="BodyText"/>
        <w:spacing w:before="4"/>
      </w:pPr>
    </w:p>
    <w:p>
      <w:pPr>
        <w:pStyle w:val="ListParagraph"/>
        <w:numPr>
          <w:ilvl w:val="0"/>
          <w:numId w:val="153"/>
        </w:numPr>
        <w:tabs>
          <w:tab w:pos="441" w:val="left" w:leader="none"/>
        </w:tabs>
        <w:spacing w:line="240" w:lineRule="auto" w:before="0" w:after="0"/>
        <w:ind w:left="160" w:right="497" w:firstLine="0"/>
        <w:jc w:val="left"/>
        <w:rPr>
          <w:sz w:val="24"/>
        </w:rPr>
      </w:pPr>
      <w:r>
        <w:rPr>
          <w:sz w:val="24"/>
        </w:rPr>
        <w:t>Dr.</w:t>
      </w:r>
      <w:r>
        <w:rPr>
          <w:spacing w:val="37"/>
          <w:sz w:val="24"/>
        </w:rPr>
        <w:t> </w:t>
      </w:r>
      <w:r>
        <w:rPr>
          <w:sz w:val="24"/>
        </w:rPr>
        <w:t>V.</w:t>
      </w:r>
      <w:r>
        <w:rPr>
          <w:spacing w:val="37"/>
          <w:sz w:val="24"/>
        </w:rPr>
        <w:t> </w:t>
      </w:r>
      <w:r>
        <w:rPr>
          <w:sz w:val="24"/>
        </w:rPr>
        <w:t>Jagannadham,</w:t>
      </w:r>
      <w:r>
        <w:rPr>
          <w:spacing w:val="37"/>
          <w:sz w:val="24"/>
        </w:rPr>
        <w:t> </w:t>
      </w:r>
      <w:r>
        <w:rPr>
          <w:sz w:val="24"/>
        </w:rPr>
        <w:t>Professor</w:t>
      </w:r>
      <w:r>
        <w:rPr>
          <w:spacing w:val="37"/>
          <w:sz w:val="24"/>
        </w:rPr>
        <w:t> </w:t>
      </w:r>
      <w:r>
        <w:rPr>
          <w:sz w:val="24"/>
        </w:rPr>
        <w:t>of</w:t>
      </w:r>
      <w:r>
        <w:rPr>
          <w:spacing w:val="36"/>
          <w:sz w:val="24"/>
        </w:rPr>
        <w:t> </w:t>
      </w:r>
      <w:r>
        <w:rPr>
          <w:sz w:val="24"/>
        </w:rPr>
        <w:t>Social</w:t>
      </w:r>
      <w:r>
        <w:rPr>
          <w:spacing w:val="36"/>
          <w:sz w:val="24"/>
        </w:rPr>
        <w:t> </w:t>
      </w:r>
      <w:r>
        <w:rPr>
          <w:sz w:val="24"/>
        </w:rPr>
        <w:t>Administration,</w:t>
      </w:r>
      <w:r>
        <w:rPr>
          <w:spacing w:val="37"/>
          <w:sz w:val="24"/>
        </w:rPr>
        <w:t> </w:t>
      </w:r>
      <w:r>
        <w:rPr>
          <w:sz w:val="24"/>
        </w:rPr>
        <w:t>Indian</w:t>
      </w:r>
      <w:r>
        <w:rPr>
          <w:spacing w:val="37"/>
          <w:sz w:val="24"/>
        </w:rPr>
        <w:t> </w:t>
      </w:r>
      <w:r>
        <w:rPr>
          <w:sz w:val="24"/>
        </w:rPr>
        <w:t>Institute</w:t>
      </w:r>
      <w:r>
        <w:rPr>
          <w:spacing w:val="37"/>
          <w:sz w:val="24"/>
        </w:rPr>
        <w:t> </w:t>
      </w:r>
      <w:r>
        <w:rPr>
          <w:sz w:val="24"/>
        </w:rPr>
        <w:t>of</w:t>
      </w:r>
      <w:r>
        <w:rPr>
          <w:spacing w:val="36"/>
          <w:sz w:val="24"/>
        </w:rPr>
        <w:t> </w:t>
      </w:r>
      <w:r>
        <w:rPr>
          <w:sz w:val="24"/>
        </w:rPr>
        <w:t>Public Administration, Indraprastha Estate, New Delhi.</w:t>
      </w:r>
    </w:p>
    <w:p>
      <w:pPr>
        <w:spacing w:after="0" w:line="240" w:lineRule="auto"/>
        <w:jc w:val="left"/>
        <w:rPr>
          <w:sz w:val="24"/>
        </w:rPr>
        <w:sectPr>
          <w:pgSz w:w="12240" w:h="15840"/>
          <w:pgMar w:header="0" w:footer="743" w:top="1360" w:bottom="940" w:left="1640" w:right="1300"/>
        </w:sectPr>
      </w:pPr>
    </w:p>
    <w:p>
      <w:pPr>
        <w:pStyle w:val="ListParagraph"/>
        <w:numPr>
          <w:ilvl w:val="0"/>
          <w:numId w:val="153"/>
        </w:numPr>
        <w:tabs>
          <w:tab w:pos="399" w:val="left" w:leader="none"/>
        </w:tabs>
        <w:spacing w:line="240" w:lineRule="auto" w:before="78" w:after="0"/>
        <w:ind w:left="399" w:right="0" w:hanging="239"/>
        <w:jc w:val="left"/>
        <w:rPr>
          <w:sz w:val="24"/>
        </w:rPr>
      </w:pPr>
      <w:r>
        <w:rPr>
          <w:sz w:val="24"/>
        </w:rPr>
        <w:t>Prof.</w:t>
      </w:r>
      <w:r>
        <w:rPr>
          <w:spacing w:val="-2"/>
          <w:sz w:val="24"/>
        </w:rPr>
        <w:t> </w:t>
      </w:r>
      <w:r>
        <w:rPr>
          <w:sz w:val="24"/>
        </w:rPr>
        <w:t>M.</w:t>
      </w:r>
      <w:r>
        <w:rPr>
          <w:spacing w:val="-1"/>
          <w:sz w:val="24"/>
        </w:rPr>
        <w:t> </w:t>
      </w:r>
      <w:r>
        <w:rPr>
          <w:sz w:val="24"/>
        </w:rPr>
        <w:t>V.</w:t>
      </w:r>
      <w:r>
        <w:rPr>
          <w:spacing w:val="-1"/>
          <w:sz w:val="24"/>
        </w:rPr>
        <w:t> </w:t>
      </w:r>
      <w:r>
        <w:rPr>
          <w:sz w:val="24"/>
        </w:rPr>
        <w:t>Mathur,</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2"/>
      </w:pPr>
    </w:p>
    <w:p>
      <w:pPr>
        <w:pStyle w:val="ListParagraph"/>
        <w:numPr>
          <w:ilvl w:val="0"/>
          <w:numId w:val="153"/>
        </w:numPr>
        <w:tabs>
          <w:tab w:pos="461" w:val="left" w:leader="none"/>
        </w:tabs>
        <w:spacing w:line="240" w:lineRule="auto" w:before="0" w:after="0"/>
        <w:ind w:left="160" w:right="497" w:firstLine="0"/>
        <w:jc w:val="left"/>
        <w:rPr>
          <w:sz w:val="24"/>
        </w:rPr>
      </w:pPr>
      <w:r>
        <w:rPr>
          <w:sz w:val="24"/>
        </w:rPr>
        <w:t>Dr.</w:t>
      </w:r>
      <w:r>
        <w:rPr>
          <w:spacing w:val="40"/>
          <w:sz w:val="24"/>
        </w:rPr>
        <w:t> </w:t>
      </w:r>
      <w:r>
        <w:rPr>
          <w:sz w:val="24"/>
        </w:rPr>
        <w:t>S.</w:t>
      </w:r>
      <w:r>
        <w:rPr>
          <w:spacing w:val="40"/>
          <w:sz w:val="24"/>
        </w:rPr>
        <w:t> </w:t>
      </w:r>
      <w:r>
        <w:rPr>
          <w:sz w:val="24"/>
        </w:rPr>
        <w:t>Misra,</w:t>
      </w:r>
      <w:r>
        <w:rPr>
          <w:spacing w:val="40"/>
          <w:sz w:val="24"/>
        </w:rPr>
        <w:t> </w:t>
      </w:r>
      <w:r>
        <w:rPr>
          <w:sz w:val="24"/>
        </w:rPr>
        <w:t>Director</w:t>
      </w:r>
      <w:r>
        <w:rPr>
          <w:spacing w:val="40"/>
          <w:sz w:val="24"/>
        </w:rPr>
        <w:t> </w:t>
      </w:r>
      <w:r>
        <w:rPr>
          <w:sz w:val="24"/>
        </w:rPr>
        <w:t>of</w:t>
      </w:r>
      <w:r>
        <w:rPr>
          <w:spacing w:val="40"/>
          <w:sz w:val="24"/>
        </w:rPr>
        <w:t> </w:t>
      </w:r>
      <w:r>
        <w:rPr>
          <w:sz w:val="24"/>
        </w:rPr>
        <w:t>Public</w:t>
      </w:r>
      <w:r>
        <w:rPr>
          <w:spacing w:val="40"/>
          <w:sz w:val="24"/>
        </w:rPr>
        <w:t> </w:t>
      </w:r>
      <w:r>
        <w:rPr>
          <w:sz w:val="24"/>
        </w:rPr>
        <w:t>Instruction,</w:t>
      </w:r>
      <w:r>
        <w:rPr>
          <w:spacing w:val="40"/>
          <w:sz w:val="24"/>
        </w:rPr>
        <w:t> </w:t>
      </w:r>
      <w:r>
        <w:rPr>
          <w:sz w:val="24"/>
        </w:rPr>
        <w:t>Orissa</w:t>
      </w:r>
      <w:r>
        <w:rPr>
          <w:spacing w:val="40"/>
          <w:sz w:val="24"/>
        </w:rPr>
        <w:t> </w:t>
      </w:r>
      <w:r>
        <w:rPr>
          <w:sz w:val="24"/>
        </w:rPr>
        <w:t>(now</w:t>
      </w:r>
      <w:r>
        <w:rPr>
          <w:spacing w:val="40"/>
          <w:sz w:val="24"/>
        </w:rPr>
        <w:t> </w:t>
      </w:r>
      <w:r>
        <w:rPr>
          <w:sz w:val="24"/>
        </w:rPr>
        <w:t>Vice-Chancellor,</w:t>
      </w:r>
      <w:r>
        <w:rPr>
          <w:spacing w:val="40"/>
          <w:sz w:val="24"/>
        </w:rPr>
        <w:t> </w:t>
      </w:r>
      <w:r>
        <w:rPr>
          <w:sz w:val="24"/>
        </w:rPr>
        <w:t>Utkal University), Cuttack</w:t>
      </w:r>
    </w:p>
    <w:p>
      <w:pPr>
        <w:pStyle w:val="BodyText"/>
        <w:spacing w:before="5"/>
      </w:pPr>
    </w:p>
    <w:p>
      <w:pPr>
        <w:pStyle w:val="ListParagraph"/>
        <w:numPr>
          <w:ilvl w:val="0"/>
          <w:numId w:val="153"/>
        </w:numPr>
        <w:tabs>
          <w:tab w:pos="487" w:val="left" w:leader="none"/>
        </w:tabs>
        <w:spacing w:line="240" w:lineRule="auto" w:before="0" w:after="0"/>
        <w:ind w:left="160" w:right="498" w:firstLine="0"/>
        <w:jc w:val="left"/>
        <w:rPr>
          <w:sz w:val="24"/>
        </w:rPr>
      </w:pPr>
      <w:r>
        <w:rPr>
          <w:sz w:val="24"/>
        </w:rPr>
        <w:t>Dr.</w:t>
      </w:r>
      <w:r>
        <w:rPr>
          <w:spacing w:val="80"/>
          <w:sz w:val="24"/>
        </w:rPr>
        <w:t> </w:t>
      </w:r>
      <w:r>
        <w:rPr>
          <w:sz w:val="24"/>
        </w:rPr>
        <w:t>S.</w:t>
      </w:r>
      <w:r>
        <w:rPr>
          <w:spacing w:val="80"/>
          <w:sz w:val="24"/>
        </w:rPr>
        <w:t> </w:t>
      </w:r>
      <w:r>
        <w:rPr>
          <w:sz w:val="24"/>
        </w:rPr>
        <w:t>N.</w:t>
      </w:r>
      <w:r>
        <w:rPr>
          <w:spacing w:val="80"/>
          <w:sz w:val="24"/>
        </w:rPr>
        <w:t> </w:t>
      </w:r>
      <w:r>
        <w:rPr>
          <w:sz w:val="24"/>
        </w:rPr>
        <w:t>Mukherjee,</w:t>
      </w:r>
      <w:r>
        <w:rPr>
          <w:spacing w:val="80"/>
          <w:sz w:val="24"/>
        </w:rPr>
        <w:t> </w:t>
      </w:r>
      <w:r>
        <w:rPr>
          <w:sz w:val="24"/>
        </w:rPr>
        <w:t>Head</w:t>
      </w:r>
      <w:r>
        <w:rPr>
          <w:spacing w:val="80"/>
          <w:sz w:val="24"/>
        </w:rPr>
        <w:t> </w:t>
      </w:r>
      <w:r>
        <w:rPr>
          <w:sz w:val="24"/>
        </w:rPr>
        <w:t>of</w:t>
      </w:r>
      <w:r>
        <w:rPr>
          <w:spacing w:val="80"/>
          <w:sz w:val="24"/>
        </w:rPr>
        <w:t> </w:t>
      </w:r>
      <w:r>
        <w:rPr>
          <w:sz w:val="24"/>
        </w:rPr>
        <w:t>the</w:t>
      </w:r>
      <w:r>
        <w:rPr>
          <w:spacing w:val="80"/>
          <w:sz w:val="24"/>
        </w:rPr>
        <w:t> </w:t>
      </w:r>
      <w:r>
        <w:rPr>
          <w:sz w:val="24"/>
        </w:rPr>
        <w:t>Department</w:t>
      </w:r>
      <w:r>
        <w:rPr>
          <w:spacing w:val="80"/>
          <w:sz w:val="24"/>
        </w:rPr>
        <w:t> </w:t>
      </w:r>
      <w:r>
        <w:rPr>
          <w:sz w:val="24"/>
        </w:rPr>
        <w:t>of</w:t>
      </w:r>
      <w:r>
        <w:rPr>
          <w:spacing w:val="80"/>
          <w:sz w:val="24"/>
        </w:rPr>
        <w:t> </w:t>
      </w:r>
      <w:r>
        <w:rPr>
          <w:sz w:val="24"/>
        </w:rPr>
        <w:t>Educational</w:t>
      </w:r>
      <w:r>
        <w:rPr>
          <w:spacing w:val="80"/>
          <w:sz w:val="24"/>
        </w:rPr>
        <w:t> </w:t>
      </w:r>
      <w:r>
        <w:rPr>
          <w:sz w:val="24"/>
        </w:rPr>
        <w:t>Administration, (N.C.E.R.T.), B-2/6A, Model Town, Delh-9.</w:t>
      </w:r>
    </w:p>
    <w:p>
      <w:pPr>
        <w:pStyle w:val="BodyText"/>
        <w:spacing w:before="5"/>
      </w:pPr>
    </w:p>
    <w:p>
      <w:pPr>
        <w:pStyle w:val="ListParagraph"/>
        <w:numPr>
          <w:ilvl w:val="0"/>
          <w:numId w:val="153"/>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53"/>
        </w:numPr>
        <w:tabs>
          <w:tab w:pos="416" w:val="left" w:leader="none"/>
        </w:tabs>
        <w:spacing w:line="240" w:lineRule="auto" w:before="0" w:after="0"/>
        <w:ind w:left="160" w:right="496" w:firstLine="0"/>
        <w:jc w:val="left"/>
        <w:rPr>
          <w:sz w:val="24"/>
        </w:rPr>
      </w:pPr>
      <w:r>
        <w:rPr>
          <w:sz w:val="24"/>
        </w:rPr>
        <w:t>Shri H. M. Patel, Chairman, Charotar Vidya Mandal, Vallabh Vidyanagar, via Anand </w:t>
      </w:r>
      <w:r>
        <w:rPr>
          <w:spacing w:val="-2"/>
          <w:sz w:val="24"/>
        </w:rPr>
        <w:t>(Gujarat).</w:t>
      </w:r>
    </w:p>
    <w:p>
      <w:pPr>
        <w:pStyle w:val="BodyText"/>
        <w:spacing w:before="5"/>
      </w:pPr>
    </w:p>
    <w:p>
      <w:pPr>
        <w:pStyle w:val="ListParagraph"/>
        <w:numPr>
          <w:ilvl w:val="0"/>
          <w:numId w:val="153"/>
        </w:numPr>
        <w:tabs>
          <w:tab w:pos="433" w:val="left" w:leader="none"/>
        </w:tabs>
        <w:spacing w:line="240" w:lineRule="auto" w:before="0" w:after="0"/>
        <w:ind w:left="160" w:right="497" w:firstLine="0"/>
        <w:jc w:val="left"/>
        <w:rPr>
          <w:sz w:val="24"/>
        </w:rPr>
      </w:pPr>
      <w:r>
        <w:rPr>
          <w:sz w:val="24"/>
        </w:rPr>
        <w:t>Dr.</w:t>
      </w:r>
      <w:r>
        <w:rPr>
          <w:spacing w:val="29"/>
          <w:sz w:val="24"/>
        </w:rPr>
        <w:t> </w:t>
      </w:r>
      <w:r>
        <w:rPr>
          <w:sz w:val="24"/>
        </w:rPr>
        <w:t>D.</w:t>
      </w:r>
      <w:r>
        <w:rPr>
          <w:spacing w:val="29"/>
          <w:sz w:val="24"/>
        </w:rPr>
        <w:t> </w:t>
      </w:r>
      <w:r>
        <w:rPr>
          <w:sz w:val="24"/>
        </w:rPr>
        <w:t>M.</w:t>
      </w:r>
      <w:r>
        <w:rPr>
          <w:spacing w:val="29"/>
          <w:sz w:val="24"/>
        </w:rPr>
        <w:t> </w:t>
      </w:r>
      <w:r>
        <w:rPr>
          <w:sz w:val="24"/>
        </w:rPr>
        <w:t>Sen,</w:t>
      </w:r>
      <w:r>
        <w:rPr>
          <w:spacing w:val="29"/>
          <w:sz w:val="24"/>
        </w:rPr>
        <w:t> </w:t>
      </w:r>
      <w:r>
        <w:rPr>
          <w:sz w:val="24"/>
        </w:rPr>
        <w:t>Education</w:t>
      </w:r>
      <w:r>
        <w:rPr>
          <w:spacing w:val="29"/>
          <w:sz w:val="24"/>
        </w:rPr>
        <w:t> </w:t>
      </w:r>
      <w:r>
        <w:rPr>
          <w:sz w:val="24"/>
        </w:rPr>
        <w:t>Secretary,</w:t>
      </w:r>
      <w:r>
        <w:rPr>
          <w:spacing w:val="29"/>
          <w:sz w:val="24"/>
        </w:rPr>
        <w:t> </w:t>
      </w:r>
      <w:r>
        <w:rPr>
          <w:sz w:val="24"/>
        </w:rPr>
        <w:t>West</w:t>
      </w:r>
      <w:r>
        <w:rPr>
          <w:spacing w:val="30"/>
          <w:sz w:val="24"/>
        </w:rPr>
        <w:t> </w:t>
      </w:r>
      <w:r>
        <w:rPr>
          <w:sz w:val="24"/>
        </w:rPr>
        <w:t>Bengal,</w:t>
      </w:r>
      <w:r>
        <w:rPr>
          <w:spacing w:val="29"/>
          <w:sz w:val="24"/>
        </w:rPr>
        <w:t> </w:t>
      </w:r>
      <w:r>
        <w:rPr>
          <w:sz w:val="24"/>
        </w:rPr>
        <w:t>(now Vice-Chancellor,</w:t>
      </w:r>
      <w:r>
        <w:rPr>
          <w:spacing w:val="29"/>
          <w:sz w:val="24"/>
        </w:rPr>
        <w:t> </w:t>
      </w:r>
      <w:r>
        <w:rPr>
          <w:sz w:val="24"/>
        </w:rPr>
        <w:t>Burdwan University), Calcutta.</w:t>
      </w:r>
    </w:p>
    <w:p>
      <w:pPr>
        <w:pStyle w:val="BodyText"/>
        <w:spacing w:before="5"/>
      </w:pPr>
    </w:p>
    <w:p>
      <w:pPr>
        <w:pStyle w:val="ListParagraph"/>
        <w:numPr>
          <w:ilvl w:val="0"/>
          <w:numId w:val="153"/>
        </w:numPr>
        <w:tabs>
          <w:tab w:pos="520" w:val="left" w:leader="none"/>
        </w:tabs>
        <w:spacing w:line="240" w:lineRule="auto" w:before="0" w:after="0"/>
        <w:ind w:left="520" w:right="0" w:hanging="360"/>
        <w:jc w:val="left"/>
        <w:rPr>
          <w:sz w:val="24"/>
        </w:rPr>
      </w:pPr>
      <w:r>
        <w:rPr>
          <w:sz w:val="24"/>
        </w:rPr>
        <w:t>Shri</w:t>
      </w:r>
      <w:r>
        <w:rPr>
          <w:spacing w:val="-3"/>
          <w:sz w:val="24"/>
        </w:rPr>
        <w:t> </w:t>
      </w:r>
      <w:r>
        <w:rPr>
          <w:sz w:val="24"/>
        </w:rPr>
        <w:t>J.</w:t>
      </w:r>
      <w:r>
        <w:rPr>
          <w:spacing w:val="-2"/>
          <w:sz w:val="24"/>
        </w:rPr>
        <w:t> </w:t>
      </w:r>
      <w:r>
        <w:rPr>
          <w:sz w:val="24"/>
        </w:rPr>
        <w:t>D.</w:t>
      </w:r>
      <w:r>
        <w:rPr>
          <w:spacing w:val="-3"/>
          <w:sz w:val="24"/>
        </w:rPr>
        <w:t> </w:t>
      </w:r>
      <w:r>
        <w:rPr>
          <w:sz w:val="24"/>
        </w:rPr>
        <w:t>Sharma,</w:t>
      </w:r>
      <w:r>
        <w:rPr>
          <w:spacing w:val="-2"/>
          <w:sz w:val="24"/>
        </w:rPr>
        <w:t> </w:t>
      </w:r>
      <w:r>
        <w:rPr>
          <w:sz w:val="24"/>
        </w:rPr>
        <w:t>Director</w:t>
      </w:r>
      <w:r>
        <w:rPr>
          <w:spacing w:val="-3"/>
          <w:sz w:val="24"/>
        </w:rPr>
        <w:t> </w:t>
      </w:r>
      <w:r>
        <w:rPr>
          <w:sz w:val="24"/>
        </w:rPr>
        <w:t>of</w:t>
      </w:r>
      <w:r>
        <w:rPr>
          <w:spacing w:val="-2"/>
          <w:sz w:val="24"/>
        </w:rPr>
        <w:t> </w:t>
      </w:r>
      <w:r>
        <w:rPr>
          <w:sz w:val="24"/>
        </w:rPr>
        <w:t>Public</w:t>
      </w:r>
      <w:r>
        <w:rPr>
          <w:spacing w:val="-4"/>
          <w:sz w:val="24"/>
        </w:rPr>
        <w:t> </w:t>
      </w:r>
      <w:r>
        <w:rPr>
          <w:sz w:val="24"/>
        </w:rPr>
        <w:t>Instruction,</w:t>
      </w:r>
      <w:r>
        <w:rPr>
          <w:spacing w:val="-3"/>
          <w:sz w:val="24"/>
        </w:rPr>
        <w:t> </w:t>
      </w:r>
      <w:r>
        <w:rPr>
          <w:sz w:val="24"/>
        </w:rPr>
        <w:t>Punjab,</w:t>
      </w:r>
      <w:r>
        <w:rPr>
          <w:spacing w:val="-3"/>
          <w:sz w:val="24"/>
        </w:rPr>
        <w:t> </w:t>
      </w:r>
      <w:r>
        <w:rPr>
          <w:spacing w:val="-2"/>
          <w:sz w:val="24"/>
        </w:rPr>
        <w:t>Chandigarh.</w:t>
      </w:r>
    </w:p>
    <w:p>
      <w:pPr>
        <w:pStyle w:val="BodyText"/>
        <w:spacing w:before="3"/>
      </w:pPr>
    </w:p>
    <w:p>
      <w:pPr>
        <w:pStyle w:val="ListParagraph"/>
        <w:numPr>
          <w:ilvl w:val="0"/>
          <w:numId w:val="153"/>
        </w:numPr>
        <w:tabs>
          <w:tab w:pos="520" w:val="left" w:leader="none"/>
        </w:tabs>
        <w:spacing w:line="240" w:lineRule="auto" w:before="1" w:after="0"/>
        <w:ind w:left="520" w:right="0" w:hanging="360"/>
        <w:jc w:val="left"/>
        <w:rPr>
          <w:sz w:val="24"/>
        </w:rPr>
      </w:pPr>
      <w:r>
        <w:rPr>
          <w:sz w:val="24"/>
        </w:rPr>
        <w:t>Shri</w:t>
      </w:r>
      <w:r>
        <w:rPr>
          <w:spacing w:val="-1"/>
          <w:sz w:val="24"/>
        </w:rPr>
        <w:t> </w:t>
      </w:r>
      <w:r>
        <w:rPr>
          <w:sz w:val="24"/>
        </w:rPr>
        <w:t>V. D.</w:t>
      </w:r>
      <w:r>
        <w:rPr>
          <w:spacing w:val="-1"/>
          <w:sz w:val="24"/>
        </w:rPr>
        <w:t> </w:t>
      </w:r>
      <w:r>
        <w:rPr>
          <w:sz w:val="24"/>
        </w:rPr>
        <w:t>Sharma, Education</w:t>
      </w:r>
      <w:r>
        <w:rPr>
          <w:spacing w:val="-1"/>
          <w:sz w:val="24"/>
        </w:rPr>
        <w:t> </w:t>
      </w:r>
      <w:r>
        <w:rPr>
          <w:sz w:val="24"/>
        </w:rPr>
        <w:t>Secretary, Rajasthan, </w:t>
      </w:r>
      <w:r>
        <w:rPr>
          <w:spacing w:val="-2"/>
          <w:sz w:val="24"/>
        </w:rPr>
        <w:t>Jaipur.</w:t>
      </w:r>
    </w:p>
    <w:p>
      <w:pPr>
        <w:pStyle w:val="BodyText"/>
        <w:spacing w:before="2"/>
      </w:pPr>
    </w:p>
    <w:p>
      <w:pPr>
        <w:pStyle w:val="ListParagraph"/>
        <w:numPr>
          <w:ilvl w:val="0"/>
          <w:numId w:val="153"/>
        </w:numPr>
        <w:tabs>
          <w:tab w:pos="541" w:val="left" w:leader="none"/>
        </w:tabs>
        <w:spacing w:line="240" w:lineRule="auto" w:before="0" w:after="0"/>
        <w:ind w:left="160" w:right="497" w:firstLine="0"/>
        <w:jc w:val="left"/>
        <w:rPr>
          <w:sz w:val="24"/>
        </w:rPr>
      </w:pPr>
      <w:r>
        <w:rPr>
          <w:sz w:val="24"/>
        </w:rPr>
        <w:t>Dr. Rudra Dutt Singh, Head of the Research Project on Panchayati Raj Institutions,</w:t>
      </w:r>
      <w:r>
        <w:rPr>
          <w:spacing w:val="40"/>
          <w:sz w:val="24"/>
        </w:rPr>
        <w:t> </w:t>
      </w:r>
      <w:r>
        <w:rPr>
          <w:sz w:val="24"/>
        </w:rPr>
        <w:t>Indian Institute of Public Administration, Indraprastha Estate, New Delhi.</w:t>
      </w:r>
    </w:p>
    <w:p>
      <w:pPr>
        <w:pStyle w:val="BodyText"/>
        <w:spacing w:before="5"/>
      </w:pPr>
    </w:p>
    <w:p>
      <w:pPr>
        <w:pStyle w:val="ListParagraph"/>
        <w:numPr>
          <w:ilvl w:val="0"/>
          <w:numId w:val="153"/>
        </w:numPr>
        <w:tabs>
          <w:tab w:pos="552" w:val="left" w:leader="none"/>
        </w:tabs>
        <w:spacing w:line="240" w:lineRule="auto" w:before="0" w:after="0"/>
        <w:ind w:left="160" w:right="499" w:firstLine="0"/>
        <w:jc w:val="left"/>
        <w:rPr>
          <w:sz w:val="24"/>
        </w:rPr>
      </w:pPr>
      <w:r>
        <w:rPr>
          <w:sz w:val="24"/>
        </w:rPr>
        <w:t>Miss S. Rajan, Assistant Educational Adviser, Education Commission, New Delhi.</w:t>
      </w:r>
      <w:r>
        <w:rPr>
          <w:spacing w:val="40"/>
          <w:sz w:val="24"/>
        </w:rPr>
        <w:t> </w:t>
      </w:r>
      <w:r>
        <w:rPr>
          <w:spacing w:val="-2"/>
          <w:sz w:val="24"/>
        </w:rPr>
        <w:t>Secretary</w:t>
      </w:r>
    </w:p>
    <w:p>
      <w:pPr>
        <w:pStyle w:val="BodyText"/>
        <w:spacing w:before="6"/>
      </w:pPr>
    </w:p>
    <w:p>
      <w:pPr>
        <w:pStyle w:val="Heading2"/>
      </w:pPr>
      <w:r>
        <w:rPr/>
        <w:t>AIV.04.</w:t>
      </w:r>
      <w:r>
        <w:rPr>
          <w:spacing w:val="-1"/>
        </w:rPr>
        <w:t> </w:t>
      </w:r>
      <w:r>
        <w:rPr/>
        <w:t>Task</w:t>
      </w:r>
      <w:r>
        <w:rPr>
          <w:spacing w:val="-1"/>
        </w:rPr>
        <w:t> </w:t>
      </w:r>
      <w:r>
        <w:rPr/>
        <w:t>Force</w:t>
      </w:r>
      <w:r>
        <w:rPr>
          <w:spacing w:val="-1"/>
        </w:rPr>
        <w:t> </w:t>
      </w:r>
      <w:r>
        <w:rPr/>
        <w:t>on</w:t>
      </w:r>
      <w:r>
        <w:rPr>
          <w:spacing w:val="-2"/>
        </w:rPr>
        <w:t> </w:t>
      </w:r>
      <w:r>
        <w:rPr/>
        <w:t>Educational</w:t>
      </w:r>
      <w:r>
        <w:rPr>
          <w:spacing w:val="-1"/>
        </w:rPr>
        <w:t> </w:t>
      </w:r>
      <w:r>
        <w:rPr>
          <w:spacing w:val="-2"/>
        </w:rPr>
        <w:t>Finance</w:t>
      </w:r>
    </w:p>
    <w:p>
      <w:pPr>
        <w:pStyle w:val="BodyText"/>
        <w:spacing w:before="2"/>
        <w:rPr>
          <w:b/>
        </w:rPr>
      </w:pPr>
    </w:p>
    <w:p>
      <w:pPr>
        <w:pStyle w:val="ListParagraph"/>
        <w:numPr>
          <w:ilvl w:val="0"/>
          <w:numId w:val="154"/>
        </w:numPr>
        <w:tabs>
          <w:tab w:pos="399" w:val="left" w:leader="none"/>
        </w:tabs>
        <w:spacing w:line="240" w:lineRule="auto" w:before="0" w:after="0"/>
        <w:ind w:left="399" w:right="0" w:hanging="239"/>
        <w:jc w:val="left"/>
        <w:rPr>
          <w:sz w:val="24"/>
        </w:rPr>
      </w:pPr>
      <w:r>
        <w:rPr>
          <w:sz w:val="24"/>
        </w:rPr>
        <w:t>Prof.</w:t>
      </w:r>
      <w:r>
        <w:rPr>
          <w:spacing w:val="-2"/>
          <w:sz w:val="24"/>
        </w:rPr>
        <w:t> </w:t>
      </w:r>
      <w:r>
        <w:rPr>
          <w:sz w:val="24"/>
        </w:rPr>
        <w:t>M.</w:t>
      </w:r>
      <w:r>
        <w:rPr>
          <w:spacing w:val="-1"/>
          <w:sz w:val="24"/>
        </w:rPr>
        <w:t> </w:t>
      </w:r>
      <w:r>
        <w:rPr>
          <w:sz w:val="24"/>
        </w:rPr>
        <w:t>V.</w:t>
      </w:r>
      <w:r>
        <w:rPr>
          <w:spacing w:val="-1"/>
          <w:sz w:val="24"/>
        </w:rPr>
        <w:t> </w:t>
      </w:r>
      <w:r>
        <w:rPr>
          <w:sz w:val="24"/>
        </w:rPr>
        <w:t>Mathur,</w:t>
      </w:r>
      <w:r>
        <w:rPr>
          <w:spacing w:val="-1"/>
          <w:sz w:val="24"/>
        </w:rPr>
        <w:t> </w:t>
      </w:r>
      <w:r>
        <w:rPr>
          <w:sz w:val="24"/>
        </w:rPr>
        <w:t>Member,</w:t>
      </w:r>
      <w:r>
        <w:rPr>
          <w:spacing w:val="-2"/>
          <w:sz w:val="24"/>
        </w:rPr>
        <w:t> </w:t>
      </w:r>
      <w:r>
        <w:rPr>
          <w:sz w:val="24"/>
        </w:rPr>
        <w:t>Education Commission, New Delhi. </w:t>
      </w:r>
      <w:r>
        <w:rPr>
          <w:spacing w:val="-2"/>
          <w:sz w:val="24"/>
        </w:rPr>
        <w:t>Convener</w:t>
      </w:r>
    </w:p>
    <w:p>
      <w:pPr>
        <w:pStyle w:val="BodyText"/>
        <w:spacing w:before="4"/>
      </w:pPr>
    </w:p>
    <w:p>
      <w:pPr>
        <w:pStyle w:val="ListParagraph"/>
        <w:numPr>
          <w:ilvl w:val="0"/>
          <w:numId w:val="154"/>
        </w:numPr>
        <w:tabs>
          <w:tab w:pos="496" w:val="left" w:leader="none"/>
        </w:tabs>
        <w:spacing w:line="240" w:lineRule="auto" w:before="0" w:after="0"/>
        <w:ind w:left="160" w:right="498" w:firstLine="0"/>
        <w:jc w:val="left"/>
        <w:rPr>
          <w:sz w:val="24"/>
        </w:rPr>
      </w:pPr>
      <w:r>
        <w:rPr>
          <w:sz w:val="24"/>
        </w:rPr>
        <w:t>Shri</w:t>
      </w:r>
      <w:r>
        <w:rPr>
          <w:spacing w:val="80"/>
          <w:sz w:val="24"/>
        </w:rPr>
        <w:t> </w:t>
      </w:r>
      <w:r>
        <w:rPr>
          <w:sz w:val="24"/>
        </w:rPr>
        <w:t>D.</w:t>
      </w:r>
      <w:r>
        <w:rPr>
          <w:spacing w:val="80"/>
          <w:sz w:val="24"/>
        </w:rPr>
        <w:t> </w:t>
      </w:r>
      <w:r>
        <w:rPr>
          <w:sz w:val="24"/>
        </w:rPr>
        <w:t>A.</w:t>
      </w:r>
      <w:r>
        <w:rPr>
          <w:spacing w:val="80"/>
          <w:sz w:val="24"/>
        </w:rPr>
        <w:t> </w:t>
      </w:r>
      <w:r>
        <w:rPr>
          <w:sz w:val="24"/>
        </w:rPr>
        <w:t>Dabholkar,</w:t>
      </w:r>
      <w:r>
        <w:rPr>
          <w:spacing w:val="80"/>
          <w:sz w:val="24"/>
        </w:rPr>
        <w:t> </w:t>
      </w:r>
      <w:r>
        <w:rPr>
          <w:sz w:val="24"/>
        </w:rPr>
        <w:t>Principal,</w:t>
      </w:r>
      <w:r>
        <w:rPr>
          <w:spacing w:val="80"/>
          <w:sz w:val="24"/>
        </w:rPr>
        <w:t> </w:t>
      </w:r>
      <w:r>
        <w:rPr>
          <w:sz w:val="24"/>
        </w:rPr>
        <w:t>Chintamanrao</w:t>
      </w:r>
      <w:r>
        <w:rPr>
          <w:spacing w:val="80"/>
          <w:sz w:val="24"/>
        </w:rPr>
        <w:t> </w:t>
      </w:r>
      <w:r>
        <w:rPr>
          <w:sz w:val="24"/>
        </w:rPr>
        <w:t>College</w:t>
      </w:r>
      <w:r>
        <w:rPr>
          <w:spacing w:val="80"/>
          <w:sz w:val="24"/>
        </w:rPr>
        <w:t> </w:t>
      </w:r>
      <w:r>
        <w:rPr>
          <w:sz w:val="24"/>
        </w:rPr>
        <w:t>of</w:t>
      </w:r>
      <w:r>
        <w:rPr>
          <w:spacing w:val="80"/>
          <w:sz w:val="24"/>
        </w:rPr>
        <w:t> </w:t>
      </w:r>
      <w:r>
        <w:rPr>
          <w:sz w:val="24"/>
        </w:rPr>
        <w:t>Commerce,</w:t>
      </w:r>
      <w:r>
        <w:rPr>
          <w:spacing w:val="80"/>
          <w:sz w:val="24"/>
        </w:rPr>
        <w:t> </w:t>
      </w:r>
      <w:r>
        <w:rPr>
          <w:sz w:val="24"/>
        </w:rPr>
        <w:t>Sangli </w:t>
      </w:r>
      <w:r>
        <w:rPr>
          <w:spacing w:val="-2"/>
          <w:sz w:val="24"/>
        </w:rPr>
        <w:t>(Maharashtra).</w:t>
      </w:r>
    </w:p>
    <w:p>
      <w:pPr>
        <w:pStyle w:val="BodyText"/>
        <w:spacing w:before="5"/>
      </w:pPr>
    </w:p>
    <w:p>
      <w:pPr>
        <w:pStyle w:val="ListParagraph"/>
        <w:numPr>
          <w:ilvl w:val="0"/>
          <w:numId w:val="154"/>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B. Dutta,</w:t>
      </w:r>
      <w:r>
        <w:rPr>
          <w:spacing w:val="-1"/>
          <w:sz w:val="24"/>
        </w:rPr>
        <w:t> </w:t>
      </w:r>
      <w:r>
        <w:rPr>
          <w:sz w:val="24"/>
        </w:rPr>
        <w:t>Education</w:t>
      </w:r>
      <w:r>
        <w:rPr>
          <w:spacing w:val="-1"/>
          <w:sz w:val="24"/>
        </w:rPr>
        <w:t> </w:t>
      </w:r>
      <w:r>
        <w:rPr>
          <w:sz w:val="24"/>
        </w:rPr>
        <w:t>Secretary,</w:t>
      </w:r>
      <w:r>
        <w:rPr>
          <w:spacing w:val="-1"/>
          <w:sz w:val="24"/>
        </w:rPr>
        <w:t> </w:t>
      </w:r>
      <w:r>
        <w:rPr>
          <w:sz w:val="24"/>
        </w:rPr>
        <w:t>Government</w:t>
      </w:r>
      <w:r>
        <w:rPr>
          <w:spacing w:val="1"/>
          <w:sz w:val="24"/>
        </w:rPr>
        <w:t> </w:t>
      </w:r>
      <w:r>
        <w:rPr>
          <w:sz w:val="24"/>
        </w:rPr>
        <w:t>of</w:t>
      </w:r>
      <w:r>
        <w:rPr>
          <w:spacing w:val="-1"/>
          <w:sz w:val="24"/>
        </w:rPr>
        <w:t> </w:t>
      </w:r>
      <w:r>
        <w:rPr>
          <w:sz w:val="24"/>
        </w:rPr>
        <w:t>West Bengal, </w:t>
      </w:r>
      <w:r>
        <w:rPr>
          <w:spacing w:val="-2"/>
          <w:sz w:val="24"/>
        </w:rPr>
        <w:t>Calcutta.</w:t>
      </w:r>
    </w:p>
    <w:p>
      <w:pPr>
        <w:pStyle w:val="BodyText"/>
        <w:spacing w:before="3"/>
      </w:pPr>
    </w:p>
    <w:p>
      <w:pPr>
        <w:pStyle w:val="ListParagraph"/>
        <w:numPr>
          <w:ilvl w:val="0"/>
          <w:numId w:val="154"/>
        </w:numPr>
        <w:tabs>
          <w:tab w:pos="400" w:val="left" w:leader="none"/>
        </w:tabs>
        <w:spacing w:line="240" w:lineRule="auto" w:before="1" w:after="0"/>
        <w:ind w:left="400" w:right="0" w:hanging="240"/>
        <w:jc w:val="left"/>
        <w:rPr>
          <w:sz w:val="24"/>
        </w:rPr>
      </w:pPr>
      <w:r>
        <w:rPr>
          <w:sz w:val="24"/>
        </w:rPr>
        <w:t>Shri</w:t>
      </w:r>
      <w:r>
        <w:rPr>
          <w:spacing w:val="-1"/>
          <w:sz w:val="24"/>
        </w:rPr>
        <w:t> </w:t>
      </w:r>
      <w:r>
        <w:rPr>
          <w:sz w:val="24"/>
        </w:rPr>
        <w:t>R. A.</w:t>
      </w:r>
      <w:r>
        <w:rPr>
          <w:spacing w:val="-1"/>
          <w:sz w:val="24"/>
        </w:rPr>
        <w:t> </w:t>
      </w:r>
      <w:r>
        <w:rPr>
          <w:sz w:val="24"/>
        </w:rPr>
        <w:t>Gopalaswami,</w:t>
      </w:r>
      <w:r>
        <w:rPr>
          <w:spacing w:val="-1"/>
          <w:sz w:val="24"/>
        </w:rPr>
        <w:t> </w:t>
      </w:r>
      <w:r>
        <w:rPr>
          <w:sz w:val="24"/>
        </w:rPr>
        <w:t>Member,</w:t>
      </w:r>
      <w:r>
        <w:rPr>
          <w:spacing w:val="-1"/>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54"/>
        </w:numPr>
        <w:tabs>
          <w:tab w:pos="398" w:val="left" w:leader="none"/>
        </w:tabs>
        <w:spacing w:line="240" w:lineRule="auto" w:before="1" w:after="0"/>
        <w:ind w:left="398" w:right="0" w:hanging="238"/>
        <w:jc w:val="left"/>
        <w:rPr>
          <w:sz w:val="24"/>
        </w:rPr>
      </w:pPr>
      <w:r>
        <w:rPr>
          <w:sz w:val="24"/>
        </w:rPr>
        <w:t>Shri</w:t>
      </w:r>
      <w:r>
        <w:rPr>
          <w:spacing w:val="-6"/>
          <w:sz w:val="24"/>
        </w:rPr>
        <w:t> </w:t>
      </w:r>
      <w:r>
        <w:rPr>
          <w:sz w:val="24"/>
        </w:rPr>
        <w:t>K.</w:t>
      </w:r>
      <w:r>
        <w:rPr>
          <w:spacing w:val="-4"/>
          <w:sz w:val="24"/>
        </w:rPr>
        <w:t> </w:t>
      </w:r>
      <w:r>
        <w:rPr>
          <w:sz w:val="24"/>
        </w:rPr>
        <w:t>L.</w:t>
      </w:r>
      <w:r>
        <w:rPr>
          <w:spacing w:val="-4"/>
          <w:sz w:val="24"/>
        </w:rPr>
        <w:t> </w:t>
      </w:r>
      <w:r>
        <w:rPr>
          <w:sz w:val="24"/>
        </w:rPr>
        <w:t>Joshi,</w:t>
      </w:r>
      <w:r>
        <w:rPr>
          <w:spacing w:val="-4"/>
          <w:sz w:val="24"/>
        </w:rPr>
        <w:t> </w:t>
      </w:r>
      <w:r>
        <w:rPr>
          <w:sz w:val="24"/>
        </w:rPr>
        <w:t>Secretary,</w:t>
      </w:r>
      <w:r>
        <w:rPr>
          <w:spacing w:val="-4"/>
          <w:sz w:val="24"/>
        </w:rPr>
        <w:t> </w:t>
      </w:r>
      <w:r>
        <w:rPr>
          <w:sz w:val="24"/>
        </w:rPr>
        <w:t>University</w:t>
      </w:r>
      <w:r>
        <w:rPr>
          <w:spacing w:val="-4"/>
          <w:sz w:val="24"/>
        </w:rPr>
        <w:t> </w:t>
      </w:r>
      <w:r>
        <w:rPr>
          <w:sz w:val="24"/>
        </w:rPr>
        <w:t>Grants</w:t>
      </w:r>
      <w:r>
        <w:rPr>
          <w:spacing w:val="-4"/>
          <w:sz w:val="24"/>
        </w:rPr>
        <w:t> </w:t>
      </w:r>
      <w:r>
        <w:rPr>
          <w:sz w:val="24"/>
        </w:rPr>
        <w:t>Commission,</w:t>
      </w:r>
      <w:r>
        <w:rPr>
          <w:spacing w:val="-4"/>
          <w:sz w:val="24"/>
        </w:rPr>
        <w:t> </w:t>
      </w:r>
      <w:r>
        <w:rPr>
          <w:sz w:val="24"/>
        </w:rPr>
        <w:t>New</w:t>
      </w:r>
      <w:r>
        <w:rPr>
          <w:spacing w:val="-4"/>
          <w:sz w:val="24"/>
        </w:rPr>
        <w:t> </w:t>
      </w:r>
      <w:r>
        <w:rPr>
          <w:spacing w:val="-2"/>
          <w:sz w:val="24"/>
        </w:rPr>
        <w:t>Delhi.</w:t>
      </w:r>
    </w:p>
    <w:p>
      <w:pPr>
        <w:pStyle w:val="BodyText"/>
        <w:spacing w:before="2"/>
      </w:pPr>
    </w:p>
    <w:p>
      <w:pPr>
        <w:pStyle w:val="ListParagraph"/>
        <w:numPr>
          <w:ilvl w:val="0"/>
          <w:numId w:val="154"/>
        </w:numPr>
        <w:tabs>
          <w:tab w:pos="420" w:val="left" w:leader="none"/>
        </w:tabs>
        <w:spacing w:line="240" w:lineRule="auto" w:before="0" w:after="0"/>
        <w:ind w:left="160" w:right="496" w:firstLine="0"/>
        <w:jc w:val="left"/>
        <w:rPr>
          <w:sz w:val="24"/>
        </w:rPr>
      </w:pPr>
      <w:r>
        <w:rPr>
          <w:sz w:val="24"/>
        </w:rPr>
        <w:t>Dr. D. T. Lakdawala, Head of the Department of Economics, University of Bombay,</w:t>
      </w:r>
      <w:r>
        <w:rPr>
          <w:spacing w:val="40"/>
          <w:sz w:val="24"/>
        </w:rPr>
        <w:t> </w:t>
      </w:r>
      <w:r>
        <w:rPr>
          <w:spacing w:val="-2"/>
          <w:sz w:val="24"/>
        </w:rPr>
        <w:t>Bombay-1.</w:t>
      </w:r>
    </w:p>
    <w:p>
      <w:pPr>
        <w:pStyle w:val="BodyText"/>
        <w:spacing w:before="3"/>
      </w:pPr>
    </w:p>
    <w:p>
      <w:pPr>
        <w:pStyle w:val="ListParagraph"/>
        <w:numPr>
          <w:ilvl w:val="0"/>
          <w:numId w:val="154"/>
        </w:numPr>
        <w:tabs>
          <w:tab w:pos="451" w:val="left" w:leader="none"/>
        </w:tabs>
        <w:spacing w:line="240" w:lineRule="auto" w:before="1" w:after="0"/>
        <w:ind w:left="160" w:right="497" w:firstLine="0"/>
        <w:jc w:val="left"/>
        <w:rPr>
          <w:sz w:val="24"/>
        </w:rPr>
      </w:pPr>
      <w:r>
        <w:rPr>
          <w:sz w:val="24"/>
        </w:rPr>
        <w:t>Dr.</w:t>
      </w:r>
      <w:r>
        <w:rPr>
          <w:spacing w:val="40"/>
          <w:sz w:val="24"/>
        </w:rPr>
        <w:t> </w:t>
      </w:r>
      <w:r>
        <w:rPr>
          <w:sz w:val="24"/>
        </w:rPr>
        <w:t>Gautam</w:t>
      </w:r>
      <w:r>
        <w:rPr>
          <w:spacing w:val="40"/>
          <w:sz w:val="24"/>
        </w:rPr>
        <w:t> </w:t>
      </w:r>
      <w:r>
        <w:rPr>
          <w:sz w:val="24"/>
        </w:rPr>
        <w:t>Mathur,</w:t>
      </w:r>
      <w:r>
        <w:rPr>
          <w:spacing w:val="40"/>
          <w:sz w:val="24"/>
        </w:rPr>
        <w:t> </w:t>
      </w:r>
      <w:r>
        <w:rPr>
          <w:sz w:val="24"/>
        </w:rPr>
        <w:t>Head</w:t>
      </w:r>
      <w:r>
        <w:rPr>
          <w:spacing w:val="40"/>
          <w:sz w:val="24"/>
        </w:rPr>
        <w:t> </w:t>
      </w:r>
      <w:r>
        <w:rPr>
          <w:sz w:val="24"/>
        </w:rPr>
        <w:t>of</w:t>
      </w:r>
      <w:r>
        <w:rPr>
          <w:spacing w:val="40"/>
          <w:sz w:val="24"/>
        </w:rPr>
        <w:t> </w:t>
      </w:r>
      <w:r>
        <w:rPr>
          <w:sz w:val="24"/>
        </w:rPr>
        <w:t>the</w:t>
      </w:r>
      <w:r>
        <w:rPr>
          <w:spacing w:val="40"/>
          <w:sz w:val="24"/>
        </w:rPr>
        <w:t> </w:t>
      </w:r>
      <w:r>
        <w:rPr>
          <w:sz w:val="24"/>
        </w:rPr>
        <w:t>Department</w:t>
      </w:r>
      <w:r>
        <w:rPr>
          <w:spacing w:val="40"/>
          <w:sz w:val="24"/>
        </w:rPr>
        <w:t> </w:t>
      </w:r>
      <w:r>
        <w:rPr>
          <w:sz w:val="24"/>
        </w:rPr>
        <w:t>of</w:t>
      </w:r>
      <w:r>
        <w:rPr>
          <w:spacing w:val="40"/>
          <w:sz w:val="24"/>
        </w:rPr>
        <w:t> </w:t>
      </w:r>
      <w:r>
        <w:rPr>
          <w:sz w:val="24"/>
        </w:rPr>
        <w:t>Economics,</w:t>
      </w:r>
      <w:r>
        <w:rPr>
          <w:spacing w:val="40"/>
          <w:sz w:val="24"/>
        </w:rPr>
        <w:t> </w:t>
      </w:r>
      <w:r>
        <w:rPr>
          <w:sz w:val="24"/>
        </w:rPr>
        <w:t>Osmania</w:t>
      </w:r>
      <w:r>
        <w:rPr>
          <w:spacing w:val="40"/>
          <w:sz w:val="24"/>
        </w:rPr>
        <w:t> </w:t>
      </w:r>
      <w:r>
        <w:rPr>
          <w:sz w:val="24"/>
        </w:rPr>
        <w:t>University, </w:t>
      </w:r>
      <w:r>
        <w:rPr>
          <w:spacing w:val="-2"/>
          <w:sz w:val="24"/>
        </w:rPr>
        <w:t>Hyderabad.</w:t>
      </w:r>
    </w:p>
    <w:p>
      <w:pPr>
        <w:pStyle w:val="BodyText"/>
        <w:spacing w:before="4"/>
      </w:pPr>
    </w:p>
    <w:p>
      <w:pPr>
        <w:pStyle w:val="ListParagraph"/>
        <w:numPr>
          <w:ilvl w:val="0"/>
          <w:numId w:val="154"/>
        </w:numPr>
        <w:tabs>
          <w:tab w:pos="399" w:val="left" w:leader="none"/>
        </w:tabs>
        <w:spacing w:line="240" w:lineRule="auto" w:before="0" w:after="0"/>
        <w:ind w:left="399" w:right="0" w:hanging="239"/>
        <w:jc w:val="left"/>
        <w:rPr>
          <w:sz w:val="24"/>
        </w:rPr>
      </w:pPr>
      <w:r>
        <w:rPr>
          <w:sz w:val="24"/>
        </w:rPr>
        <w:t>Dr.</w:t>
      </w:r>
      <w:r>
        <w:rPr>
          <w:spacing w:val="-6"/>
          <w:sz w:val="24"/>
        </w:rPr>
        <w:t> </w:t>
      </w:r>
      <w:r>
        <w:rPr>
          <w:sz w:val="24"/>
        </w:rPr>
        <w:t>Atmanand</w:t>
      </w:r>
      <w:r>
        <w:rPr>
          <w:spacing w:val="-4"/>
          <w:sz w:val="24"/>
        </w:rPr>
        <w:t> </w:t>
      </w:r>
      <w:r>
        <w:rPr>
          <w:sz w:val="24"/>
        </w:rPr>
        <w:t>Misra,</w:t>
      </w:r>
      <w:r>
        <w:rPr>
          <w:spacing w:val="-3"/>
          <w:sz w:val="24"/>
        </w:rPr>
        <w:t> </w:t>
      </w:r>
      <w:r>
        <w:rPr>
          <w:sz w:val="24"/>
        </w:rPr>
        <w:t>Director</w:t>
      </w:r>
      <w:r>
        <w:rPr>
          <w:spacing w:val="-4"/>
          <w:sz w:val="24"/>
        </w:rPr>
        <w:t> </w:t>
      </w:r>
      <w:r>
        <w:rPr>
          <w:sz w:val="24"/>
        </w:rPr>
        <w:t>of</w:t>
      </w:r>
      <w:r>
        <w:rPr>
          <w:spacing w:val="-4"/>
          <w:sz w:val="24"/>
        </w:rPr>
        <w:t> </w:t>
      </w:r>
      <w:r>
        <w:rPr>
          <w:sz w:val="24"/>
        </w:rPr>
        <w:t>Public</w:t>
      </w:r>
      <w:r>
        <w:rPr>
          <w:spacing w:val="-2"/>
          <w:sz w:val="24"/>
        </w:rPr>
        <w:t> </w:t>
      </w:r>
      <w:r>
        <w:rPr>
          <w:sz w:val="24"/>
        </w:rPr>
        <w:t>Instruction,</w:t>
      </w:r>
      <w:r>
        <w:rPr>
          <w:spacing w:val="-3"/>
          <w:sz w:val="24"/>
        </w:rPr>
        <w:t> </w:t>
      </w:r>
      <w:r>
        <w:rPr>
          <w:sz w:val="24"/>
        </w:rPr>
        <w:t>Madhya</w:t>
      </w:r>
      <w:r>
        <w:rPr>
          <w:spacing w:val="-4"/>
          <w:sz w:val="24"/>
        </w:rPr>
        <w:t> </w:t>
      </w:r>
      <w:r>
        <w:rPr>
          <w:sz w:val="24"/>
        </w:rPr>
        <w:t>Pradesh,</w:t>
      </w:r>
      <w:r>
        <w:rPr>
          <w:spacing w:val="-3"/>
          <w:sz w:val="24"/>
        </w:rPr>
        <w:t> </w:t>
      </w:r>
      <w:r>
        <w:rPr>
          <w:spacing w:val="-2"/>
          <w:sz w:val="24"/>
        </w:rPr>
        <w:t>Bhopal.</w:t>
      </w:r>
    </w:p>
    <w:p>
      <w:pPr>
        <w:spacing w:after="0" w:line="240" w:lineRule="auto"/>
        <w:jc w:val="left"/>
        <w:rPr>
          <w:sz w:val="24"/>
        </w:rPr>
        <w:sectPr>
          <w:pgSz w:w="12240" w:h="15840"/>
          <w:pgMar w:header="0" w:footer="743" w:top="1360" w:bottom="940" w:left="1640" w:right="1300"/>
        </w:sectPr>
      </w:pPr>
    </w:p>
    <w:p>
      <w:pPr>
        <w:pStyle w:val="ListParagraph"/>
        <w:numPr>
          <w:ilvl w:val="0"/>
          <w:numId w:val="154"/>
        </w:numPr>
        <w:tabs>
          <w:tab w:pos="467" w:val="left" w:leader="none"/>
        </w:tabs>
        <w:spacing w:line="240" w:lineRule="auto" w:before="76" w:after="0"/>
        <w:ind w:left="160" w:right="497" w:firstLine="0"/>
        <w:jc w:val="left"/>
        <w:rPr>
          <w:sz w:val="24"/>
        </w:rPr>
      </w:pPr>
      <w:r>
        <w:rPr>
          <w:sz w:val="24"/>
        </w:rPr>
        <w:t>Dr.</w:t>
      </w:r>
      <w:r>
        <w:rPr>
          <w:spacing w:val="40"/>
          <w:sz w:val="24"/>
        </w:rPr>
        <w:t> </w:t>
      </w:r>
      <w:r>
        <w:rPr>
          <w:sz w:val="24"/>
        </w:rPr>
        <w:t>Sadashiv</w:t>
      </w:r>
      <w:r>
        <w:rPr>
          <w:spacing w:val="40"/>
          <w:sz w:val="24"/>
        </w:rPr>
        <w:t> </w:t>
      </w:r>
      <w:r>
        <w:rPr>
          <w:sz w:val="24"/>
        </w:rPr>
        <w:t>Misra,</w:t>
      </w:r>
      <w:r>
        <w:rPr>
          <w:spacing w:val="40"/>
          <w:sz w:val="24"/>
        </w:rPr>
        <w:t> </w:t>
      </w:r>
      <w:r>
        <w:rPr>
          <w:sz w:val="24"/>
        </w:rPr>
        <w:t>Director</w:t>
      </w:r>
      <w:r>
        <w:rPr>
          <w:spacing w:val="40"/>
          <w:sz w:val="24"/>
        </w:rPr>
        <w:t> </w:t>
      </w:r>
      <w:r>
        <w:rPr>
          <w:sz w:val="24"/>
        </w:rPr>
        <w:t>of</w:t>
      </w:r>
      <w:r>
        <w:rPr>
          <w:spacing w:val="40"/>
          <w:sz w:val="24"/>
        </w:rPr>
        <w:t> </w:t>
      </w:r>
      <w:r>
        <w:rPr>
          <w:sz w:val="24"/>
        </w:rPr>
        <w:t>Public</w:t>
      </w:r>
      <w:r>
        <w:rPr>
          <w:spacing w:val="40"/>
          <w:sz w:val="24"/>
        </w:rPr>
        <w:t> </w:t>
      </w:r>
      <w:r>
        <w:rPr>
          <w:sz w:val="24"/>
        </w:rPr>
        <w:t>Instruction,</w:t>
      </w:r>
      <w:r>
        <w:rPr>
          <w:spacing w:val="40"/>
          <w:sz w:val="24"/>
        </w:rPr>
        <w:t> </w:t>
      </w:r>
      <w:r>
        <w:rPr>
          <w:sz w:val="24"/>
        </w:rPr>
        <w:t>(now</w:t>
      </w:r>
      <w:r>
        <w:rPr>
          <w:spacing w:val="40"/>
          <w:sz w:val="24"/>
        </w:rPr>
        <w:t> </w:t>
      </w:r>
      <w:r>
        <w:rPr>
          <w:sz w:val="24"/>
        </w:rPr>
        <w:t>Vice-Chancellor,</w:t>
      </w:r>
      <w:r>
        <w:rPr>
          <w:spacing w:val="40"/>
          <w:sz w:val="24"/>
        </w:rPr>
        <w:t> </w:t>
      </w:r>
      <w:r>
        <w:rPr>
          <w:sz w:val="24"/>
        </w:rPr>
        <w:t>Utkal</w:t>
      </w:r>
      <w:r>
        <w:rPr>
          <w:spacing w:val="40"/>
          <w:sz w:val="24"/>
        </w:rPr>
        <w:t> </w:t>
      </w:r>
      <w:r>
        <w:rPr>
          <w:sz w:val="24"/>
        </w:rPr>
        <w:t>University), Cuttack, Orissa.</w:t>
      </w:r>
    </w:p>
    <w:p>
      <w:pPr>
        <w:pStyle w:val="BodyText"/>
        <w:spacing w:before="5"/>
      </w:pPr>
    </w:p>
    <w:p>
      <w:pPr>
        <w:pStyle w:val="ListParagraph"/>
        <w:numPr>
          <w:ilvl w:val="0"/>
          <w:numId w:val="154"/>
        </w:numPr>
        <w:tabs>
          <w:tab w:pos="517" w:val="left" w:leader="none"/>
        </w:tabs>
        <w:spacing w:line="240" w:lineRule="auto" w:before="0" w:after="0"/>
        <w:ind w:left="517" w:right="0" w:hanging="357"/>
        <w:jc w:val="left"/>
        <w:rPr>
          <w:sz w:val="24"/>
        </w:rPr>
      </w:pPr>
      <w:r>
        <w:rPr>
          <w:sz w:val="24"/>
        </w:rPr>
        <w:t>Shri</w:t>
      </w:r>
      <w:r>
        <w:rPr>
          <w:spacing w:val="-9"/>
          <w:sz w:val="24"/>
        </w:rPr>
        <w:t> </w:t>
      </w:r>
      <w:r>
        <w:rPr>
          <w:sz w:val="24"/>
        </w:rPr>
        <w:t>J.</w:t>
      </w:r>
      <w:r>
        <w:rPr>
          <w:spacing w:val="-7"/>
          <w:sz w:val="24"/>
        </w:rPr>
        <w:t> </w:t>
      </w:r>
      <w:r>
        <w:rPr>
          <w:sz w:val="24"/>
        </w:rPr>
        <w:t>P.</w:t>
      </w:r>
      <w:r>
        <w:rPr>
          <w:spacing w:val="-6"/>
          <w:sz w:val="24"/>
        </w:rPr>
        <w:t> </w:t>
      </w:r>
      <w:r>
        <w:rPr>
          <w:sz w:val="24"/>
        </w:rPr>
        <w:t>Naik,</w:t>
      </w:r>
      <w:r>
        <w:rPr>
          <w:spacing w:val="-7"/>
          <w:sz w:val="24"/>
        </w:rPr>
        <w:t> </w:t>
      </w:r>
      <w:r>
        <w:rPr>
          <w:sz w:val="24"/>
        </w:rPr>
        <w:t>Member-Secretary,</w:t>
      </w:r>
      <w:r>
        <w:rPr>
          <w:spacing w:val="-7"/>
          <w:sz w:val="24"/>
        </w:rPr>
        <w:t> </w:t>
      </w:r>
      <w:r>
        <w:rPr>
          <w:sz w:val="24"/>
        </w:rPr>
        <w:t>Education</w:t>
      </w:r>
      <w:r>
        <w:rPr>
          <w:spacing w:val="-6"/>
          <w:sz w:val="24"/>
        </w:rPr>
        <w:t> </w:t>
      </w:r>
      <w:r>
        <w:rPr>
          <w:sz w:val="24"/>
        </w:rPr>
        <w:t>Commission,</w:t>
      </w:r>
      <w:r>
        <w:rPr>
          <w:spacing w:val="-7"/>
          <w:sz w:val="24"/>
        </w:rPr>
        <w:t> </w:t>
      </w:r>
      <w:r>
        <w:rPr>
          <w:sz w:val="24"/>
        </w:rPr>
        <w:t>New</w:t>
      </w:r>
      <w:r>
        <w:rPr>
          <w:spacing w:val="-6"/>
          <w:sz w:val="24"/>
        </w:rPr>
        <w:t> </w:t>
      </w:r>
      <w:r>
        <w:rPr>
          <w:spacing w:val="-2"/>
          <w:sz w:val="24"/>
        </w:rPr>
        <w:t>Delhi.</w:t>
      </w:r>
    </w:p>
    <w:p>
      <w:pPr>
        <w:pStyle w:val="BodyText"/>
        <w:spacing w:before="5"/>
      </w:pPr>
    </w:p>
    <w:p>
      <w:pPr>
        <w:pStyle w:val="ListParagraph"/>
        <w:numPr>
          <w:ilvl w:val="0"/>
          <w:numId w:val="154"/>
        </w:numPr>
        <w:tabs>
          <w:tab w:pos="520" w:val="left" w:leader="none"/>
        </w:tabs>
        <w:spacing w:line="240" w:lineRule="auto" w:before="0" w:after="0"/>
        <w:ind w:left="520" w:right="0" w:hanging="360"/>
        <w:jc w:val="left"/>
        <w:rPr>
          <w:sz w:val="24"/>
        </w:rPr>
      </w:pPr>
      <w:r>
        <w:rPr>
          <w:sz w:val="24"/>
        </w:rPr>
        <w:t>Dr.</w:t>
      </w:r>
      <w:r>
        <w:rPr>
          <w:spacing w:val="-3"/>
          <w:sz w:val="24"/>
        </w:rPr>
        <w:t> </w:t>
      </w:r>
      <w:r>
        <w:rPr>
          <w:sz w:val="24"/>
        </w:rPr>
        <w:t>K. A. Naqvi,</w:t>
      </w:r>
      <w:r>
        <w:rPr>
          <w:spacing w:val="-1"/>
          <w:sz w:val="24"/>
        </w:rPr>
        <w:t> </w:t>
      </w:r>
      <w:r>
        <w:rPr>
          <w:sz w:val="24"/>
        </w:rPr>
        <w:t>Delhi School of Economics,</w:t>
      </w:r>
      <w:r>
        <w:rPr>
          <w:spacing w:val="-2"/>
          <w:sz w:val="24"/>
        </w:rPr>
        <w:t> </w:t>
      </w:r>
      <w:r>
        <w:rPr>
          <w:sz w:val="24"/>
        </w:rPr>
        <w:t>University</w:t>
      </w:r>
      <w:r>
        <w:rPr>
          <w:spacing w:val="-1"/>
          <w:sz w:val="24"/>
        </w:rPr>
        <w:t> </w:t>
      </w:r>
      <w:r>
        <w:rPr>
          <w:sz w:val="24"/>
        </w:rPr>
        <w:t>of</w:t>
      </w:r>
      <w:r>
        <w:rPr>
          <w:spacing w:val="-1"/>
          <w:sz w:val="24"/>
        </w:rPr>
        <w:t> </w:t>
      </w:r>
      <w:r>
        <w:rPr>
          <w:sz w:val="24"/>
        </w:rPr>
        <w:t>Delhi,</w:t>
      </w:r>
      <w:r>
        <w:rPr>
          <w:spacing w:val="-1"/>
          <w:sz w:val="24"/>
        </w:rPr>
        <w:t> </w:t>
      </w:r>
      <w:r>
        <w:rPr>
          <w:spacing w:val="-2"/>
          <w:sz w:val="24"/>
        </w:rPr>
        <w:t>Delhi.</w:t>
      </w:r>
    </w:p>
    <w:p>
      <w:pPr>
        <w:pStyle w:val="BodyText"/>
        <w:spacing w:before="2"/>
      </w:pPr>
    </w:p>
    <w:p>
      <w:pPr>
        <w:pStyle w:val="ListParagraph"/>
        <w:numPr>
          <w:ilvl w:val="0"/>
          <w:numId w:val="154"/>
        </w:numPr>
        <w:tabs>
          <w:tab w:pos="549" w:val="left" w:leader="none"/>
        </w:tabs>
        <w:spacing w:line="240" w:lineRule="auto" w:before="1" w:after="0"/>
        <w:ind w:left="160" w:right="497" w:firstLine="0"/>
        <w:jc w:val="left"/>
        <w:rPr>
          <w:sz w:val="24"/>
        </w:rPr>
      </w:pPr>
      <w:r>
        <w:rPr>
          <w:sz w:val="24"/>
        </w:rPr>
        <w:t>Dr. Pritam Singh, Director, National Council of Applied Economic Research, New</w:t>
      </w:r>
      <w:r>
        <w:rPr>
          <w:spacing w:val="80"/>
          <w:sz w:val="24"/>
        </w:rPr>
        <w:t> </w:t>
      </w:r>
      <w:r>
        <w:rPr>
          <w:spacing w:val="-2"/>
          <w:sz w:val="24"/>
        </w:rPr>
        <w:t>Delhi.</w:t>
      </w:r>
    </w:p>
    <w:p>
      <w:pPr>
        <w:pStyle w:val="BodyText"/>
        <w:spacing w:before="3"/>
      </w:pPr>
    </w:p>
    <w:p>
      <w:pPr>
        <w:pStyle w:val="ListParagraph"/>
        <w:numPr>
          <w:ilvl w:val="0"/>
          <w:numId w:val="154"/>
        </w:numPr>
        <w:tabs>
          <w:tab w:pos="575" w:val="left" w:leader="none"/>
        </w:tabs>
        <w:spacing w:line="240" w:lineRule="auto" w:before="0" w:after="0"/>
        <w:ind w:left="160" w:right="499" w:firstLine="0"/>
        <w:jc w:val="left"/>
        <w:rPr>
          <w:sz w:val="24"/>
        </w:rPr>
      </w:pPr>
      <w:r>
        <w:rPr>
          <w:sz w:val="24"/>
        </w:rPr>
        <w:t>Shri</w:t>
      </w:r>
      <w:r>
        <w:rPr>
          <w:spacing w:val="40"/>
          <w:sz w:val="24"/>
        </w:rPr>
        <w:t> </w:t>
      </w:r>
      <w:r>
        <w:rPr>
          <w:sz w:val="24"/>
        </w:rPr>
        <w:t>Gurbax</w:t>
      </w:r>
      <w:r>
        <w:rPr>
          <w:spacing w:val="40"/>
          <w:sz w:val="24"/>
        </w:rPr>
        <w:t> </w:t>
      </w:r>
      <w:r>
        <w:rPr>
          <w:sz w:val="24"/>
        </w:rPr>
        <w:t>Singh,</w:t>
      </w:r>
      <w:r>
        <w:rPr>
          <w:spacing w:val="40"/>
          <w:sz w:val="24"/>
        </w:rPr>
        <w:t> </w:t>
      </w:r>
      <w:r>
        <w:rPr>
          <w:sz w:val="24"/>
        </w:rPr>
        <w:t>Assistant</w:t>
      </w:r>
      <w:r>
        <w:rPr>
          <w:spacing w:val="40"/>
          <w:sz w:val="24"/>
        </w:rPr>
        <w:t> </w:t>
      </w:r>
      <w:r>
        <w:rPr>
          <w:sz w:val="24"/>
        </w:rPr>
        <w:t>Educational</w:t>
      </w:r>
      <w:r>
        <w:rPr>
          <w:spacing w:val="40"/>
          <w:sz w:val="24"/>
        </w:rPr>
        <w:t> </w:t>
      </w:r>
      <w:r>
        <w:rPr>
          <w:sz w:val="24"/>
        </w:rPr>
        <w:t>Adviser,</w:t>
      </w:r>
      <w:r>
        <w:rPr>
          <w:spacing w:val="40"/>
          <w:sz w:val="24"/>
        </w:rPr>
        <w:t> </w:t>
      </w:r>
      <w:r>
        <w:rPr>
          <w:sz w:val="24"/>
        </w:rPr>
        <w:t>Education</w:t>
      </w:r>
      <w:r>
        <w:rPr>
          <w:spacing w:val="40"/>
          <w:sz w:val="24"/>
        </w:rPr>
        <w:t> </w:t>
      </w:r>
      <w:r>
        <w:rPr>
          <w:sz w:val="24"/>
        </w:rPr>
        <w:t>Commission,</w:t>
      </w:r>
      <w:r>
        <w:rPr>
          <w:spacing w:val="40"/>
          <w:sz w:val="24"/>
        </w:rPr>
        <w:t> </w:t>
      </w:r>
      <w:r>
        <w:rPr>
          <w:sz w:val="24"/>
        </w:rPr>
        <w:t>New Delhi. Secretary</w:t>
      </w:r>
    </w:p>
    <w:p>
      <w:pPr>
        <w:pStyle w:val="BodyText"/>
        <w:spacing w:before="7"/>
      </w:pPr>
    </w:p>
    <w:p>
      <w:pPr>
        <w:pStyle w:val="Heading2"/>
        <w:spacing w:before="1"/>
      </w:pPr>
      <w:r>
        <w:rPr/>
        <w:t>AIV.05. Task Force on</w:t>
      </w:r>
      <w:r>
        <w:rPr>
          <w:spacing w:val="-2"/>
        </w:rPr>
        <w:t> </w:t>
      </w:r>
      <w:r>
        <w:rPr/>
        <w:t>Higher </w:t>
      </w:r>
      <w:r>
        <w:rPr>
          <w:spacing w:val="-2"/>
        </w:rPr>
        <w:t>Education</w:t>
      </w:r>
    </w:p>
    <w:p>
      <w:pPr>
        <w:pStyle w:val="BodyText"/>
        <w:spacing w:before="1"/>
        <w:rPr>
          <w:b/>
        </w:rPr>
      </w:pPr>
    </w:p>
    <w:p>
      <w:pPr>
        <w:pStyle w:val="ListParagraph"/>
        <w:numPr>
          <w:ilvl w:val="0"/>
          <w:numId w:val="155"/>
        </w:numPr>
        <w:tabs>
          <w:tab w:pos="400" w:val="left" w:leader="none"/>
        </w:tabs>
        <w:spacing w:line="240" w:lineRule="auto" w:before="0" w:after="0"/>
        <w:ind w:left="400" w:right="0" w:hanging="240"/>
        <w:jc w:val="left"/>
        <w:rPr>
          <w:sz w:val="24"/>
        </w:rPr>
      </w:pPr>
      <w:r>
        <w:rPr>
          <w:sz w:val="24"/>
        </w:rPr>
        <w:t>Dr.</w:t>
      </w:r>
      <w:r>
        <w:rPr>
          <w:spacing w:val="-3"/>
          <w:sz w:val="24"/>
        </w:rPr>
        <w:t> </w:t>
      </w:r>
      <w:r>
        <w:rPr>
          <w:sz w:val="24"/>
        </w:rPr>
        <w:t>K. G.</w:t>
      </w:r>
      <w:r>
        <w:rPr>
          <w:spacing w:val="-1"/>
          <w:sz w:val="24"/>
        </w:rPr>
        <w:t> </w:t>
      </w:r>
      <w:r>
        <w:rPr>
          <w:sz w:val="24"/>
        </w:rPr>
        <w:t>Saiyidain, Member,</w:t>
      </w:r>
      <w:r>
        <w:rPr>
          <w:spacing w:val="-1"/>
          <w:sz w:val="24"/>
        </w:rPr>
        <w:t> </w:t>
      </w:r>
      <w:r>
        <w:rPr>
          <w:sz w:val="24"/>
        </w:rPr>
        <w:t>Education Commission,</w:t>
      </w:r>
      <w:r>
        <w:rPr>
          <w:spacing w:val="-1"/>
          <w:sz w:val="24"/>
        </w:rPr>
        <w:t> </w:t>
      </w:r>
      <w:r>
        <w:rPr>
          <w:sz w:val="24"/>
        </w:rPr>
        <w:t>New Delhi </w:t>
      </w:r>
      <w:r>
        <w:rPr>
          <w:spacing w:val="-2"/>
          <w:sz w:val="24"/>
        </w:rPr>
        <w:t>Convener</w:t>
      </w:r>
    </w:p>
    <w:p>
      <w:pPr>
        <w:pStyle w:val="BodyText"/>
        <w:spacing w:before="4"/>
      </w:pPr>
    </w:p>
    <w:p>
      <w:pPr>
        <w:pStyle w:val="ListParagraph"/>
        <w:numPr>
          <w:ilvl w:val="0"/>
          <w:numId w:val="155"/>
        </w:numPr>
        <w:tabs>
          <w:tab w:pos="400" w:val="left" w:leader="none"/>
        </w:tabs>
        <w:spacing w:line="240" w:lineRule="auto" w:before="1" w:after="0"/>
        <w:ind w:left="400" w:right="0" w:hanging="240"/>
        <w:jc w:val="left"/>
        <w:rPr>
          <w:sz w:val="24"/>
        </w:rPr>
      </w:pPr>
      <w:r>
        <w:rPr>
          <w:sz w:val="24"/>
        </w:rPr>
        <w:t>Shri</w:t>
      </w:r>
      <w:r>
        <w:rPr>
          <w:spacing w:val="-2"/>
          <w:sz w:val="24"/>
        </w:rPr>
        <w:t> </w:t>
      </w:r>
      <w:r>
        <w:rPr>
          <w:sz w:val="24"/>
        </w:rPr>
        <w:t>j.</w:t>
      </w:r>
      <w:r>
        <w:rPr>
          <w:spacing w:val="-1"/>
          <w:sz w:val="24"/>
        </w:rPr>
        <w:t> </w:t>
      </w:r>
      <w:r>
        <w:rPr>
          <w:sz w:val="24"/>
        </w:rPr>
        <w:t>W. Airan,</w:t>
      </w:r>
      <w:r>
        <w:rPr>
          <w:spacing w:val="-2"/>
          <w:sz w:val="24"/>
        </w:rPr>
        <w:t> </w:t>
      </w:r>
      <w:r>
        <w:rPr>
          <w:sz w:val="24"/>
        </w:rPr>
        <w:t>Principal,</w:t>
      </w:r>
      <w:r>
        <w:rPr>
          <w:spacing w:val="-1"/>
          <w:sz w:val="24"/>
        </w:rPr>
        <w:t> </w:t>
      </w:r>
      <w:r>
        <w:rPr>
          <w:sz w:val="24"/>
        </w:rPr>
        <w:t>Wilson</w:t>
      </w:r>
      <w:r>
        <w:rPr>
          <w:spacing w:val="-1"/>
          <w:sz w:val="24"/>
        </w:rPr>
        <w:t> </w:t>
      </w:r>
      <w:r>
        <w:rPr>
          <w:sz w:val="24"/>
        </w:rPr>
        <w:t>College,</w:t>
      </w:r>
      <w:r>
        <w:rPr>
          <w:spacing w:val="-1"/>
          <w:sz w:val="24"/>
        </w:rPr>
        <w:t> </w:t>
      </w:r>
      <w:r>
        <w:rPr>
          <w:sz w:val="24"/>
        </w:rPr>
        <w:t>Bombay-</w:t>
      </w:r>
      <w:r>
        <w:rPr>
          <w:spacing w:val="-5"/>
          <w:sz w:val="24"/>
        </w:rPr>
        <w:t>7.</w:t>
      </w:r>
    </w:p>
    <w:p>
      <w:pPr>
        <w:pStyle w:val="BodyText"/>
        <w:spacing w:before="3"/>
      </w:pPr>
    </w:p>
    <w:p>
      <w:pPr>
        <w:pStyle w:val="ListParagraph"/>
        <w:numPr>
          <w:ilvl w:val="0"/>
          <w:numId w:val="155"/>
        </w:numPr>
        <w:tabs>
          <w:tab w:pos="400" w:val="left" w:leader="none"/>
        </w:tabs>
        <w:spacing w:line="240" w:lineRule="auto" w:before="0" w:after="0"/>
        <w:ind w:left="400" w:right="0" w:hanging="240"/>
        <w:jc w:val="left"/>
        <w:rPr>
          <w:sz w:val="24"/>
        </w:rPr>
      </w:pPr>
      <w:r>
        <w:rPr>
          <w:sz w:val="24"/>
        </w:rPr>
        <w:t>Shri</w:t>
      </w:r>
      <w:r>
        <w:rPr>
          <w:spacing w:val="-3"/>
          <w:sz w:val="24"/>
        </w:rPr>
        <w:t> </w:t>
      </w:r>
      <w:r>
        <w:rPr>
          <w:sz w:val="24"/>
        </w:rPr>
        <w:t>P.</w:t>
      </w:r>
      <w:r>
        <w:rPr>
          <w:spacing w:val="-2"/>
          <w:sz w:val="24"/>
        </w:rPr>
        <w:t> </w:t>
      </w:r>
      <w:r>
        <w:rPr>
          <w:sz w:val="24"/>
        </w:rPr>
        <w:t>K.</w:t>
      </w:r>
      <w:r>
        <w:rPr>
          <w:spacing w:val="-2"/>
          <w:sz w:val="24"/>
        </w:rPr>
        <w:t> </w:t>
      </w:r>
      <w:r>
        <w:rPr>
          <w:sz w:val="24"/>
        </w:rPr>
        <w:t>Bose,</w:t>
      </w:r>
      <w:r>
        <w:rPr>
          <w:spacing w:val="-2"/>
          <w:sz w:val="24"/>
        </w:rPr>
        <w:t> </w:t>
      </w:r>
      <w:r>
        <w:rPr>
          <w:sz w:val="24"/>
        </w:rPr>
        <w:t>Principal,</w:t>
      </w:r>
      <w:r>
        <w:rPr>
          <w:spacing w:val="-2"/>
          <w:sz w:val="24"/>
        </w:rPr>
        <w:t> </w:t>
      </w:r>
      <w:r>
        <w:rPr>
          <w:sz w:val="24"/>
        </w:rPr>
        <w:t>Bangabasi</w:t>
      </w:r>
      <w:r>
        <w:rPr>
          <w:spacing w:val="-3"/>
          <w:sz w:val="24"/>
        </w:rPr>
        <w:t> </w:t>
      </w:r>
      <w:r>
        <w:rPr>
          <w:sz w:val="24"/>
        </w:rPr>
        <w:t>College,</w:t>
      </w:r>
      <w:r>
        <w:rPr>
          <w:spacing w:val="-3"/>
          <w:sz w:val="24"/>
        </w:rPr>
        <w:t> </w:t>
      </w:r>
      <w:r>
        <w:rPr>
          <w:spacing w:val="-2"/>
          <w:sz w:val="24"/>
        </w:rPr>
        <w:t>Calcutta.</w:t>
      </w:r>
    </w:p>
    <w:p>
      <w:pPr>
        <w:pStyle w:val="BodyText"/>
        <w:spacing w:before="4"/>
      </w:pPr>
    </w:p>
    <w:p>
      <w:pPr>
        <w:pStyle w:val="ListParagraph"/>
        <w:numPr>
          <w:ilvl w:val="0"/>
          <w:numId w:val="155"/>
        </w:numPr>
        <w:tabs>
          <w:tab w:pos="503" w:val="left" w:leader="none"/>
        </w:tabs>
        <w:spacing w:line="240" w:lineRule="auto" w:before="0" w:after="0"/>
        <w:ind w:left="160" w:right="497" w:firstLine="0"/>
        <w:jc w:val="left"/>
        <w:rPr>
          <w:sz w:val="24"/>
        </w:rPr>
      </w:pPr>
      <w:r>
        <w:rPr>
          <w:sz w:val="24"/>
        </w:rPr>
        <w:t>Shri</w:t>
      </w:r>
      <w:r>
        <w:rPr>
          <w:spacing w:val="80"/>
          <w:sz w:val="24"/>
        </w:rPr>
        <w:t> </w:t>
      </w:r>
      <w:r>
        <w:rPr>
          <w:sz w:val="24"/>
        </w:rPr>
        <w:t>Chandrahasan,</w:t>
      </w:r>
      <w:r>
        <w:rPr>
          <w:spacing w:val="80"/>
          <w:sz w:val="24"/>
        </w:rPr>
        <w:t> </w:t>
      </w:r>
      <w:r>
        <w:rPr>
          <w:sz w:val="24"/>
        </w:rPr>
        <w:t>Head</w:t>
      </w:r>
      <w:r>
        <w:rPr>
          <w:spacing w:val="80"/>
          <w:sz w:val="24"/>
        </w:rPr>
        <w:t> </w:t>
      </w:r>
      <w:r>
        <w:rPr>
          <w:sz w:val="24"/>
        </w:rPr>
        <w:t>of</w:t>
      </w:r>
      <w:r>
        <w:rPr>
          <w:spacing w:val="80"/>
          <w:sz w:val="24"/>
        </w:rPr>
        <w:t> </w:t>
      </w:r>
      <w:r>
        <w:rPr>
          <w:sz w:val="24"/>
        </w:rPr>
        <w:t>the</w:t>
      </w:r>
      <w:r>
        <w:rPr>
          <w:spacing w:val="80"/>
          <w:sz w:val="24"/>
        </w:rPr>
        <w:t> </w:t>
      </w:r>
      <w:r>
        <w:rPr>
          <w:sz w:val="24"/>
        </w:rPr>
        <w:t>Department</w:t>
      </w:r>
      <w:r>
        <w:rPr>
          <w:spacing w:val="80"/>
          <w:sz w:val="24"/>
        </w:rPr>
        <w:t> </w:t>
      </w:r>
      <w:r>
        <w:rPr>
          <w:sz w:val="24"/>
        </w:rPr>
        <w:t>of</w:t>
      </w:r>
      <w:r>
        <w:rPr>
          <w:spacing w:val="80"/>
          <w:sz w:val="24"/>
        </w:rPr>
        <w:t> </w:t>
      </w:r>
      <w:r>
        <w:rPr>
          <w:sz w:val="24"/>
        </w:rPr>
        <w:t>Hindi,</w:t>
      </w:r>
      <w:r>
        <w:rPr>
          <w:spacing w:val="80"/>
          <w:sz w:val="24"/>
        </w:rPr>
        <w:t> </w:t>
      </w:r>
      <w:r>
        <w:rPr>
          <w:sz w:val="24"/>
        </w:rPr>
        <w:t>University</w:t>
      </w:r>
      <w:r>
        <w:rPr>
          <w:spacing w:val="80"/>
          <w:sz w:val="24"/>
        </w:rPr>
        <w:t> </w:t>
      </w:r>
      <w:r>
        <w:rPr>
          <w:sz w:val="24"/>
        </w:rPr>
        <w:t>of</w:t>
      </w:r>
      <w:r>
        <w:rPr>
          <w:spacing w:val="80"/>
          <w:sz w:val="24"/>
        </w:rPr>
        <w:t> </w:t>
      </w:r>
      <w:r>
        <w:rPr>
          <w:sz w:val="24"/>
        </w:rPr>
        <w:t>Kerala, </w:t>
      </w:r>
      <w:r>
        <w:rPr>
          <w:spacing w:val="-2"/>
          <w:sz w:val="24"/>
        </w:rPr>
        <w:t>Ernakulam.</w:t>
      </w:r>
    </w:p>
    <w:p>
      <w:pPr>
        <w:pStyle w:val="BodyText"/>
        <w:spacing w:before="5"/>
      </w:pPr>
    </w:p>
    <w:p>
      <w:pPr>
        <w:pStyle w:val="ListParagraph"/>
        <w:numPr>
          <w:ilvl w:val="0"/>
          <w:numId w:val="155"/>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3"/>
      </w:pPr>
    </w:p>
    <w:p>
      <w:pPr>
        <w:pStyle w:val="ListParagraph"/>
        <w:numPr>
          <w:ilvl w:val="0"/>
          <w:numId w:val="155"/>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A. C. Joshi, Adviser,</w:t>
      </w:r>
      <w:r>
        <w:rPr>
          <w:spacing w:val="-2"/>
          <w:sz w:val="24"/>
        </w:rPr>
        <w:t> </w:t>
      </w:r>
      <w:r>
        <w:rPr>
          <w:sz w:val="24"/>
        </w:rPr>
        <w:t>Planning</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55"/>
        </w:numPr>
        <w:tabs>
          <w:tab w:pos="404" w:val="left" w:leader="none"/>
        </w:tabs>
        <w:spacing w:line="240" w:lineRule="auto" w:before="0" w:after="0"/>
        <w:ind w:left="160" w:right="498" w:firstLine="0"/>
        <w:jc w:val="left"/>
        <w:rPr>
          <w:sz w:val="24"/>
        </w:rPr>
      </w:pPr>
      <w:r>
        <w:rPr>
          <w:sz w:val="24"/>
        </w:rPr>
        <w:t>Shri K. L. Joshi, Secretary, University Grants Commission, Bahadur Shah Zafar Marg, New Delhi-1.</w:t>
      </w:r>
    </w:p>
    <w:p>
      <w:pPr>
        <w:pStyle w:val="BodyText"/>
        <w:spacing w:before="4"/>
      </w:pPr>
    </w:p>
    <w:p>
      <w:pPr>
        <w:pStyle w:val="ListParagraph"/>
        <w:numPr>
          <w:ilvl w:val="0"/>
          <w:numId w:val="155"/>
        </w:numPr>
        <w:tabs>
          <w:tab w:pos="401" w:val="left" w:leader="none"/>
        </w:tabs>
        <w:spacing w:line="240" w:lineRule="auto" w:before="0" w:after="0"/>
        <w:ind w:left="160" w:right="498" w:firstLine="0"/>
        <w:jc w:val="left"/>
        <w:rPr>
          <w:sz w:val="24"/>
        </w:rPr>
      </w:pPr>
      <w:r>
        <w:rPr>
          <w:sz w:val="24"/>
        </w:rPr>
        <w:t>Shri</w:t>
      </w:r>
      <w:r>
        <w:rPr>
          <w:spacing w:val="-1"/>
          <w:sz w:val="24"/>
        </w:rPr>
        <w:t> </w:t>
      </w:r>
      <w:r>
        <w:rPr>
          <w:sz w:val="24"/>
        </w:rPr>
        <w:t>C.</w:t>
      </w:r>
      <w:r>
        <w:rPr>
          <w:spacing w:val="-1"/>
          <w:sz w:val="24"/>
        </w:rPr>
        <w:t> </w:t>
      </w:r>
      <w:r>
        <w:rPr>
          <w:sz w:val="24"/>
        </w:rPr>
        <w:t>L.</w:t>
      </w:r>
      <w:r>
        <w:rPr>
          <w:spacing w:val="-1"/>
          <w:sz w:val="24"/>
        </w:rPr>
        <w:t> </w:t>
      </w:r>
      <w:r>
        <w:rPr>
          <w:sz w:val="24"/>
        </w:rPr>
        <w:t>Kapur,</w:t>
      </w:r>
      <w:r>
        <w:rPr>
          <w:spacing w:val="-1"/>
          <w:sz w:val="24"/>
        </w:rPr>
        <w:t> </w:t>
      </w:r>
      <w:r>
        <w:rPr>
          <w:sz w:val="24"/>
        </w:rPr>
        <w:t>Retired</w:t>
      </w:r>
      <w:r>
        <w:rPr>
          <w:spacing w:val="-1"/>
          <w:sz w:val="24"/>
        </w:rPr>
        <w:t> </w:t>
      </w:r>
      <w:r>
        <w:rPr>
          <w:sz w:val="24"/>
        </w:rPr>
        <w:t>Director</w:t>
      </w:r>
      <w:r>
        <w:rPr>
          <w:spacing w:val="-1"/>
          <w:sz w:val="24"/>
        </w:rPr>
        <w:t> </w:t>
      </w:r>
      <w:r>
        <w:rPr>
          <w:sz w:val="24"/>
        </w:rPr>
        <w:t>of</w:t>
      </w:r>
      <w:r>
        <w:rPr>
          <w:spacing w:val="-1"/>
          <w:sz w:val="24"/>
        </w:rPr>
        <w:t> </w:t>
      </w:r>
      <w:r>
        <w:rPr>
          <w:sz w:val="24"/>
        </w:rPr>
        <w:t>Education</w:t>
      </w:r>
      <w:r>
        <w:rPr>
          <w:spacing w:val="-1"/>
          <w:sz w:val="24"/>
        </w:rPr>
        <w:t> </w:t>
      </w:r>
      <w:r>
        <w:rPr>
          <w:sz w:val="24"/>
        </w:rPr>
        <w:t>and</w:t>
      </w:r>
      <w:r>
        <w:rPr>
          <w:spacing w:val="-1"/>
          <w:sz w:val="24"/>
        </w:rPr>
        <w:t> </w:t>
      </w:r>
      <w:r>
        <w:rPr>
          <w:sz w:val="24"/>
        </w:rPr>
        <w:t>Education</w:t>
      </w:r>
      <w:r>
        <w:rPr>
          <w:spacing w:val="-1"/>
          <w:sz w:val="24"/>
        </w:rPr>
        <w:t> </w:t>
      </w:r>
      <w:r>
        <w:rPr>
          <w:sz w:val="24"/>
        </w:rPr>
        <w:t>Secretary,</w:t>
      </w:r>
      <w:r>
        <w:rPr>
          <w:spacing w:val="-1"/>
          <w:sz w:val="24"/>
        </w:rPr>
        <w:t> </w:t>
      </w:r>
      <w:r>
        <w:rPr>
          <w:sz w:val="24"/>
        </w:rPr>
        <w:t>Punjab,</w:t>
      </w:r>
      <w:r>
        <w:rPr>
          <w:spacing w:val="-1"/>
          <w:sz w:val="24"/>
        </w:rPr>
        <w:t> </w:t>
      </w:r>
      <w:r>
        <w:rPr>
          <w:sz w:val="24"/>
        </w:rPr>
        <w:t>IE/5, Patel Road, Patel Nagar, New Delhi-12.</w:t>
      </w:r>
    </w:p>
    <w:p>
      <w:pPr>
        <w:pStyle w:val="BodyText"/>
        <w:spacing w:before="3"/>
      </w:pPr>
    </w:p>
    <w:p>
      <w:pPr>
        <w:pStyle w:val="ListParagraph"/>
        <w:numPr>
          <w:ilvl w:val="0"/>
          <w:numId w:val="155"/>
        </w:numPr>
        <w:tabs>
          <w:tab w:pos="512" w:val="left" w:leader="none"/>
        </w:tabs>
        <w:spacing w:line="240" w:lineRule="auto" w:before="0" w:after="0"/>
        <w:ind w:left="160" w:right="496" w:firstLine="0"/>
        <w:jc w:val="left"/>
        <w:rPr>
          <w:sz w:val="24"/>
        </w:rPr>
      </w:pPr>
      <w:r>
        <w:rPr>
          <w:sz w:val="24"/>
        </w:rPr>
        <w:t>Dr.</w:t>
      </w:r>
      <w:r>
        <w:rPr>
          <w:spacing w:val="80"/>
          <w:sz w:val="24"/>
        </w:rPr>
        <w:t> </w:t>
      </w:r>
      <w:r>
        <w:rPr>
          <w:sz w:val="24"/>
        </w:rPr>
        <w:t>D.</w:t>
      </w:r>
      <w:r>
        <w:rPr>
          <w:spacing w:val="80"/>
          <w:sz w:val="24"/>
        </w:rPr>
        <w:t> </w:t>
      </w:r>
      <w:r>
        <w:rPr>
          <w:sz w:val="24"/>
        </w:rPr>
        <w:t>S.</w:t>
      </w:r>
      <w:r>
        <w:rPr>
          <w:spacing w:val="80"/>
          <w:sz w:val="24"/>
        </w:rPr>
        <w:t> </w:t>
      </w:r>
      <w:r>
        <w:rPr>
          <w:sz w:val="24"/>
        </w:rPr>
        <w:t>Kothari,</w:t>
      </w:r>
      <w:r>
        <w:rPr>
          <w:spacing w:val="80"/>
          <w:sz w:val="24"/>
        </w:rPr>
        <w:t> </w:t>
      </w:r>
      <w:r>
        <w:rPr>
          <w:sz w:val="24"/>
        </w:rPr>
        <w:t>Chairman,</w:t>
      </w:r>
      <w:r>
        <w:rPr>
          <w:spacing w:val="80"/>
          <w:sz w:val="24"/>
        </w:rPr>
        <w:t> </w:t>
      </w:r>
      <w:r>
        <w:rPr>
          <w:sz w:val="24"/>
        </w:rPr>
        <w:t>Education</w:t>
      </w:r>
      <w:r>
        <w:rPr>
          <w:spacing w:val="80"/>
          <w:sz w:val="24"/>
        </w:rPr>
        <w:t> </w:t>
      </w:r>
      <w:r>
        <w:rPr>
          <w:sz w:val="24"/>
        </w:rPr>
        <w:t>Commission</w:t>
      </w:r>
      <w:r>
        <w:rPr>
          <w:spacing w:val="80"/>
          <w:sz w:val="24"/>
        </w:rPr>
        <w:t> </w:t>
      </w:r>
      <w:r>
        <w:rPr>
          <w:sz w:val="24"/>
        </w:rPr>
        <w:t>and</w:t>
      </w:r>
      <w:r>
        <w:rPr>
          <w:spacing w:val="80"/>
          <w:sz w:val="24"/>
        </w:rPr>
        <w:t> </w:t>
      </w:r>
      <w:r>
        <w:rPr>
          <w:sz w:val="24"/>
        </w:rPr>
        <w:t>University</w:t>
      </w:r>
      <w:r>
        <w:rPr>
          <w:spacing w:val="80"/>
          <w:sz w:val="24"/>
        </w:rPr>
        <w:t> </w:t>
      </w:r>
      <w:r>
        <w:rPr>
          <w:sz w:val="24"/>
        </w:rPr>
        <w:t>Grants</w:t>
      </w:r>
      <w:r>
        <w:rPr>
          <w:spacing w:val="80"/>
          <w:sz w:val="24"/>
        </w:rPr>
        <w:t> </w:t>
      </w:r>
      <w:r>
        <w:rPr>
          <w:sz w:val="24"/>
        </w:rPr>
        <w:t>Commission, Bahadur Shah Zafar Marg, New Delhi-1.</w:t>
      </w:r>
    </w:p>
    <w:p>
      <w:pPr>
        <w:pStyle w:val="BodyText"/>
        <w:spacing w:before="6"/>
      </w:pPr>
    </w:p>
    <w:p>
      <w:pPr>
        <w:pStyle w:val="ListParagraph"/>
        <w:numPr>
          <w:ilvl w:val="0"/>
          <w:numId w:val="155"/>
        </w:numPr>
        <w:tabs>
          <w:tab w:pos="519" w:val="left" w:leader="none"/>
        </w:tabs>
        <w:spacing w:line="240" w:lineRule="auto" w:before="1" w:after="0"/>
        <w:ind w:left="519" w:right="0" w:hanging="359"/>
        <w:jc w:val="left"/>
        <w:rPr>
          <w:sz w:val="24"/>
        </w:rPr>
      </w:pPr>
      <w:r>
        <w:rPr>
          <w:sz w:val="24"/>
        </w:rPr>
        <w:t>Prof.</w:t>
      </w:r>
      <w:r>
        <w:rPr>
          <w:spacing w:val="-2"/>
          <w:sz w:val="24"/>
        </w:rPr>
        <w:t> </w:t>
      </w:r>
      <w:r>
        <w:rPr>
          <w:sz w:val="24"/>
        </w:rPr>
        <w:t>M.</w:t>
      </w:r>
      <w:r>
        <w:rPr>
          <w:spacing w:val="-1"/>
          <w:sz w:val="24"/>
        </w:rPr>
        <w:t> </w:t>
      </w:r>
      <w:r>
        <w:rPr>
          <w:sz w:val="24"/>
        </w:rPr>
        <w:t>V.</w:t>
      </w:r>
      <w:r>
        <w:rPr>
          <w:spacing w:val="-1"/>
          <w:sz w:val="24"/>
        </w:rPr>
        <w:t> </w:t>
      </w:r>
      <w:r>
        <w:rPr>
          <w:sz w:val="24"/>
        </w:rPr>
        <w:t>Mathur,</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3"/>
      </w:pPr>
    </w:p>
    <w:p>
      <w:pPr>
        <w:pStyle w:val="ListParagraph"/>
        <w:numPr>
          <w:ilvl w:val="0"/>
          <w:numId w:val="155"/>
        </w:numPr>
        <w:tabs>
          <w:tab w:pos="517" w:val="left" w:leader="none"/>
        </w:tabs>
        <w:spacing w:line="240" w:lineRule="auto" w:before="0" w:after="0"/>
        <w:ind w:left="517" w:right="0" w:hanging="357"/>
        <w:jc w:val="left"/>
        <w:rPr>
          <w:sz w:val="24"/>
        </w:rPr>
      </w:pPr>
      <w:r>
        <w:rPr>
          <w:sz w:val="24"/>
        </w:rPr>
        <w:t>Shri</w:t>
      </w:r>
      <w:r>
        <w:rPr>
          <w:spacing w:val="-6"/>
          <w:sz w:val="24"/>
        </w:rPr>
        <w:t> </w:t>
      </w:r>
      <w:r>
        <w:rPr>
          <w:sz w:val="24"/>
        </w:rPr>
        <w:t>P.</w:t>
      </w:r>
      <w:r>
        <w:rPr>
          <w:spacing w:val="-3"/>
          <w:sz w:val="24"/>
        </w:rPr>
        <w:t> </w:t>
      </w:r>
      <w:r>
        <w:rPr>
          <w:sz w:val="24"/>
        </w:rPr>
        <w:t>G.</w:t>
      </w:r>
      <w:r>
        <w:rPr>
          <w:spacing w:val="-4"/>
          <w:sz w:val="24"/>
        </w:rPr>
        <w:t> </w:t>
      </w:r>
      <w:r>
        <w:rPr>
          <w:sz w:val="24"/>
        </w:rPr>
        <w:t>Mavlankar,</w:t>
      </w:r>
      <w:r>
        <w:rPr>
          <w:spacing w:val="-3"/>
          <w:sz w:val="24"/>
        </w:rPr>
        <w:t> </w:t>
      </w:r>
      <w:r>
        <w:rPr>
          <w:sz w:val="24"/>
        </w:rPr>
        <w:t>Principal,</w:t>
      </w:r>
      <w:r>
        <w:rPr>
          <w:spacing w:val="-3"/>
          <w:sz w:val="24"/>
        </w:rPr>
        <w:t> </w:t>
      </w:r>
      <w:r>
        <w:rPr>
          <w:sz w:val="24"/>
        </w:rPr>
        <w:t>L.</w:t>
      </w:r>
      <w:r>
        <w:rPr>
          <w:spacing w:val="-3"/>
          <w:sz w:val="24"/>
        </w:rPr>
        <w:t> </w:t>
      </w:r>
      <w:r>
        <w:rPr>
          <w:sz w:val="24"/>
        </w:rPr>
        <w:t>D.</w:t>
      </w:r>
      <w:r>
        <w:rPr>
          <w:spacing w:val="-3"/>
          <w:sz w:val="24"/>
        </w:rPr>
        <w:t> </w:t>
      </w:r>
      <w:r>
        <w:rPr>
          <w:sz w:val="24"/>
        </w:rPr>
        <w:t>Arts</w:t>
      </w:r>
      <w:r>
        <w:rPr>
          <w:spacing w:val="-4"/>
          <w:sz w:val="24"/>
        </w:rPr>
        <w:t> </w:t>
      </w:r>
      <w:r>
        <w:rPr>
          <w:sz w:val="24"/>
        </w:rPr>
        <w:t>College,</w:t>
      </w:r>
      <w:r>
        <w:rPr>
          <w:spacing w:val="-3"/>
          <w:sz w:val="24"/>
        </w:rPr>
        <w:t> </w:t>
      </w:r>
      <w:r>
        <w:rPr>
          <w:sz w:val="24"/>
        </w:rPr>
        <w:t>Navrangpura,</w:t>
      </w:r>
      <w:r>
        <w:rPr>
          <w:spacing w:val="-3"/>
          <w:sz w:val="24"/>
        </w:rPr>
        <w:t> </w:t>
      </w:r>
      <w:r>
        <w:rPr>
          <w:spacing w:val="-2"/>
          <w:sz w:val="24"/>
        </w:rPr>
        <w:t>Ahmedabad.</w:t>
      </w:r>
    </w:p>
    <w:p>
      <w:pPr>
        <w:pStyle w:val="BodyText"/>
        <w:spacing w:before="4"/>
      </w:pPr>
    </w:p>
    <w:p>
      <w:pPr>
        <w:pStyle w:val="ListParagraph"/>
        <w:numPr>
          <w:ilvl w:val="0"/>
          <w:numId w:val="155"/>
        </w:numPr>
        <w:tabs>
          <w:tab w:pos="520" w:val="left" w:leader="none"/>
        </w:tabs>
        <w:spacing w:line="240" w:lineRule="auto" w:before="0" w:after="0"/>
        <w:ind w:left="520" w:right="0" w:hanging="360"/>
        <w:jc w:val="left"/>
        <w:rPr>
          <w:sz w:val="24"/>
        </w:rPr>
      </w:pPr>
      <w:r>
        <w:rPr>
          <w:sz w:val="24"/>
        </w:rPr>
        <w:t>Mr.</w:t>
      </w:r>
      <w:r>
        <w:rPr>
          <w:spacing w:val="-6"/>
          <w:sz w:val="24"/>
        </w:rPr>
        <w:t> </w:t>
      </w:r>
      <w:r>
        <w:rPr>
          <w:sz w:val="24"/>
        </w:rPr>
        <w:t>J.</w:t>
      </w:r>
      <w:r>
        <w:rPr>
          <w:spacing w:val="-3"/>
          <w:sz w:val="24"/>
        </w:rPr>
        <w:t> </w:t>
      </w:r>
      <w:r>
        <w:rPr>
          <w:sz w:val="24"/>
        </w:rPr>
        <w:t>F.</w:t>
      </w:r>
      <w:r>
        <w:rPr>
          <w:spacing w:val="-3"/>
          <w:sz w:val="24"/>
        </w:rPr>
        <w:t> </w:t>
      </w:r>
      <w:r>
        <w:rPr>
          <w:sz w:val="24"/>
        </w:rPr>
        <w:t>McDougall,</w:t>
      </w:r>
      <w:r>
        <w:rPr>
          <w:spacing w:val="-3"/>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4"/>
      </w:pPr>
    </w:p>
    <w:p>
      <w:pPr>
        <w:pStyle w:val="ListParagraph"/>
        <w:numPr>
          <w:ilvl w:val="0"/>
          <w:numId w:val="155"/>
        </w:numPr>
        <w:tabs>
          <w:tab w:pos="517" w:val="left" w:leader="none"/>
        </w:tabs>
        <w:spacing w:line="240" w:lineRule="auto" w:before="1" w:after="0"/>
        <w:ind w:left="517" w:right="0" w:hanging="357"/>
        <w:jc w:val="left"/>
        <w:rPr>
          <w:sz w:val="24"/>
        </w:rPr>
      </w:pPr>
      <w:r>
        <w:rPr>
          <w:sz w:val="24"/>
        </w:rPr>
        <w:t>Shri</w:t>
      </w:r>
      <w:r>
        <w:rPr>
          <w:spacing w:val="-9"/>
          <w:sz w:val="24"/>
        </w:rPr>
        <w:t> </w:t>
      </w:r>
      <w:r>
        <w:rPr>
          <w:sz w:val="24"/>
        </w:rPr>
        <w:t>J.</w:t>
      </w:r>
      <w:r>
        <w:rPr>
          <w:spacing w:val="-7"/>
          <w:sz w:val="24"/>
        </w:rPr>
        <w:t> </w:t>
      </w:r>
      <w:r>
        <w:rPr>
          <w:sz w:val="24"/>
        </w:rPr>
        <w:t>P.</w:t>
      </w:r>
      <w:r>
        <w:rPr>
          <w:spacing w:val="-6"/>
          <w:sz w:val="24"/>
        </w:rPr>
        <w:t> </w:t>
      </w:r>
      <w:r>
        <w:rPr>
          <w:sz w:val="24"/>
        </w:rPr>
        <w:t>Naik,</w:t>
      </w:r>
      <w:r>
        <w:rPr>
          <w:spacing w:val="-7"/>
          <w:sz w:val="24"/>
        </w:rPr>
        <w:t> </w:t>
      </w:r>
      <w:r>
        <w:rPr>
          <w:sz w:val="24"/>
        </w:rPr>
        <w:t>Member-Secretary,</w:t>
      </w:r>
      <w:r>
        <w:rPr>
          <w:spacing w:val="-7"/>
          <w:sz w:val="24"/>
        </w:rPr>
        <w:t> </w:t>
      </w:r>
      <w:r>
        <w:rPr>
          <w:sz w:val="24"/>
        </w:rPr>
        <w:t>Education</w:t>
      </w:r>
      <w:r>
        <w:rPr>
          <w:spacing w:val="-6"/>
          <w:sz w:val="24"/>
        </w:rPr>
        <w:t> </w:t>
      </w:r>
      <w:r>
        <w:rPr>
          <w:sz w:val="24"/>
        </w:rPr>
        <w:t>Commission,</w:t>
      </w:r>
      <w:r>
        <w:rPr>
          <w:spacing w:val="-7"/>
          <w:sz w:val="24"/>
        </w:rPr>
        <w:t> </w:t>
      </w:r>
      <w:r>
        <w:rPr>
          <w:sz w:val="24"/>
        </w:rPr>
        <w:t>New</w:t>
      </w:r>
      <w:r>
        <w:rPr>
          <w:spacing w:val="-6"/>
          <w:sz w:val="24"/>
        </w:rPr>
        <w:t> </w:t>
      </w:r>
      <w:r>
        <w:rPr>
          <w:spacing w:val="-2"/>
          <w:sz w:val="24"/>
        </w:rPr>
        <w:t>Delhi.</w:t>
      </w:r>
    </w:p>
    <w:p>
      <w:pPr>
        <w:spacing w:after="0" w:line="240" w:lineRule="auto"/>
        <w:jc w:val="left"/>
        <w:rPr>
          <w:sz w:val="24"/>
        </w:rPr>
        <w:sectPr>
          <w:pgSz w:w="12240" w:h="15840"/>
          <w:pgMar w:header="0" w:footer="743" w:top="1360" w:bottom="940" w:left="1640" w:right="1300"/>
        </w:sectPr>
      </w:pPr>
    </w:p>
    <w:p>
      <w:pPr>
        <w:pStyle w:val="ListParagraph"/>
        <w:numPr>
          <w:ilvl w:val="0"/>
          <w:numId w:val="155"/>
        </w:numPr>
        <w:tabs>
          <w:tab w:pos="533" w:val="left" w:leader="none"/>
        </w:tabs>
        <w:spacing w:line="240" w:lineRule="auto" w:before="76" w:after="0"/>
        <w:ind w:left="160" w:right="498" w:firstLine="0"/>
        <w:jc w:val="left"/>
        <w:rPr>
          <w:sz w:val="24"/>
        </w:rPr>
      </w:pPr>
      <w:r>
        <w:rPr>
          <w:sz w:val="24"/>
        </w:rPr>
        <w:t>Dr. P. J. Philip, joint Secretary, University Grants Commission, Bahadur Shah Zafar Marg, New Delhi-1.</w:t>
      </w:r>
    </w:p>
    <w:p>
      <w:pPr>
        <w:pStyle w:val="BodyText"/>
        <w:spacing w:before="4"/>
      </w:pPr>
    </w:p>
    <w:p>
      <w:pPr>
        <w:pStyle w:val="ListParagraph"/>
        <w:numPr>
          <w:ilvl w:val="0"/>
          <w:numId w:val="155"/>
        </w:numPr>
        <w:tabs>
          <w:tab w:pos="527" w:val="left" w:leader="none"/>
        </w:tabs>
        <w:spacing w:line="240" w:lineRule="auto" w:before="0" w:after="0"/>
        <w:ind w:left="160" w:right="497" w:firstLine="0"/>
        <w:jc w:val="left"/>
        <w:rPr>
          <w:sz w:val="24"/>
        </w:rPr>
      </w:pPr>
      <w:r>
        <w:rPr>
          <w:sz w:val="24"/>
        </w:rPr>
        <w:t>Shri A. B. Shah, Executive Secretary, Indian Committee for Cultural Freedom, Army and Navy Building, 148, Mahatma Gandhi Road, Bombay-1.</w:t>
      </w:r>
    </w:p>
    <w:p>
      <w:pPr>
        <w:pStyle w:val="BodyText"/>
        <w:spacing w:before="5"/>
      </w:pPr>
    </w:p>
    <w:p>
      <w:pPr>
        <w:pStyle w:val="ListParagraph"/>
        <w:numPr>
          <w:ilvl w:val="0"/>
          <w:numId w:val="155"/>
        </w:numPr>
        <w:tabs>
          <w:tab w:pos="566" w:val="left" w:leader="none"/>
        </w:tabs>
        <w:spacing w:line="240" w:lineRule="auto" w:before="0" w:after="0"/>
        <w:ind w:left="160" w:right="497" w:firstLine="0"/>
        <w:jc w:val="left"/>
        <w:rPr>
          <w:sz w:val="24"/>
        </w:rPr>
      </w:pPr>
      <w:r>
        <w:rPr>
          <w:sz w:val="24"/>
        </w:rPr>
        <w:t>Dr.</w:t>
      </w:r>
      <w:r>
        <w:rPr>
          <w:spacing w:val="40"/>
          <w:sz w:val="24"/>
        </w:rPr>
        <w:t> </w:t>
      </w:r>
      <w:r>
        <w:rPr>
          <w:sz w:val="24"/>
        </w:rPr>
        <w:t>Hans</w:t>
      </w:r>
      <w:r>
        <w:rPr>
          <w:spacing w:val="40"/>
          <w:sz w:val="24"/>
        </w:rPr>
        <w:t> </w:t>
      </w:r>
      <w:r>
        <w:rPr>
          <w:sz w:val="24"/>
        </w:rPr>
        <w:t>Simons,</w:t>
      </w:r>
      <w:r>
        <w:rPr>
          <w:spacing w:val="40"/>
          <w:sz w:val="24"/>
        </w:rPr>
        <w:t> </w:t>
      </w:r>
      <w:r>
        <w:rPr>
          <w:sz w:val="24"/>
        </w:rPr>
        <w:t>Consultant</w:t>
      </w:r>
      <w:r>
        <w:rPr>
          <w:spacing w:val="40"/>
          <w:sz w:val="24"/>
        </w:rPr>
        <w:t> </w:t>
      </w:r>
      <w:r>
        <w:rPr>
          <w:sz w:val="24"/>
        </w:rPr>
        <w:t>in</w:t>
      </w:r>
      <w:r>
        <w:rPr>
          <w:spacing w:val="40"/>
          <w:sz w:val="24"/>
        </w:rPr>
        <w:t> </w:t>
      </w:r>
      <w:r>
        <w:rPr>
          <w:sz w:val="24"/>
        </w:rPr>
        <w:t>General</w:t>
      </w:r>
      <w:r>
        <w:rPr>
          <w:spacing w:val="40"/>
          <w:sz w:val="24"/>
        </w:rPr>
        <w:t> </w:t>
      </w:r>
      <w:r>
        <w:rPr>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Pr>
        <w:t>32,</w:t>
      </w:r>
      <w:r>
        <w:rPr>
          <w:spacing w:val="40"/>
          <w:sz w:val="24"/>
        </w:rPr>
        <w:t> </w:t>
      </w:r>
      <w:r>
        <w:rPr>
          <w:sz w:val="24"/>
        </w:rPr>
        <w:t>Feroze Shah Road, New Delhi-1.</w:t>
      </w:r>
    </w:p>
    <w:p>
      <w:pPr>
        <w:pStyle w:val="BodyText"/>
        <w:spacing w:before="3"/>
      </w:pPr>
    </w:p>
    <w:p>
      <w:pPr>
        <w:pStyle w:val="ListParagraph"/>
        <w:numPr>
          <w:ilvl w:val="0"/>
          <w:numId w:val="155"/>
        </w:numPr>
        <w:tabs>
          <w:tab w:pos="552" w:val="left" w:leader="none"/>
        </w:tabs>
        <w:spacing w:line="240" w:lineRule="auto" w:before="1" w:after="0"/>
        <w:ind w:left="160" w:right="497" w:firstLine="0"/>
        <w:jc w:val="left"/>
        <w:rPr>
          <w:sz w:val="24"/>
        </w:rPr>
      </w:pPr>
      <w:r>
        <w:rPr>
          <w:sz w:val="24"/>
        </w:rPr>
        <w:t>Dr.</w:t>
      </w:r>
      <w:r>
        <w:rPr>
          <w:spacing w:val="29"/>
          <w:sz w:val="24"/>
        </w:rPr>
        <w:t> </w:t>
      </w:r>
      <w:r>
        <w:rPr>
          <w:sz w:val="24"/>
        </w:rPr>
        <w:t>Amrik</w:t>
      </w:r>
      <w:r>
        <w:rPr>
          <w:spacing w:val="29"/>
          <w:sz w:val="24"/>
        </w:rPr>
        <w:t> </w:t>
      </w:r>
      <w:r>
        <w:rPr>
          <w:sz w:val="24"/>
        </w:rPr>
        <w:t>Singh,</w:t>
      </w:r>
      <w:r>
        <w:rPr>
          <w:spacing w:val="29"/>
          <w:sz w:val="24"/>
        </w:rPr>
        <w:t> </w:t>
      </w:r>
      <w:r>
        <w:rPr>
          <w:sz w:val="24"/>
        </w:rPr>
        <w:t>Secretary,</w:t>
      </w:r>
      <w:r>
        <w:rPr>
          <w:spacing w:val="29"/>
          <w:sz w:val="24"/>
        </w:rPr>
        <w:t> </w:t>
      </w:r>
      <w:r>
        <w:rPr>
          <w:sz w:val="24"/>
        </w:rPr>
        <w:t>Inter-University</w:t>
      </w:r>
      <w:r>
        <w:rPr>
          <w:spacing w:val="29"/>
          <w:sz w:val="24"/>
        </w:rPr>
        <w:t> </w:t>
      </w:r>
      <w:r>
        <w:rPr>
          <w:sz w:val="24"/>
        </w:rPr>
        <w:t>Board</w:t>
      </w:r>
      <w:r>
        <w:rPr>
          <w:spacing w:val="29"/>
          <w:sz w:val="24"/>
        </w:rPr>
        <w:t> </w:t>
      </w:r>
      <w:r>
        <w:rPr>
          <w:sz w:val="24"/>
        </w:rPr>
        <w:t>of</w:t>
      </w:r>
      <w:r>
        <w:rPr>
          <w:spacing w:val="29"/>
          <w:sz w:val="24"/>
        </w:rPr>
        <w:t> </w:t>
      </w:r>
      <w:r>
        <w:rPr>
          <w:sz w:val="24"/>
        </w:rPr>
        <w:t>India</w:t>
      </w:r>
      <w:r>
        <w:rPr>
          <w:spacing w:val="29"/>
          <w:sz w:val="24"/>
        </w:rPr>
        <w:t> </w:t>
      </w:r>
      <w:r>
        <w:rPr>
          <w:sz w:val="24"/>
        </w:rPr>
        <w:t>and</w:t>
      </w:r>
      <w:r>
        <w:rPr>
          <w:spacing w:val="29"/>
          <w:sz w:val="24"/>
        </w:rPr>
        <w:t> </w:t>
      </w:r>
      <w:r>
        <w:rPr>
          <w:sz w:val="24"/>
        </w:rPr>
        <w:t>Ceylon,</w:t>
      </w:r>
      <w:r>
        <w:rPr>
          <w:spacing w:val="29"/>
          <w:sz w:val="24"/>
        </w:rPr>
        <w:t> </w:t>
      </w:r>
      <w:r>
        <w:rPr>
          <w:sz w:val="24"/>
        </w:rPr>
        <w:t>1,</w:t>
      </w:r>
      <w:r>
        <w:rPr>
          <w:spacing w:val="29"/>
          <w:sz w:val="24"/>
        </w:rPr>
        <w:t> </w:t>
      </w:r>
      <w:r>
        <w:rPr>
          <w:sz w:val="24"/>
        </w:rPr>
        <w:t>Rouse Avenue, New Delhi.</w:t>
      </w:r>
    </w:p>
    <w:p>
      <w:pPr>
        <w:pStyle w:val="BodyText"/>
        <w:spacing w:before="3"/>
      </w:pPr>
    </w:p>
    <w:p>
      <w:pPr>
        <w:pStyle w:val="ListParagraph"/>
        <w:numPr>
          <w:ilvl w:val="0"/>
          <w:numId w:val="155"/>
        </w:numPr>
        <w:tabs>
          <w:tab w:pos="523" w:val="left" w:leader="none"/>
        </w:tabs>
        <w:spacing w:line="240" w:lineRule="auto" w:before="0" w:after="0"/>
        <w:ind w:left="160" w:right="497" w:firstLine="0"/>
        <w:jc w:val="left"/>
        <w:rPr>
          <w:sz w:val="24"/>
        </w:rPr>
      </w:pPr>
      <w:r>
        <w:rPr>
          <w:sz w:val="24"/>
        </w:rPr>
        <w:t>Dr. R. K. Singh, Director, Balwant Vidyapeeth Rural Higher Institute, Bichpuri, Agra </w:t>
      </w:r>
      <w:r>
        <w:rPr>
          <w:spacing w:val="-2"/>
          <w:sz w:val="24"/>
        </w:rPr>
        <w:t>(U.P.).</w:t>
      </w:r>
    </w:p>
    <w:p>
      <w:pPr>
        <w:pStyle w:val="BodyText"/>
        <w:spacing w:before="5"/>
      </w:pPr>
    </w:p>
    <w:p>
      <w:pPr>
        <w:pStyle w:val="ListParagraph"/>
        <w:numPr>
          <w:ilvl w:val="0"/>
          <w:numId w:val="155"/>
        </w:numPr>
        <w:tabs>
          <w:tab w:pos="517" w:val="left" w:leader="none"/>
        </w:tabs>
        <w:spacing w:line="240" w:lineRule="auto" w:before="0" w:after="0"/>
        <w:ind w:left="517" w:right="0" w:hanging="357"/>
        <w:jc w:val="left"/>
        <w:rPr>
          <w:sz w:val="24"/>
        </w:rPr>
      </w:pPr>
      <w:r>
        <w:rPr>
          <w:sz w:val="24"/>
        </w:rPr>
        <w:t>Dr.</w:t>
      </w:r>
      <w:r>
        <w:rPr>
          <w:spacing w:val="-4"/>
          <w:sz w:val="24"/>
        </w:rPr>
        <w:t> </w:t>
      </w:r>
      <w:r>
        <w:rPr>
          <w:sz w:val="24"/>
        </w:rPr>
        <w:t>H.</w:t>
      </w:r>
      <w:r>
        <w:rPr>
          <w:spacing w:val="-4"/>
          <w:sz w:val="24"/>
        </w:rPr>
        <w:t> </w:t>
      </w:r>
      <w:r>
        <w:rPr>
          <w:sz w:val="24"/>
        </w:rPr>
        <w:t>J.</w:t>
      </w:r>
      <w:r>
        <w:rPr>
          <w:spacing w:val="-3"/>
          <w:sz w:val="24"/>
        </w:rPr>
        <w:t> </w:t>
      </w:r>
      <w:r>
        <w:rPr>
          <w:sz w:val="24"/>
        </w:rPr>
        <w:t>Taylor,</w:t>
      </w:r>
      <w:r>
        <w:rPr>
          <w:spacing w:val="-4"/>
          <w:sz w:val="24"/>
        </w:rPr>
        <w:t> </w:t>
      </w:r>
      <w:r>
        <w:rPr>
          <w:sz w:val="24"/>
        </w:rPr>
        <w:t>Principal,</w:t>
      </w:r>
      <w:r>
        <w:rPr>
          <w:spacing w:val="-3"/>
          <w:sz w:val="24"/>
        </w:rPr>
        <w:t> </w:t>
      </w:r>
      <w:r>
        <w:rPr>
          <w:sz w:val="24"/>
        </w:rPr>
        <w:t>Union</w:t>
      </w:r>
      <w:r>
        <w:rPr>
          <w:spacing w:val="-4"/>
          <w:sz w:val="24"/>
        </w:rPr>
        <w:t> </w:t>
      </w:r>
      <w:r>
        <w:rPr>
          <w:sz w:val="24"/>
        </w:rPr>
        <w:t>Christian</w:t>
      </w:r>
      <w:r>
        <w:rPr>
          <w:spacing w:val="-3"/>
          <w:sz w:val="24"/>
        </w:rPr>
        <w:t> </w:t>
      </w:r>
      <w:r>
        <w:rPr>
          <w:sz w:val="24"/>
        </w:rPr>
        <w:t>College,</w:t>
      </w:r>
      <w:r>
        <w:rPr>
          <w:spacing w:val="-2"/>
          <w:sz w:val="24"/>
        </w:rPr>
        <w:t> </w:t>
      </w:r>
      <w:r>
        <w:rPr>
          <w:sz w:val="24"/>
        </w:rPr>
        <w:t>Barapani,</w:t>
      </w:r>
      <w:r>
        <w:rPr>
          <w:spacing w:val="-3"/>
          <w:sz w:val="24"/>
        </w:rPr>
        <w:t> </w:t>
      </w:r>
      <w:r>
        <w:rPr>
          <w:sz w:val="24"/>
        </w:rPr>
        <w:t>Shillong</w:t>
      </w:r>
      <w:r>
        <w:rPr>
          <w:spacing w:val="-2"/>
          <w:sz w:val="24"/>
        </w:rPr>
        <w:t> (Assam).</w:t>
      </w:r>
    </w:p>
    <w:p>
      <w:pPr>
        <w:pStyle w:val="BodyText"/>
        <w:spacing w:before="4"/>
      </w:pPr>
    </w:p>
    <w:p>
      <w:pPr>
        <w:pStyle w:val="ListParagraph"/>
        <w:numPr>
          <w:ilvl w:val="0"/>
          <w:numId w:val="155"/>
        </w:numPr>
        <w:tabs>
          <w:tab w:pos="522" w:val="left" w:leader="none"/>
        </w:tabs>
        <w:spacing w:line="240" w:lineRule="auto" w:before="0" w:after="0"/>
        <w:ind w:left="160" w:right="498" w:firstLine="0"/>
        <w:jc w:val="left"/>
        <w:rPr>
          <w:sz w:val="24"/>
        </w:rPr>
      </w:pPr>
      <w:r>
        <w:rPr>
          <w:sz w:val="24"/>
        </w:rPr>
        <w:t>Miss.</w:t>
      </w:r>
      <w:r>
        <w:rPr>
          <w:spacing w:val="-3"/>
          <w:sz w:val="24"/>
        </w:rPr>
        <w:t> </w:t>
      </w:r>
      <w:r>
        <w:rPr>
          <w:sz w:val="24"/>
        </w:rPr>
        <w:t>S.</w:t>
      </w:r>
      <w:r>
        <w:rPr>
          <w:spacing w:val="-3"/>
          <w:sz w:val="24"/>
        </w:rPr>
        <w:t> </w:t>
      </w:r>
      <w:r>
        <w:rPr>
          <w:sz w:val="24"/>
        </w:rPr>
        <w:t>Rehman.</w:t>
      </w:r>
      <w:r>
        <w:rPr>
          <w:spacing w:val="-3"/>
          <w:sz w:val="24"/>
        </w:rPr>
        <w:t> </w:t>
      </w:r>
      <w:r>
        <w:rPr>
          <w:sz w:val="24"/>
        </w:rPr>
        <w:t>Assistant</w:t>
      </w:r>
      <w:r>
        <w:rPr>
          <w:spacing w:val="-3"/>
          <w:sz w:val="24"/>
        </w:rPr>
        <w:t> </w:t>
      </w:r>
      <w:r>
        <w:rPr>
          <w:sz w:val="24"/>
        </w:rPr>
        <w:t>Educational</w:t>
      </w:r>
      <w:r>
        <w:rPr>
          <w:spacing w:val="-3"/>
          <w:sz w:val="24"/>
        </w:rPr>
        <w:t> </w:t>
      </w:r>
      <w:r>
        <w:rPr>
          <w:sz w:val="24"/>
        </w:rPr>
        <w:t>Adviser,</w:t>
      </w:r>
      <w:r>
        <w:rPr>
          <w:spacing w:val="-3"/>
          <w:sz w:val="24"/>
        </w:rPr>
        <w:t> </w:t>
      </w:r>
      <w:r>
        <w:rPr>
          <w:sz w:val="24"/>
        </w:rPr>
        <w:t>Education</w:t>
      </w:r>
      <w:r>
        <w:rPr>
          <w:spacing w:val="-3"/>
          <w:sz w:val="24"/>
        </w:rPr>
        <w:t> </w:t>
      </w:r>
      <w:r>
        <w:rPr>
          <w:sz w:val="24"/>
        </w:rPr>
        <w:t>Commission,</w:t>
      </w:r>
      <w:r>
        <w:rPr>
          <w:spacing w:val="-3"/>
          <w:sz w:val="24"/>
        </w:rPr>
        <w:t> </w:t>
      </w:r>
      <w:r>
        <w:rPr>
          <w:sz w:val="24"/>
        </w:rPr>
        <w:t>New</w:t>
      </w:r>
      <w:r>
        <w:rPr>
          <w:spacing w:val="-3"/>
          <w:sz w:val="24"/>
        </w:rPr>
        <w:t> </w:t>
      </w:r>
      <w:r>
        <w:rPr>
          <w:sz w:val="24"/>
        </w:rPr>
        <w:t>Delhi. </w:t>
      </w:r>
      <w:r>
        <w:rPr>
          <w:spacing w:val="-2"/>
          <w:sz w:val="24"/>
        </w:rPr>
        <w:t>Secretary</w:t>
      </w:r>
    </w:p>
    <w:p>
      <w:pPr>
        <w:pStyle w:val="BodyText"/>
        <w:spacing w:before="6"/>
      </w:pPr>
    </w:p>
    <w:p>
      <w:pPr>
        <w:pStyle w:val="Heading1"/>
        <w:ind w:left="160" w:right="0"/>
        <w:jc w:val="left"/>
      </w:pPr>
      <w:r>
        <w:rPr/>
        <w:t>SPECIAL</w:t>
      </w:r>
      <w:r>
        <w:rPr>
          <w:spacing w:val="-8"/>
        </w:rPr>
        <w:t> </w:t>
      </w:r>
      <w:r>
        <w:rPr>
          <w:spacing w:val="-2"/>
        </w:rPr>
        <w:t>INVITEES</w:t>
      </w:r>
    </w:p>
    <w:p>
      <w:pPr>
        <w:pStyle w:val="BodyText"/>
        <w:spacing w:before="2"/>
        <w:rPr>
          <w:b/>
        </w:rPr>
      </w:pPr>
    </w:p>
    <w:p>
      <w:pPr>
        <w:pStyle w:val="ListParagraph"/>
        <w:numPr>
          <w:ilvl w:val="0"/>
          <w:numId w:val="156"/>
        </w:numPr>
        <w:tabs>
          <w:tab w:pos="503" w:val="left" w:leader="none"/>
        </w:tabs>
        <w:spacing w:line="240" w:lineRule="auto" w:before="0" w:after="0"/>
        <w:ind w:left="160" w:right="498" w:firstLine="0"/>
        <w:jc w:val="left"/>
        <w:rPr>
          <w:sz w:val="24"/>
        </w:rPr>
      </w:pPr>
      <w:r>
        <w:rPr>
          <w:sz w:val="24"/>
        </w:rPr>
        <w:t>Dr.</w:t>
      </w:r>
      <w:r>
        <w:rPr>
          <w:spacing w:val="80"/>
          <w:sz w:val="24"/>
        </w:rPr>
        <w:t> </w:t>
      </w:r>
      <w:r>
        <w:rPr>
          <w:sz w:val="24"/>
        </w:rPr>
        <w:t>C.</w:t>
      </w:r>
      <w:r>
        <w:rPr>
          <w:spacing w:val="80"/>
          <w:sz w:val="24"/>
        </w:rPr>
        <w:t> </w:t>
      </w:r>
      <w:r>
        <w:rPr>
          <w:sz w:val="24"/>
        </w:rPr>
        <w:t>Gilpatric,</w:t>
      </w:r>
      <w:r>
        <w:rPr>
          <w:spacing w:val="80"/>
          <w:sz w:val="24"/>
        </w:rPr>
        <w:t> </w:t>
      </w:r>
      <w:r>
        <w:rPr>
          <w:sz w:val="24"/>
        </w:rPr>
        <w:t>Visiting</w:t>
      </w:r>
      <w:r>
        <w:rPr>
          <w:spacing w:val="80"/>
          <w:sz w:val="24"/>
        </w:rPr>
        <w:t> </w:t>
      </w:r>
      <w:r>
        <w:rPr>
          <w:sz w:val="24"/>
        </w:rPr>
        <w:t>Professor</w:t>
      </w:r>
      <w:r>
        <w:rPr>
          <w:spacing w:val="80"/>
          <w:sz w:val="24"/>
        </w:rPr>
        <w:t> </w:t>
      </w:r>
      <w:r>
        <w:rPr>
          <w:sz w:val="24"/>
        </w:rPr>
        <w:t>of</w:t>
      </w:r>
      <w:r>
        <w:rPr>
          <w:spacing w:val="80"/>
          <w:sz w:val="24"/>
        </w:rPr>
        <w:t> </w:t>
      </w:r>
      <w:r>
        <w:rPr>
          <w:sz w:val="24"/>
        </w:rPr>
        <w:t>Philosophy,</w:t>
      </w:r>
      <w:r>
        <w:rPr>
          <w:spacing w:val="80"/>
          <w:sz w:val="24"/>
        </w:rPr>
        <w:t> </w:t>
      </w:r>
      <w:r>
        <w:rPr>
          <w:sz w:val="24"/>
        </w:rPr>
        <w:t>University</w:t>
      </w:r>
      <w:r>
        <w:rPr>
          <w:spacing w:val="80"/>
          <w:sz w:val="24"/>
        </w:rPr>
        <w:t> </w:t>
      </w:r>
      <w:r>
        <w:rPr>
          <w:sz w:val="24"/>
        </w:rPr>
        <w:t>of</w:t>
      </w:r>
      <w:r>
        <w:rPr>
          <w:spacing w:val="80"/>
          <w:sz w:val="24"/>
        </w:rPr>
        <w:t> </w:t>
      </w:r>
      <w:r>
        <w:rPr>
          <w:sz w:val="24"/>
        </w:rPr>
        <w:t>Delhi</w:t>
      </w:r>
      <w:r>
        <w:rPr>
          <w:spacing w:val="80"/>
          <w:sz w:val="24"/>
        </w:rPr>
        <w:t> </w:t>
      </w:r>
      <w:r>
        <w:rPr>
          <w:sz w:val="24"/>
        </w:rPr>
        <w:t>(The</w:t>
      </w:r>
      <w:r>
        <w:rPr>
          <w:spacing w:val="40"/>
          <w:sz w:val="24"/>
        </w:rPr>
        <w:t> </w:t>
      </w:r>
      <w:r>
        <w:rPr>
          <w:sz w:val="24"/>
        </w:rPr>
        <w:t>Rockefeller Foundation), Delhi-7.</w:t>
      </w:r>
    </w:p>
    <w:p>
      <w:pPr>
        <w:pStyle w:val="BodyText"/>
        <w:spacing w:before="5"/>
      </w:pPr>
    </w:p>
    <w:p>
      <w:pPr>
        <w:pStyle w:val="ListParagraph"/>
        <w:numPr>
          <w:ilvl w:val="0"/>
          <w:numId w:val="156"/>
        </w:numPr>
        <w:tabs>
          <w:tab w:pos="400" w:val="left" w:leader="none"/>
        </w:tabs>
        <w:spacing w:line="240" w:lineRule="auto" w:before="0" w:after="0"/>
        <w:ind w:left="400" w:right="0" w:hanging="240"/>
        <w:jc w:val="left"/>
        <w:rPr>
          <w:sz w:val="24"/>
        </w:rPr>
      </w:pPr>
      <w:r>
        <w:rPr>
          <w:sz w:val="24"/>
        </w:rPr>
        <w:t>Dr. M. S. Mehta, Vice-Chancellor,</w:t>
      </w:r>
      <w:r>
        <w:rPr>
          <w:spacing w:val="-2"/>
          <w:sz w:val="24"/>
        </w:rPr>
        <w:t> </w:t>
      </w:r>
      <w:r>
        <w:rPr>
          <w:sz w:val="24"/>
        </w:rPr>
        <w:t>Rajasthan</w:t>
      </w:r>
      <w:r>
        <w:rPr>
          <w:spacing w:val="-1"/>
          <w:sz w:val="24"/>
        </w:rPr>
        <w:t> </w:t>
      </w:r>
      <w:r>
        <w:rPr>
          <w:sz w:val="24"/>
        </w:rPr>
        <w:t>University,</w:t>
      </w:r>
      <w:r>
        <w:rPr>
          <w:spacing w:val="-1"/>
          <w:sz w:val="24"/>
        </w:rPr>
        <w:t> </w:t>
      </w:r>
      <w:r>
        <w:rPr>
          <w:spacing w:val="-2"/>
          <w:sz w:val="24"/>
        </w:rPr>
        <w:t>Jaipur.</w:t>
      </w:r>
    </w:p>
    <w:p>
      <w:pPr>
        <w:pStyle w:val="BodyText"/>
        <w:spacing w:before="4"/>
      </w:pPr>
    </w:p>
    <w:p>
      <w:pPr>
        <w:pStyle w:val="ListParagraph"/>
        <w:numPr>
          <w:ilvl w:val="0"/>
          <w:numId w:val="156"/>
        </w:numPr>
        <w:tabs>
          <w:tab w:pos="400" w:val="left" w:leader="none"/>
        </w:tabs>
        <w:spacing w:line="240" w:lineRule="auto" w:before="0" w:after="0"/>
        <w:ind w:left="400" w:right="0" w:hanging="240"/>
        <w:jc w:val="left"/>
        <w:rPr>
          <w:sz w:val="24"/>
        </w:rPr>
      </w:pPr>
      <w:r>
        <w:rPr>
          <w:sz w:val="24"/>
        </w:rPr>
        <w:t>Prof. M. Mehrotra, 43, Lal Quarters, Govinda Nagar, Kanpur-</w:t>
      </w:r>
      <w:r>
        <w:rPr>
          <w:spacing w:val="-5"/>
          <w:sz w:val="24"/>
        </w:rPr>
        <w:t>6.</w:t>
      </w:r>
    </w:p>
    <w:p>
      <w:pPr>
        <w:pStyle w:val="BodyText"/>
        <w:spacing w:before="3"/>
      </w:pPr>
    </w:p>
    <w:p>
      <w:pPr>
        <w:pStyle w:val="Heading2"/>
        <w:spacing w:before="1"/>
        <w:ind w:right="510"/>
        <w:rPr>
          <w:rFonts w:ascii="Arial"/>
        </w:rPr>
      </w:pPr>
      <w:r>
        <w:rPr>
          <w:rFonts w:ascii="Arial"/>
        </w:rPr>
        <w:t>Sub-Group</w:t>
      </w:r>
      <w:r>
        <w:rPr>
          <w:rFonts w:ascii="Arial"/>
          <w:spacing w:val="80"/>
        </w:rPr>
        <w:t> </w:t>
      </w:r>
      <w:r>
        <w:rPr>
          <w:rFonts w:ascii="Arial"/>
        </w:rPr>
        <w:t>on</w:t>
      </w:r>
      <w:r>
        <w:rPr>
          <w:rFonts w:ascii="Arial"/>
          <w:spacing w:val="80"/>
        </w:rPr>
        <w:t> </w:t>
      </w:r>
      <w:r>
        <w:rPr>
          <w:rFonts w:ascii="Arial"/>
        </w:rPr>
        <w:t>Equalization</w:t>
      </w:r>
      <w:r>
        <w:rPr>
          <w:rFonts w:ascii="Arial"/>
          <w:spacing w:val="80"/>
        </w:rPr>
        <w:t> </w:t>
      </w:r>
      <w:r>
        <w:rPr>
          <w:rFonts w:ascii="Arial"/>
        </w:rPr>
        <w:t>of</w:t>
      </w:r>
      <w:r>
        <w:rPr>
          <w:rFonts w:ascii="Arial"/>
          <w:spacing w:val="80"/>
        </w:rPr>
        <w:t> </w:t>
      </w:r>
      <w:r>
        <w:rPr>
          <w:rFonts w:ascii="Arial"/>
        </w:rPr>
        <w:t>Educational</w:t>
      </w:r>
      <w:r>
        <w:rPr>
          <w:rFonts w:ascii="Arial"/>
          <w:spacing w:val="80"/>
        </w:rPr>
        <w:t> </w:t>
      </w:r>
      <w:r>
        <w:rPr>
          <w:rFonts w:ascii="Arial"/>
        </w:rPr>
        <w:t>Opportunities</w:t>
      </w:r>
      <w:r>
        <w:rPr>
          <w:rFonts w:ascii="Arial"/>
          <w:spacing w:val="80"/>
        </w:rPr>
        <w:t> </w:t>
      </w:r>
      <w:r>
        <w:rPr>
          <w:rFonts w:ascii="Arial"/>
        </w:rPr>
        <w:t>at</w:t>
      </w:r>
      <w:r>
        <w:rPr>
          <w:rFonts w:ascii="Arial"/>
          <w:spacing w:val="80"/>
        </w:rPr>
        <w:t> </w:t>
      </w:r>
      <w:r>
        <w:rPr>
          <w:rFonts w:ascii="Arial"/>
        </w:rPr>
        <w:t>University </w:t>
      </w:r>
      <w:r>
        <w:rPr>
          <w:rFonts w:ascii="Arial"/>
          <w:spacing w:val="-2"/>
        </w:rPr>
        <w:t>Level</w:t>
      </w:r>
    </w:p>
    <w:p>
      <w:pPr>
        <w:pStyle w:val="BodyText"/>
        <w:spacing w:before="3"/>
        <w:rPr>
          <w:rFonts w:ascii="Arial"/>
          <w:b/>
        </w:rPr>
      </w:pPr>
    </w:p>
    <w:p>
      <w:pPr>
        <w:pStyle w:val="ListParagraph"/>
        <w:numPr>
          <w:ilvl w:val="0"/>
          <w:numId w:val="157"/>
        </w:numPr>
        <w:tabs>
          <w:tab w:pos="422" w:val="left" w:leader="none"/>
        </w:tabs>
        <w:spacing w:line="240" w:lineRule="auto" w:before="0" w:after="0"/>
        <w:ind w:left="160" w:right="496" w:firstLine="0"/>
        <w:jc w:val="left"/>
        <w:rPr>
          <w:sz w:val="24"/>
        </w:rPr>
      </w:pPr>
      <w:r>
        <w:rPr>
          <w:sz w:val="24"/>
        </w:rPr>
        <w:t>Dr. R. K. Singh, Director, Balwant Vidyapeeth Rural Higher Institute, P.O. Bichpuri</w:t>
      </w:r>
      <w:r>
        <w:rPr>
          <w:spacing w:val="40"/>
          <w:sz w:val="24"/>
        </w:rPr>
        <w:t> </w:t>
      </w:r>
      <w:r>
        <w:rPr>
          <w:sz w:val="24"/>
        </w:rPr>
        <w:t>(Agra). Convener</w:t>
      </w:r>
    </w:p>
    <w:p>
      <w:pPr>
        <w:pStyle w:val="BodyText"/>
        <w:spacing w:before="4"/>
      </w:pPr>
    </w:p>
    <w:p>
      <w:pPr>
        <w:pStyle w:val="ListParagraph"/>
        <w:numPr>
          <w:ilvl w:val="0"/>
          <w:numId w:val="157"/>
        </w:numPr>
        <w:tabs>
          <w:tab w:pos="404" w:val="left" w:leader="none"/>
        </w:tabs>
        <w:spacing w:line="240" w:lineRule="auto" w:before="0" w:after="0"/>
        <w:ind w:left="160" w:right="498" w:firstLine="0"/>
        <w:jc w:val="left"/>
        <w:rPr>
          <w:sz w:val="24"/>
        </w:rPr>
      </w:pPr>
      <w:r>
        <w:rPr>
          <w:sz w:val="24"/>
        </w:rPr>
        <w:t>Shri K. L. Joshi, Secretary, University Grants Commission, Bahadur Shah Zafar Marg, New Delhi-1.</w:t>
      </w:r>
    </w:p>
    <w:p>
      <w:pPr>
        <w:pStyle w:val="BodyText"/>
        <w:spacing w:before="5"/>
      </w:pPr>
    </w:p>
    <w:p>
      <w:pPr>
        <w:pStyle w:val="ListParagraph"/>
        <w:numPr>
          <w:ilvl w:val="0"/>
          <w:numId w:val="157"/>
        </w:numPr>
        <w:tabs>
          <w:tab w:pos="398" w:val="left" w:leader="none"/>
        </w:tabs>
        <w:spacing w:line="240" w:lineRule="auto" w:before="0" w:after="0"/>
        <w:ind w:left="398" w:right="0" w:hanging="238"/>
        <w:jc w:val="left"/>
        <w:rPr>
          <w:sz w:val="24"/>
        </w:rPr>
      </w:pPr>
      <w:r>
        <w:rPr>
          <w:sz w:val="24"/>
        </w:rPr>
        <w:t>Shri</w:t>
      </w:r>
      <w:r>
        <w:rPr>
          <w:spacing w:val="-4"/>
          <w:sz w:val="24"/>
        </w:rPr>
        <w:t> </w:t>
      </w:r>
      <w:r>
        <w:rPr>
          <w:sz w:val="24"/>
        </w:rPr>
        <w:t>P.</w:t>
      </w:r>
      <w:r>
        <w:rPr>
          <w:spacing w:val="-3"/>
          <w:sz w:val="24"/>
        </w:rPr>
        <w:t> </w:t>
      </w:r>
      <w:r>
        <w:rPr>
          <w:sz w:val="24"/>
        </w:rPr>
        <w:t>G.</w:t>
      </w:r>
      <w:r>
        <w:rPr>
          <w:spacing w:val="-4"/>
          <w:sz w:val="24"/>
        </w:rPr>
        <w:t> </w:t>
      </w:r>
      <w:r>
        <w:rPr>
          <w:sz w:val="24"/>
        </w:rPr>
        <w:t>Mavlankar,</w:t>
      </w:r>
      <w:r>
        <w:rPr>
          <w:spacing w:val="-3"/>
          <w:sz w:val="24"/>
        </w:rPr>
        <w:t> </w:t>
      </w:r>
      <w:r>
        <w:rPr>
          <w:sz w:val="24"/>
        </w:rPr>
        <w:t>Principal,</w:t>
      </w:r>
      <w:r>
        <w:rPr>
          <w:spacing w:val="-3"/>
          <w:sz w:val="24"/>
        </w:rPr>
        <w:t> </w:t>
      </w:r>
      <w:r>
        <w:rPr>
          <w:sz w:val="24"/>
        </w:rPr>
        <w:t>L.</w:t>
      </w:r>
      <w:r>
        <w:rPr>
          <w:spacing w:val="-2"/>
          <w:sz w:val="24"/>
        </w:rPr>
        <w:t> </w:t>
      </w:r>
      <w:r>
        <w:rPr>
          <w:sz w:val="24"/>
        </w:rPr>
        <w:t>D.</w:t>
      </w:r>
      <w:r>
        <w:rPr>
          <w:spacing w:val="-2"/>
          <w:sz w:val="24"/>
        </w:rPr>
        <w:t> </w:t>
      </w:r>
      <w:r>
        <w:rPr>
          <w:sz w:val="24"/>
        </w:rPr>
        <w:t>Arts</w:t>
      </w:r>
      <w:r>
        <w:rPr>
          <w:spacing w:val="-3"/>
          <w:sz w:val="24"/>
        </w:rPr>
        <w:t> </w:t>
      </w:r>
      <w:r>
        <w:rPr>
          <w:sz w:val="24"/>
        </w:rPr>
        <w:t>College,</w:t>
      </w:r>
      <w:r>
        <w:rPr>
          <w:spacing w:val="-2"/>
          <w:sz w:val="24"/>
        </w:rPr>
        <w:t> </w:t>
      </w:r>
      <w:r>
        <w:rPr>
          <w:sz w:val="24"/>
        </w:rPr>
        <w:t>Navrangpura,</w:t>
      </w:r>
      <w:r>
        <w:rPr>
          <w:spacing w:val="-2"/>
          <w:sz w:val="24"/>
        </w:rPr>
        <w:t> </w:t>
      </w:r>
      <w:r>
        <w:rPr>
          <w:sz w:val="24"/>
        </w:rPr>
        <w:t>Ahmedabad-</w:t>
      </w:r>
      <w:r>
        <w:rPr>
          <w:spacing w:val="-5"/>
          <w:sz w:val="24"/>
        </w:rPr>
        <w:t>9.</w:t>
      </w:r>
    </w:p>
    <w:p>
      <w:pPr>
        <w:pStyle w:val="BodyText"/>
        <w:spacing w:before="4"/>
      </w:pPr>
    </w:p>
    <w:p>
      <w:pPr>
        <w:pStyle w:val="ListParagraph"/>
        <w:numPr>
          <w:ilvl w:val="0"/>
          <w:numId w:val="157"/>
        </w:numPr>
        <w:tabs>
          <w:tab w:pos="399" w:val="left" w:leader="none"/>
        </w:tabs>
        <w:spacing w:line="240" w:lineRule="auto" w:before="1"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57"/>
        </w:numPr>
        <w:tabs>
          <w:tab w:pos="419" w:val="left" w:leader="none"/>
        </w:tabs>
        <w:spacing w:line="240" w:lineRule="auto" w:before="0" w:after="0"/>
        <w:ind w:left="160" w:right="498" w:firstLine="0"/>
        <w:jc w:val="left"/>
        <w:rPr>
          <w:sz w:val="24"/>
        </w:rPr>
      </w:pPr>
      <w:r>
        <w:rPr>
          <w:sz w:val="24"/>
        </w:rPr>
        <w:t>Shri A. P. Shah, Executive Secretary, Indian Committee for Cultural Freedom, Army and Navy Building, 148, Mahatma Gandhi Road, Bombay-1.</w:t>
      </w:r>
    </w:p>
    <w:p>
      <w:pPr>
        <w:spacing w:after="0" w:line="240" w:lineRule="auto"/>
        <w:jc w:val="left"/>
        <w:rPr>
          <w:sz w:val="24"/>
        </w:rPr>
        <w:sectPr>
          <w:pgSz w:w="12240" w:h="15840"/>
          <w:pgMar w:header="0" w:footer="743" w:top="1360" w:bottom="940" w:left="1640" w:right="1300"/>
        </w:sectPr>
      </w:pPr>
    </w:p>
    <w:p>
      <w:pPr>
        <w:pStyle w:val="Heading2"/>
        <w:spacing w:before="78"/>
        <w:rPr>
          <w:rFonts w:ascii="Arial"/>
        </w:rPr>
      </w:pPr>
      <w:r>
        <w:rPr>
          <w:rFonts w:ascii="Arial"/>
        </w:rPr>
        <w:t>Sub-Group</w:t>
      </w:r>
      <w:r>
        <w:rPr>
          <w:rFonts w:ascii="Arial"/>
          <w:spacing w:val="-2"/>
        </w:rPr>
        <w:t> </w:t>
      </w:r>
      <w:r>
        <w:rPr>
          <w:rFonts w:ascii="Arial"/>
        </w:rPr>
        <w:t>on</w:t>
      </w:r>
      <w:r>
        <w:rPr>
          <w:rFonts w:ascii="Arial"/>
          <w:spacing w:val="-1"/>
        </w:rPr>
        <w:t> </w:t>
      </w:r>
      <w:r>
        <w:rPr>
          <w:rFonts w:ascii="Arial"/>
        </w:rPr>
        <w:t>Rural</w:t>
      </w:r>
      <w:r>
        <w:rPr>
          <w:rFonts w:ascii="Arial"/>
          <w:spacing w:val="-1"/>
        </w:rPr>
        <w:t> </w:t>
      </w:r>
      <w:r>
        <w:rPr>
          <w:rFonts w:ascii="Arial"/>
        </w:rPr>
        <w:t>Higher</w:t>
      </w:r>
      <w:r>
        <w:rPr>
          <w:rFonts w:ascii="Arial"/>
          <w:spacing w:val="-1"/>
        </w:rPr>
        <w:t> </w:t>
      </w:r>
      <w:r>
        <w:rPr>
          <w:rFonts w:ascii="Arial"/>
          <w:spacing w:val="-2"/>
        </w:rPr>
        <w:t>Education</w:t>
      </w:r>
    </w:p>
    <w:p>
      <w:pPr>
        <w:pStyle w:val="BodyText"/>
        <w:spacing w:before="3"/>
        <w:rPr>
          <w:rFonts w:ascii="Arial"/>
          <w:b/>
        </w:rPr>
      </w:pPr>
    </w:p>
    <w:p>
      <w:pPr>
        <w:pStyle w:val="ListParagraph"/>
        <w:numPr>
          <w:ilvl w:val="0"/>
          <w:numId w:val="158"/>
        </w:numPr>
        <w:tabs>
          <w:tab w:pos="449" w:val="left" w:leader="none"/>
        </w:tabs>
        <w:spacing w:line="240" w:lineRule="auto" w:before="0" w:after="0"/>
        <w:ind w:left="160" w:right="497" w:firstLine="0"/>
        <w:jc w:val="left"/>
        <w:rPr>
          <w:sz w:val="24"/>
        </w:rPr>
      </w:pPr>
      <w:r>
        <w:rPr>
          <w:sz w:val="24"/>
        </w:rPr>
        <w:t>Shri</w:t>
      </w:r>
      <w:r>
        <w:rPr>
          <w:spacing w:val="40"/>
          <w:sz w:val="24"/>
        </w:rPr>
        <w:t> </w:t>
      </w:r>
      <w:r>
        <w:rPr>
          <w:sz w:val="24"/>
        </w:rPr>
        <w:t>G.</w:t>
      </w:r>
      <w:r>
        <w:rPr>
          <w:spacing w:val="40"/>
          <w:sz w:val="24"/>
        </w:rPr>
        <w:t> </w:t>
      </w:r>
      <w:r>
        <w:rPr>
          <w:sz w:val="24"/>
        </w:rPr>
        <w:t>Ramachandran,</w:t>
      </w:r>
      <w:r>
        <w:rPr>
          <w:spacing w:val="40"/>
          <w:sz w:val="24"/>
        </w:rPr>
        <w:t> </w:t>
      </w:r>
      <w:r>
        <w:rPr>
          <w:sz w:val="24"/>
        </w:rPr>
        <w:t>Director,</w:t>
      </w:r>
      <w:r>
        <w:rPr>
          <w:spacing w:val="40"/>
          <w:sz w:val="24"/>
        </w:rPr>
        <w:t> </w:t>
      </w:r>
      <w:r>
        <w:rPr>
          <w:sz w:val="24"/>
        </w:rPr>
        <w:t>Gandhigram,</w:t>
      </w:r>
      <w:r>
        <w:rPr>
          <w:spacing w:val="40"/>
          <w:sz w:val="24"/>
        </w:rPr>
        <w:t> </w:t>
      </w:r>
      <w:r>
        <w:rPr>
          <w:sz w:val="24"/>
        </w:rPr>
        <w:t>Gandhigram</w:t>
      </w:r>
      <w:r>
        <w:rPr>
          <w:spacing w:val="40"/>
          <w:sz w:val="24"/>
        </w:rPr>
        <w:t> </w:t>
      </w:r>
      <w:r>
        <w:rPr>
          <w:sz w:val="24"/>
        </w:rPr>
        <w:t>P.O.,</w:t>
      </w:r>
      <w:r>
        <w:rPr>
          <w:spacing w:val="40"/>
          <w:sz w:val="24"/>
        </w:rPr>
        <w:t> </w:t>
      </w:r>
      <w:r>
        <w:rPr>
          <w:sz w:val="24"/>
        </w:rPr>
        <w:t>Madurai</w:t>
      </w:r>
      <w:r>
        <w:rPr>
          <w:spacing w:val="40"/>
          <w:sz w:val="24"/>
        </w:rPr>
        <w:t> </w:t>
      </w:r>
      <w:r>
        <w:rPr>
          <w:sz w:val="24"/>
        </w:rPr>
        <w:t>District (Madras). Convener</w:t>
      </w:r>
    </w:p>
    <w:p>
      <w:pPr>
        <w:pStyle w:val="BodyText"/>
        <w:spacing w:before="4"/>
      </w:pPr>
    </w:p>
    <w:p>
      <w:pPr>
        <w:pStyle w:val="ListParagraph"/>
        <w:numPr>
          <w:ilvl w:val="0"/>
          <w:numId w:val="158"/>
        </w:numPr>
        <w:tabs>
          <w:tab w:pos="443" w:val="left" w:leader="none"/>
        </w:tabs>
        <w:spacing w:line="240" w:lineRule="auto" w:before="0" w:after="0"/>
        <w:ind w:left="160" w:right="496" w:firstLine="0"/>
        <w:jc w:val="left"/>
        <w:rPr>
          <w:sz w:val="24"/>
        </w:rPr>
      </w:pPr>
      <w:r>
        <w:rPr>
          <w:sz w:val="24"/>
        </w:rPr>
        <w:t>Dr.</w:t>
      </w:r>
      <w:r>
        <w:rPr>
          <w:spacing w:val="40"/>
          <w:sz w:val="24"/>
        </w:rPr>
        <w:t> </w:t>
      </w:r>
      <w:r>
        <w:rPr>
          <w:sz w:val="24"/>
        </w:rPr>
        <w:t>H.</w:t>
      </w:r>
      <w:r>
        <w:rPr>
          <w:spacing w:val="40"/>
          <w:sz w:val="24"/>
        </w:rPr>
        <w:t> </w:t>
      </w:r>
      <w:r>
        <w:rPr>
          <w:sz w:val="24"/>
        </w:rPr>
        <w:t>Amir</w:t>
      </w:r>
      <w:r>
        <w:rPr>
          <w:spacing w:val="40"/>
          <w:sz w:val="24"/>
        </w:rPr>
        <w:t> </w:t>
      </w:r>
      <w:r>
        <w:rPr>
          <w:sz w:val="24"/>
        </w:rPr>
        <w:t>Ali,</w:t>
      </w:r>
      <w:r>
        <w:rPr>
          <w:spacing w:val="40"/>
          <w:sz w:val="24"/>
        </w:rPr>
        <w:t> </w:t>
      </w:r>
      <w:r>
        <w:rPr>
          <w:sz w:val="24"/>
        </w:rPr>
        <w:t>Director,</w:t>
      </w:r>
      <w:r>
        <w:rPr>
          <w:spacing w:val="40"/>
          <w:sz w:val="24"/>
        </w:rPr>
        <w:t> </w:t>
      </w:r>
      <w:r>
        <w:rPr>
          <w:sz w:val="24"/>
        </w:rPr>
        <w:t>Jamia</w:t>
      </w:r>
      <w:r>
        <w:rPr>
          <w:spacing w:val="40"/>
          <w:sz w:val="24"/>
        </w:rPr>
        <w:t> </w:t>
      </w:r>
      <w:r>
        <w:rPr>
          <w:sz w:val="24"/>
        </w:rPr>
        <w:t>Rural</w:t>
      </w:r>
      <w:r>
        <w:rPr>
          <w:spacing w:val="40"/>
          <w:sz w:val="24"/>
        </w:rPr>
        <w:t> </w:t>
      </w:r>
      <w:r>
        <w:rPr>
          <w:sz w:val="24"/>
        </w:rPr>
        <w:t>Institute,</w:t>
      </w:r>
      <w:r>
        <w:rPr>
          <w:spacing w:val="40"/>
          <w:sz w:val="24"/>
        </w:rPr>
        <w:t> </w:t>
      </w:r>
      <w:r>
        <w:rPr>
          <w:sz w:val="24"/>
        </w:rPr>
        <w:t>Jamia</w:t>
      </w:r>
      <w:r>
        <w:rPr>
          <w:spacing w:val="40"/>
          <w:sz w:val="24"/>
        </w:rPr>
        <w:t> </w:t>
      </w:r>
      <w:r>
        <w:rPr>
          <w:sz w:val="24"/>
        </w:rPr>
        <w:t>Millia</w:t>
      </w:r>
      <w:r>
        <w:rPr>
          <w:spacing w:val="40"/>
          <w:sz w:val="24"/>
        </w:rPr>
        <w:t> </w:t>
      </w:r>
      <w:r>
        <w:rPr>
          <w:sz w:val="24"/>
        </w:rPr>
        <w:t>Islamia,</w:t>
      </w:r>
      <w:r>
        <w:rPr>
          <w:spacing w:val="40"/>
          <w:sz w:val="24"/>
        </w:rPr>
        <w:t> </w:t>
      </w:r>
      <w:r>
        <w:rPr>
          <w:sz w:val="24"/>
        </w:rPr>
        <w:t>P.O.</w:t>
      </w:r>
      <w:r>
        <w:rPr>
          <w:spacing w:val="40"/>
          <w:sz w:val="24"/>
        </w:rPr>
        <w:t> </w:t>
      </w:r>
      <w:r>
        <w:rPr>
          <w:sz w:val="24"/>
        </w:rPr>
        <w:t>Jamia Nagar, New Delhi-25.</w:t>
      </w:r>
    </w:p>
    <w:p>
      <w:pPr>
        <w:pStyle w:val="BodyText"/>
        <w:spacing w:before="5"/>
      </w:pPr>
    </w:p>
    <w:p>
      <w:pPr>
        <w:pStyle w:val="ListParagraph"/>
        <w:numPr>
          <w:ilvl w:val="0"/>
          <w:numId w:val="158"/>
        </w:numPr>
        <w:tabs>
          <w:tab w:pos="398" w:val="left" w:leader="none"/>
        </w:tabs>
        <w:spacing w:line="240" w:lineRule="auto" w:before="0" w:after="0"/>
        <w:ind w:left="398" w:right="0" w:hanging="238"/>
        <w:jc w:val="left"/>
        <w:rPr>
          <w:sz w:val="24"/>
        </w:rPr>
      </w:pPr>
      <w:r>
        <w:rPr>
          <w:sz w:val="24"/>
        </w:rPr>
        <w:t>Shri</w:t>
      </w:r>
      <w:r>
        <w:rPr>
          <w:spacing w:val="-6"/>
          <w:sz w:val="24"/>
        </w:rPr>
        <w:t> </w:t>
      </w:r>
      <w:r>
        <w:rPr>
          <w:sz w:val="24"/>
        </w:rPr>
        <w:t>K.</w:t>
      </w:r>
      <w:r>
        <w:rPr>
          <w:spacing w:val="-4"/>
          <w:sz w:val="24"/>
        </w:rPr>
        <w:t> </w:t>
      </w:r>
      <w:r>
        <w:rPr>
          <w:sz w:val="24"/>
        </w:rPr>
        <w:t>L.</w:t>
      </w:r>
      <w:r>
        <w:rPr>
          <w:spacing w:val="-4"/>
          <w:sz w:val="24"/>
        </w:rPr>
        <w:t> </w:t>
      </w:r>
      <w:r>
        <w:rPr>
          <w:sz w:val="24"/>
        </w:rPr>
        <w:t>Bordia,</w:t>
      </w:r>
      <w:r>
        <w:rPr>
          <w:spacing w:val="-4"/>
          <w:sz w:val="24"/>
        </w:rPr>
        <w:t> </w:t>
      </w:r>
      <w:r>
        <w:rPr>
          <w:sz w:val="24"/>
        </w:rPr>
        <w:t>Director,</w:t>
      </w:r>
      <w:r>
        <w:rPr>
          <w:spacing w:val="-3"/>
          <w:sz w:val="24"/>
        </w:rPr>
        <w:t> </w:t>
      </w:r>
      <w:r>
        <w:rPr>
          <w:sz w:val="24"/>
        </w:rPr>
        <w:t>Vidya</w:t>
      </w:r>
      <w:r>
        <w:rPr>
          <w:spacing w:val="-4"/>
          <w:sz w:val="24"/>
        </w:rPr>
        <w:t> </w:t>
      </w:r>
      <w:r>
        <w:rPr>
          <w:sz w:val="24"/>
        </w:rPr>
        <w:t>Bhavan</w:t>
      </w:r>
      <w:r>
        <w:rPr>
          <w:spacing w:val="-3"/>
          <w:sz w:val="24"/>
        </w:rPr>
        <w:t> </w:t>
      </w:r>
      <w:r>
        <w:rPr>
          <w:sz w:val="24"/>
        </w:rPr>
        <w:t>Rural</w:t>
      </w:r>
      <w:r>
        <w:rPr>
          <w:spacing w:val="-4"/>
          <w:sz w:val="24"/>
        </w:rPr>
        <w:t> </w:t>
      </w:r>
      <w:r>
        <w:rPr>
          <w:sz w:val="24"/>
        </w:rPr>
        <w:t>Institute,</w:t>
      </w:r>
      <w:r>
        <w:rPr>
          <w:spacing w:val="-4"/>
          <w:sz w:val="24"/>
        </w:rPr>
        <w:t> </w:t>
      </w:r>
      <w:r>
        <w:rPr>
          <w:sz w:val="24"/>
        </w:rPr>
        <w:t>Udaipur</w:t>
      </w:r>
      <w:r>
        <w:rPr>
          <w:spacing w:val="-3"/>
          <w:sz w:val="24"/>
        </w:rPr>
        <w:t> </w:t>
      </w:r>
      <w:r>
        <w:rPr>
          <w:spacing w:val="-2"/>
          <w:sz w:val="24"/>
        </w:rPr>
        <w:t>(Rajasthan).</w:t>
      </w:r>
    </w:p>
    <w:p>
      <w:pPr>
        <w:pStyle w:val="BodyText"/>
        <w:spacing w:before="3"/>
      </w:pPr>
    </w:p>
    <w:p>
      <w:pPr>
        <w:pStyle w:val="ListParagraph"/>
        <w:numPr>
          <w:ilvl w:val="0"/>
          <w:numId w:val="158"/>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5"/>
      </w:pPr>
    </w:p>
    <w:p>
      <w:pPr>
        <w:pStyle w:val="ListParagraph"/>
        <w:numPr>
          <w:ilvl w:val="0"/>
          <w:numId w:val="158"/>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Heading2"/>
        <w:rPr>
          <w:rFonts w:ascii="Arial"/>
        </w:rPr>
      </w:pPr>
      <w:r>
        <w:rPr>
          <w:rFonts w:ascii="Arial"/>
        </w:rPr>
        <w:t>Sub-Group</w:t>
      </w:r>
      <w:r>
        <w:rPr>
          <w:rFonts w:ascii="Arial"/>
          <w:spacing w:val="-7"/>
        </w:rPr>
        <w:t> </w:t>
      </w:r>
      <w:r>
        <w:rPr>
          <w:rFonts w:ascii="Arial"/>
        </w:rPr>
        <w:t>on</w:t>
      </w:r>
      <w:r>
        <w:rPr>
          <w:rFonts w:ascii="Arial"/>
          <w:spacing w:val="-4"/>
        </w:rPr>
        <w:t> </w:t>
      </w:r>
      <w:r>
        <w:rPr>
          <w:rFonts w:ascii="Arial"/>
        </w:rPr>
        <w:t>Salaries</w:t>
      </w:r>
      <w:r>
        <w:rPr>
          <w:rFonts w:ascii="Arial"/>
          <w:spacing w:val="-4"/>
        </w:rPr>
        <w:t> </w:t>
      </w:r>
      <w:r>
        <w:rPr>
          <w:rFonts w:ascii="Arial"/>
        </w:rPr>
        <w:t>of</w:t>
      </w:r>
      <w:r>
        <w:rPr>
          <w:rFonts w:ascii="Arial"/>
          <w:spacing w:val="-4"/>
        </w:rPr>
        <w:t> </w:t>
      </w:r>
      <w:r>
        <w:rPr>
          <w:rFonts w:ascii="Arial"/>
          <w:spacing w:val="-2"/>
        </w:rPr>
        <w:t>Teachers</w:t>
      </w:r>
    </w:p>
    <w:p>
      <w:pPr>
        <w:pStyle w:val="BodyText"/>
        <w:spacing w:before="3"/>
        <w:rPr>
          <w:rFonts w:ascii="Arial"/>
          <w:b/>
        </w:rPr>
      </w:pPr>
    </w:p>
    <w:p>
      <w:pPr>
        <w:pStyle w:val="ListParagraph"/>
        <w:numPr>
          <w:ilvl w:val="0"/>
          <w:numId w:val="159"/>
        </w:numPr>
        <w:tabs>
          <w:tab w:pos="404" w:val="left" w:leader="none"/>
        </w:tabs>
        <w:spacing w:line="240" w:lineRule="auto" w:before="1" w:after="0"/>
        <w:ind w:left="160" w:right="498" w:firstLine="0"/>
        <w:jc w:val="left"/>
        <w:rPr>
          <w:sz w:val="24"/>
        </w:rPr>
      </w:pPr>
      <w:r>
        <w:rPr>
          <w:sz w:val="24"/>
        </w:rPr>
        <w:t>Shri K. L. Joshi, Secretary, University Grants Commission, Bahadur Shah Zafar Marg, New Delhi-1. Convener</w:t>
      </w:r>
    </w:p>
    <w:p>
      <w:pPr>
        <w:pStyle w:val="BodyText"/>
        <w:spacing w:before="2"/>
      </w:pPr>
    </w:p>
    <w:p>
      <w:pPr>
        <w:pStyle w:val="ListParagraph"/>
        <w:numPr>
          <w:ilvl w:val="0"/>
          <w:numId w:val="159"/>
        </w:numPr>
        <w:tabs>
          <w:tab w:pos="497" w:val="left" w:leader="none"/>
        </w:tabs>
        <w:spacing w:line="240" w:lineRule="auto" w:before="0" w:after="0"/>
        <w:ind w:left="160" w:right="498" w:firstLine="0"/>
        <w:jc w:val="left"/>
        <w:rPr>
          <w:sz w:val="24"/>
        </w:rPr>
      </w:pPr>
      <w:r>
        <w:rPr>
          <w:sz w:val="24"/>
        </w:rPr>
        <w:t>Dr.</w:t>
      </w:r>
      <w:r>
        <w:rPr>
          <w:spacing w:val="80"/>
          <w:sz w:val="24"/>
        </w:rPr>
        <w:t> </w:t>
      </w:r>
      <w:r>
        <w:rPr>
          <w:sz w:val="24"/>
        </w:rPr>
        <w:t>C.</w:t>
      </w:r>
      <w:r>
        <w:rPr>
          <w:spacing w:val="80"/>
          <w:sz w:val="24"/>
        </w:rPr>
        <w:t> </w:t>
      </w:r>
      <w:r>
        <w:rPr>
          <w:sz w:val="24"/>
        </w:rPr>
        <w:t>Gilpatric,</w:t>
      </w:r>
      <w:r>
        <w:rPr>
          <w:spacing w:val="80"/>
          <w:sz w:val="24"/>
        </w:rPr>
        <w:t> </w:t>
      </w:r>
      <w:r>
        <w:rPr>
          <w:sz w:val="24"/>
        </w:rPr>
        <w:t>Visiting</w:t>
      </w:r>
      <w:r>
        <w:rPr>
          <w:spacing w:val="80"/>
          <w:sz w:val="24"/>
        </w:rPr>
        <w:t> </w:t>
      </w:r>
      <w:r>
        <w:rPr>
          <w:sz w:val="24"/>
        </w:rPr>
        <w:t>Professor</w:t>
      </w:r>
      <w:r>
        <w:rPr>
          <w:spacing w:val="80"/>
          <w:sz w:val="24"/>
        </w:rPr>
        <w:t> </w:t>
      </w:r>
      <w:r>
        <w:rPr>
          <w:sz w:val="24"/>
        </w:rPr>
        <w:t>of</w:t>
      </w:r>
      <w:r>
        <w:rPr>
          <w:spacing w:val="80"/>
          <w:sz w:val="24"/>
        </w:rPr>
        <w:t> </w:t>
      </w:r>
      <w:r>
        <w:rPr>
          <w:sz w:val="24"/>
        </w:rPr>
        <w:t>Philosophy,</w:t>
      </w:r>
      <w:r>
        <w:rPr>
          <w:spacing w:val="80"/>
          <w:sz w:val="24"/>
        </w:rPr>
        <w:t> </w:t>
      </w:r>
      <w:r>
        <w:rPr>
          <w:sz w:val="24"/>
        </w:rPr>
        <w:t>University</w:t>
      </w:r>
      <w:r>
        <w:rPr>
          <w:spacing w:val="80"/>
          <w:sz w:val="24"/>
        </w:rPr>
        <w:t> </w:t>
      </w:r>
      <w:r>
        <w:rPr>
          <w:sz w:val="24"/>
        </w:rPr>
        <w:t>of</w:t>
      </w:r>
      <w:r>
        <w:rPr>
          <w:spacing w:val="80"/>
          <w:sz w:val="24"/>
        </w:rPr>
        <w:t> </w:t>
      </w:r>
      <w:r>
        <w:rPr>
          <w:sz w:val="24"/>
        </w:rPr>
        <w:t>Delhi,</w:t>
      </w:r>
      <w:r>
        <w:rPr>
          <w:spacing w:val="80"/>
          <w:sz w:val="24"/>
        </w:rPr>
        <w:t> </w:t>
      </w:r>
      <w:r>
        <w:rPr>
          <w:sz w:val="24"/>
        </w:rPr>
        <w:t>(The Rockefeller Foundation), Delhi-7.</w:t>
      </w:r>
    </w:p>
    <w:p>
      <w:pPr>
        <w:pStyle w:val="BodyText"/>
        <w:spacing w:before="5"/>
      </w:pPr>
    </w:p>
    <w:p>
      <w:pPr>
        <w:pStyle w:val="ListParagraph"/>
        <w:numPr>
          <w:ilvl w:val="0"/>
          <w:numId w:val="159"/>
        </w:numPr>
        <w:tabs>
          <w:tab w:pos="401" w:val="left" w:leader="none"/>
        </w:tabs>
        <w:spacing w:line="240" w:lineRule="auto" w:before="0" w:after="0"/>
        <w:ind w:left="160" w:right="498" w:firstLine="0"/>
        <w:jc w:val="left"/>
        <w:rPr>
          <w:sz w:val="24"/>
        </w:rPr>
      </w:pPr>
      <w:r>
        <w:rPr>
          <w:sz w:val="24"/>
        </w:rPr>
        <w:t>Shri</w:t>
      </w:r>
      <w:r>
        <w:rPr>
          <w:spacing w:val="-1"/>
          <w:sz w:val="24"/>
        </w:rPr>
        <w:t> </w:t>
      </w:r>
      <w:r>
        <w:rPr>
          <w:sz w:val="24"/>
        </w:rPr>
        <w:t>C.</w:t>
      </w:r>
      <w:r>
        <w:rPr>
          <w:spacing w:val="-1"/>
          <w:sz w:val="24"/>
        </w:rPr>
        <w:t> </w:t>
      </w:r>
      <w:r>
        <w:rPr>
          <w:sz w:val="24"/>
        </w:rPr>
        <w:t>L.</w:t>
      </w:r>
      <w:r>
        <w:rPr>
          <w:spacing w:val="-1"/>
          <w:sz w:val="24"/>
        </w:rPr>
        <w:t> </w:t>
      </w:r>
      <w:r>
        <w:rPr>
          <w:sz w:val="24"/>
        </w:rPr>
        <w:t>Kapur,</w:t>
      </w:r>
      <w:r>
        <w:rPr>
          <w:spacing w:val="-1"/>
          <w:sz w:val="24"/>
        </w:rPr>
        <w:t> </w:t>
      </w:r>
      <w:r>
        <w:rPr>
          <w:sz w:val="24"/>
        </w:rPr>
        <w:t>Retired</w:t>
      </w:r>
      <w:r>
        <w:rPr>
          <w:spacing w:val="-1"/>
          <w:sz w:val="24"/>
        </w:rPr>
        <w:t> </w:t>
      </w:r>
      <w:r>
        <w:rPr>
          <w:sz w:val="24"/>
        </w:rPr>
        <w:t>Director</w:t>
      </w:r>
      <w:r>
        <w:rPr>
          <w:spacing w:val="-1"/>
          <w:sz w:val="24"/>
        </w:rPr>
        <w:t> </w:t>
      </w:r>
      <w:r>
        <w:rPr>
          <w:sz w:val="24"/>
        </w:rPr>
        <w:t>of</w:t>
      </w:r>
      <w:r>
        <w:rPr>
          <w:spacing w:val="-1"/>
          <w:sz w:val="24"/>
        </w:rPr>
        <w:t> </w:t>
      </w:r>
      <w:r>
        <w:rPr>
          <w:sz w:val="24"/>
        </w:rPr>
        <w:t>Education</w:t>
      </w:r>
      <w:r>
        <w:rPr>
          <w:spacing w:val="-1"/>
          <w:sz w:val="24"/>
        </w:rPr>
        <w:t> </w:t>
      </w:r>
      <w:r>
        <w:rPr>
          <w:sz w:val="24"/>
        </w:rPr>
        <w:t>and</w:t>
      </w:r>
      <w:r>
        <w:rPr>
          <w:spacing w:val="-1"/>
          <w:sz w:val="24"/>
        </w:rPr>
        <w:t> </w:t>
      </w:r>
      <w:r>
        <w:rPr>
          <w:sz w:val="24"/>
        </w:rPr>
        <w:t>Education</w:t>
      </w:r>
      <w:r>
        <w:rPr>
          <w:spacing w:val="-1"/>
          <w:sz w:val="24"/>
        </w:rPr>
        <w:t> </w:t>
      </w:r>
      <w:r>
        <w:rPr>
          <w:sz w:val="24"/>
        </w:rPr>
        <w:t>Secretary,</w:t>
      </w:r>
      <w:r>
        <w:rPr>
          <w:spacing w:val="-1"/>
          <w:sz w:val="24"/>
        </w:rPr>
        <w:t> </w:t>
      </w:r>
      <w:r>
        <w:rPr>
          <w:sz w:val="24"/>
        </w:rPr>
        <w:t>Punjab,</w:t>
      </w:r>
      <w:r>
        <w:rPr>
          <w:spacing w:val="-1"/>
          <w:sz w:val="24"/>
        </w:rPr>
        <w:t> </w:t>
      </w:r>
      <w:r>
        <w:rPr>
          <w:sz w:val="24"/>
        </w:rPr>
        <w:t>IE/5, Patel Road, Patel Nagar, New Delhi-12.</w:t>
      </w:r>
    </w:p>
    <w:p>
      <w:pPr>
        <w:pStyle w:val="BodyText"/>
        <w:spacing w:before="5"/>
      </w:pPr>
    </w:p>
    <w:p>
      <w:pPr>
        <w:pStyle w:val="ListParagraph"/>
        <w:numPr>
          <w:ilvl w:val="0"/>
          <w:numId w:val="159"/>
        </w:numPr>
        <w:tabs>
          <w:tab w:pos="400" w:val="left" w:leader="none"/>
        </w:tabs>
        <w:spacing w:line="240" w:lineRule="auto" w:before="0" w:after="0"/>
        <w:ind w:left="400" w:right="0" w:hanging="240"/>
        <w:jc w:val="left"/>
        <w:rPr>
          <w:sz w:val="24"/>
        </w:rPr>
      </w:pPr>
      <w:r>
        <w:rPr>
          <w:sz w:val="24"/>
        </w:rPr>
        <w:t>Prof.</w:t>
      </w:r>
      <w:r>
        <w:rPr>
          <w:spacing w:val="-1"/>
          <w:sz w:val="24"/>
        </w:rPr>
        <w:t> </w:t>
      </w:r>
      <w:r>
        <w:rPr>
          <w:sz w:val="24"/>
        </w:rPr>
        <w:t>S.</w:t>
      </w:r>
      <w:r>
        <w:rPr>
          <w:spacing w:val="-1"/>
          <w:sz w:val="24"/>
        </w:rPr>
        <w:t> </w:t>
      </w:r>
      <w:r>
        <w:rPr>
          <w:sz w:val="24"/>
        </w:rPr>
        <w:t>A. Shumovsky,</w:t>
      </w:r>
      <w:r>
        <w:rPr>
          <w:spacing w:val="-1"/>
          <w:sz w:val="24"/>
        </w:rPr>
        <w:t> </w:t>
      </w:r>
      <w:r>
        <w:rPr>
          <w:sz w:val="24"/>
        </w:rPr>
        <w:t>Member,</w:t>
      </w:r>
      <w:r>
        <w:rPr>
          <w:spacing w:val="-1"/>
          <w:sz w:val="24"/>
        </w:rPr>
        <w:t> </w:t>
      </w:r>
      <w:r>
        <w:rPr>
          <w:sz w:val="24"/>
        </w:rPr>
        <w:t>Education </w:t>
      </w:r>
      <w:r>
        <w:rPr>
          <w:spacing w:val="-2"/>
          <w:sz w:val="24"/>
        </w:rPr>
        <w:t>Commission.</w:t>
      </w:r>
    </w:p>
    <w:p>
      <w:pPr>
        <w:pStyle w:val="BodyText"/>
        <w:spacing w:before="3"/>
      </w:pPr>
    </w:p>
    <w:p>
      <w:pPr>
        <w:pStyle w:val="Heading2"/>
        <w:spacing w:before="1"/>
        <w:rPr>
          <w:rFonts w:ascii="Arial"/>
        </w:rPr>
      </w:pPr>
      <w:r>
        <w:rPr>
          <w:rFonts w:ascii="Arial"/>
        </w:rPr>
        <w:t>Sub-Group</w:t>
      </w:r>
      <w:r>
        <w:rPr>
          <w:rFonts w:ascii="Arial"/>
          <w:spacing w:val="-4"/>
        </w:rPr>
        <w:t> </w:t>
      </w:r>
      <w:r>
        <w:rPr>
          <w:rFonts w:ascii="Arial"/>
        </w:rPr>
        <w:t>on</w:t>
      </w:r>
      <w:r>
        <w:rPr>
          <w:rFonts w:ascii="Arial"/>
          <w:spacing w:val="-3"/>
        </w:rPr>
        <w:t> </w:t>
      </w:r>
      <w:r>
        <w:rPr>
          <w:rFonts w:ascii="Arial"/>
        </w:rPr>
        <w:t>University</w:t>
      </w:r>
      <w:r>
        <w:rPr>
          <w:rFonts w:ascii="Arial"/>
          <w:spacing w:val="-5"/>
        </w:rPr>
        <w:t> </w:t>
      </w:r>
      <w:r>
        <w:rPr>
          <w:rFonts w:ascii="Arial"/>
          <w:spacing w:val="-2"/>
        </w:rPr>
        <w:t>Standards</w:t>
      </w:r>
    </w:p>
    <w:p>
      <w:pPr>
        <w:pStyle w:val="BodyText"/>
        <w:spacing w:before="3"/>
        <w:rPr>
          <w:rFonts w:ascii="Arial"/>
          <w:b/>
        </w:rPr>
      </w:pPr>
    </w:p>
    <w:p>
      <w:pPr>
        <w:pStyle w:val="ListParagraph"/>
        <w:numPr>
          <w:ilvl w:val="0"/>
          <w:numId w:val="160"/>
        </w:numPr>
        <w:tabs>
          <w:tab w:pos="429" w:val="left" w:leader="none"/>
        </w:tabs>
        <w:spacing w:line="240" w:lineRule="auto" w:before="0" w:after="0"/>
        <w:ind w:left="160" w:right="500" w:firstLine="0"/>
        <w:jc w:val="left"/>
        <w:rPr>
          <w:sz w:val="24"/>
        </w:rPr>
      </w:pPr>
      <w:r>
        <w:rPr>
          <w:sz w:val="24"/>
        </w:rPr>
        <w:t>Dr. P. J. Philip, joint Secretary University Grants Commission, Bahadur Shah Zafar</w:t>
      </w:r>
      <w:r>
        <w:rPr>
          <w:spacing w:val="80"/>
          <w:w w:val="150"/>
          <w:sz w:val="24"/>
        </w:rPr>
        <w:t> </w:t>
      </w:r>
      <w:r>
        <w:rPr>
          <w:sz w:val="24"/>
        </w:rPr>
        <w:t>Marg, New Delhi-1.</w:t>
      </w:r>
    </w:p>
    <w:p>
      <w:pPr>
        <w:pStyle w:val="BodyText"/>
        <w:spacing w:before="5"/>
      </w:pPr>
    </w:p>
    <w:p>
      <w:pPr>
        <w:pStyle w:val="ListParagraph"/>
        <w:numPr>
          <w:ilvl w:val="0"/>
          <w:numId w:val="160"/>
        </w:numPr>
        <w:tabs>
          <w:tab w:pos="400" w:val="left" w:leader="none"/>
        </w:tabs>
        <w:spacing w:line="240" w:lineRule="auto" w:before="0" w:after="0"/>
        <w:ind w:left="400" w:right="0" w:hanging="240"/>
        <w:jc w:val="left"/>
        <w:rPr>
          <w:sz w:val="24"/>
        </w:rPr>
      </w:pPr>
      <w:r>
        <w:rPr>
          <w:sz w:val="24"/>
        </w:rPr>
        <w:t>Shri</w:t>
      </w:r>
      <w:r>
        <w:rPr>
          <w:spacing w:val="-2"/>
          <w:sz w:val="24"/>
        </w:rPr>
        <w:t> </w:t>
      </w:r>
      <w:r>
        <w:rPr>
          <w:sz w:val="24"/>
        </w:rPr>
        <w:t>J.</w:t>
      </w:r>
      <w:r>
        <w:rPr>
          <w:spacing w:val="-1"/>
          <w:sz w:val="24"/>
        </w:rPr>
        <w:t> </w:t>
      </w:r>
      <w:r>
        <w:rPr>
          <w:sz w:val="24"/>
        </w:rPr>
        <w:t>W. Airan,</w:t>
      </w:r>
      <w:r>
        <w:rPr>
          <w:spacing w:val="-2"/>
          <w:sz w:val="24"/>
        </w:rPr>
        <w:t> </w:t>
      </w:r>
      <w:r>
        <w:rPr>
          <w:sz w:val="24"/>
        </w:rPr>
        <w:t>Principal,</w:t>
      </w:r>
      <w:r>
        <w:rPr>
          <w:spacing w:val="-1"/>
          <w:sz w:val="24"/>
        </w:rPr>
        <w:t> </w:t>
      </w:r>
      <w:r>
        <w:rPr>
          <w:sz w:val="24"/>
        </w:rPr>
        <w:t>Wilson</w:t>
      </w:r>
      <w:r>
        <w:rPr>
          <w:spacing w:val="-1"/>
          <w:sz w:val="24"/>
        </w:rPr>
        <w:t> </w:t>
      </w:r>
      <w:r>
        <w:rPr>
          <w:sz w:val="24"/>
        </w:rPr>
        <w:t>College,</w:t>
      </w:r>
      <w:r>
        <w:rPr>
          <w:spacing w:val="-1"/>
          <w:sz w:val="24"/>
        </w:rPr>
        <w:t> </w:t>
      </w:r>
      <w:r>
        <w:rPr>
          <w:sz w:val="24"/>
        </w:rPr>
        <w:t>Bombay-</w:t>
      </w:r>
      <w:r>
        <w:rPr>
          <w:spacing w:val="-5"/>
          <w:sz w:val="24"/>
        </w:rPr>
        <w:t>7.</w:t>
      </w:r>
    </w:p>
    <w:p>
      <w:pPr>
        <w:pStyle w:val="BodyText"/>
        <w:spacing w:before="3"/>
      </w:pPr>
    </w:p>
    <w:p>
      <w:pPr>
        <w:pStyle w:val="ListParagraph"/>
        <w:numPr>
          <w:ilvl w:val="0"/>
          <w:numId w:val="160"/>
        </w:numPr>
        <w:tabs>
          <w:tab w:pos="400" w:val="left" w:leader="none"/>
        </w:tabs>
        <w:spacing w:line="240" w:lineRule="auto" w:before="1" w:after="0"/>
        <w:ind w:left="400"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60"/>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4"/>
      </w:pPr>
    </w:p>
    <w:p>
      <w:pPr>
        <w:pStyle w:val="ListParagraph"/>
        <w:numPr>
          <w:ilvl w:val="0"/>
          <w:numId w:val="160"/>
        </w:numPr>
        <w:tabs>
          <w:tab w:pos="400" w:val="left" w:leader="none"/>
        </w:tabs>
        <w:spacing w:line="240" w:lineRule="auto" w:before="0" w:after="0"/>
        <w:ind w:left="400" w:right="0" w:hanging="240"/>
        <w:jc w:val="left"/>
        <w:rPr>
          <w:sz w:val="24"/>
        </w:rPr>
      </w:pPr>
      <w:r>
        <w:rPr>
          <w:sz w:val="24"/>
        </w:rPr>
        <w:t>Shri</w:t>
      </w:r>
      <w:r>
        <w:rPr>
          <w:spacing w:val="-4"/>
          <w:sz w:val="24"/>
        </w:rPr>
        <w:t> </w:t>
      </w:r>
      <w:r>
        <w:rPr>
          <w:sz w:val="24"/>
        </w:rPr>
        <w:t>M.</w:t>
      </w:r>
      <w:r>
        <w:rPr>
          <w:spacing w:val="-2"/>
          <w:sz w:val="24"/>
        </w:rPr>
        <w:t> </w:t>
      </w:r>
      <w:r>
        <w:rPr>
          <w:sz w:val="24"/>
        </w:rPr>
        <w:t>N.</w:t>
      </w:r>
      <w:r>
        <w:rPr>
          <w:spacing w:val="-1"/>
          <w:sz w:val="24"/>
        </w:rPr>
        <w:t> </w:t>
      </w:r>
      <w:r>
        <w:rPr>
          <w:sz w:val="24"/>
        </w:rPr>
        <w:t>Kapur,</w:t>
      </w:r>
      <w:r>
        <w:rPr>
          <w:spacing w:val="-2"/>
          <w:sz w:val="24"/>
        </w:rPr>
        <w:t> </w:t>
      </w:r>
      <w:r>
        <w:rPr>
          <w:sz w:val="24"/>
        </w:rPr>
        <w:t>Principal,</w:t>
      </w:r>
      <w:r>
        <w:rPr>
          <w:spacing w:val="-3"/>
          <w:sz w:val="24"/>
        </w:rPr>
        <w:t> </w:t>
      </w:r>
      <w:r>
        <w:rPr>
          <w:sz w:val="24"/>
        </w:rPr>
        <w:t>Modern</w:t>
      </w:r>
      <w:r>
        <w:rPr>
          <w:spacing w:val="-2"/>
          <w:sz w:val="24"/>
        </w:rPr>
        <w:t> </w:t>
      </w:r>
      <w:r>
        <w:rPr>
          <w:sz w:val="24"/>
        </w:rPr>
        <w:t>School,</w:t>
      </w:r>
      <w:r>
        <w:rPr>
          <w:spacing w:val="-3"/>
          <w:sz w:val="24"/>
        </w:rPr>
        <w:t> </w:t>
      </w:r>
      <w:r>
        <w:rPr>
          <w:sz w:val="24"/>
        </w:rPr>
        <w:t>New</w:t>
      </w:r>
      <w:r>
        <w:rPr>
          <w:spacing w:val="-2"/>
          <w:sz w:val="24"/>
        </w:rPr>
        <w:t> Delhi.</w:t>
      </w:r>
    </w:p>
    <w:p>
      <w:pPr>
        <w:pStyle w:val="BodyText"/>
        <w:spacing w:before="2"/>
      </w:pPr>
    </w:p>
    <w:p>
      <w:pPr>
        <w:pStyle w:val="ListParagraph"/>
        <w:numPr>
          <w:ilvl w:val="0"/>
          <w:numId w:val="160"/>
        </w:numPr>
        <w:tabs>
          <w:tab w:pos="401" w:val="left" w:leader="none"/>
        </w:tabs>
        <w:spacing w:line="240" w:lineRule="auto" w:before="1" w:after="0"/>
        <w:ind w:left="160" w:right="498" w:firstLine="0"/>
        <w:jc w:val="left"/>
        <w:rPr>
          <w:sz w:val="24"/>
        </w:rPr>
      </w:pPr>
      <w:r>
        <w:rPr>
          <w:sz w:val="24"/>
        </w:rPr>
        <w:t>Shri</w:t>
      </w:r>
      <w:r>
        <w:rPr>
          <w:spacing w:val="-1"/>
          <w:sz w:val="24"/>
        </w:rPr>
        <w:t> </w:t>
      </w:r>
      <w:r>
        <w:rPr>
          <w:sz w:val="24"/>
        </w:rPr>
        <w:t>C.</w:t>
      </w:r>
      <w:r>
        <w:rPr>
          <w:spacing w:val="-1"/>
          <w:sz w:val="24"/>
        </w:rPr>
        <w:t> </w:t>
      </w:r>
      <w:r>
        <w:rPr>
          <w:sz w:val="24"/>
        </w:rPr>
        <w:t>L.</w:t>
      </w:r>
      <w:r>
        <w:rPr>
          <w:spacing w:val="-1"/>
          <w:sz w:val="24"/>
        </w:rPr>
        <w:t> </w:t>
      </w:r>
      <w:r>
        <w:rPr>
          <w:sz w:val="24"/>
        </w:rPr>
        <w:t>Kapur,</w:t>
      </w:r>
      <w:r>
        <w:rPr>
          <w:spacing w:val="-1"/>
          <w:sz w:val="24"/>
        </w:rPr>
        <w:t> </w:t>
      </w:r>
      <w:r>
        <w:rPr>
          <w:sz w:val="24"/>
        </w:rPr>
        <w:t>Retired</w:t>
      </w:r>
      <w:r>
        <w:rPr>
          <w:spacing w:val="-1"/>
          <w:sz w:val="24"/>
        </w:rPr>
        <w:t> </w:t>
      </w:r>
      <w:r>
        <w:rPr>
          <w:sz w:val="24"/>
        </w:rPr>
        <w:t>Director</w:t>
      </w:r>
      <w:r>
        <w:rPr>
          <w:spacing w:val="-1"/>
          <w:sz w:val="24"/>
        </w:rPr>
        <w:t> </w:t>
      </w:r>
      <w:r>
        <w:rPr>
          <w:sz w:val="24"/>
        </w:rPr>
        <w:t>of</w:t>
      </w:r>
      <w:r>
        <w:rPr>
          <w:spacing w:val="-1"/>
          <w:sz w:val="24"/>
        </w:rPr>
        <w:t> </w:t>
      </w:r>
      <w:r>
        <w:rPr>
          <w:sz w:val="24"/>
        </w:rPr>
        <w:t>Education</w:t>
      </w:r>
      <w:r>
        <w:rPr>
          <w:spacing w:val="-1"/>
          <w:sz w:val="24"/>
        </w:rPr>
        <w:t> </w:t>
      </w:r>
      <w:r>
        <w:rPr>
          <w:sz w:val="24"/>
        </w:rPr>
        <w:t>and</w:t>
      </w:r>
      <w:r>
        <w:rPr>
          <w:spacing w:val="-1"/>
          <w:sz w:val="24"/>
        </w:rPr>
        <w:t> </w:t>
      </w:r>
      <w:r>
        <w:rPr>
          <w:sz w:val="24"/>
        </w:rPr>
        <w:t>Education</w:t>
      </w:r>
      <w:r>
        <w:rPr>
          <w:spacing w:val="-1"/>
          <w:sz w:val="24"/>
        </w:rPr>
        <w:t> </w:t>
      </w:r>
      <w:r>
        <w:rPr>
          <w:sz w:val="24"/>
        </w:rPr>
        <w:t>Secretary,</w:t>
      </w:r>
      <w:r>
        <w:rPr>
          <w:spacing w:val="-1"/>
          <w:sz w:val="24"/>
        </w:rPr>
        <w:t> </w:t>
      </w:r>
      <w:r>
        <w:rPr>
          <w:sz w:val="24"/>
        </w:rPr>
        <w:t>Punjab,</w:t>
      </w:r>
      <w:r>
        <w:rPr>
          <w:spacing w:val="-1"/>
          <w:sz w:val="24"/>
        </w:rPr>
        <w:t> </w:t>
      </w:r>
      <w:r>
        <w:rPr>
          <w:sz w:val="24"/>
        </w:rPr>
        <w:t>IE/5, Patel Road, Patel Nagar, New Delhi-12.</w:t>
      </w:r>
    </w:p>
    <w:p>
      <w:pPr>
        <w:pStyle w:val="BodyText"/>
        <w:spacing w:before="4"/>
      </w:pPr>
    </w:p>
    <w:p>
      <w:pPr>
        <w:pStyle w:val="ListParagraph"/>
        <w:numPr>
          <w:ilvl w:val="0"/>
          <w:numId w:val="160"/>
        </w:numPr>
        <w:tabs>
          <w:tab w:pos="416" w:val="left" w:leader="none"/>
        </w:tabs>
        <w:spacing w:line="240" w:lineRule="auto" w:before="0" w:after="0"/>
        <w:ind w:left="160" w:right="498" w:firstLine="0"/>
        <w:jc w:val="left"/>
        <w:rPr>
          <w:sz w:val="24"/>
        </w:rPr>
      </w:pPr>
      <w:r>
        <w:rPr>
          <w:sz w:val="24"/>
        </w:rPr>
        <w:t>Shri A. B. Shah, Executive Secretary, Indian Committee for Cultural Freedom, Army and Navy Building, 148, Mahatma Gandhi Road, Bombay-1.</w:t>
      </w:r>
    </w:p>
    <w:p>
      <w:pPr>
        <w:spacing w:after="0" w:line="240" w:lineRule="auto"/>
        <w:jc w:val="left"/>
        <w:rPr>
          <w:sz w:val="24"/>
        </w:rPr>
        <w:sectPr>
          <w:pgSz w:w="12240" w:h="15840"/>
          <w:pgMar w:header="0" w:footer="743" w:top="1360" w:bottom="940" w:left="1640" w:right="1300"/>
        </w:sectPr>
      </w:pPr>
    </w:p>
    <w:p>
      <w:pPr>
        <w:pStyle w:val="Heading2"/>
        <w:spacing w:before="78"/>
        <w:rPr>
          <w:rFonts w:ascii="Arial"/>
        </w:rPr>
      </w:pPr>
      <w:r>
        <w:rPr>
          <w:rFonts w:ascii="Arial"/>
        </w:rPr>
        <w:t>Sub-Group</w:t>
      </w:r>
      <w:r>
        <w:rPr>
          <w:rFonts w:ascii="Arial"/>
          <w:spacing w:val="-1"/>
        </w:rPr>
        <w:t> </w:t>
      </w:r>
      <w:r>
        <w:rPr>
          <w:rFonts w:ascii="Arial"/>
        </w:rPr>
        <w:t>on</w:t>
      </w:r>
      <w:r>
        <w:rPr>
          <w:rFonts w:ascii="Arial"/>
          <w:spacing w:val="-1"/>
        </w:rPr>
        <w:t> </w:t>
      </w:r>
      <w:r>
        <w:rPr>
          <w:rFonts w:ascii="Arial"/>
        </w:rPr>
        <w:t>Evaluation</w:t>
      </w:r>
      <w:r>
        <w:rPr>
          <w:rFonts w:ascii="Arial"/>
          <w:spacing w:val="-1"/>
        </w:rPr>
        <w:t> </w:t>
      </w:r>
      <w:r>
        <w:rPr>
          <w:rFonts w:ascii="Arial"/>
        </w:rPr>
        <w:t>at</w:t>
      </w:r>
      <w:r>
        <w:rPr>
          <w:rFonts w:ascii="Arial"/>
          <w:spacing w:val="-1"/>
        </w:rPr>
        <w:t> </w:t>
      </w:r>
      <w:r>
        <w:rPr>
          <w:rFonts w:ascii="Arial"/>
        </w:rPr>
        <w:t>University</w:t>
      </w:r>
      <w:r>
        <w:rPr>
          <w:rFonts w:ascii="Arial"/>
          <w:spacing w:val="-3"/>
        </w:rPr>
        <w:t> </w:t>
      </w:r>
      <w:r>
        <w:rPr>
          <w:rFonts w:ascii="Arial"/>
          <w:spacing w:val="-2"/>
        </w:rPr>
        <w:t>Level</w:t>
      </w:r>
    </w:p>
    <w:p>
      <w:pPr>
        <w:pStyle w:val="BodyText"/>
        <w:spacing w:before="3"/>
        <w:rPr>
          <w:rFonts w:ascii="Arial"/>
          <w:b/>
        </w:rPr>
      </w:pPr>
    </w:p>
    <w:p>
      <w:pPr>
        <w:pStyle w:val="ListParagraph"/>
        <w:numPr>
          <w:ilvl w:val="0"/>
          <w:numId w:val="161"/>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K. G. Saiyidain,</w:t>
      </w:r>
      <w:r>
        <w:rPr>
          <w:spacing w:val="-1"/>
          <w:sz w:val="24"/>
        </w:rPr>
        <w:t> </w:t>
      </w:r>
      <w:r>
        <w:rPr>
          <w:sz w:val="24"/>
        </w:rPr>
        <w:t>Member, Education Commission,</w:t>
      </w:r>
      <w:r>
        <w:rPr>
          <w:spacing w:val="-1"/>
          <w:sz w:val="24"/>
        </w:rPr>
        <w:t> </w:t>
      </w:r>
      <w:r>
        <w:rPr>
          <w:sz w:val="24"/>
        </w:rPr>
        <w:t>New Delhi. </w:t>
      </w:r>
      <w:r>
        <w:rPr>
          <w:spacing w:val="-2"/>
          <w:sz w:val="24"/>
        </w:rPr>
        <w:t>Convener</w:t>
      </w:r>
    </w:p>
    <w:p>
      <w:pPr>
        <w:pStyle w:val="BodyText"/>
        <w:spacing w:before="4"/>
      </w:pPr>
    </w:p>
    <w:p>
      <w:pPr>
        <w:pStyle w:val="ListParagraph"/>
        <w:numPr>
          <w:ilvl w:val="0"/>
          <w:numId w:val="161"/>
        </w:numPr>
        <w:tabs>
          <w:tab w:pos="476" w:val="left" w:leader="none"/>
        </w:tabs>
        <w:spacing w:line="240" w:lineRule="auto" w:before="0" w:after="0"/>
        <w:ind w:left="160" w:right="498" w:firstLine="0"/>
        <w:jc w:val="left"/>
        <w:rPr>
          <w:sz w:val="24"/>
        </w:rPr>
      </w:pPr>
      <w:r>
        <w:rPr>
          <w:sz w:val="24"/>
        </w:rPr>
        <w:t>Dr.</w:t>
      </w:r>
      <w:r>
        <w:rPr>
          <w:spacing w:val="73"/>
          <w:sz w:val="24"/>
        </w:rPr>
        <w:t> </w:t>
      </w:r>
      <w:r>
        <w:rPr>
          <w:sz w:val="24"/>
        </w:rPr>
        <w:t>R.</w:t>
      </w:r>
      <w:r>
        <w:rPr>
          <w:spacing w:val="73"/>
          <w:sz w:val="24"/>
        </w:rPr>
        <w:t> </w:t>
      </w:r>
      <w:r>
        <w:rPr>
          <w:sz w:val="24"/>
        </w:rPr>
        <w:t>H.</w:t>
      </w:r>
      <w:r>
        <w:rPr>
          <w:spacing w:val="73"/>
          <w:sz w:val="24"/>
        </w:rPr>
        <w:t> </w:t>
      </w:r>
      <w:r>
        <w:rPr>
          <w:sz w:val="24"/>
        </w:rPr>
        <w:t>Dave,</w:t>
      </w:r>
      <w:r>
        <w:rPr>
          <w:spacing w:val="73"/>
          <w:sz w:val="24"/>
        </w:rPr>
        <w:t> </w:t>
      </w:r>
      <w:r>
        <w:rPr>
          <w:sz w:val="24"/>
        </w:rPr>
        <w:t>Deputy</w:t>
      </w:r>
      <w:r>
        <w:rPr>
          <w:spacing w:val="73"/>
          <w:sz w:val="24"/>
        </w:rPr>
        <w:t> </w:t>
      </w:r>
      <w:r>
        <w:rPr>
          <w:sz w:val="24"/>
        </w:rPr>
        <w:t>Director</w:t>
      </w:r>
      <w:r>
        <w:rPr>
          <w:spacing w:val="72"/>
          <w:sz w:val="24"/>
        </w:rPr>
        <w:t> </w:t>
      </w:r>
      <w:r>
        <w:rPr>
          <w:sz w:val="24"/>
        </w:rPr>
        <w:t>(Examination</w:t>
      </w:r>
      <w:r>
        <w:rPr>
          <w:spacing w:val="72"/>
          <w:sz w:val="24"/>
        </w:rPr>
        <w:t> </w:t>
      </w:r>
      <w:r>
        <w:rPr>
          <w:sz w:val="24"/>
        </w:rPr>
        <w:t>Unit),</w:t>
      </w:r>
      <w:r>
        <w:rPr>
          <w:spacing w:val="72"/>
          <w:sz w:val="24"/>
        </w:rPr>
        <w:t> </w:t>
      </w:r>
      <w:r>
        <w:rPr>
          <w:sz w:val="24"/>
        </w:rPr>
        <w:t>Directorate</w:t>
      </w:r>
      <w:r>
        <w:rPr>
          <w:spacing w:val="72"/>
          <w:sz w:val="24"/>
        </w:rPr>
        <w:t> </w:t>
      </w:r>
      <w:r>
        <w:rPr>
          <w:sz w:val="24"/>
        </w:rPr>
        <w:t>of</w:t>
      </w:r>
      <w:r>
        <w:rPr>
          <w:spacing w:val="72"/>
          <w:sz w:val="24"/>
        </w:rPr>
        <w:t> </w:t>
      </w:r>
      <w:r>
        <w:rPr>
          <w:sz w:val="24"/>
        </w:rPr>
        <w:t>Extension Programmes for Secondary Education (N.C. E.R.T.), 7, Lancer Road, Timarpur, Delhi-9.</w:t>
      </w:r>
    </w:p>
    <w:p>
      <w:pPr>
        <w:pStyle w:val="BodyText"/>
        <w:spacing w:before="5"/>
      </w:pPr>
    </w:p>
    <w:p>
      <w:pPr>
        <w:pStyle w:val="ListParagraph"/>
        <w:numPr>
          <w:ilvl w:val="0"/>
          <w:numId w:val="161"/>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2"/>
      </w:pPr>
    </w:p>
    <w:p>
      <w:pPr>
        <w:pStyle w:val="ListParagraph"/>
        <w:numPr>
          <w:ilvl w:val="0"/>
          <w:numId w:val="161"/>
        </w:numPr>
        <w:tabs>
          <w:tab w:pos="433" w:val="left" w:leader="none"/>
        </w:tabs>
        <w:spacing w:line="240" w:lineRule="auto" w:before="0" w:after="0"/>
        <w:ind w:left="159" w:right="497" w:firstLine="0"/>
        <w:jc w:val="left"/>
        <w:rPr>
          <w:sz w:val="24"/>
        </w:rPr>
      </w:pPr>
      <w:r>
        <w:rPr>
          <w:sz w:val="24"/>
        </w:rPr>
        <w:t>Dr.</w:t>
      </w:r>
      <w:r>
        <w:rPr>
          <w:spacing w:val="31"/>
          <w:sz w:val="24"/>
        </w:rPr>
        <w:t> </w:t>
      </w:r>
      <w:r>
        <w:rPr>
          <w:sz w:val="24"/>
        </w:rPr>
        <w:t>A.</w:t>
      </w:r>
      <w:r>
        <w:rPr>
          <w:spacing w:val="31"/>
          <w:sz w:val="24"/>
        </w:rPr>
        <w:t> </w:t>
      </w:r>
      <w:r>
        <w:rPr>
          <w:sz w:val="24"/>
        </w:rPr>
        <w:t>C.</w:t>
      </w:r>
      <w:r>
        <w:rPr>
          <w:spacing w:val="31"/>
          <w:sz w:val="24"/>
        </w:rPr>
        <w:t> </w:t>
      </w:r>
      <w:r>
        <w:rPr>
          <w:sz w:val="24"/>
        </w:rPr>
        <w:t>Joshi,</w:t>
      </w:r>
      <w:r>
        <w:rPr>
          <w:spacing w:val="31"/>
          <w:sz w:val="24"/>
        </w:rPr>
        <w:t> </w:t>
      </w:r>
      <w:r>
        <w:rPr>
          <w:sz w:val="24"/>
        </w:rPr>
        <w:t>Adviser,</w:t>
      </w:r>
      <w:r>
        <w:rPr>
          <w:spacing w:val="31"/>
          <w:sz w:val="24"/>
        </w:rPr>
        <w:t> </w:t>
      </w:r>
      <w:r>
        <w:rPr>
          <w:sz w:val="24"/>
        </w:rPr>
        <w:t>Planning</w:t>
      </w:r>
      <w:r>
        <w:rPr>
          <w:spacing w:val="31"/>
          <w:sz w:val="24"/>
        </w:rPr>
        <w:t> </w:t>
      </w:r>
      <w:r>
        <w:rPr>
          <w:sz w:val="24"/>
        </w:rPr>
        <w:t>Commission,</w:t>
      </w:r>
      <w:r>
        <w:rPr>
          <w:spacing w:val="31"/>
          <w:sz w:val="24"/>
        </w:rPr>
        <w:t> </w:t>
      </w:r>
      <w:r>
        <w:rPr>
          <w:sz w:val="24"/>
        </w:rPr>
        <w:t>Yojana</w:t>
      </w:r>
      <w:r>
        <w:rPr>
          <w:spacing w:val="31"/>
          <w:sz w:val="24"/>
        </w:rPr>
        <w:t> </w:t>
      </w:r>
      <w:r>
        <w:rPr>
          <w:sz w:val="24"/>
        </w:rPr>
        <w:t>Bhavan,</w:t>
      </w:r>
      <w:r>
        <w:rPr>
          <w:spacing w:val="31"/>
          <w:sz w:val="24"/>
        </w:rPr>
        <w:t> </w:t>
      </w:r>
      <w:r>
        <w:rPr>
          <w:sz w:val="24"/>
        </w:rPr>
        <w:t>Parliament</w:t>
      </w:r>
      <w:r>
        <w:rPr>
          <w:spacing w:val="31"/>
          <w:sz w:val="24"/>
        </w:rPr>
        <w:t> </w:t>
      </w:r>
      <w:r>
        <w:rPr>
          <w:sz w:val="24"/>
        </w:rPr>
        <w:t>Street, New Delhi-1.</w:t>
      </w:r>
    </w:p>
    <w:p>
      <w:pPr>
        <w:pStyle w:val="BodyText"/>
        <w:spacing w:before="6"/>
      </w:pPr>
    </w:p>
    <w:p>
      <w:pPr>
        <w:pStyle w:val="ListParagraph"/>
        <w:numPr>
          <w:ilvl w:val="0"/>
          <w:numId w:val="161"/>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61"/>
        </w:numPr>
        <w:tabs>
          <w:tab w:pos="400" w:val="left" w:leader="none"/>
        </w:tabs>
        <w:spacing w:line="240" w:lineRule="auto" w:before="0" w:after="0"/>
        <w:ind w:left="400" w:right="0" w:hanging="240"/>
        <w:jc w:val="left"/>
        <w:rPr>
          <w:sz w:val="24"/>
        </w:rPr>
      </w:pPr>
      <w:r>
        <w:rPr>
          <w:sz w:val="24"/>
        </w:rPr>
        <w:t>Shri</w:t>
      </w:r>
      <w:r>
        <w:rPr>
          <w:spacing w:val="-2"/>
          <w:sz w:val="24"/>
        </w:rPr>
        <w:t> </w:t>
      </w:r>
      <w:r>
        <w:rPr>
          <w:sz w:val="24"/>
        </w:rPr>
        <w:t>Shantinarayan,</w:t>
      </w:r>
      <w:r>
        <w:rPr>
          <w:spacing w:val="-1"/>
          <w:sz w:val="24"/>
        </w:rPr>
        <w:t> </w:t>
      </w:r>
      <w:r>
        <w:rPr>
          <w:sz w:val="24"/>
        </w:rPr>
        <w:t>Principal,</w:t>
      </w:r>
      <w:r>
        <w:rPr>
          <w:spacing w:val="-2"/>
          <w:sz w:val="24"/>
        </w:rPr>
        <w:t> </w:t>
      </w:r>
      <w:r>
        <w:rPr>
          <w:sz w:val="24"/>
        </w:rPr>
        <w:t>Hans</w:t>
      </w:r>
      <w:r>
        <w:rPr>
          <w:spacing w:val="-1"/>
          <w:sz w:val="24"/>
        </w:rPr>
        <w:t> </w:t>
      </w:r>
      <w:r>
        <w:rPr>
          <w:sz w:val="24"/>
        </w:rPr>
        <w:t>Raj</w:t>
      </w:r>
      <w:r>
        <w:rPr>
          <w:spacing w:val="-2"/>
          <w:sz w:val="24"/>
        </w:rPr>
        <w:t> </w:t>
      </w:r>
      <w:r>
        <w:rPr>
          <w:sz w:val="24"/>
        </w:rPr>
        <w:t>College,</w:t>
      </w:r>
      <w:r>
        <w:rPr>
          <w:spacing w:val="-1"/>
          <w:sz w:val="24"/>
        </w:rPr>
        <w:t> </w:t>
      </w:r>
      <w:r>
        <w:rPr>
          <w:spacing w:val="-2"/>
          <w:sz w:val="24"/>
        </w:rPr>
        <w:t>Delhi.</w:t>
      </w:r>
    </w:p>
    <w:p>
      <w:pPr>
        <w:pStyle w:val="BodyText"/>
        <w:spacing w:before="2"/>
      </w:pPr>
    </w:p>
    <w:p>
      <w:pPr>
        <w:pStyle w:val="ListParagraph"/>
        <w:numPr>
          <w:ilvl w:val="0"/>
          <w:numId w:val="161"/>
        </w:numPr>
        <w:tabs>
          <w:tab w:pos="475" w:val="left" w:leader="none"/>
        </w:tabs>
        <w:spacing w:line="240" w:lineRule="auto" w:before="0" w:after="0"/>
        <w:ind w:left="160" w:right="497" w:firstLine="0"/>
        <w:jc w:val="left"/>
        <w:rPr>
          <w:sz w:val="24"/>
        </w:rPr>
      </w:pPr>
      <w:r>
        <w:rPr>
          <w:sz w:val="24"/>
        </w:rPr>
        <w:t>Shri</w:t>
      </w:r>
      <w:r>
        <w:rPr>
          <w:spacing w:val="40"/>
          <w:sz w:val="24"/>
        </w:rPr>
        <w:t> </w:t>
      </w:r>
      <w:r>
        <w:rPr>
          <w:sz w:val="24"/>
        </w:rPr>
        <w:t>Ishwarbhai</w:t>
      </w:r>
      <w:r>
        <w:rPr>
          <w:spacing w:val="40"/>
          <w:sz w:val="24"/>
        </w:rPr>
        <w:t> </w:t>
      </w:r>
      <w:r>
        <w:rPr>
          <w:sz w:val="24"/>
        </w:rPr>
        <w:t>Patel,</w:t>
      </w:r>
      <w:r>
        <w:rPr>
          <w:spacing w:val="40"/>
          <w:sz w:val="24"/>
        </w:rPr>
        <w:t> </w:t>
      </w:r>
      <w:r>
        <w:rPr>
          <w:sz w:val="24"/>
        </w:rPr>
        <w:t>Vice-Chancellor,</w:t>
      </w:r>
      <w:r>
        <w:rPr>
          <w:spacing w:val="40"/>
          <w:sz w:val="24"/>
        </w:rPr>
        <w:t> </w:t>
      </w:r>
      <w:r>
        <w:rPr>
          <w:sz w:val="24"/>
        </w:rPr>
        <w:t>Sardar</w:t>
      </w:r>
      <w:r>
        <w:rPr>
          <w:spacing w:val="40"/>
          <w:sz w:val="24"/>
        </w:rPr>
        <w:t> </w:t>
      </w:r>
      <w:r>
        <w:rPr>
          <w:sz w:val="24"/>
        </w:rPr>
        <w:t>Vallabhbhai</w:t>
      </w:r>
      <w:r>
        <w:rPr>
          <w:spacing w:val="40"/>
          <w:sz w:val="24"/>
        </w:rPr>
        <w:t> </w:t>
      </w:r>
      <w:r>
        <w:rPr>
          <w:sz w:val="24"/>
        </w:rPr>
        <w:t>Vidyapeeth,</w:t>
      </w:r>
      <w:r>
        <w:rPr>
          <w:spacing w:val="40"/>
          <w:sz w:val="24"/>
        </w:rPr>
        <w:t> </w:t>
      </w:r>
      <w:r>
        <w:rPr>
          <w:sz w:val="24"/>
        </w:rPr>
        <w:t>Vallabh</w:t>
      </w:r>
      <w:r>
        <w:rPr>
          <w:spacing w:val="40"/>
          <w:sz w:val="24"/>
        </w:rPr>
        <w:t> </w:t>
      </w:r>
      <w:r>
        <w:rPr>
          <w:sz w:val="24"/>
        </w:rPr>
        <w:t>Vidya Nagar (via Anand).</w:t>
      </w:r>
    </w:p>
    <w:p>
      <w:pPr>
        <w:pStyle w:val="BodyText"/>
        <w:spacing w:before="4"/>
      </w:pPr>
    </w:p>
    <w:p>
      <w:pPr>
        <w:pStyle w:val="ListParagraph"/>
        <w:numPr>
          <w:ilvl w:val="0"/>
          <w:numId w:val="161"/>
        </w:numPr>
        <w:tabs>
          <w:tab w:pos="431" w:val="left" w:leader="none"/>
        </w:tabs>
        <w:spacing w:line="240" w:lineRule="auto" w:before="0" w:after="0"/>
        <w:ind w:left="160" w:right="497" w:firstLine="0"/>
        <w:jc w:val="left"/>
        <w:rPr>
          <w:sz w:val="24"/>
        </w:rPr>
      </w:pPr>
      <w:r>
        <w:rPr>
          <w:sz w:val="24"/>
        </w:rPr>
        <w:t>Dr. Hans Simons, Consultant in General Education, The Ford Foundation, 32 Feroz</w:t>
      </w:r>
      <w:r>
        <w:rPr>
          <w:spacing w:val="80"/>
          <w:w w:val="150"/>
          <w:sz w:val="24"/>
        </w:rPr>
        <w:t> </w:t>
      </w:r>
      <w:r>
        <w:rPr>
          <w:sz w:val="24"/>
        </w:rPr>
        <w:t>Shah Road, New Delhi-1.</w:t>
      </w:r>
    </w:p>
    <w:p>
      <w:pPr>
        <w:pStyle w:val="BodyText"/>
        <w:spacing w:before="6"/>
      </w:pPr>
    </w:p>
    <w:p>
      <w:pPr>
        <w:pStyle w:val="ListParagraph"/>
        <w:numPr>
          <w:ilvl w:val="0"/>
          <w:numId w:val="161"/>
        </w:numPr>
        <w:tabs>
          <w:tab w:pos="398" w:val="left" w:leader="none"/>
        </w:tabs>
        <w:spacing w:line="240" w:lineRule="auto" w:before="0" w:after="0"/>
        <w:ind w:left="398" w:right="0" w:hanging="238"/>
        <w:jc w:val="left"/>
        <w:rPr>
          <w:sz w:val="24"/>
        </w:rPr>
      </w:pPr>
      <w:r>
        <w:rPr>
          <w:sz w:val="24"/>
        </w:rPr>
        <w:t>Dr.</w:t>
      </w:r>
      <w:r>
        <w:rPr>
          <w:spacing w:val="-4"/>
          <w:sz w:val="24"/>
        </w:rPr>
        <w:t> </w:t>
      </w:r>
      <w:r>
        <w:rPr>
          <w:sz w:val="24"/>
        </w:rPr>
        <w:t>H.</w:t>
      </w:r>
      <w:r>
        <w:rPr>
          <w:spacing w:val="-4"/>
          <w:sz w:val="24"/>
        </w:rPr>
        <w:t> </w:t>
      </w:r>
      <w:r>
        <w:rPr>
          <w:sz w:val="24"/>
        </w:rPr>
        <w:t>J.</w:t>
      </w:r>
      <w:r>
        <w:rPr>
          <w:spacing w:val="-3"/>
          <w:sz w:val="24"/>
        </w:rPr>
        <w:t> </w:t>
      </w:r>
      <w:r>
        <w:rPr>
          <w:sz w:val="24"/>
        </w:rPr>
        <w:t>Taylor,</w:t>
      </w:r>
      <w:r>
        <w:rPr>
          <w:spacing w:val="-4"/>
          <w:sz w:val="24"/>
        </w:rPr>
        <w:t> </w:t>
      </w:r>
      <w:r>
        <w:rPr>
          <w:sz w:val="24"/>
        </w:rPr>
        <w:t>Principal,</w:t>
      </w:r>
      <w:r>
        <w:rPr>
          <w:spacing w:val="-3"/>
          <w:sz w:val="24"/>
        </w:rPr>
        <w:t> </w:t>
      </w:r>
      <w:r>
        <w:rPr>
          <w:sz w:val="24"/>
        </w:rPr>
        <w:t>Union</w:t>
      </w:r>
      <w:r>
        <w:rPr>
          <w:spacing w:val="-3"/>
          <w:sz w:val="24"/>
        </w:rPr>
        <w:t> </w:t>
      </w:r>
      <w:r>
        <w:rPr>
          <w:sz w:val="24"/>
        </w:rPr>
        <w:t>Christian</w:t>
      </w:r>
      <w:r>
        <w:rPr>
          <w:spacing w:val="-2"/>
          <w:sz w:val="24"/>
        </w:rPr>
        <w:t> </w:t>
      </w:r>
      <w:r>
        <w:rPr>
          <w:sz w:val="24"/>
        </w:rPr>
        <w:t>College,</w:t>
      </w:r>
      <w:r>
        <w:rPr>
          <w:spacing w:val="-3"/>
          <w:sz w:val="24"/>
        </w:rPr>
        <w:t> </w:t>
      </w:r>
      <w:r>
        <w:rPr>
          <w:sz w:val="24"/>
        </w:rPr>
        <w:t>Barapani,</w:t>
      </w:r>
      <w:r>
        <w:rPr>
          <w:spacing w:val="-2"/>
          <w:sz w:val="24"/>
        </w:rPr>
        <w:t> Shillong.</w:t>
      </w:r>
    </w:p>
    <w:p>
      <w:pPr>
        <w:pStyle w:val="BodyText"/>
        <w:spacing w:before="4"/>
      </w:pPr>
    </w:p>
    <w:p>
      <w:pPr>
        <w:pStyle w:val="Heading2"/>
        <w:ind w:left="159"/>
        <w:rPr>
          <w:rFonts w:ascii="Arial"/>
        </w:rPr>
      </w:pPr>
      <w:r>
        <w:rPr>
          <w:rFonts w:ascii="Arial"/>
        </w:rPr>
        <w:t>Sub-Group</w:t>
      </w:r>
      <w:r>
        <w:rPr>
          <w:rFonts w:ascii="Arial"/>
          <w:spacing w:val="-4"/>
        </w:rPr>
        <w:t> </w:t>
      </w:r>
      <w:r>
        <w:rPr>
          <w:rFonts w:ascii="Arial"/>
        </w:rPr>
        <w:t>on</w:t>
      </w:r>
      <w:r>
        <w:rPr>
          <w:rFonts w:ascii="Arial"/>
          <w:spacing w:val="-2"/>
        </w:rPr>
        <w:t> </w:t>
      </w:r>
      <w:r>
        <w:rPr>
          <w:rFonts w:ascii="Arial"/>
        </w:rPr>
        <w:t>the</w:t>
      </w:r>
      <w:r>
        <w:rPr>
          <w:rFonts w:ascii="Arial"/>
          <w:spacing w:val="-2"/>
        </w:rPr>
        <w:t> </w:t>
      </w:r>
      <w:r>
        <w:rPr>
          <w:rFonts w:ascii="Arial"/>
        </w:rPr>
        <w:t>Functions</w:t>
      </w:r>
      <w:r>
        <w:rPr>
          <w:rFonts w:ascii="Arial"/>
          <w:spacing w:val="-2"/>
        </w:rPr>
        <w:t> </w:t>
      </w:r>
      <w:r>
        <w:rPr>
          <w:rFonts w:ascii="Arial"/>
        </w:rPr>
        <w:t>of</w:t>
      </w:r>
      <w:r>
        <w:rPr>
          <w:rFonts w:ascii="Arial"/>
          <w:spacing w:val="-2"/>
        </w:rPr>
        <w:t> </w:t>
      </w:r>
      <w:r>
        <w:rPr>
          <w:rFonts w:ascii="Arial"/>
        </w:rPr>
        <w:t>a</w:t>
      </w:r>
      <w:r>
        <w:rPr>
          <w:rFonts w:ascii="Arial"/>
          <w:spacing w:val="-1"/>
        </w:rPr>
        <w:t> </w:t>
      </w:r>
      <w:r>
        <w:rPr>
          <w:rFonts w:ascii="Arial"/>
          <w:spacing w:val="-2"/>
        </w:rPr>
        <w:t>University</w:t>
      </w:r>
    </w:p>
    <w:p>
      <w:pPr>
        <w:pStyle w:val="BodyText"/>
        <w:spacing w:before="3"/>
        <w:rPr>
          <w:rFonts w:ascii="Arial"/>
          <w:b/>
        </w:rPr>
      </w:pPr>
    </w:p>
    <w:p>
      <w:pPr>
        <w:pStyle w:val="ListParagraph"/>
        <w:numPr>
          <w:ilvl w:val="0"/>
          <w:numId w:val="162"/>
        </w:numPr>
        <w:tabs>
          <w:tab w:pos="426" w:val="left" w:leader="none"/>
        </w:tabs>
        <w:spacing w:line="240" w:lineRule="auto" w:before="0" w:after="0"/>
        <w:ind w:left="160" w:right="497" w:firstLine="0"/>
        <w:jc w:val="left"/>
        <w:rPr>
          <w:sz w:val="24"/>
        </w:rPr>
      </w:pPr>
      <w:r>
        <w:rPr>
          <w:sz w:val="24"/>
        </w:rPr>
        <w:t>Dr. C. Gilpatric, Visiting Professor of Philosophy, University of Delhi, (The Rocke-</w:t>
      </w:r>
      <w:r>
        <w:rPr>
          <w:spacing w:val="80"/>
          <w:sz w:val="24"/>
        </w:rPr>
        <w:t> </w:t>
      </w:r>
      <w:r>
        <w:rPr>
          <w:sz w:val="24"/>
        </w:rPr>
        <w:t>feller Foundation), Delhi-7. Convener</w:t>
      </w:r>
    </w:p>
    <w:p>
      <w:pPr>
        <w:pStyle w:val="BodyText"/>
        <w:spacing w:before="5"/>
      </w:pPr>
    </w:p>
    <w:p>
      <w:pPr>
        <w:pStyle w:val="ListParagraph"/>
        <w:numPr>
          <w:ilvl w:val="0"/>
          <w:numId w:val="162"/>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4"/>
      </w:pPr>
    </w:p>
    <w:p>
      <w:pPr>
        <w:pStyle w:val="ListParagraph"/>
        <w:numPr>
          <w:ilvl w:val="0"/>
          <w:numId w:val="162"/>
        </w:numPr>
        <w:tabs>
          <w:tab w:pos="399" w:val="left" w:leader="none"/>
        </w:tabs>
        <w:spacing w:line="240" w:lineRule="auto" w:before="0" w:after="0"/>
        <w:ind w:left="399" w:right="0" w:hanging="239"/>
        <w:jc w:val="left"/>
        <w:rPr>
          <w:sz w:val="24"/>
        </w:rPr>
      </w:pPr>
      <w:r>
        <w:rPr>
          <w:sz w:val="24"/>
        </w:rPr>
        <w:t>Mr.</w:t>
      </w:r>
      <w:r>
        <w:rPr>
          <w:spacing w:val="-6"/>
          <w:sz w:val="24"/>
        </w:rPr>
        <w:t> </w:t>
      </w:r>
      <w:r>
        <w:rPr>
          <w:sz w:val="24"/>
        </w:rPr>
        <w:t>J.</w:t>
      </w:r>
      <w:r>
        <w:rPr>
          <w:spacing w:val="-4"/>
          <w:sz w:val="24"/>
        </w:rPr>
        <w:t> </w:t>
      </w:r>
      <w:r>
        <w:rPr>
          <w:sz w:val="24"/>
        </w:rPr>
        <w:t>F.</w:t>
      </w:r>
      <w:r>
        <w:rPr>
          <w:spacing w:val="-4"/>
          <w:sz w:val="24"/>
        </w:rPr>
        <w:t> </w:t>
      </w:r>
      <w:r>
        <w:rPr>
          <w:sz w:val="24"/>
        </w:rPr>
        <w:t>McDougall,</w:t>
      </w:r>
      <w:r>
        <w:rPr>
          <w:spacing w:val="-4"/>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62"/>
        </w:numPr>
        <w:tabs>
          <w:tab w:pos="422" w:val="left" w:leader="none"/>
        </w:tabs>
        <w:spacing w:line="240" w:lineRule="auto" w:before="0" w:after="0"/>
        <w:ind w:left="160" w:right="496" w:firstLine="0"/>
        <w:jc w:val="left"/>
        <w:rPr>
          <w:sz w:val="24"/>
        </w:rPr>
      </w:pPr>
      <w:r>
        <w:rPr>
          <w:sz w:val="24"/>
        </w:rPr>
        <w:t>Dr. R. K. Singh, Director, Balwant Vidyapeeth Rural Higher Institute, P.O. Bichpuri</w:t>
      </w:r>
      <w:r>
        <w:rPr>
          <w:spacing w:val="40"/>
          <w:sz w:val="24"/>
        </w:rPr>
        <w:t> </w:t>
      </w:r>
      <w:r>
        <w:rPr>
          <w:spacing w:val="-2"/>
          <w:sz w:val="24"/>
        </w:rPr>
        <w:t>(Agra).</w:t>
      </w:r>
    </w:p>
    <w:p>
      <w:pPr>
        <w:pStyle w:val="BodyText"/>
        <w:spacing w:before="6"/>
      </w:pPr>
    </w:p>
    <w:p>
      <w:pPr>
        <w:pStyle w:val="Heading2"/>
        <w:spacing w:before="1"/>
        <w:rPr>
          <w:rFonts w:ascii="Arial"/>
        </w:rPr>
      </w:pPr>
      <w:r>
        <w:rPr>
          <w:rFonts w:ascii="Arial"/>
        </w:rPr>
        <w:t>Sub-Group</w:t>
      </w:r>
      <w:r>
        <w:rPr>
          <w:rFonts w:ascii="Arial"/>
          <w:spacing w:val="-3"/>
        </w:rPr>
        <w:t> </w:t>
      </w:r>
      <w:r>
        <w:rPr>
          <w:rFonts w:ascii="Arial"/>
        </w:rPr>
        <w:t>on</w:t>
      </w:r>
      <w:r>
        <w:rPr>
          <w:rFonts w:ascii="Arial"/>
          <w:spacing w:val="-2"/>
        </w:rPr>
        <w:t> </w:t>
      </w:r>
      <w:r>
        <w:rPr>
          <w:rFonts w:ascii="Arial"/>
        </w:rPr>
        <w:t>Policy</w:t>
      </w:r>
      <w:r>
        <w:rPr>
          <w:rFonts w:ascii="Arial"/>
          <w:spacing w:val="-3"/>
        </w:rPr>
        <w:t> </w:t>
      </w:r>
      <w:r>
        <w:rPr>
          <w:rFonts w:ascii="Arial"/>
        </w:rPr>
        <w:t>of</w:t>
      </w:r>
      <w:r>
        <w:rPr>
          <w:rFonts w:ascii="Arial"/>
          <w:spacing w:val="-3"/>
        </w:rPr>
        <w:t> </w:t>
      </w:r>
      <w:r>
        <w:rPr>
          <w:rFonts w:ascii="Arial"/>
        </w:rPr>
        <w:t>Admissions</w:t>
      </w:r>
      <w:r>
        <w:rPr>
          <w:rFonts w:ascii="Arial"/>
          <w:spacing w:val="-2"/>
        </w:rPr>
        <w:t> </w:t>
      </w:r>
      <w:r>
        <w:rPr>
          <w:rFonts w:ascii="Arial"/>
        </w:rPr>
        <w:t>and</w:t>
      </w:r>
      <w:r>
        <w:rPr>
          <w:rFonts w:ascii="Arial"/>
          <w:spacing w:val="-2"/>
        </w:rPr>
        <w:t> </w:t>
      </w:r>
      <w:r>
        <w:rPr>
          <w:rFonts w:ascii="Arial"/>
        </w:rPr>
        <w:t>Sub-standard</w:t>
      </w:r>
      <w:r>
        <w:rPr>
          <w:rFonts w:ascii="Arial"/>
          <w:spacing w:val="-2"/>
        </w:rPr>
        <w:t> Institutions</w:t>
      </w:r>
    </w:p>
    <w:p>
      <w:pPr>
        <w:pStyle w:val="BodyText"/>
        <w:spacing w:before="3"/>
        <w:rPr>
          <w:rFonts w:ascii="Arial"/>
          <w:b/>
        </w:rPr>
      </w:pPr>
    </w:p>
    <w:p>
      <w:pPr>
        <w:pStyle w:val="ListParagraph"/>
        <w:numPr>
          <w:ilvl w:val="0"/>
          <w:numId w:val="163"/>
        </w:numPr>
        <w:tabs>
          <w:tab w:pos="400" w:val="left" w:leader="none"/>
        </w:tabs>
        <w:spacing w:line="240" w:lineRule="auto" w:before="0" w:after="0"/>
        <w:ind w:left="400" w:right="0" w:hanging="240"/>
        <w:jc w:val="left"/>
        <w:rPr>
          <w:sz w:val="24"/>
        </w:rPr>
      </w:pPr>
      <w:r>
        <w:rPr>
          <w:sz w:val="24"/>
        </w:rPr>
        <w:t>Dr.</w:t>
      </w:r>
      <w:r>
        <w:rPr>
          <w:spacing w:val="-5"/>
          <w:sz w:val="24"/>
        </w:rPr>
        <w:t> </w:t>
      </w:r>
      <w:r>
        <w:rPr>
          <w:sz w:val="24"/>
        </w:rPr>
        <w:t>V.</w:t>
      </w:r>
      <w:r>
        <w:rPr>
          <w:spacing w:val="-2"/>
          <w:sz w:val="24"/>
        </w:rPr>
        <w:t> </w:t>
      </w:r>
      <w:r>
        <w:rPr>
          <w:sz w:val="24"/>
        </w:rPr>
        <w:t>S.</w:t>
      </w:r>
      <w:r>
        <w:rPr>
          <w:spacing w:val="-3"/>
          <w:sz w:val="24"/>
        </w:rPr>
        <w:t> </w:t>
      </w:r>
      <w:r>
        <w:rPr>
          <w:sz w:val="24"/>
        </w:rPr>
        <w:t>Jha,</w:t>
      </w:r>
      <w:r>
        <w:rPr>
          <w:spacing w:val="-2"/>
          <w:sz w:val="24"/>
        </w:rPr>
        <w:t> </w:t>
      </w:r>
      <w:r>
        <w:rPr>
          <w:sz w:val="24"/>
        </w:rPr>
        <w:t>Member,</w:t>
      </w:r>
      <w:r>
        <w:rPr>
          <w:spacing w:val="-2"/>
          <w:sz w:val="24"/>
        </w:rPr>
        <w:t> </w:t>
      </w:r>
      <w:r>
        <w:rPr>
          <w:sz w:val="24"/>
        </w:rPr>
        <w:t>Education</w:t>
      </w:r>
      <w:r>
        <w:rPr>
          <w:spacing w:val="-4"/>
          <w:sz w:val="24"/>
        </w:rPr>
        <w:t> </w:t>
      </w:r>
      <w:r>
        <w:rPr>
          <w:sz w:val="24"/>
        </w:rPr>
        <w:t>Commission,</w:t>
      </w:r>
      <w:r>
        <w:rPr>
          <w:spacing w:val="-3"/>
          <w:sz w:val="24"/>
        </w:rPr>
        <w:t> </w:t>
      </w:r>
      <w:r>
        <w:rPr>
          <w:sz w:val="24"/>
        </w:rPr>
        <w:t>New</w:t>
      </w:r>
      <w:r>
        <w:rPr>
          <w:spacing w:val="-3"/>
          <w:sz w:val="24"/>
        </w:rPr>
        <w:t> </w:t>
      </w:r>
      <w:r>
        <w:rPr>
          <w:sz w:val="24"/>
        </w:rPr>
        <w:t>Delhi.</w:t>
      </w:r>
      <w:r>
        <w:rPr>
          <w:spacing w:val="-3"/>
          <w:sz w:val="24"/>
        </w:rPr>
        <w:t> </w:t>
      </w:r>
      <w:r>
        <w:rPr>
          <w:spacing w:val="-2"/>
          <w:sz w:val="24"/>
        </w:rPr>
        <w:t>Convener</w:t>
      </w:r>
    </w:p>
    <w:p>
      <w:pPr>
        <w:pStyle w:val="BodyText"/>
        <w:spacing w:before="2"/>
      </w:pPr>
    </w:p>
    <w:p>
      <w:pPr>
        <w:pStyle w:val="ListParagraph"/>
        <w:numPr>
          <w:ilvl w:val="0"/>
          <w:numId w:val="163"/>
        </w:numPr>
        <w:tabs>
          <w:tab w:pos="503" w:val="left" w:leader="none"/>
        </w:tabs>
        <w:spacing w:line="240" w:lineRule="auto" w:before="1" w:after="0"/>
        <w:ind w:left="160" w:right="498" w:firstLine="0"/>
        <w:jc w:val="left"/>
        <w:rPr>
          <w:sz w:val="24"/>
        </w:rPr>
      </w:pPr>
      <w:r>
        <w:rPr>
          <w:sz w:val="24"/>
        </w:rPr>
        <w:t>Dr.</w:t>
      </w:r>
      <w:r>
        <w:rPr>
          <w:spacing w:val="80"/>
          <w:sz w:val="24"/>
        </w:rPr>
        <w:t> </w:t>
      </w:r>
      <w:r>
        <w:rPr>
          <w:sz w:val="24"/>
        </w:rPr>
        <w:t>C.</w:t>
      </w:r>
      <w:r>
        <w:rPr>
          <w:spacing w:val="80"/>
          <w:sz w:val="24"/>
        </w:rPr>
        <w:t> </w:t>
      </w:r>
      <w:r>
        <w:rPr>
          <w:sz w:val="24"/>
        </w:rPr>
        <w:t>Gilpatric,</w:t>
      </w:r>
      <w:r>
        <w:rPr>
          <w:spacing w:val="80"/>
          <w:sz w:val="24"/>
        </w:rPr>
        <w:t> </w:t>
      </w:r>
      <w:r>
        <w:rPr>
          <w:sz w:val="24"/>
        </w:rPr>
        <w:t>Visiting</w:t>
      </w:r>
      <w:r>
        <w:rPr>
          <w:spacing w:val="80"/>
          <w:sz w:val="24"/>
        </w:rPr>
        <w:t> </w:t>
      </w:r>
      <w:r>
        <w:rPr>
          <w:sz w:val="24"/>
        </w:rPr>
        <w:t>Professor</w:t>
      </w:r>
      <w:r>
        <w:rPr>
          <w:spacing w:val="80"/>
          <w:sz w:val="24"/>
        </w:rPr>
        <w:t> </w:t>
      </w:r>
      <w:r>
        <w:rPr>
          <w:sz w:val="24"/>
        </w:rPr>
        <w:t>of</w:t>
      </w:r>
      <w:r>
        <w:rPr>
          <w:spacing w:val="80"/>
          <w:sz w:val="24"/>
        </w:rPr>
        <w:t> </w:t>
      </w:r>
      <w:r>
        <w:rPr>
          <w:sz w:val="24"/>
        </w:rPr>
        <w:t>Philosophy,</w:t>
      </w:r>
      <w:r>
        <w:rPr>
          <w:spacing w:val="80"/>
          <w:sz w:val="24"/>
        </w:rPr>
        <w:t> </w:t>
      </w:r>
      <w:r>
        <w:rPr>
          <w:sz w:val="24"/>
        </w:rPr>
        <w:t>University</w:t>
      </w:r>
      <w:r>
        <w:rPr>
          <w:spacing w:val="80"/>
          <w:sz w:val="24"/>
        </w:rPr>
        <w:t> </w:t>
      </w:r>
      <w:r>
        <w:rPr>
          <w:sz w:val="24"/>
        </w:rPr>
        <w:t>of</w:t>
      </w:r>
      <w:r>
        <w:rPr>
          <w:spacing w:val="80"/>
          <w:sz w:val="24"/>
        </w:rPr>
        <w:t> </w:t>
      </w:r>
      <w:r>
        <w:rPr>
          <w:sz w:val="24"/>
        </w:rPr>
        <w:t>Delhi</w:t>
      </w:r>
      <w:r>
        <w:rPr>
          <w:spacing w:val="80"/>
          <w:sz w:val="24"/>
        </w:rPr>
        <w:t> </w:t>
      </w:r>
      <w:r>
        <w:rPr>
          <w:sz w:val="24"/>
        </w:rPr>
        <w:t>(The</w:t>
      </w:r>
      <w:r>
        <w:rPr>
          <w:spacing w:val="40"/>
          <w:sz w:val="24"/>
        </w:rPr>
        <w:t> </w:t>
      </w:r>
      <w:r>
        <w:rPr>
          <w:sz w:val="24"/>
        </w:rPr>
        <w:t>Rockefeller Foundation), Delhi-7.</w:t>
      </w:r>
    </w:p>
    <w:p>
      <w:pPr>
        <w:pStyle w:val="BodyText"/>
        <w:spacing w:before="4"/>
      </w:pPr>
    </w:p>
    <w:p>
      <w:pPr>
        <w:pStyle w:val="ListParagraph"/>
        <w:numPr>
          <w:ilvl w:val="0"/>
          <w:numId w:val="163"/>
        </w:numPr>
        <w:tabs>
          <w:tab w:pos="401" w:val="left" w:leader="none"/>
        </w:tabs>
        <w:spacing w:line="240" w:lineRule="auto" w:before="0" w:after="0"/>
        <w:ind w:left="160" w:right="498" w:firstLine="0"/>
        <w:jc w:val="left"/>
        <w:rPr>
          <w:sz w:val="24"/>
        </w:rPr>
      </w:pPr>
      <w:r>
        <w:rPr>
          <w:sz w:val="24"/>
        </w:rPr>
        <w:t>Shri</w:t>
      </w:r>
      <w:r>
        <w:rPr>
          <w:spacing w:val="-1"/>
          <w:sz w:val="24"/>
        </w:rPr>
        <w:t> </w:t>
      </w:r>
      <w:r>
        <w:rPr>
          <w:sz w:val="24"/>
        </w:rPr>
        <w:t>C.</w:t>
      </w:r>
      <w:r>
        <w:rPr>
          <w:spacing w:val="-1"/>
          <w:sz w:val="24"/>
        </w:rPr>
        <w:t> </w:t>
      </w:r>
      <w:r>
        <w:rPr>
          <w:sz w:val="24"/>
        </w:rPr>
        <w:t>L.</w:t>
      </w:r>
      <w:r>
        <w:rPr>
          <w:spacing w:val="-1"/>
          <w:sz w:val="24"/>
        </w:rPr>
        <w:t> </w:t>
      </w:r>
      <w:r>
        <w:rPr>
          <w:sz w:val="24"/>
        </w:rPr>
        <w:t>Kapur,</w:t>
      </w:r>
      <w:r>
        <w:rPr>
          <w:spacing w:val="-1"/>
          <w:sz w:val="24"/>
        </w:rPr>
        <w:t> </w:t>
      </w:r>
      <w:r>
        <w:rPr>
          <w:sz w:val="24"/>
        </w:rPr>
        <w:t>Retired</w:t>
      </w:r>
      <w:r>
        <w:rPr>
          <w:spacing w:val="-1"/>
          <w:sz w:val="24"/>
        </w:rPr>
        <w:t> </w:t>
      </w:r>
      <w:r>
        <w:rPr>
          <w:sz w:val="24"/>
        </w:rPr>
        <w:t>Director</w:t>
      </w:r>
      <w:r>
        <w:rPr>
          <w:spacing w:val="-1"/>
          <w:sz w:val="24"/>
        </w:rPr>
        <w:t> </w:t>
      </w:r>
      <w:r>
        <w:rPr>
          <w:sz w:val="24"/>
        </w:rPr>
        <w:t>of</w:t>
      </w:r>
      <w:r>
        <w:rPr>
          <w:spacing w:val="-1"/>
          <w:sz w:val="24"/>
        </w:rPr>
        <w:t> </w:t>
      </w:r>
      <w:r>
        <w:rPr>
          <w:sz w:val="24"/>
        </w:rPr>
        <w:t>Education</w:t>
      </w:r>
      <w:r>
        <w:rPr>
          <w:spacing w:val="-1"/>
          <w:sz w:val="24"/>
        </w:rPr>
        <w:t> </w:t>
      </w:r>
      <w:r>
        <w:rPr>
          <w:sz w:val="24"/>
        </w:rPr>
        <w:t>and</w:t>
      </w:r>
      <w:r>
        <w:rPr>
          <w:spacing w:val="-1"/>
          <w:sz w:val="24"/>
        </w:rPr>
        <w:t> </w:t>
      </w:r>
      <w:r>
        <w:rPr>
          <w:sz w:val="24"/>
        </w:rPr>
        <w:t>Education</w:t>
      </w:r>
      <w:r>
        <w:rPr>
          <w:spacing w:val="-1"/>
          <w:sz w:val="24"/>
        </w:rPr>
        <w:t> </w:t>
      </w:r>
      <w:r>
        <w:rPr>
          <w:sz w:val="24"/>
        </w:rPr>
        <w:t>Secretary,</w:t>
      </w:r>
      <w:r>
        <w:rPr>
          <w:spacing w:val="-1"/>
          <w:sz w:val="24"/>
        </w:rPr>
        <w:t> </w:t>
      </w:r>
      <w:r>
        <w:rPr>
          <w:sz w:val="24"/>
        </w:rPr>
        <w:t>Punjab,</w:t>
      </w:r>
      <w:r>
        <w:rPr>
          <w:spacing w:val="-1"/>
          <w:sz w:val="24"/>
        </w:rPr>
        <w:t> </w:t>
      </w:r>
      <w:r>
        <w:rPr>
          <w:sz w:val="24"/>
        </w:rPr>
        <w:t>IE/5, Patel Road, Patel Nagar, New Delhi-12.</w:t>
      </w:r>
    </w:p>
    <w:p>
      <w:pPr>
        <w:spacing w:after="0" w:line="240" w:lineRule="auto"/>
        <w:jc w:val="left"/>
        <w:rPr>
          <w:sz w:val="24"/>
        </w:rPr>
        <w:sectPr>
          <w:pgSz w:w="12240" w:h="15840"/>
          <w:pgMar w:header="0" w:footer="743" w:top="1360" w:bottom="940" w:left="1640" w:right="1300"/>
        </w:sectPr>
      </w:pPr>
    </w:p>
    <w:p>
      <w:pPr>
        <w:pStyle w:val="ListParagraph"/>
        <w:numPr>
          <w:ilvl w:val="0"/>
          <w:numId w:val="163"/>
        </w:numPr>
        <w:tabs>
          <w:tab w:pos="399" w:val="left" w:leader="none"/>
        </w:tabs>
        <w:spacing w:line="240" w:lineRule="auto" w:before="78"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63"/>
        </w:numPr>
        <w:tabs>
          <w:tab w:pos="422" w:val="left" w:leader="none"/>
        </w:tabs>
        <w:spacing w:line="240" w:lineRule="auto" w:before="0" w:after="0"/>
        <w:ind w:left="160" w:right="496" w:firstLine="0"/>
        <w:jc w:val="left"/>
        <w:rPr>
          <w:sz w:val="24"/>
        </w:rPr>
      </w:pPr>
      <w:r>
        <w:rPr>
          <w:sz w:val="24"/>
        </w:rPr>
        <w:t>Dr. R. K. Singh, Director, Balwant Vidyapeeth Rural Higher Institute, P.O. Bichpuri</w:t>
      </w:r>
      <w:r>
        <w:rPr>
          <w:spacing w:val="40"/>
          <w:sz w:val="24"/>
        </w:rPr>
        <w:t> </w:t>
      </w:r>
      <w:r>
        <w:rPr>
          <w:spacing w:val="-2"/>
          <w:sz w:val="24"/>
        </w:rPr>
        <w:t>(Agra).</w:t>
      </w:r>
    </w:p>
    <w:p>
      <w:pPr>
        <w:pStyle w:val="BodyText"/>
        <w:spacing w:before="7"/>
      </w:pPr>
    </w:p>
    <w:p>
      <w:pPr>
        <w:pStyle w:val="Heading2"/>
      </w:pPr>
      <w:r>
        <w:rPr/>
        <w:t>AIV.06. Task Force on</w:t>
      </w:r>
      <w:r>
        <w:rPr>
          <w:spacing w:val="-2"/>
        </w:rPr>
        <w:t> Manpower</w:t>
      </w:r>
    </w:p>
    <w:p>
      <w:pPr>
        <w:pStyle w:val="BodyText"/>
        <w:spacing w:before="3"/>
        <w:rPr>
          <w:b/>
        </w:rPr>
      </w:pPr>
    </w:p>
    <w:p>
      <w:pPr>
        <w:pStyle w:val="ListParagraph"/>
        <w:numPr>
          <w:ilvl w:val="0"/>
          <w:numId w:val="164"/>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R.</w:t>
      </w:r>
      <w:r>
        <w:rPr>
          <w:spacing w:val="-1"/>
          <w:sz w:val="24"/>
        </w:rPr>
        <w:t> </w:t>
      </w:r>
      <w:r>
        <w:rPr>
          <w:sz w:val="24"/>
        </w:rPr>
        <w:t>A. Gopalaswami,</w:t>
      </w:r>
      <w:r>
        <w:rPr>
          <w:spacing w:val="-1"/>
          <w:sz w:val="24"/>
        </w:rPr>
        <w:t> </w:t>
      </w:r>
      <w:r>
        <w:rPr>
          <w:sz w:val="24"/>
        </w:rPr>
        <w:t>Member, Education</w:t>
      </w:r>
      <w:r>
        <w:rPr>
          <w:spacing w:val="-2"/>
          <w:sz w:val="24"/>
        </w:rPr>
        <w:t> </w:t>
      </w:r>
      <w:r>
        <w:rPr>
          <w:sz w:val="24"/>
        </w:rPr>
        <w:t>Commission,</w:t>
      </w:r>
      <w:r>
        <w:rPr>
          <w:spacing w:val="-1"/>
          <w:sz w:val="24"/>
        </w:rPr>
        <w:t> </w:t>
      </w:r>
      <w:r>
        <w:rPr>
          <w:sz w:val="24"/>
        </w:rPr>
        <w:t>New</w:t>
      </w:r>
      <w:r>
        <w:rPr>
          <w:spacing w:val="-2"/>
          <w:sz w:val="24"/>
        </w:rPr>
        <w:t> </w:t>
      </w:r>
      <w:r>
        <w:rPr>
          <w:sz w:val="24"/>
        </w:rPr>
        <w:t>Delhi.</w:t>
      </w:r>
      <w:r>
        <w:rPr>
          <w:spacing w:val="-1"/>
          <w:sz w:val="24"/>
        </w:rPr>
        <w:t> </w:t>
      </w:r>
      <w:r>
        <w:rPr>
          <w:spacing w:val="-2"/>
          <w:sz w:val="24"/>
        </w:rPr>
        <w:t>Convener</w:t>
      </w:r>
    </w:p>
    <w:p>
      <w:pPr>
        <w:pStyle w:val="BodyText"/>
        <w:spacing w:before="3"/>
      </w:pPr>
    </w:p>
    <w:p>
      <w:pPr>
        <w:pStyle w:val="ListParagraph"/>
        <w:numPr>
          <w:ilvl w:val="0"/>
          <w:numId w:val="164"/>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Abdul Qadir,</w:t>
      </w:r>
      <w:r>
        <w:rPr>
          <w:spacing w:val="-1"/>
          <w:sz w:val="24"/>
        </w:rPr>
        <w:t> </w:t>
      </w:r>
      <w:r>
        <w:rPr>
          <w:sz w:val="24"/>
        </w:rPr>
        <w:t>Director-General,</w:t>
      </w:r>
      <w:r>
        <w:rPr>
          <w:spacing w:val="-1"/>
          <w:sz w:val="24"/>
        </w:rPr>
        <w:t> </w:t>
      </w:r>
      <w:r>
        <w:rPr>
          <w:sz w:val="24"/>
        </w:rPr>
        <w:t>Employment</w:t>
      </w:r>
      <w:r>
        <w:rPr>
          <w:spacing w:val="-1"/>
          <w:sz w:val="24"/>
        </w:rPr>
        <w:t> </w:t>
      </w:r>
      <w:r>
        <w:rPr>
          <w:sz w:val="24"/>
        </w:rPr>
        <w:t>and Training,</w:t>
      </w:r>
      <w:r>
        <w:rPr>
          <w:spacing w:val="-1"/>
          <w:sz w:val="24"/>
        </w:rPr>
        <w:t> </w:t>
      </w:r>
      <w:r>
        <w:rPr>
          <w:sz w:val="24"/>
        </w:rPr>
        <w:t>New </w:t>
      </w:r>
      <w:r>
        <w:rPr>
          <w:spacing w:val="-2"/>
          <w:sz w:val="24"/>
        </w:rPr>
        <w:t>Delhi.</w:t>
      </w:r>
    </w:p>
    <w:p>
      <w:pPr>
        <w:pStyle w:val="BodyText"/>
        <w:spacing w:before="4"/>
      </w:pPr>
    </w:p>
    <w:p>
      <w:pPr>
        <w:pStyle w:val="ListParagraph"/>
        <w:numPr>
          <w:ilvl w:val="0"/>
          <w:numId w:val="164"/>
        </w:numPr>
        <w:tabs>
          <w:tab w:pos="404" w:val="left" w:leader="none"/>
        </w:tabs>
        <w:spacing w:line="240" w:lineRule="auto" w:before="0" w:after="0"/>
        <w:ind w:left="160" w:right="498" w:firstLine="0"/>
        <w:jc w:val="left"/>
        <w:rPr>
          <w:sz w:val="24"/>
        </w:rPr>
      </w:pPr>
      <w:r>
        <w:rPr>
          <w:sz w:val="24"/>
        </w:rPr>
        <w:t>Shri K. L. Joshi, Secretary, University Grants Commission, Bahadur Shah Zafar Marg, New Delhi-1.</w:t>
      </w:r>
    </w:p>
    <w:p>
      <w:pPr>
        <w:pStyle w:val="BodyText"/>
        <w:spacing w:before="5"/>
      </w:pPr>
    </w:p>
    <w:p>
      <w:pPr>
        <w:pStyle w:val="ListParagraph"/>
        <w:numPr>
          <w:ilvl w:val="0"/>
          <w:numId w:val="164"/>
        </w:numPr>
        <w:tabs>
          <w:tab w:pos="399" w:val="left" w:leader="none"/>
        </w:tabs>
        <w:spacing w:line="240" w:lineRule="auto" w:before="0" w:after="0"/>
        <w:ind w:left="399" w:right="0" w:hanging="239"/>
        <w:jc w:val="left"/>
        <w:rPr>
          <w:sz w:val="24"/>
        </w:rPr>
      </w:pPr>
      <w:r>
        <w:rPr>
          <w:sz w:val="24"/>
        </w:rPr>
        <w:t>Prof.</w:t>
      </w:r>
      <w:r>
        <w:rPr>
          <w:spacing w:val="-2"/>
          <w:sz w:val="24"/>
        </w:rPr>
        <w:t> </w:t>
      </w:r>
      <w:r>
        <w:rPr>
          <w:sz w:val="24"/>
        </w:rPr>
        <w:t>M.</w:t>
      </w:r>
      <w:r>
        <w:rPr>
          <w:spacing w:val="-1"/>
          <w:sz w:val="24"/>
        </w:rPr>
        <w:t> </w:t>
      </w:r>
      <w:r>
        <w:rPr>
          <w:sz w:val="24"/>
        </w:rPr>
        <w:t>V.</w:t>
      </w:r>
      <w:r>
        <w:rPr>
          <w:spacing w:val="-1"/>
          <w:sz w:val="24"/>
        </w:rPr>
        <w:t> </w:t>
      </w:r>
      <w:r>
        <w:rPr>
          <w:sz w:val="24"/>
        </w:rPr>
        <w:t>Mathur,</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3"/>
      </w:pPr>
    </w:p>
    <w:p>
      <w:pPr>
        <w:pStyle w:val="ListParagraph"/>
        <w:numPr>
          <w:ilvl w:val="0"/>
          <w:numId w:val="164"/>
        </w:numPr>
        <w:tabs>
          <w:tab w:pos="399" w:val="left" w:leader="none"/>
        </w:tabs>
        <w:spacing w:line="240" w:lineRule="auto" w:before="1"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64"/>
        </w:numPr>
        <w:tabs>
          <w:tab w:pos="434" w:val="left" w:leader="none"/>
        </w:tabs>
        <w:spacing w:line="240" w:lineRule="auto" w:before="0" w:after="0"/>
        <w:ind w:left="160" w:right="497" w:firstLine="0"/>
        <w:jc w:val="left"/>
        <w:rPr>
          <w:sz w:val="24"/>
        </w:rPr>
      </w:pPr>
      <w:r>
        <w:rPr>
          <w:sz w:val="24"/>
        </w:rPr>
        <w:t>Shri</w:t>
      </w:r>
      <w:r>
        <w:rPr>
          <w:spacing w:val="30"/>
          <w:sz w:val="24"/>
        </w:rPr>
        <w:t> </w:t>
      </w:r>
      <w:r>
        <w:rPr>
          <w:sz w:val="24"/>
        </w:rPr>
        <w:t>R.</w:t>
      </w:r>
      <w:r>
        <w:rPr>
          <w:spacing w:val="30"/>
          <w:sz w:val="24"/>
        </w:rPr>
        <w:t> </w:t>
      </w:r>
      <w:r>
        <w:rPr>
          <w:sz w:val="24"/>
        </w:rPr>
        <w:t>Prasad,</w:t>
      </w:r>
      <w:r>
        <w:rPr>
          <w:spacing w:val="30"/>
          <w:sz w:val="24"/>
        </w:rPr>
        <w:t> </w:t>
      </w:r>
      <w:r>
        <w:rPr>
          <w:sz w:val="24"/>
        </w:rPr>
        <w:t>Director,</w:t>
      </w:r>
      <w:r>
        <w:rPr>
          <w:spacing w:val="30"/>
          <w:sz w:val="24"/>
        </w:rPr>
        <w:t> </w:t>
      </w:r>
      <w:r>
        <w:rPr>
          <w:sz w:val="24"/>
        </w:rPr>
        <w:t>Manpower,</w:t>
      </w:r>
      <w:r>
        <w:rPr>
          <w:spacing w:val="30"/>
          <w:sz w:val="24"/>
        </w:rPr>
        <w:t> </w:t>
      </w:r>
      <w:r>
        <w:rPr>
          <w:sz w:val="24"/>
        </w:rPr>
        <w:t>Ministry</w:t>
      </w:r>
      <w:r>
        <w:rPr>
          <w:spacing w:val="31"/>
          <w:sz w:val="24"/>
        </w:rPr>
        <w:t> </w:t>
      </w:r>
      <w:r>
        <w:rPr>
          <w:sz w:val="24"/>
        </w:rPr>
        <w:t>of</w:t>
      </w:r>
      <w:r>
        <w:rPr>
          <w:spacing w:val="31"/>
          <w:sz w:val="24"/>
        </w:rPr>
        <w:t> </w:t>
      </w:r>
      <w:r>
        <w:rPr>
          <w:sz w:val="24"/>
        </w:rPr>
        <w:t>Home</w:t>
      </w:r>
      <w:r>
        <w:rPr>
          <w:spacing w:val="31"/>
          <w:sz w:val="24"/>
        </w:rPr>
        <w:t> </w:t>
      </w:r>
      <w:r>
        <w:rPr>
          <w:sz w:val="24"/>
        </w:rPr>
        <w:t>Affairs,</w:t>
      </w:r>
      <w:r>
        <w:rPr>
          <w:spacing w:val="31"/>
          <w:sz w:val="24"/>
        </w:rPr>
        <w:t> </w:t>
      </w:r>
      <w:r>
        <w:rPr>
          <w:sz w:val="24"/>
        </w:rPr>
        <w:t>(now</w:t>
      </w:r>
      <w:r>
        <w:rPr>
          <w:spacing w:val="31"/>
          <w:sz w:val="24"/>
        </w:rPr>
        <w:t> </w:t>
      </w:r>
      <w:r>
        <w:rPr>
          <w:sz w:val="24"/>
        </w:rPr>
        <w:t>Development Commissioner, Bihar), New Delhi.</w:t>
      </w:r>
    </w:p>
    <w:p>
      <w:pPr>
        <w:pStyle w:val="BodyText"/>
        <w:spacing w:before="6"/>
      </w:pPr>
    </w:p>
    <w:p>
      <w:pPr>
        <w:pStyle w:val="ListParagraph"/>
        <w:numPr>
          <w:ilvl w:val="0"/>
          <w:numId w:val="164"/>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T.</w:t>
      </w:r>
      <w:r>
        <w:rPr>
          <w:spacing w:val="-1"/>
          <w:sz w:val="24"/>
        </w:rPr>
        <w:t> </w:t>
      </w:r>
      <w:r>
        <w:rPr>
          <w:sz w:val="24"/>
        </w:rPr>
        <w:t>Sen,</w:t>
      </w:r>
      <w:r>
        <w:rPr>
          <w:spacing w:val="-1"/>
          <w:sz w:val="24"/>
        </w:rPr>
        <w:t> </w:t>
      </w:r>
      <w:r>
        <w:rPr>
          <w:sz w:val="24"/>
        </w:rPr>
        <w:t>Member, Education</w:t>
      </w:r>
      <w:r>
        <w:rPr>
          <w:spacing w:val="-1"/>
          <w:sz w:val="24"/>
        </w:rPr>
        <w:t> </w:t>
      </w:r>
      <w:r>
        <w:rPr>
          <w:sz w:val="24"/>
        </w:rPr>
        <w:t>Commission,</w:t>
      </w:r>
      <w:r>
        <w:rPr>
          <w:spacing w:val="-1"/>
          <w:sz w:val="24"/>
        </w:rPr>
        <w:t> </w:t>
      </w:r>
      <w:r>
        <w:rPr>
          <w:sz w:val="24"/>
        </w:rPr>
        <w:t>New </w:t>
      </w:r>
      <w:r>
        <w:rPr>
          <w:spacing w:val="-2"/>
          <w:sz w:val="24"/>
        </w:rPr>
        <w:t>Delhi.</w:t>
      </w:r>
    </w:p>
    <w:p>
      <w:pPr>
        <w:pStyle w:val="BodyText"/>
        <w:spacing w:before="2"/>
      </w:pPr>
    </w:p>
    <w:p>
      <w:pPr>
        <w:pStyle w:val="ListParagraph"/>
        <w:numPr>
          <w:ilvl w:val="0"/>
          <w:numId w:val="164"/>
        </w:numPr>
        <w:tabs>
          <w:tab w:pos="400" w:val="left" w:leader="none"/>
        </w:tabs>
        <w:spacing w:line="240" w:lineRule="auto" w:before="1" w:after="0"/>
        <w:ind w:left="159" w:right="498" w:firstLine="0"/>
        <w:jc w:val="left"/>
        <w:rPr>
          <w:sz w:val="24"/>
        </w:rPr>
      </w:pPr>
      <w:r>
        <w:rPr>
          <w:sz w:val="24"/>
        </w:rPr>
        <w:t>Dr.</w:t>
      </w:r>
      <w:r>
        <w:rPr>
          <w:spacing w:val="-2"/>
          <w:sz w:val="24"/>
        </w:rPr>
        <w:t> </w:t>
      </w:r>
      <w:r>
        <w:rPr>
          <w:sz w:val="24"/>
        </w:rPr>
        <w:t>S.</w:t>
      </w:r>
      <w:r>
        <w:rPr>
          <w:spacing w:val="-2"/>
          <w:sz w:val="24"/>
        </w:rPr>
        <w:t> </w:t>
      </w:r>
      <w:r>
        <w:rPr>
          <w:sz w:val="24"/>
        </w:rPr>
        <w:t>P.</w:t>
      </w:r>
      <w:r>
        <w:rPr>
          <w:spacing w:val="-2"/>
          <w:sz w:val="24"/>
        </w:rPr>
        <w:t> </w:t>
      </w:r>
      <w:r>
        <w:rPr>
          <w:sz w:val="24"/>
        </w:rPr>
        <w:t>Aggarwal,</w:t>
      </w:r>
      <w:r>
        <w:rPr>
          <w:spacing w:val="-2"/>
          <w:sz w:val="24"/>
        </w:rPr>
        <w:t> </w:t>
      </w:r>
      <w:r>
        <w:rPr>
          <w:sz w:val="24"/>
        </w:rPr>
        <w:t>Head</w:t>
      </w:r>
      <w:r>
        <w:rPr>
          <w:spacing w:val="-2"/>
          <w:sz w:val="24"/>
        </w:rPr>
        <w:t> </w:t>
      </w:r>
      <w:r>
        <w:rPr>
          <w:sz w:val="24"/>
        </w:rPr>
        <w:t>of</w:t>
      </w:r>
      <w:r>
        <w:rPr>
          <w:spacing w:val="-2"/>
          <w:sz w:val="24"/>
        </w:rPr>
        <w:t> </w:t>
      </w:r>
      <w:r>
        <w:rPr>
          <w:sz w:val="24"/>
        </w:rPr>
        <w:t>Division,</w:t>
      </w:r>
      <w:r>
        <w:rPr>
          <w:spacing w:val="-2"/>
          <w:sz w:val="24"/>
        </w:rPr>
        <w:t> </w:t>
      </w:r>
      <w:r>
        <w:rPr>
          <w:sz w:val="24"/>
        </w:rPr>
        <w:t>Area</w:t>
      </w:r>
      <w:r>
        <w:rPr>
          <w:spacing w:val="-3"/>
          <w:sz w:val="24"/>
        </w:rPr>
        <w:t> </w:t>
      </w:r>
      <w:r>
        <w:rPr>
          <w:sz w:val="24"/>
        </w:rPr>
        <w:t>Manpower,</w:t>
      </w:r>
      <w:r>
        <w:rPr>
          <w:spacing w:val="-3"/>
          <w:sz w:val="24"/>
        </w:rPr>
        <w:t> </w:t>
      </w:r>
      <w:r>
        <w:rPr>
          <w:sz w:val="24"/>
        </w:rPr>
        <w:t>Institute</w:t>
      </w:r>
      <w:r>
        <w:rPr>
          <w:spacing w:val="-2"/>
          <w:sz w:val="24"/>
        </w:rPr>
        <w:t> </w:t>
      </w:r>
      <w:r>
        <w:rPr>
          <w:sz w:val="24"/>
        </w:rPr>
        <w:t>of</w:t>
      </w:r>
      <w:r>
        <w:rPr>
          <w:spacing w:val="-2"/>
          <w:sz w:val="24"/>
        </w:rPr>
        <w:t> </w:t>
      </w:r>
      <w:r>
        <w:rPr>
          <w:sz w:val="24"/>
        </w:rPr>
        <w:t>Applied</w:t>
      </w:r>
      <w:r>
        <w:rPr>
          <w:spacing w:val="-2"/>
          <w:sz w:val="24"/>
        </w:rPr>
        <w:t> </w:t>
      </w:r>
      <w:r>
        <w:rPr>
          <w:sz w:val="24"/>
        </w:rPr>
        <w:t>Manpower Research, Indraprastha Estate, New Delhi.</w:t>
      </w:r>
    </w:p>
    <w:p>
      <w:pPr>
        <w:pStyle w:val="BodyText"/>
        <w:spacing w:before="5"/>
      </w:pPr>
    </w:p>
    <w:p>
      <w:pPr>
        <w:pStyle w:val="Heading2"/>
        <w:spacing w:before="1"/>
        <w:ind w:left="159"/>
      </w:pPr>
      <w:r>
        <w:rPr/>
        <w:t>AIV.07. Task Force on</w:t>
      </w:r>
      <w:r>
        <w:rPr>
          <w:spacing w:val="-2"/>
        </w:rPr>
        <w:t> </w:t>
      </w:r>
      <w:r>
        <w:rPr/>
        <w:t>Techniques and Methods in </w:t>
      </w:r>
      <w:r>
        <w:rPr>
          <w:spacing w:val="-2"/>
        </w:rPr>
        <w:t>Education</w:t>
      </w:r>
    </w:p>
    <w:p>
      <w:pPr>
        <w:pStyle w:val="BodyText"/>
        <w:spacing w:before="2"/>
        <w:rPr>
          <w:b/>
        </w:rPr>
      </w:pPr>
    </w:p>
    <w:p>
      <w:pPr>
        <w:pStyle w:val="ListParagraph"/>
        <w:numPr>
          <w:ilvl w:val="0"/>
          <w:numId w:val="165"/>
        </w:numPr>
        <w:tabs>
          <w:tab w:pos="399" w:val="left" w:leader="none"/>
        </w:tabs>
        <w:spacing w:line="240" w:lineRule="auto" w:before="0" w:after="0"/>
        <w:ind w:left="399" w:right="0" w:hanging="240"/>
        <w:jc w:val="left"/>
        <w:rPr>
          <w:sz w:val="24"/>
        </w:rPr>
      </w:pPr>
      <w:r>
        <w:rPr>
          <w:sz w:val="24"/>
        </w:rPr>
        <w:t>Dr.</w:t>
      </w:r>
      <w:r>
        <w:rPr>
          <w:spacing w:val="-5"/>
          <w:sz w:val="24"/>
        </w:rPr>
        <w:t> </w:t>
      </w:r>
      <w:r>
        <w:rPr>
          <w:sz w:val="24"/>
        </w:rPr>
        <w:t>V.</w:t>
      </w:r>
      <w:r>
        <w:rPr>
          <w:spacing w:val="-2"/>
          <w:sz w:val="24"/>
        </w:rPr>
        <w:t> </w:t>
      </w:r>
      <w:r>
        <w:rPr>
          <w:sz w:val="24"/>
        </w:rPr>
        <w:t>S.</w:t>
      </w:r>
      <w:r>
        <w:rPr>
          <w:spacing w:val="-3"/>
          <w:sz w:val="24"/>
        </w:rPr>
        <w:t> </w:t>
      </w:r>
      <w:r>
        <w:rPr>
          <w:sz w:val="24"/>
        </w:rPr>
        <w:t>Jha,</w:t>
      </w:r>
      <w:r>
        <w:rPr>
          <w:spacing w:val="-2"/>
          <w:sz w:val="24"/>
        </w:rPr>
        <w:t> </w:t>
      </w:r>
      <w:r>
        <w:rPr>
          <w:sz w:val="24"/>
        </w:rPr>
        <w:t>Member,</w:t>
      </w:r>
      <w:r>
        <w:rPr>
          <w:spacing w:val="-2"/>
          <w:sz w:val="24"/>
        </w:rPr>
        <w:t> </w:t>
      </w:r>
      <w:r>
        <w:rPr>
          <w:sz w:val="24"/>
        </w:rPr>
        <w:t>Education</w:t>
      </w:r>
      <w:r>
        <w:rPr>
          <w:spacing w:val="-4"/>
          <w:sz w:val="24"/>
        </w:rPr>
        <w:t> </w:t>
      </w:r>
      <w:r>
        <w:rPr>
          <w:sz w:val="24"/>
        </w:rPr>
        <w:t>Commission,</w:t>
      </w:r>
      <w:r>
        <w:rPr>
          <w:spacing w:val="-3"/>
          <w:sz w:val="24"/>
        </w:rPr>
        <w:t> </w:t>
      </w:r>
      <w:r>
        <w:rPr>
          <w:sz w:val="24"/>
        </w:rPr>
        <w:t>New</w:t>
      </w:r>
      <w:r>
        <w:rPr>
          <w:spacing w:val="-3"/>
          <w:sz w:val="24"/>
        </w:rPr>
        <w:t> </w:t>
      </w:r>
      <w:r>
        <w:rPr>
          <w:sz w:val="24"/>
        </w:rPr>
        <w:t>Delhi.</w:t>
      </w:r>
      <w:r>
        <w:rPr>
          <w:spacing w:val="-3"/>
          <w:sz w:val="24"/>
        </w:rPr>
        <w:t> </w:t>
      </w:r>
      <w:r>
        <w:rPr>
          <w:spacing w:val="-2"/>
          <w:sz w:val="24"/>
        </w:rPr>
        <w:t>Convener</w:t>
      </w:r>
    </w:p>
    <w:p>
      <w:pPr>
        <w:pStyle w:val="BodyText"/>
        <w:spacing w:before="4"/>
      </w:pPr>
    </w:p>
    <w:p>
      <w:pPr>
        <w:pStyle w:val="ListParagraph"/>
        <w:numPr>
          <w:ilvl w:val="0"/>
          <w:numId w:val="165"/>
        </w:numPr>
        <w:tabs>
          <w:tab w:pos="419" w:val="left" w:leader="none"/>
        </w:tabs>
        <w:spacing w:line="240" w:lineRule="auto" w:before="0" w:after="0"/>
        <w:ind w:left="159" w:right="496" w:firstLine="0"/>
        <w:jc w:val="left"/>
        <w:rPr>
          <w:sz w:val="24"/>
        </w:rPr>
      </w:pPr>
      <w:r>
        <w:rPr>
          <w:sz w:val="24"/>
        </w:rPr>
        <w:t>Shri G. K. Athalye-later Shri S. L. Ahluwallia, Director, National Institute of Audio-</w:t>
      </w:r>
      <w:r>
        <w:rPr>
          <w:spacing w:val="40"/>
          <w:sz w:val="24"/>
        </w:rPr>
        <w:t> </w:t>
      </w:r>
      <w:r>
        <w:rPr>
          <w:sz w:val="24"/>
        </w:rPr>
        <w:t>Visual Education (N.C.E.R.T.), Indraprastha Estate, New Delhi.</w:t>
      </w:r>
    </w:p>
    <w:p>
      <w:pPr>
        <w:pStyle w:val="BodyText"/>
        <w:spacing w:before="3"/>
      </w:pPr>
    </w:p>
    <w:p>
      <w:pPr>
        <w:pStyle w:val="ListParagraph"/>
        <w:numPr>
          <w:ilvl w:val="0"/>
          <w:numId w:val="165"/>
        </w:numPr>
        <w:tabs>
          <w:tab w:pos="480" w:val="left" w:leader="none"/>
        </w:tabs>
        <w:spacing w:line="240" w:lineRule="auto" w:before="0" w:after="0"/>
        <w:ind w:left="159" w:right="498" w:firstLine="0"/>
        <w:jc w:val="left"/>
        <w:rPr>
          <w:sz w:val="24"/>
        </w:rPr>
      </w:pPr>
      <w:r>
        <w:rPr>
          <w:sz w:val="24"/>
        </w:rPr>
        <w:t>Shri</w:t>
      </w:r>
      <w:r>
        <w:rPr>
          <w:spacing w:val="78"/>
          <w:sz w:val="24"/>
        </w:rPr>
        <w:t> </w:t>
      </w:r>
      <w:r>
        <w:rPr>
          <w:sz w:val="24"/>
        </w:rPr>
        <w:t>M.</w:t>
      </w:r>
      <w:r>
        <w:rPr>
          <w:spacing w:val="78"/>
          <w:sz w:val="24"/>
        </w:rPr>
        <w:t> </w:t>
      </w:r>
      <w:r>
        <w:rPr>
          <w:sz w:val="24"/>
        </w:rPr>
        <w:t>L.</w:t>
      </w:r>
      <w:r>
        <w:rPr>
          <w:spacing w:val="78"/>
          <w:sz w:val="24"/>
        </w:rPr>
        <w:t> </w:t>
      </w:r>
      <w:r>
        <w:rPr>
          <w:sz w:val="24"/>
        </w:rPr>
        <w:t>Bharadwaj,</w:t>
      </w:r>
      <w:r>
        <w:rPr>
          <w:spacing w:val="78"/>
          <w:sz w:val="24"/>
        </w:rPr>
        <w:t> </w:t>
      </w:r>
      <w:r>
        <w:rPr>
          <w:sz w:val="24"/>
        </w:rPr>
        <w:t>Director,</w:t>
      </w:r>
      <w:r>
        <w:rPr>
          <w:spacing w:val="78"/>
          <w:sz w:val="24"/>
        </w:rPr>
        <w:t> </w:t>
      </w:r>
      <w:r>
        <w:rPr>
          <w:sz w:val="24"/>
        </w:rPr>
        <w:t>Advertising</w:t>
      </w:r>
      <w:r>
        <w:rPr>
          <w:spacing w:val="78"/>
          <w:sz w:val="24"/>
        </w:rPr>
        <w:t> </w:t>
      </w:r>
      <w:r>
        <w:rPr>
          <w:sz w:val="24"/>
        </w:rPr>
        <w:t>and</w:t>
      </w:r>
      <w:r>
        <w:rPr>
          <w:spacing w:val="78"/>
          <w:sz w:val="24"/>
        </w:rPr>
        <w:t> </w:t>
      </w:r>
      <w:r>
        <w:rPr>
          <w:sz w:val="24"/>
        </w:rPr>
        <w:t>Visual</w:t>
      </w:r>
      <w:r>
        <w:rPr>
          <w:spacing w:val="78"/>
          <w:sz w:val="24"/>
        </w:rPr>
        <w:t> </w:t>
      </w:r>
      <w:r>
        <w:rPr>
          <w:sz w:val="24"/>
        </w:rPr>
        <w:t>Publicity,</w:t>
      </w:r>
      <w:r>
        <w:rPr>
          <w:spacing w:val="78"/>
          <w:sz w:val="24"/>
        </w:rPr>
        <w:t> </w:t>
      </w:r>
      <w:r>
        <w:rPr>
          <w:sz w:val="24"/>
        </w:rPr>
        <w:t>Ministry</w:t>
      </w:r>
      <w:r>
        <w:rPr>
          <w:spacing w:val="78"/>
          <w:sz w:val="24"/>
        </w:rPr>
        <w:t> </w:t>
      </w:r>
      <w:r>
        <w:rPr>
          <w:sz w:val="24"/>
        </w:rPr>
        <w:t>of Information and Broadcasting, 'B' Block, Curzon Road, New Delhi.</w:t>
      </w:r>
    </w:p>
    <w:p>
      <w:pPr>
        <w:pStyle w:val="BodyText"/>
        <w:spacing w:before="6"/>
      </w:pPr>
    </w:p>
    <w:p>
      <w:pPr>
        <w:pStyle w:val="ListParagraph"/>
        <w:numPr>
          <w:ilvl w:val="0"/>
          <w:numId w:val="165"/>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65"/>
        </w:numPr>
        <w:tabs>
          <w:tab w:pos="427" w:val="left" w:leader="none"/>
        </w:tabs>
        <w:spacing w:line="240" w:lineRule="auto" w:before="0" w:after="0"/>
        <w:ind w:left="159" w:right="497" w:firstLine="0"/>
        <w:jc w:val="left"/>
        <w:rPr>
          <w:sz w:val="24"/>
        </w:rPr>
      </w:pPr>
      <w:r>
        <w:rPr>
          <w:sz w:val="24"/>
        </w:rPr>
        <w:t>Dr. (Miss) S. Dutt, Reader in Education, Central Institute of Education, N.C.E.R.T.,</w:t>
      </w:r>
      <w:r>
        <w:rPr>
          <w:spacing w:val="80"/>
          <w:w w:val="150"/>
          <w:sz w:val="24"/>
        </w:rPr>
        <w:t> </w:t>
      </w:r>
      <w:r>
        <w:rPr>
          <w:sz w:val="24"/>
        </w:rPr>
        <w:t>33, Chhatra Marg, Delhi-6.</w:t>
      </w:r>
    </w:p>
    <w:p>
      <w:pPr>
        <w:pStyle w:val="BodyText"/>
        <w:spacing w:before="5"/>
      </w:pPr>
    </w:p>
    <w:p>
      <w:pPr>
        <w:pStyle w:val="ListParagraph"/>
        <w:numPr>
          <w:ilvl w:val="0"/>
          <w:numId w:val="165"/>
        </w:numPr>
        <w:tabs>
          <w:tab w:pos="399" w:val="left" w:leader="none"/>
        </w:tabs>
        <w:spacing w:line="240" w:lineRule="auto" w:before="0" w:after="0"/>
        <w:ind w:left="399" w:right="0" w:hanging="240"/>
        <w:jc w:val="left"/>
        <w:rPr>
          <w:sz w:val="24"/>
        </w:rPr>
      </w:pPr>
      <w:r>
        <w:rPr>
          <w:sz w:val="24"/>
        </w:rPr>
        <w:t>Shri C. L. Kapur, IE/5 Patel Road,</w:t>
      </w:r>
      <w:r>
        <w:rPr>
          <w:spacing w:val="-1"/>
          <w:sz w:val="24"/>
        </w:rPr>
        <w:t> </w:t>
      </w:r>
      <w:r>
        <w:rPr>
          <w:sz w:val="24"/>
        </w:rPr>
        <w:t>Patel</w:t>
      </w:r>
      <w:r>
        <w:rPr>
          <w:spacing w:val="-1"/>
          <w:sz w:val="24"/>
        </w:rPr>
        <w:t> </w:t>
      </w:r>
      <w:r>
        <w:rPr>
          <w:sz w:val="24"/>
        </w:rPr>
        <w:t>Nagar,</w:t>
      </w:r>
      <w:r>
        <w:rPr>
          <w:spacing w:val="-1"/>
          <w:sz w:val="24"/>
        </w:rPr>
        <w:t> </w:t>
      </w:r>
      <w:r>
        <w:rPr>
          <w:sz w:val="24"/>
        </w:rPr>
        <w:t>New</w:t>
      </w:r>
      <w:r>
        <w:rPr>
          <w:spacing w:val="-1"/>
          <w:sz w:val="24"/>
        </w:rPr>
        <w:t> </w:t>
      </w:r>
      <w:r>
        <w:rPr>
          <w:sz w:val="24"/>
        </w:rPr>
        <w:t>Delhi-</w:t>
      </w:r>
      <w:r>
        <w:rPr>
          <w:spacing w:val="-5"/>
          <w:sz w:val="24"/>
        </w:rPr>
        <w:t>12.</w:t>
      </w:r>
    </w:p>
    <w:p>
      <w:pPr>
        <w:pStyle w:val="BodyText"/>
        <w:spacing w:before="3"/>
      </w:pPr>
    </w:p>
    <w:p>
      <w:pPr>
        <w:pStyle w:val="ListParagraph"/>
        <w:numPr>
          <w:ilvl w:val="0"/>
          <w:numId w:val="165"/>
        </w:numPr>
        <w:tabs>
          <w:tab w:pos="479" w:val="left" w:leader="none"/>
        </w:tabs>
        <w:spacing w:line="240" w:lineRule="auto" w:before="0" w:after="0"/>
        <w:ind w:left="159" w:right="498" w:firstLine="0"/>
        <w:jc w:val="left"/>
        <w:rPr>
          <w:sz w:val="24"/>
        </w:rPr>
      </w:pPr>
      <w:r>
        <w:rPr>
          <w:sz w:val="24"/>
        </w:rPr>
        <w:t>Dr.</w:t>
      </w:r>
      <w:r>
        <w:rPr>
          <w:spacing w:val="40"/>
          <w:sz w:val="24"/>
        </w:rPr>
        <w:t> </w:t>
      </w:r>
      <w:r>
        <w:rPr>
          <w:sz w:val="24"/>
        </w:rPr>
        <w:t>S.</w:t>
      </w:r>
      <w:r>
        <w:rPr>
          <w:spacing w:val="40"/>
          <w:sz w:val="24"/>
        </w:rPr>
        <w:t> </w:t>
      </w:r>
      <w:r>
        <w:rPr>
          <w:sz w:val="24"/>
        </w:rPr>
        <w:t>S.</w:t>
      </w:r>
      <w:r>
        <w:rPr>
          <w:spacing w:val="40"/>
          <w:sz w:val="24"/>
        </w:rPr>
        <w:t> </w:t>
      </w:r>
      <w:r>
        <w:rPr>
          <w:sz w:val="24"/>
        </w:rPr>
        <w:t>Kulkarni,</w:t>
      </w:r>
      <w:r>
        <w:rPr>
          <w:spacing w:val="40"/>
          <w:sz w:val="24"/>
        </w:rPr>
        <w:t> </w:t>
      </w:r>
      <w:r>
        <w:rPr>
          <w:sz w:val="24"/>
        </w:rPr>
        <w:t>Psychometrician,</w:t>
      </w:r>
      <w:r>
        <w:rPr>
          <w:spacing w:val="40"/>
          <w:sz w:val="24"/>
        </w:rPr>
        <w:t> </w:t>
      </w:r>
      <w:r>
        <w:rPr>
          <w:sz w:val="24"/>
        </w:rPr>
        <w:t>Department</w:t>
      </w:r>
      <w:r>
        <w:rPr>
          <w:spacing w:val="40"/>
          <w:sz w:val="24"/>
        </w:rPr>
        <w:t> </w:t>
      </w:r>
      <w:r>
        <w:rPr>
          <w:sz w:val="24"/>
        </w:rPr>
        <w:t>of</w:t>
      </w:r>
      <w:r>
        <w:rPr>
          <w:spacing w:val="40"/>
          <w:sz w:val="24"/>
        </w:rPr>
        <w:t> </w:t>
      </w:r>
      <w:r>
        <w:rPr>
          <w:sz w:val="24"/>
        </w:rPr>
        <w:t>Psychological</w:t>
      </w:r>
      <w:r>
        <w:rPr>
          <w:spacing w:val="40"/>
          <w:sz w:val="24"/>
        </w:rPr>
        <w:t> </w:t>
      </w:r>
      <w:r>
        <w:rPr>
          <w:sz w:val="24"/>
        </w:rPr>
        <w:t>Foundations,</w:t>
      </w:r>
      <w:r>
        <w:rPr>
          <w:spacing w:val="80"/>
          <w:sz w:val="24"/>
        </w:rPr>
        <w:t> </w:t>
      </w:r>
      <w:r>
        <w:rPr>
          <w:sz w:val="24"/>
        </w:rPr>
        <w:t>N.C.E.R.T., 2/3, Model Town, Delhi-9.</w:t>
      </w:r>
    </w:p>
    <w:p>
      <w:pPr>
        <w:spacing w:after="0" w:line="240" w:lineRule="auto"/>
        <w:jc w:val="left"/>
        <w:rPr>
          <w:sz w:val="24"/>
        </w:rPr>
        <w:sectPr>
          <w:pgSz w:w="12240" w:h="15840"/>
          <w:pgMar w:header="0" w:footer="743" w:top="1360" w:bottom="940" w:left="1640" w:right="1300"/>
        </w:sectPr>
      </w:pPr>
    </w:p>
    <w:p>
      <w:pPr>
        <w:pStyle w:val="ListParagraph"/>
        <w:numPr>
          <w:ilvl w:val="0"/>
          <w:numId w:val="165"/>
        </w:numPr>
        <w:tabs>
          <w:tab w:pos="430" w:val="left" w:leader="none"/>
        </w:tabs>
        <w:spacing w:line="240" w:lineRule="auto" w:before="76" w:after="0"/>
        <w:ind w:left="160" w:right="496" w:firstLine="0"/>
        <w:jc w:val="left"/>
        <w:rPr>
          <w:sz w:val="24"/>
        </w:rPr>
      </w:pPr>
      <w:r>
        <w:rPr>
          <w:sz w:val="24"/>
        </w:rPr>
        <w:t>Shri</w:t>
      </w:r>
      <w:r>
        <w:rPr>
          <w:spacing w:val="27"/>
          <w:sz w:val="24"/>
        </w:rPr>
        <w:t> </w:t>
      </w:r>
      <w:r>
        <w:rPr>
          <w:sz w:val="24"/>
        </w:rPr>
        <w:t>J.</w:t>
      </w:r>
      <w:r>
        <w:rPr>
          <w:spacing w:val="27"/>
          <w:sz w:val="24"/>
        </w:rPr>
        <w:t> </w:t>
      </w:r>
      <w:r>
        <w:rPr>
          <w:sz w:val="24"/>
        </w:rPr>
        <w:t>C.</w:t>
      </w:r>
      <w:r>
        <w:rPr>
          <w:spacing w:val="27"/>
          <w:sz w:val="24"/>
        </w:rPr>
        <w:t> </w:t>
      </w:r>
      <w:r>
        <w:rPr>
          <w:sz w:val="24"/>
        </w:rPr>
        <w:t>Mathur,</w:t>
      </w:r>
      <w:r>
        <w:rPr>
          <w:spacing w:val="27"/>
          <w:sz w:val="24"/>
        </w:rPr>
        <w:t> </w:t>
      </w:r>
      <w:r>
        <w:rPr>
          <w:sz w:val="24"/>
        </w:rPr>
        <w:t>joint</w:t>
      </w:r>
      <w:r>
        <w:rPr>
          <w:spacing w:val="27"/>
          <w:sz w:val="24"/>
        </w:rPr>
        <w:t> </w:t>
      </w:r>
      <w:r>
        <w:rPr>
          <w:sz w:val="24"/>
        </w:rPr>
        <w:t>Secretary,</w:t>
      </w:r>
      <w:r>
        <w:rPr>
          <w:spacing w:val="27"/>
          <w:sz w:val="24"/>
        </w:rPr>
        <w:t> </w:t>
      </w:r>
      <w:r>
        <w:rPr>
          <w:sz w:val="24"/>
        </w:rPr>
        <w:t>Ministry</w:t>
      </w:r>
      <w:r>
        <w:rPr>
          <w:spacing w:val="27"/>
          <w:sz w:val="24"/>
        </w:rPr>
        <w:t> </w:t>
      </w:r>
      <w:r>
        <w:rPr>
          <w:sz w:val="24"/>
        </w:rPr>
        <w:t>of</w:t>
      </w:r>
      <w:r>
        <w:rPr>
          <w:spacing w:val="27"/>
          <w:sz w:val="24"/>
        </w:rPr>
        <w:t> </w:t>
      </w:r>
      <w:r>
        <w:rPr>
          <w:sz w:val="24"/>
        </w:rPr>
        <w:t>food</w:t>
      </w:r>
      <w:r>
        <w:rPr>
          <w:spacing w:val="27"/>
          <w:sz w:val="24"/>
        </w:rPr>
        <w:t> </w:t>
      </w:r>
      <w:r>
        <w:rPr>
          <w:sz w:val="24"/>
        </w:rPr>
        <w:t>and</w:t>
      </w:r>
      <w:r>
        <w:rPr>
          <w:spacing w:val="27"/>
          <w:sz w:val="24"/>
        </w:rPr>
        <w:t> </w:t>
      </w:r>
      <w:r>
        <w:rPr>
          <w:sz w:val="24"/>
        </w:rPr>
        <w:t>Agriculture</w:t>
      </w:r>
      <w:r>
        <w:rPr>
          <w:spacing w:val="27"/>
          <w:sz w:val="24"/>
        </w:rPr>
        <w:t> </w:t>
      </w:r>
      <w:r>
        <w:rPr>
          <w:sz w:val="24"/>
        </w:rPr>
        <w:t>(Department</w:t>
      </w:r>
      <w:r>
        <w:rPr>
          <w:spacing w:val="27"/>
          <w:sz w:val="24"/>
        </w:rPr>
        <w:t> </w:t>
      </w:r>
      <w:r>
        <w:rPr>
          <w:sz w:val="24"/>
        </w:rPr>
        <w:t>of Agriculture), Krishi Bhavan, New Delhi.</w:t>
      </w:r>
    </w:p>
    <w:p>
      <w:pPr>
        <w:pStyle w:val="BodyText"/>
        <w:spacing w:before="5"/>
      </w:pPr>
    </w:p>
    <w:p>
      <w:pPr>
        <w:pStyle w:val="ListParagraph"/>
        <w:numPr>
          <w:ilvl w:val="0"/>
          <w:numId w:val="165"/>
        </w:numPr>
        <w:tabs>
          <w:tab w:pos="399" w:val="left" w:leader="none"/>
        </w:tabs>
        <w:spacing w:line="240" w:lineRule="auto" w:before="0" w:after="0"/>
        <w:ind w:left="399" w:right="0" w:hanging="239"/>
        <w:jc w:val="left"/>
        <w:rPr>
          <w:sz w:val="24"/>
        </w:rPr>
      </w:pPr>
      <w:r>
        <w:rPr>
          <w:sz w:val="24"/>
        </w:rPr>
        <w:t>Mr.</w:t>
      </w:r>
      <w:r>
        <w:rPr>
          <w:spacing w:val="-6"/>
          <w:sz w:val="24"/>
        </w:rPr>
        <w:t> </w:t>
      </w:r>
      <w:r>
        <w:rPr>
          <w:sz w:val="24"/>
        </w:rPr>
        <w:t>J.</w:t>
      </w:r>
      <w:r>
        <w:rPr>
          <w:spacing w:val="-4"/>
          <w:sz w:val="24"/>
        </w:rPr>
        <w:t> </w:t>
      </w:r>
      <w:r>
        <w:rPr>
          <w:sz w:val="24"/>
        </w:rPr>
        <w:t>F.</w:t>
      </w:r>
      <w:r>
        <w:rPr>
          <w:spacing w:val="-4"/>
          <w:sz w:val="24"/>
        </w:rPr>
        <w:t> </w:t>
      </w:r>
      <w:r>
        <w:rPr>
          <w:sz w:val="24"/>
        </w:rPr>
        <w:t>McDougall,</w:t>
      </w:r>
      <w:r>
        <w:rPr>
          <w:spacing w:val="-4"/>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4"/>
      </w:pPr>
    </w:p>
    <w:p>
      <w:pPr>
        <w:pStyle w:val="ListParagraph"/>
        <w:numPr>
          <w:ilvl w:val="0"/>
          <w:numId w:val="165"/>
        </w:numPr>
        <w:tabs>
          <w:tab w:pos="538" w:val="left" w:leader="none"/>
        </w:tabs>
        <w:spacing w:line="240" w:lineRule="auto" w:before="0" w:after="0"/>
        <w:ind w:left="160" w:right="496" w:firstLine="0"/>
        <w:jc w:val="left"/>
        <w:rPr>
          <w:sz w:val="24"/>
        </w:rPr>
      </w:pPr>
      <w:r>
        <w:rPr>
          <w:sz w:val="24"/>
        </w:rPr>
        <w:t>Dr. S. K. Mitra, Head of the Department of Psychological Foundations, </w:t>
      </w:r>
      <w:r>
        <w:rPr>
          <w:sz w:val="24"/>
        </w:rPr>
        <w:t>N.C.E.R.T., 2/3, Model Town, Delhi-9.</w:t>
      </w:r>
    </w:p>
    <w:p>
      <w:pPr>
        <w:pStyle w:val="BodyText"/>
        <w:spacing w:before="5"/>
      </w:pPr>
    </w:p>
    <w:p>
      <w:pPr>
        <w:pStyle w:val="ListParagraph"/>
        <w:numPr>
          <w:ilvl w:val="0"/>
          <w:numId w:val="165"/>
        </w:numPr>
        <w:tabs>
          <w:tab w:pos="517" w:val="left" w:leader="none"/>
        </w:tabs>
        <w:spacing w:line="240" w:lineRule="auto" w:before="0" w:after="0"/>
        <w:ind w:left="517" w:right="0" w:hanging="357"/>
        <w:jc w:val="left"/>
        <w:rPr>
          <w:sz w:val="24"/>
        </w:rPr>
      </w:pPr>
      <w:r>
        <w:rPr>
          <w:sz w:val="24"/>
        </w:rPr>
        <w:t>Shri</w:t>
      </w:r>
      <w:r>
        <w:rPr>
          <w:spacing w:val="-9"/>
          <w:sz w:val="24"/>
        </w:rPr>
        <w:t> </w:t>
      </w:r>
      <w:r>
        <w:rPr>
          <w:sz w:val="24"/>
        </w:rPr>
        <w:t>J.</w:t>
      </w:r>
      <w:r>
        <w:rPr>
          <w:spacing w:val="-7"/>
          <w:sz w:val="24"/>
        </w:rPr>
        <w:t> </w:t>
      </w:r>
      <w:r>
        <w:rPr>
          <w:sz w:val="24"/>
        </w:rPr>
        <w:t>P.</w:t>
      </w:r>
      <w:r>
        <w:rPr>
          <w:spacing w:val="-6"/>
          <w:sz w:val="24"/>
        </w:rPr>
        <w:t> </w:t>
      </w:r>
      <w:r>
        <w:rPr>
          <w:sz w:val="24"/>
        </w:rPr>
        <w:t>Naik,</w:t>
      </w:r>
      <w:r>
        <w:rPr>
          <w:spacing w:val="-7"/>
          <w:sz w:val="24"/>
        </w:rPr>
        <w:t> </w:t>
      </w:r>
      <w:r>
        <w:rPr>
          <w:sz w:val="24"/>
        </w:rPr>
        <w:t>Member-Secretary,</w:t>
      </w:r>
      <w:r>
        <w:rPr>
          <w:spacing w:val="-7"/>
          <w:sz w:val="24"/>
        </w:rPr>
        <w:t> </w:t>
      </w:r>
      <w:r>
        <w:rPr>
          <w:sz w:val="24"/>
        </w:rPr>
        <w:t>Education</w:t>
      </w:r>
      <w:r>
        <w:rPr>
          <w:spacing w:val="-6"/>
          <w:sz w:val="24"/>
        </w:rPr>
        <w:t> </w:t>
      </w:r>
      <w:r>
        <w:rPr>
          <w:sz w:val="24"/>
        </w:rPr>
        <w:t>Commission,</w:t>
      </w:r>
      <w:r>
        <w:rPr>
          <w:spacing w:val="-7"/>
          <w:sz w:val="24"/>
        </w:rPr>
        <w:t> </w:t>
      </w:r>
      <w:r>
        <w:rPr>
          <w:sz w:val="24"/>
        </w:rPr>
        <w:t>New</w:t>
      </w:r>
      <w:r>
        <w:rPr>
          <w:spacing w:val="-6"/>
          <w:sz w:val="24"/>
        </w:rPr>
        <w:t> </w:t>
      </w:r>
      <w:r>
        <w:rPr>
          <w:spacing w:val="-2"/>
          <w:sz w:val="24"/>
        </w:rPr>
        <w:t>Delhi.</w:t>
      </w:r>
    </w:p>
    <w:p>
      <w:pPr>
        <w:pStyle w:val="BodyText"/>
        <w:spacing w:before="2"/>
      </w:pPr>
    </w:p>
    <w:p>
      <w:pPr>
        <w:pStyle w:val="ListParagraph"/>
        <w:numPr>
          <w:ilvl w:val="0"/>
          <w:numId w:val="165"/>
        </w:numPr>
        <w:tabs>
          <w:tab w:pos="578" w:val="left" w:leader="none"/>
        </w:tabs>
        <w:spacing w:line="240" w:lineRule="auto" w:before="0" w:after="0"/>
        <w:ind w:left="160" w:right="497" w:firstLine="0"/>
        <w:jc w:val="left"/>
        <w:rPr>
          <w:sz w:val="24"/>
        </w:rPr>
      </w:pPr>
      <w:r>
        <w:rPr>
          <w:sz w:val="24"/>
        </w:rPr>
        <w:t>Dr.</w:t>
      </w:r>
      <w:r>
        <w:rPr>
          <w:spacing w:val="40"/>
          <w:sz w:val="24"/>
        </w:rPr>
        <w:t> </w:t>
      </w:r>
      <w:r>
        <w:rPr>
          <w:sz w:val="24"/>
        </w:rPr>
        <w:t>Paul</w:t>
      </w:r>
      <w:r>
        <w:rPr>
          <w:spacing w:val="40"/>
          <w:sz w:val="24"/>
        </w:rPr>
        <w:t> </w:t>
      </w:r>
      <w:r>
        <w:rPr>
          <w:sz w:val="24"/>
        </w:rPr>
        <w:t>Neurath,</w:t>
      </w:r>
      <w:r>
        <w:rPr>
          <w:spacing w:val="40"/>
          <w:sz w:val="24"/>
        </w:rPr>
        <w:t> </w:t>
      </w:r>
      <w:r>
        <w:rPr>
          <w:sz w:val="24"/>
        </w:rPr>
        <w:t>Ford</w:t>
      </w:r>
      <w:r>
        <w:rPr>
          <w:spacing w:val="40"/>
          <w:sz w:val="24"/>
        </w:rPr>
        <w:t> </w:t>
      </w:r>
      <w:r>
        <w:rPr>
          <w:sz w:val="24"/>
        </w:rPr>
        <w:t>Foundation</w:t>
      </w:r>
      <w:r>
        <w:rPr>
          <w:spacing w:val="40"/>
          <w:sz w:val="24"/>
        </w:rPr>
        <w:t> </w:t>
      </w:r>
      <w:r>
        <w:rPr>
          <w:sz w:val="24"/>
        </w:rPr>
        <w:t>Consultant,</w:t>
      </w:r>
      <w:r>
        <w:rPr>
          <w:spacing w:val="40"/>
          <w:sz w:val="24"/>
        </w:rPr>
        <w:t> </w:t>
      </w:r>
      <w:r>
        <w:rPr>
          <w:sz w:val="24"/>
        </w:rPr>
        <w:t>Educational</w:t>
      </w:r>
      <w:r>
        <w:rPr>
          <w:spacing w:val="40"/>
          <w:sz w:val="24"/>
        </w:rPr>
        <w:t> </w:t>
      </w:r>
      <w:r>
        <w:rPr>
          <w:sz w:val="24"/>
        </w:rPr>
        <w:t>Television,</w:t>
      </w:r>
      <w:r>
        <w:rPr>
          <w:spacing w:val="40"/>
          <w:sz w:val="24"/>
        </w:rPr>
        <w:t> </w:t>
      </w:r>
      <w:r>
        <w:rPr>
          <w:sz w:val="24"/>
        </w:rPr>
        <w:t>222,</w:t>
      </w:r>
      <w:r>
        <w:rPr>
          <w:spacing w:val="40"/>
          <w:sz w:val="24"/>
        </w:rPr>
        <w:t> </w:t>
      </w:r>
      <w:r>
        <w:rPr>
          <w:sz w:val="24"/>
        </w:rPr>
        <w:t>Jor Bagh, New Delhi.</w:t>
      </w:r>
    </w:p>
    <w:p>
      <w:pPr>
        <w:pStyle w:val="BodyText"/>
        <w:spacing w:before="6"/>
      </w:pPr>
    </w:p>
    <w:p>
      <w:pPr>
        <w:pStyle w:val="ListParagraph"/>
        <w:numPr>
          <w:ilvl w:val="0"/>
          <w:numId w:val="165"/>
        </w:numPr>
        <w:tabs>
          <w:tab w:pos="519" w:val="left" w:leader="none"/>
        </w:tabs>
        <w:spacing w:line="240" w:lineRule="auto" w:before="0" w:after="0"/>
        <w:ind w:left="519" w:right="0" w:hanging="359"/>
        <w:jc w:val="left"/>
        <w:rPr>
          <w:sz w:val="24"/>
        </w:rPr>
      </w:pPr>
      <w:r>
        <w:rPr>
          <w:sz w:val="24"/>
        </w:rPr>
        <w:t>Miss</w:t>
      </w:r>
      <w:r>
        <w:rPr>
          <w:spacing w:val="-6"/>
          <w:sz w:val="24"/>
        </w:rPr>
        <w:t> </w:t>
      </w:r>
      <w:r>
        <w:rPr>
          <w:sz w:val="24"/>
        </w:rPr>
        <w:t>S.</w:t>
      </w:r>
      <w:r>
        <w:rPr>
          <w:spacing w:val="-3"/>
          <w:sz w:val="24"/>
        </w:rPr>
        <w:t> </w:t>
      </w:r>
      <w:r>
        <w:rPr>
          <w:sz w:val="24"/>
        </w:rPr>
        <w:t>Panandikar,</w:t>
      </w:r>
      <w:r>
        <w:rPr>
          <w:spacing w:val="-3"/>
          <w:sz w:val="24"/>
        </w:rPr>
        <w:t> </w:t>
      </w:r>
      <w:r>
        <w:rPr>
          <w:sz w:val="24"/>
        </w:rPr>
        <w:t>Member,</w:t>
      </w:r>
      <w:r>
        <w:rPr>
          <w:spacing w:val="-4"/>
          <w:sz w:val="24"/>
        </w:rPr>
        <w:t> </w:t>
      </w:r>
      <w:r>
        <w:rPr>
          <w:sz w:val="24"/>
        </w:rPr>
        <w:t>Education</w:t>
      </w:r>
      <w:r>
        <w:rPr>
          <w:spacing w:val="-3"/>
          <w:sz w:val="24"/>
        </w:rPr>
        <w:t> </w:t>
      </w:r>
      <w:r>
        <w:rPr>
          <w:sz w:val="24"/>
        </w:rPr>
        <w:t>Commission,</w:t>
      </w:r>
      <w:r>
        <w:rPr>
          <w:spacing w:val="-3"/>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65"/>
        </w:numPr>
        <w:tabs>
          <w:tab w:pos="529" w:val="left" w:leader="none"/>
        </w:tabs>
        <w:spacing w:line="240" w:lineRule="auto" w:before="0" w:after="0"/>
        <w:ind w:left="160" w:right="498" w:firstLine="0"/>
        <w:jc w:val="left"/>
        <w:rPr>
          <w:sz w:val="24"/>
        </w:rPr>
      </w:pPr>
      <w:r>
        <w:rPr>
          <w:sz w:val="24"/>
        </w:rPr>
        <w:t>Dr. Albert J. Perrelli, Expert, Central Institute of Education, N.C.E.R.T., 33, Chhatra Marg, Delhi-6.</w:t>
      </w:r>
    </w:p>
    <w:p>
      <w:pPr>
        <w:pStyle w:val="BodyText"/>
        <w:spacing w:before="4"/>
      </w:pPr>
    </w:p>
    <w:p>
      <w:pPr>
        <w:pStyle w:val="ListParagraph"/>
        <w:numPr>
          <w:ilvl w:val="0"/>
          <w:numId w:val="165"/>
        </w:numPr>
        <w:tabs>
          <w:tab w:pos="519" w:val="left" w:leader="none"/>
        </w:tabs>
        <w:spacing w:line="240" w:lineRule="auto" w:before="1" w:after="0"/>
        <w:ind w:left="519" w:right="0" w:hanging="359"/>
        <w:jc w:val="left"/>
        <w:rPr>
          <w:sz w:val="24"/>
        </w:rPr>
      </w:pPr>
      <w:r>
        <w:rPr>
          <w:sz w:val="24"/>
        </w:rPr>
        <w:t>Miss</w:t>
      </w:r>
      <w:r>
        <w:rPr>
          <w:spacing w:val="-6"/>
          <w:sz w:val="24"/>
        </w:rPr>
        <w:t> </w:t>
      </w:r>
      <w:r>
        <w:rPr>
          <w:sz w:val="24"/>
        </w:rPr>
        <w:t>S.</w:t>
      </w:r>
      <w:r>
        <w:rPr>
          <w:spacing w:val="-4"/>
          <w:sz w:val="24"/>
        </w:rPr>
        <w:t> </w:t>
      </w:r>
      <w:r>
        <w:rPr>
          <w:sz w:val="24"/>
        </w:rPr>
        <w:t>Rehman,</w:t>
      </w:r>
      <w:r>
        <w:rPr>
          <w:spacing w:val="-4"/>
          <w:sz w:val="24"/>
        </w:rPr>
        <w:t> </w:t>
      </w:r>
      <w:r>
        <w:rPr>
          <w:sz w:val="24"/>
        </w:rPr>
        <w:t>Assistant</w:t>
      </w:r>
      <w:r>
        <w:rPr>
          <w:spacing w:val="-4"/>
          <w:sz w:val="24"/>
        </w:rPr>
        <w:t> </w:t>
      </w:r>
      <w:r>
        <w:rPr>
          <w:sz w:val="24"/>
        </w:rPr>
        <w:t>Educational</w:t>
      </w:r>
      <w:r>
        <w:rPr>
          <w:spacing w:val="-4"/>
          <w:sz w:val="24"/>
        </w:rPr>
        <w:t> </w:t>
      </w:r>
      <w:r>
        <w:rPr>
          <w:sz w:val="24"/>
        </w:rPr>
        <w:t>Adviser,</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65"/>
        </w:numPr>
        <w:tabs>
          <w:tab w:pos="520" w:val="left" w:leader="none"/>
        </w:tabs>
        <w:spacing w:line="240" w:lineRule="auto" w:before="0" w:after="0"/>
        <w:ind w:left="159" w:right="497" w:firstLine="0"/>
        <w:jc w:val="left"/>
        <w:rPr>
          <w:sz w:val="24"/>
        </w:rPr>
      </w:pPr>
      <w:r>
        <w:rPr>
          <w:sz w:val="24"/>
        </w:rPr>
        <w:t>Mr.</w:t>
      </w:r>
      <w:r>
        <w:rPr>
          <w:spacing w:val="-2"/>
          <w:sz w:val="24"/>
        </w:rPr>
        <w:t> </w:t>
      </w:r>
      <w:r>
        <w:rPr>
          <w:sz w:val="24"/>
        </w:rPr>
        <w:t>J.</w:t>
      </w:r>
      <w:r>
        <w:rPr>
          <w:spacing w:val="-2"/>
          <w:sz w:val="24"/>
        </w:rPr>
        <w:t> </w:t>
      </w:r>
      <w:r>
        <w:rPr>
          <w:sz w:val="24"/>
        </w:rPr>
        <w:t>M.</w:t>
      </w:r>
      <w:r>
        <w:rPr>
          <w:spacing w:val="-2"/>
          <w:sz w:val="24"/>
        </w:rPr>
        <w:t> </w:t>
      </w:r>
      <w:r>
        <w:rPr>
          <w:sz w:val="24"/>
        </w:rPr>
        <w:t>Ure-later</w:t>
      </w:r>
      <w:r>
        <w:rPr>
          <w:spacing w:val="-2"/>
          <w:sz w:val="24"/>
        </w:rPr>
        <w:t> </w:t>
      </w:r>
      <w:r>
        <w:rPr>
          <w:sz w:val="24"/>
        </w:rPr>
        <w:t>Mr.</w:t>
      </w:r>
      <w:r>
        <w:rPr>
          <w:spacing w:val="-2"/>
          <w:sz w:val="24"/>
        </w:rPr>
        <w:t> </w:t>
      </w:r>
      <w:r>
        <w:rPr>
          <w:sz w:val="24"/>
        </w:rPr>
        <w:t>D.</w:t>
      </w:r>
      <w:r>
        <w:rPr>
          <w:spacing w:val="-2"/>
          <w:sz w:val="24"/>
        </w:rPr>
        <w:t> </w:t>
      </w:r>
      <w:r>
        <w:rPr>
          <w:sz w:val="24"/>
        </w:rPr>
        <w:t>A.</w:t>
      </w:r>
      <w:r>
        <w:rPr>
          <w:spacing w:val="-2"/>
          <w:sz w:val="24"/>
        </w:rPr>
        <w:t> </w:t>
      </w:r>
      <w:r>
        <w:rPr>
          <w:sz w:val="24"/>
        </w:rPr>
        <w:t>Smith,</w:t>
      </w:r>
      <w:r>
        <w:rPr>
          <w:spacing w:val="-2"/>
          <w:sz w:val="24"/>
        </w:rPr>
        <w:t> </w:t>
      </w:r>
      <w:r>
        <w:rPr>
          <w:sz w:val="24"/>
        </w:rPr>
        <w:t>Chief</w:t>
      </w:r>
      <w:r>
        <w:rPr>
          <w:spacing w:val="-2"/>
          <w:sz w:val="24"/>
        </w:rPr>
        <w:t> </w:t>
      </w:r>
      <w:r>
        <w:rPr>
          <w:sz w:val="24"/>
        </w:rPr>
        <w:t>Education</w:t>
      </w:r>
      <w:r>
        <w:rPr>
          <w:spacing w:val="-2"/>
          <w:sz w:val="24"/>
        </w:rPr>
        <w:t> </w:t>
      </w:r>
      <w:r>
        <w:rPr>
          <w:sz w:val="24"/>
        </w:rPr>
        <w:t>Officer,</w:t>
      </w:r>
      <w:r>
        <w:rPr>
          <w:spacing w:val="-2"/>
          <w:sz w:val="24"/>
        </w:rPr>
        <w:t> </w:t>
      </w:r>
      <w:r>
        <w:rPr>
          <w:sz w:val="24"/>
        </w:rPr>
        <w:t>British</w:t>
      </w:r>
      <w:r>
        <w:rPr>
          <w:spacing w:val="-2"/>
          <w:sz w:val="24"/>
        </w:rPr>
        <w:t> </w:t>
      </w:r>
      <w:r>
        <w:rPr>
          <w:sz w:val="24"/>
        </w:rPr>
        <w:t>Council,</w:t>
      </w:r>
      <w:r>
        <w:rPr>
          <w:spacing w:val="-2"/>
          <w:sz w:val="24"/>
        </w:rPr>
        <w:t> </w:t>
      </w:r>
      <w:r>
        <w:rPr>
          <w:sz w:val="24"/>
        </w:rPr>
        <w:t>21,</w:t>
      </w:r>
      <w:r>
        <w:rPr>
          <w:spacing w:val="-2"/>
          <w:sz w:val="24"/>
        </w:rPr>
        <w:t> </w:t>
      </w:r>
      <w:r>
        <w:rPr>
          <w:sz w:val="24"/>
        </w:rPr>
        <w:t>Jor Bagh, New Delhi.</w:t>
      </w:r>
    </w:p>
    <w:p>
      <w:pPr>
        <w:pStyle w:val="BodyText"/>
        <w:spacing w:before="5"/>
      </w:pPr>
    </w:p>
    <w:p>
      <w:pPr>
        <w:pStyle w:val="ListParagraph"/>
        <w:numPr>
          <w:ilvl w:val="0"/>
          <w:numId w:val="165"/>
        </w:numPr>
        <w:tabs>
          <w:tab w:pos="527" w:val="left" w:leader="none"/>
        </w:tabs>
        <w:spacing w:line="240" w:lineRule="auto" w:before="0" w:after="0"/>
        <w:ind w:left="160" w:right="500" w:firstLine="0"/>
        <w:jc w:val="left"/>
        <w:rPr>
          <w:sz w:val="24"/>
        </w:rPr>
      </w:pPr>
      <w:r>
        <w:rPr>
          <w:sz w:val="24"/>
        </w:rPr>
        <w:t>Dr. S. M. S. Chari, Deputy Educational Adviser, Education Commission, New Delhi. </w:t>
      </w:r>
      <w:r>
        <w:rPr>
          <w:spacing w:val="-2"/>
          <w:sz w:val="24"/>
        </w:rPr>
        <w:t>Secretary</w:t>
      </w:r>
    </w:p>
    <w:p>
      <w:pPr>
        <w:pStyle w:val="BodyText"/>
        <w:spacing w:before="6"/>
      </w:pPr>
    </w:p>
    <w:p>
      <w:pPr>
        <w:pStyle w:val="Heading2"/>
      </w:pPr>
      <w:r>
        <w:rPr/>
        <w:t>AIV.08.</w:t>
      </w:r>
      <w:r>
        <w:rPr>
          <w:spacing w:val="-1"/>
        </w:rPr>
        <w:t> </w:t>
      </w:r>
      <w:r>
        <w:rPr/>
        <w:t>Task Force</w:t>
      </w:r>
      <w:r>
        <w:rPr>
          <w:spacing w:val="-1"/>
        </w:rPr>
        <w:t> </w:t>
      </w:r>
      <w:r>
        <w:rPr/>
        <w:t>on</w:t>
      </w:r>
      <w:r>
        <w:rPr>
          <w:spacing w:val="-2"/>
        </w:rPr>
        <w:t> </w:t>
      </w:r>
      <w:r>
        <w:rPr/>
        <w:t>Professional, Vocational</w:t>
      </w:r>
      <w:r>
        <w:rPr>
          <w:spacing w:val="-1"/>
        </w:rPr>
        <w:t> </w:t>
      </w:r>
      <w:r>
        <w:rPr/>
        <w:t>and Technical </w:t>
      </w:r>
      <w:r>
        <w:rPr>
          <w:spacing w:val="-2"/>
        </w:rPr>
        <w:t>Education</w:t>
      </w:r>
    </w:p>
    <w:p>
      <w:pPr>
        <w:pStyle w:val="BodyText"/>
        <w:spacing w:before="2"/>
        <w:rPr>
          <w:b/>
        </w:rPr>
      </w:pPr>
    </w:p>
    <w:p>
      <w:pPr>
        <w:pStyle w:val="BodyText"/>
        <w:ind w:left="160"/>
      </w:pPr>
      <w:r>
        <w:rPr/>
        <w:t>1</w:t>
      </w:r>
      <w:r>
        <w:rPr>
          <w:spacing w:val="-1"/>
        </w:rPr>
        <w:t> </w:t>
      </w:r>
      <w:r>
        <w:rPr/>
        <w:t>. Dr.</w:t>
      </w:r>
      <w:r>
        <w:rPr>
          <w:spacing w:val="-1"/>
        </w:rPr>
        <w:t> </w:t>
      </w:r>
      <w:r>
        <w:rPr/>
        <w:t>T. Sen,</w:t>
      </w:r>
      <w:r>
        <w:rPr>
          <w:spacing w:val="-1"/>
        </w:rPr>
        <w:t> </w:t>
      </w:r>
      <w:r>
        <w:rPr/>
        <w:t>Member, Education</w:t>
      </w:r>
      <w:r>
        <w:rPr>
          <w:spacing w:val="-1"/>
        </w:rPr>
        <w:t> </w:t>
      </w:r>
      <w:r>
        <w:rPr/>
        <w:t>Commission, New</w:t>
      </w:r>
      <w:r>
        <w:rPr>
          <w:spacing w:val="-1"/>
        </w:rPr>
        <w:t> </w:t>
      </w:r>
      <w:r>
        <w:rPr/>
        <w:t>Delhi. </w:t>
      </w:r>
      <w:r>
        <w:rPr>
          <w:spacing w:val="-2"/>
        </w:rPr>
        <w:t>Convener</w:t>
      </w:r>
    </w:p>
    <w:p>
      <w:pPr>
        <w:pStyle w:val="BodyText"/>
        <w:spacing w:before="5"/>
      </w:pPr>
    </w:p>
    <w:p>
      <w:pPr>
        <w:pStyle w:val="ListParagraph"/>
        <w:numPr>
          <w:ilvl w:val="0"/>
          <w:numId w:val="166"/>
        </w:numPr>
        <w:tabs>
          <w:tab w:pos="399" w:val="left" w:leader="none"/>
        </w:tabs>
        <w:spacing w:line="240" w:lineRule="auto" w:before="0" w:after="0"/>
        <w:ind w:left="399" w:right="0" w:hanging="239"/>
        <w:jc w:val="left"/>
        <w:rPr>
          <w:sz w:val="24"/>
        </w:rPr>
      </w:pPr>
      <w:r>
        <w:rPr>
          <w:sz w:val="24"/>
        </w:rPr>
        <w:t>Prof.</w:t>
      </w:r>
      <w:r>
        <w:rPr>
          <w:spacing w:val="-6"/>
          <w:sz w:val="24"/>
        </w:rPr>
        <w:t> </w:t>
      </w:r>
      <w:r>
        <w:rPr>
          <w:sz w:val="24"/>
        </w:rPr>
        <w:t>S.</w:t>
      </w:r>
      <w:r>
        <w:rPr>
          <w:spacing w:val="-3"/>
          <w:sz w:val="24"/>
        </w:rPr>
        <w:t> </w:t>
      </w:r>
      <w:r>
        <w:rPr>
          <w:sz w:val="24"/>
        </w:rPr>
        <w:t>K.</w:t>
      </w:r>
      <w:r>
        <w:rPr>
          <w:spacing w:val="-3"/>
          <w:sz w:val="24"/>
        </w:rPr>
        <w:t> </w:t>
      </w:r>
      <w:r>
        <w:rPr>
          <w:sz w:val="24"/>
        </w:rPr>
        <w:t>Bose,</w:t>
      </w:r>
      <w:r>
        <w:rPr>
          <w:spacing w:val="-3"/>
          <w:sz w:val="24"/>
        </w:rPr>
        <w:t> </w:t>
      </w:r>
      <w:r>
        <w:rPr>
          <w:sz w:val="24"/>
        </w:rPr>
        <w:t>Director,</w:t>
      </w:r>
      <w:r>
        <w:rPr>
          <w:spacing w:val="-3"/>
          <w:sz w:val="24"/>
        </w:rPr>
        <w:t> </w:t>
      </w:r>
      <w:r>
        <w:rPr>
          <w:sz w:val="24"/>
        </w:rPr>
        <w:t>Indian</w:t>
      </w:r>
      <w:r>
        <w:rPr>
          <w:spacing w:val="-4"/>
          <w:sz w:val="24"/>
        </w:rPr>
        <w:t> </w:t>
      </w:r>
      <w:r>
        <w:rPr>
          <w:sz w:val="24"/>
        </w:rPr>
        <w:t>Institute</w:t>
      </w:r>
      <w:r>
        <w:rPr>
          <w:spacing w:val="-3"/>
          <w:sz w:val="24"/>
        </w:rPr>
        <w:t> </w:t>
      </w:r>
      <w:r>
        <w:rPr>
          <w:sz w:val="24"/>
        </w:rPr>
        <w:t>of</w:t>
      </w:r>
      <w:r>
        <w:rPr>
          <w:spacing w:val="-3"/>
          <w:sz w:val="24"/>
        </w:rPr>
        <w:t> </w:t>
      </w:r>
      <w:r>
        <w:rPr>
          <w:sz w:val="24"/>
        </w:rPr>
        <w:t>Technology,</w:t>
      </w:r>
      <w:r>
        <w:rPr>
          <w:spacing w:val="-3"/>
          <w:sz w:val="24"/>
        </w:rPr>
        <w:t> </w:t>
      </w:r>
      <w:r>
        <w:rPr>
          <w:sz w:val="24"/>
        </w:rPr>
        <w:t>Powai,</w:t>
      </w:r>
      <w:r>
        <w:rPr>
          <w:spacing w:val="-3"/>
          <w:sz w:val="24"/>
        </w:rPr>
        <w:t> </w:t>
      </w:r>
      <w:r>
        <w:rPr>
          <w:spacing w:val="-2"/>
          <w:sz w:val="24"/>
        </w:rPr>
        <w:t>Bombay.</w:t>
      </w:r>
    </w:p>
    <w:p>
      <w:pPr>
        <w:pStyle w:val="BodyText"/>
        <w:spacing w:before="4"/>
      </w:pPr>
    </w:p>
    <w:p>
      <w:pPr>
        <w:pStyle w:val="ListParagraph"/>
        <w:numPr>
          <w:ilvl w:val="0"/>
          <w:numId w:val="166"/>
        </w:numPr>
        <w:tabs>
          <w:tab w:pos="399" w:val="left" w:leader="none"/>
        </w:tabs>
        <w:spacing w:line="240" w:lineRule="auto" w:before="0" w:after="0"/>
        <w:ind w:left="399" w:right="0" w:hanging="240"/>
        <w:jc w:val="left"/>
        <w:rPr>
          <w:sz w:val="24"/>
        </w:rPr>
      </w:pPr>
      <w:r>
        <w:rPr>
          <w:sz w:val="24"/>
        </w:rPr>
        <w:t>Shri</w:t>
      </w:r>
      <w:r>
        <w:rPr>
          <w:spacing w:val="-5"/>
          <w:sz w:val="24"/>
        </w:rPr>
        <w:t> </w:t>
      </w:r>
      <w:r>
        <w:rPr>
          <w:sz w:val="24"/>
        </w:rPr>
        <w:t>G.</w:t>
      </w:r>
      <w:r>
        <w:rPr>
          <w:spacing w:val="-3"/>
          <w:sz w:val="24"/>
        </w:rPr>
        <w:t> </w:t>
      </w:r>
      <w:r>
        <w:rPr>
          <w:sz w:val="24"/>
        </w:rPr>
        <w:t>K.</w:t>
      </w:r>
      <w:r>
        <w:rPr>
          <w:spacing w:val="-2"/>
          <w:sz w:val="24"/>
        </w:rPr>
        <w:t> </w:t>
      </w:r>
      <w:r>
        <w:rPr>
          <w:sz w:val="24"/>
        </w:rPr>
        <w:t>Chandiramani,</w:t>
      </w:r>
      <w:r>
        <w:rPr>
          <w:spacing w:val="-3"/>
          <w:sz w:val="24"/>
        </w:rPr>
        <w:t> </w:t>
      </w:r>
      <w:r>
        <w:rPr>
          <w:sz w:val="24"/>
        </w:rPr>
        <w:t>Additional</w:t>
      </w:r>
      <w:r>
        <w:rPr>
          <w:spacing w:val="-2"/>
          <w:sz w:val="24"/>
        </w:rPr>
        <w:t> </w:t>
      </w:r>
      <w:r>
        <w:rPr>
          <w:sz w:val="24"/>
        </w:rPr>
        <w:t>Secretary,</w:t>
      </w:r>
      <w:r>
        <w:rPr>
          <w:spacing w:val="-4"/>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66"/>
        </w:numPr>
        <w:tabs>
          <w:tab w:pos="399" w:val="left" w:leader="none"/>
        </w:tabs>
        <w:spacing w:line="240" w:lineRule="auto" w:before="1" w:after="0"/>
        <w:ind w:left="399" w:right="0" w:hanging="240"/>
        <w:jc w:val="left"/>
        <w:rPr>
          <w:sz w:val="24"/>
        </w:rPr>
      </w:pPr>
      <w:r>
        <w:rPr>
          <w:sz w:val="24"/>
        </w:rPr>
        <w:t>Shri</w:t>
      </w:r>
      <w:r>
        <w:rPr>
          <w:spacing w:val="-5"/>
          <w:sz w:val="24"/>
        </w:rPr>
        <w:t> </w:t>
      </w:r>
      <w:r>
        <w:rPr>
          <w:sz w:val="24"/>
        </w:rPr>
        <w:t>L.</w:t>
      </w:r>
      <w:r>
        <w:rPr>
          <w:spacing w:val="-2"/>
          <w:sz w:val="24"/>
        </w:rPr>
        <w:t> </w:t>
      </w:r>
      <w:r>
        <w:rPr>
          <w:sz w:val="24"/>
        </w:rPr>
        <w:t>S.</w:t>
      </w:r>
      <w:r>
        <w:rPr>
          <w:spacing w:val="-3"/>
          <w:sz w:val="24"/>
        </w:rPr>
        <w:t> </w:t>
      </w:r>
      <w:r>
        <w:rPr>
          <w:sz w:val="24"/>
        </w:rPr>
        <w:t>Chandrakant,</w:t>
      </w:r>
      <w:r>
        <w:rPr>
          <w:spacing w:val="-2"/>
          <w:sz w:val="24"/>
        </w:rPr>
        <w:t> </w:t>
      </w:r>
      <w:r>
        <w:rPr>
          <w:sz w:val="24"/>
        </w:rPr>
        <w:t>joint</w:t>
      </w:r>
      <w:r>
        <w:rPr>
          <w:spacing w:val="-2"/>
          <w:sz w:val="24"/>
        </w:rPr>
        <w:t> </w:t>
      </w:r>
      <w:r>
        <w:rPr>
          <w:sz w:val="24"/>
        </w:rPr>
        <w:t>Educational</w:t>
      </w:r>
      <w:r>
        <w:rPr>
          <w:spacing w:val="-5"/>
          <w:sz w:val="24"/>
        </w:rPr>
        <w:t> </w:t>
      </w:r>
      <w:r>
        <w:rPr>
          <w:sz w:val="24"/>
        </w:rPr>
        <w:t>Adviser,</w:t>
      </w:r>
      <w:r>
        <w:rPr>
          <w:spacing w:val="-3"/>
          <w:sz w:val="24"/>
        </w:rPr>
        <w:t> </w:t>
      </w:r>
      <w:r>
        <w:rPr>
          <w:sz w:val="24"/>
        </w:rPr>
        <w:t>Ministry</w:t>
      </w:r>
      <w:r>
        <w:rPr>
          <w:spacing w:val="-3"/>
          <w:sz w:val="24"/>
        </w:rPr>
        <w:t> </w:t>
      </w:r>
      <w:r>
        <w:rPr>
          <w:sz w:val="24"/>
        </w:rPr>
        <w:t>of</w:t>
      </w:r>
      <w:r>
        <w:rPr>
          <w:spacing w:val="-4"/>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4"/>
      </w:pPr>
    </w:p>
    <w:p>
      <w:pPr>
        <w:pStyle w:val="ListParagraph"/>
        <w:numPr>
          <w:ilvl w:val="0"/>
          <w:numId w:val="166"/>
        </w:numPr>
        <w:tabs>
          <w:tab w:pos="399" w:val="left" w:leader="none"/>
        </w:tabs>
        <w:spacing w:line="240" w:lineRule="auto" w:before="0" w:after="0"/>
        <w:ind w:left="399" w:right="0" w:hanging="240"/>
        <w:jc w:val="left"/>
        <w:rPr>
          <w:sz w:val="24"/>
        </w:rPr>
      </w:pPr>
      <w:r>
        <w:rPr>
          <w:sz w:val="24"/>
        </w:rPr>
        <w:t>Dr. D. R. Dhingra, 3/40,</w:t>
      </w:r>
      <w:r>
        <w:rPr>
          <w:spacing w:val="-1"/>
          <w:sz w:val="24"/>
        </w:rPr>
        <w:t> </w:t>
      </w:r>
      <w:r>
        <w:rPr>
          <w:sz w:val="24"/>
        </w:rPr>
        <w:t>Vishnupuri,</w:t>
      </w:r>
      <w:r>
        <w:rPr>
          <w:spacing w:val="-1"/>
          <w:sz w:val="24"/>
        </w:rPr>
        <w:t> </w:t>
      </w:r>
      <w:r>
        <w:rPr>
          <w:sz w:val="24"/>
        </w:rPr>
        <w:t>Nawabganj,</w:t>
      </w:r>
      <w:r>
        <w:rPr>
          <w:spacing w:val="-1"/>
          <w:sz w:val="24"/>
        </w:rPr>
        <w:t> </w:t>
      </w:r>
      <w:r>
        <w:rPr>
          <w:spacing w:val="-2"/>
          <w:sz w:val="24"/>
        </w:rPr>
        <w:t>Kanpur.</w:t>
      </w:r>
    </w:p>
    <w:p>
      <w:pPr>
        <w:pStyle w:val="BodyText"/>
        <w:spacing w:before="4"/>
      </w:pPr>
    </w:p>
    <w:p>
      <w:pPr>
        <w:pStyle w:val="ListParagraph"/>
        <w:numPr>
          <w:ilvl w:val="0"/>
          <w:numId w:val="166"/>
        </w:numPr>
        <w:tabs>
          <w:tab w:pos="398" w:val="left" w:leader="none"/>
        </w:tabs>
        <w:spacing w:line="240" w:lineRule="auto" w:before="0" w:after="0"/>
        <w:ind w:left="398" w:right="0" w:hanging="239"/>
        <w:jc w:val="left"/>
        <w:rPr>
          <w:sz w:val="24"/>
        </w:rPr>
      </w:pPr>
      <w:r>
        <w:rPr>
          <w:sz w:val="24"/>
        </w:rPr>
        <w:t>Shri</w:t>
      </w:r>
      <w:r>
        <w:rPr>
          <w:spacing w:val="-5"/>
          <w:sz w:val="24"/>
        </w:rPr>
        <w:t> </w:t>
      </w:r>
      <w:r>
        <w:rPr>
          <w:sz w:val="24"/>
        </w:rPr>
        <w:t>R.</w:t>
      </w:r>
      <w:r>
        <w:rPr>
          <w:spacing w:val="-3"/>
          <w:sz w:val="24"/>
        </w:rPr>
        <w:t> </w:t>
      </w:r>
      <w:r>
        <w:rPr>
          <w:sz w:val="24"/>
        </w:rPr>
        <w:t>N.</w:t>
      </w:r>
      <w:r>
        <w:rPr>
          <w:spacing w:val="-3"/>
          <w:sz w:val="24"/>
        </w:rPr>
        <w:t> </w:t>
      </w:r>
      <w:r>
        <w:rPr>
          <w:sz w:val="24"/>
        </w:rPr>
        <w:t>Dogra,</w:t>
      </w:r>
      <w:r>
        <w:rPr>
          <w:spacing w:val="-3"/>
          <w:sz w:val="24"/>
        </w:rPr>
        <w:t> </w:t>
      </w:r>
      <w:r>
        <w:rPr>
          <w:sz w:val="24"/>
        </w:rPr>
        <w:t>Director,</w:t>
      </w:r>
      <w:r>
        <w:rPr>
          <w:spacing w:val="-3"/>
          <w:sz w:val="24"/>
        </w:rPr>
        <w:t> </w:t>
      </w:r>
      <w:r>
        <w:rPr>
          <w:sz w:val="24"/>
        </w:rPr>
        <w:t>Indian</w:t>
      </w:r>
      <w:r>
        <w:rPr>
          <w:spacing w:val="-3"/>
          <w:sz w:val="24"/>
        </w:rPr>
        <w:t> </w:t>
      </w:r>
      <w:r>
        <w:rPr>
          <w:sz w:val="24"/>
        </w:rPr>
        <w:t>Institute</w:t>
      </w:r>
      <w:r>
        <w:rPr>
          <w:spacing w:val="-3"/>
          <w:sz w:val="24"/>
        </w:rPr>
        <w:t> </w:t>
      </w:r>
      <w:r>
        <w:rPr>
          <w:sz w:val="24"/>
        </w:rPr>
        <w:t>of</w:t>
      </w:r>
      <w:r>
        <w:rPr>
          <w:spacing w:val="-3"/>
          <w:sz w:val="24"/>
        </w:rPr>
        <w:t> </w:t>
      </w:r>
      <w:r>
        <w:rPr>
          <w:sz w:val="24"/>
        </w:rPr>
        <w:t>Technology,</w:t>
      </w:r>
      <w:r>
        <w:rPr>
          <w:spacing w:val="-3"/>
          <w:sz w:val="24"/>
        </w:rPr>
        <w:t> </w:t>
      </w:r>
      <w:r>
        <w:rPr>
          <w:sz w:val="24"/>
        </w:rPr>
        <w:t>Hauz</w:t>
      </w:r>
      <w:r>
        <w:rPr>
          <w:spacing w:val="-3"/>
          <w:sz w:val="24"/>
        </w:rPr>
        <w:t> </w:t>
      </w:r>
      <w:r>
        <w:rPr>
          <w:sz w:val="24"/>
        </w:rPr>
        <w:t>Khas,</w:t>
      </w:r>
      <w:r>
        <w:rPr>
          <w:spacing w:val="-3"/>
          <w:sz w:val="24"/>
        </w:rPr>
        <w:t> </w:t>
      </w:r>
      <w:r>
        <w:rPr>
          <w:sz w:val="24"/>
        </w:rPr>
        <w:t>New</w:t>
      </w:r>
      <w:r>
        <w:rPr>
          <w:spacing w:val="-2"/>
          <w:sz w:val="24"/>
        </w:rPr>
        <w:t> Delhi.</w:t>
      </w:r>
    </w:p>
    <w:p>
      <w:pPr>
        <w:pStyle w:val="BodyText"/>
        <w:spacing w:before="2"/>
      </w:pPr>
    </w:p>
    <w:p>
      <w:pPr>
        <w:pStyle w:val="ListParagraph"/>
        <w:numPr>
          <w:ilvl w:val="0"/>
          <w:numId w:val="166"/>
        </w:numPr>
        <w:tabs>
          <w:tab w:pos="499" w:val="left" w:leader="none"/>
        </w:tabs>
        <w:spacing w:line="240" w:lineRule="auto" w:before="1" w:after="0"/>
        <w:ind w:left="159" w:right="497" w:firstLine="0"/>
        <w:jc w:val="left"/>
        <w:rPr>
          <w:sz w:val="24"/>
        </w:rPr>
      </w:pPr>
      <w:r>
        <w:rPr>
          <w:sz w:val="24"/>
        </w:rPr>
        <w:t>Prof.</w:t>
      </w:r>
      <w:r>
        <w:rPr>
          <w:spacing w:val="80"/>
          <w:sz w:val="24"/>
        </w:rPr>
        <w:t> </w:t>
      </w:r>
      <w:r>
        <w:rPr>
          <w:sz w:val="24"/>
        </w:rPr>
        <w:t>V.</w:t>
      </w:r>
      <w:r>
        <w:rPr>
          <w:spacing w:val="80"/>
          <w:sz w:val="24"/>
        </w:rPr>
        <w:t> </w:t>
      </w:r>
      <w:r>
        <w:rPr>
          <w:sz w:val="24"/>
        </w:rPr>
        <w:t>G.</w:t>
      </w:r>
      <w:r>
        <w:rPr>
          <w:spacing w:val="80"/>
          <w:sz w:val="24"/>
        </w:rPr>
        <w:t> </w:t>
      </w:r>
      <w:r>
        <w:rPr>
          <w:sz w:val="24"/>
        </w:rPr>
        <w:t>Garde,</w:t>
      </w:r>
      <w:r>
        <w:rPr>
          <w:spacing w:val="80"/>
          <w:sz w:val="24"/>
        </w:rPr>
        <w:t> </w:t>
      </w:r>
      <w:r>
        <w:rPr>
          <w:sz w:val="24"/>
        </w:rPr>
        <w:t>Principal,</w:t>
      </w:r>
      <w:r>
        <w:rPr>
          <w:spacing w:val="80"/>
          <w:sz w:val="24"/>
        </w:rPr>
        <w:t> </w:t>
      </w:r>
      <w:r>
        <w:rPr>
          <w:sz w:val="24"/>
        </w:rPr>
        <w:t>Malaviya</w:t>
      </w:r>
      <w:r>
        <w:rPr>
          <w:spacing w:val="80"/>
          <w:sz w:val="24"/>
        </w:rPr>
        <w:t> </w:t>
      </w:r>
      <w:r>
        <w:rPr>
          <w:sz w:val="24"/>
        </w:rPr>
        <w:t>Regional</w:t>
      </w:r>
      <w:r>
        <w:rPr>
          <w:spacing w:val="80"/>
          <w:sz w:val="24"/>
        </w:rPr>
        <w:t> </w:t>
      </w:r>
      <w:r>
        <w:rPr>
          <w:sz w:val="24"/>
        </w:rPr>
        <w:t>Engineering</w:t>
      </w:r>
      <w:r>
        <w:rPr>
          <w:spacing w:val="80"/>
          <w:sz w:val="24"/>
        </w:rPr>
        <w:t> </w:t>
      </w:r>
      <w:r>
        <w:rPr>
          <w:sz w:val="24"/>
        </w:rPr>
        <w:t>College,</w:t>
      </w:r>
      <w:r>
        <w:rPr>
          <w:spacing w:val="80"/>
          <w:sz w:val="24"/>
        </w:rPr>
        <w:t> </w:t>
      </w:r>
      <w:r>
        <w:rPr>
          <w:sz w:val="24"/>
        </w:rPr>
        <w:t>Jaipur </w:t>
      </w:r>
      <w:r>
        <w:rPr>
          <w:spacing w:val="-2"/>
          <w:sz w:val="24"/>
        </w:rPr>
        <w:t>(Rajasthan).</w:t>
      </w:r>
    </w:p>
    <w:p>
      <w:pPr>
        <w:pStyle w:val="BodyText"/>
        <w:spacing w:before="5"/>
      </w:pPr>
    </w:p>
    <w:p>
      <w:pPr>
        <w:pStyle w:val="ListParagraph"/>
        <w:numPr>
          <w:ilvl w:val="0"/>
          <w:numId w:val="166"/>
        </w:numPr>
        <w:tabs>
          <w:tab w:pos="399" w:val="left" w:leader="none"/>
        </w:tabs>
        <w:spacing w:line="240" w:lineRule="auto" w:before="1" w:after="0"/>
        <w:ind w:left="399" w:right="0" w:hanging="240"/>
        <w:jc w:val="left"/>
        <w:rPr>
          <w:sz w:val="24"/>
        </w:rPr>
      </w:pPr>
      <w:r>
        <w:rPr>
          <w:sz w:val="24"/>
        </w:rPr>
        <w:t>Shri</w:t>
      </w:r>
      <w:r>
        <w:rPr>
          <w:spacing w:val="-1"/>
          <w:sz w:val="24"/>
        </w:rPr>
        <w:t> </w:t>
      </w:r>
      <w:r>
        <w:rPr>
          <w:sz w:val="24"/>
        </w:rPr>
        <w:t>R. A.</w:t>
      </w:r>
      <w:r>
        <w:rPr>
          <w:spacing w:val="-1"/>
          <w:sz w:val="24"/>
        </w:rPr>
        <w:t> </w:t>
      </w:r>
      <w:r>
        <w:rPr>
          <w:sz w:val="24"/>
        </w:rPr>
        <w:t>Gopalaswami,</w:t>
      </w:r>
      <w:r>
        <w:rPr>
          <w:spacing w:val="-1"/>
          <w:sz w:val="24"/>
        </w:rPr>
        <w:t> </w:t>
      </w:r>
      <w:r>
        <w:rPr>
          <w:sz w:val="24"/>
        </w:rPr>
        <w:t>Member,</w:t>
      </w:r>
      <w:r>
        <w:rPr>
          <w:spacing w:val="-1"/>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66"/>
        </w:numPr>
        <w:tabs>
          <w:tab w:pos="397" w:val="left" w:leader="none"/>
        </w:tabs>
        <w:spacing w:line="240" w:lineRule="auto" w:before="0" w:after="0"/>
        <w:ind w:left="397" w:right="0" w:hanging="238"/>
        <w:jc w:val="left"/>
        <w:rPr>
          <w:sz w:val="24"/>
        </w:rPr>
      </w:pPr>
      <w:r>
        <w:rPr>
          <w:sz w:val="24"/>
        </w:rPr>
        <w:t>Shri</w:t>
      </w:r>
      <w:r>
        <w:rPr>
          <w:spacing w:val="-6"/>
          <w:sz w:val="24"/>
        </w:rPr>
        <w:t> </w:t>
      </w:r>
      <w:r>
        <w:rPr>
          <w:sz w:val="24"/>
        </w:rPr>
        <w:t>K.</w:t>
      </w:r>
      <w:r>
        <w:rPr>
          <w:spacing w:val="-4"/>
          <w:sz w:val="24"/>
        </w:rPr>
        <w:t> </w:t>
      </w:r>
      <w:r>
        <w:rPr>
          <w:sz w:val="24"/>
        </w:rPr>
        <w:t>L.</w:t>
      </w:r>
      <w:r>
        <w:rPr>
          <w:spacing w:val="-4"/>
          <w:sz w:val="24"/>
        </w:rPr>
        <w:t> </w:t>
      </w:r>
      <w:r>
        <w:rPr>
          <w:sz w:val="24"/>
        </w:rPr>
        <w:t>Joshi,</w:t>
      </w:r>
      <w:r>
        <w:rPr>
          <w:spacing w:val="-4"/>
          <w:sz w:val="24"/>
        </w:rPr>
        <w:t> </w:t>
      </w:r>
      <w:r>
        <w:rPr>
          <w:sz w:val="24"/>
        </w:rPr>
        <w:t>Secretary,</w:t>
      </w:r>
      <w:r>
        <w:rPr>
          <w:spacing w:val="-4"/>
          <w:sz w:val="24"/>
        </w:rPr>
        <w:t> </w:t>
      </w:r>
      <w:r>
        <w:rPr>
          <w:sz w:val="24"/>
        </w:rPr>
        <w:t>University</w:t>
      </w:r>
      <w:r>
        <w:rPr>
          <w:spacing w:val="-4"/>
          <w:sz w:val="24"/>
        </w:rPr>
        <w:t> </w:t>
      </w:r>
      <w:r>
        <w:rPr>
          <w:sz w:val="24"/>
        </w:rPr>
        <w:t>Grants</w:t>
      </w:r>
      <w:r>
        <w:rPr>
          <w:spacing w:val="-4"/>
          <w:sz w:val="24"/>
        </w:rPr>
        <w:t> </w:t>
      </w:r>
      <w:r>
        <w:rPr>
          <w:sz w:val="24"/>
        </w:rPr>
        <w:t>Commission,</w:t>
      </w:r>
      <w:r>
        <w:rPr>
          <w:spacing w:val="-4"/>
          <w:sz w:val="24"/>
        </w:rPr>
        <w:t> </w:t>
      </w:r>
      <w:r>
        <w:rPr>
          <w:sz w:val="24"/>
        </w:rPr>
        <w:t>New</w:t>
      </w:r>
      <w:r>
        <w:rPr>
          <w:spacing w:val="-4"/>
          <w:sz w:val="24"/>
        </w:rPr>
        <w:t> </w:t>
      </w:r>
      <w:r>
        <w:rPr>
          <w:spacing w:val="-2"/>
          <w:sz w:val="24"/>
        </w:rPr>
        <w:t>Delhi.</w:t>
      </w:r>
    </w:p>
    <w:p>
      <w:pPr>
        <w:spacing w:after="0" w:line="240" w:lineRule="auto"/>
        <w:jc w:val="left"/>
        <w:rPr>
          <w:sz w:val="24"/>
        </w:rPr>
        <w:sectPr>
          <w:pgSz w:w="12240" w:h="15840"/>
          <w:pgMar w:header="0" w:footer="743" w:top="1360" w:bottom="940" w:left="1640" w:right="1300"/>
        </w:sectPr>
      </w:pPr>
    </w:p>
    <w:p>
      <w:pPr>
        <w:pStyle w:val="ListParagraph"/>
        <w:numPr>
          <w:ilvl w:val="0"/>
          <w:numId w:val="166"/>
        </w:numPr>
        <w:tabs>
          <w:tab w:pos="520" w:val="left" w:leader="none"/>
        </w:tabs>
        <w:spacing w:line="240" w:lineRule="auto" w:before="78" w:after="0"/>
        <w:ind w:left="520" w:right="0" w:hanging="360"/>
        <w:jc w:val="left"/>
        <w:rPr>
          <w:sz w:val="24"/>
        </w:rPr>
      </w:pPr>
      <w:r>
        <w:rPr>
          <w:sz w:val="24"/>
        </w:rPr>
        <w:t>Dr.</w:t>
      </w:r>
      <w:r>
        <w:rPr>
          <w:spacing w:val="-3"/>
          <w:sz w:val="24"/>
        </w:rPr>
        <w:t> </w:t>
      </w:r>
      <w:r>
        <w:rPr>
          <w:sz w:val="24"/>
        </w:rPr>
        <w:t>P. K. Kelkar, Director,</w:t>
      </w:r>
      <w:r>
        <w:rPr>
          <w:spacing w:val="-1"/>
          <w:sz w:val="24"/>
        </w:rPr>
        <w:t> </w:t>
      </w:r>
      <w:r>
        <w:rPr>
          <w:sz w:val="24"/>
        </w:rPr>
        <w:t>Indian</w:t>
      </w:r>
      <w:r>
        <w:rPr>
          <w:spacing w:val="-1"/>
          <w:sz w:val="24"/>
        </w:rPr>
        <w:t> </w:t>
      </w:r>
      <w:r>
        <w:rPr>
          <w:sz w:val="24"/>
        </w:rPr>
        <w:t>Institute of Technology, </w:t>
      </w:r>
      <w:r>
        <w:rPr>
          <w:spacing w:val="-2"/>
          <w:sz w:val="24"/>
        </w:rPr>
        <w:t>Kanpur.</w:t>
      </w:r>
    </w:p>
    <w:p>
      <w:pPr>
        <w:pStyle w:val="BodyText"/>
        <w:spacing w:before="3"/>
      </w:pPr>
    </w:p>
    <w:p>
      <w:pPr>
        <w:pStyle w:val="ListParagraph"/>
        <w:numPr>
          <w:ilvl w:val="0"/>
          <w:numId w:val="166"/>
        </w:numPr>
        <w:tabs>
          <w:tab w:pos="520" w:val="left" w:leader="none"/>
        </w:tabs>
        <w:spacing w:line="240" w:lineRule="auto" w:before="0" w:after="0"/>
        <w:ind w:left="520" w:right="0" w:hanging="360"/>
        <w:jc w:val="left"/>
        <w:rPr>
          <w:sz w:val="24"/>
        </w:rPr>
      </w:pPr>
      <w:r>
        <w:rPr>
          <w:sz w:val="24"/>
        </w:rPr>
        <w:t>Mr.</w:t>
      </w:r>
      <w:r>
        <w:rPr>
          <w:spacing w:val="-6"/>
          <w:sz w:val="24"/>
        </w:rPr>
        <w:t> </w:t>
      </w:r>
      <w:r>
        <w:rPr>
          <w:sz w:val="24"/>
        </w:rPr>
        <w:t>J.</w:t>
      </w:r>
      <w:r>
        <w:rPr>
          <w:spacing w:val="-3"/>
          <w:sz w:val="24"/>
        </w:rPr>
        <w:t> </w:t>
      </w:r>
      <w:r>
        <w:rPr>
          <w:sz w:val="24"/>
        </w:rPr>
        <w:t>F.</w:t>
      </w:r>
      <w:r>
        <w:rPr>
          <w:spacing w:val="-3"/>
          <w:sz w:val="24"/>
        </w:rPr>
        <w:t> </w:t>
      </w:r>
      <w:r>
        <w:rPr>
          <w:sz w:val="24"/>
        </w:rPr>
        <w:t>McDougall,</w:t>
      </w:r>
      <w:r>
        <w:rPr>
          <w:spacing w:val="-3"/>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4"/>
      </w:pPr>
    </w:p>
    <w:p>
      <w:pPr>
        <w:pStyle w:val="ListParagraph"/>
        <w:numPr>
          <w:ilvl w:val="0"/>
          <w:numId w:val="166"/>
        </w:numPr>
        <w:tabs>
          <w:tab w:pos="564" w:val="left" w:leader="none"/>
        </w:tabs>
        <w:spacing w:line="240" w:lineRule="auto" w:before="0" w:after="0"/>
        <w:ind w:left="160" w:right="497" w:firstLine="0"/>
        <w:jc w:val="left"/>
        <w:rPr>
          <w:sz w:val="24"/>
        </w:rPr>
      </w:pPr>
      <w:r>
        <w:rPr>
          <w:sz w:val="24"/>
        </w:rPr>
        <w:t>Col.</w:t>
      </w:r>
      <w:r>
        <w:rPr>
          <w:spacing w:val="40"/>
          <w:sz w:val="24"/>
        </w:rPr>
        <w:t> </w:t>
      </w:r>
      <w:r>
        <w:rPr>
          <w:sz w:val="24"/>
        </w:rPr>
        <w:t>S.</w:t>
      </w:r>
      <w:r>
        <w:rPr>
          <w:spacing w:val="40"/>
          <w:sz w:val="24"/>
        </w:rPr>
        <w:t> </w:t>
      </w:r>
      <w:r>
        <w:rPr>
          <w:sz w:val="24"/>
        </w:rPr>
        <w:t>G.</w:t>
      </w:r>
      <w:r>
        <w:rPr>
          <w:spacing w:val="40"/>
          <w:sz w:val="24"/>
        </w:rPr>
        <w:t> </w:t>
      </w:r>
      <w:r>
        <w:rPr>
          <w:sz w:val="24"/>
        </w:rPr>
        <w:t>Pendse,</w:t>
      </w:r>
      <w:r>
        <w:rPr>
          <w:spacing w:val="40"/>
          <w:sz w:val="24"/>
        </w:rPr>
        <w:t> </w:t>
      </w:r>
      <w:r>
        <w:rPr>
          <w:sz w:val="24"/>
        </w:rPr>
        <w:t>Director</w:t>
      </w:r>
      <w:r>
        <w:rPr>
          <w:spacing w:val="40"/>
          <w:sz w:val="24"/>
        </w:rPr>
        <w:t> </w:t>
      </w:r>
      <w:r>
        <w:rPr>
          <w:sz w:val="24"/>
        </w:rPr>
        <w:t>of</w:t>
      </w:r>
      <w:r>
        <w:rPr>
          <w:spacing w:val="40"/>
          <w:sz w:val="24"/>
        </w:rPr>
        <w:t> </w:t>
      </w:r>
      <w:r>
        <w:rPr>
          <w:sz w:val="24"/>
        </w:rPr>
        <w:t>Training,</w:t>
      </w:r>
      <w:r>
        <w:rPr>
          <w:spacing w:val="40"/>
          <w:sz w:val="24"/>
        </w:rPr>
        <w:t> </w:t>
      </w:r>
      <w:r>
        <w:rPr>
          <w:sz w:val="24"/>
        </w:rPr>
        <w:t>Directorate</w:t>
      </w:r>
      <w:r>
        <w:rPr>
          <w:spacing w:val="40"/>
          <w:sz w:val="24"/>
        </w:rPr>
        <w:t> </w:t>
      </w:r>
      <w:r>
        <w:rPr>
          <w:sz w:val="24"/>
        </w:rPr>
        <w:t>General</w:t>
      </w:r>
      <w:r>
        <w:rPr>
          <w:spacing w:val="40"/>
          <w:sz w:val="24"/>
        </w:rPr>
        <w:t> </w:t>
      </w:r>
      <w:r>
        <w:rPr>
          <w:sz w:val="24"/>
        </w:rPr>
        <w:t>of</w:t>
      </w:r>
      <w:r>
        <w:rPr>
          <w:spacing w:val="40"/>
          <w:sz w:val="24"/>
        </w:rPr>
        <w:t> </w:t>
      </w:r>
      <w:r>
        <w:rPr>
          <w:sz w:val="24"/>
        </w:rPr>
        <w:t>Employment</w:t>
      </w:r>
      <w:r>
        <w:rPr>
          <w:spacing w:val="40"/>
          <w:sz w:val="24"/>
        </w:rPr>
        <w:t> </w:t>
      </w:r>
      <w:r>
        <w:rPr>
          <w:sz w:val="24"/>
        </w:rPr>
        <w:t>and Training, New Delhi.</w:t>
      </w:r>
    </w:p>
    <w:p>
      <w:pPr>
        <w:pStyle w:val="BodyText"/>
        <w:spacing w:before="5"/>
      </w:pPr>
    </w:p>
    <w:p>
      <w:pPr>
        <w:pStyle w:val="ListParagraph"/>
        <w:numPr>
          <w:ilvl w:val="0"/>
          <w:numId w:val="166"/>
        </w:numPr>
        <w:tabs>
          <w:tab w:pos="520" w:val="left" w:leader="none"/>
        </w:tabs>
        <w:spacing w:line="240" w:lineRule="auto" w:before="0" w:after="0"/>
        <w:ind w:left="520" w:right="0" w:hanging="360"/>
        <w:jc w:val="left"/>
        <w:rPr>
          <w:sz w:val="24"/>
        </w:rPr>
      </w:pPr>
      <w:r>
        <w:rPr>
          <w:sz w:val="24"/>
        </w:rPr>
        <w:t>Shri S. C. Sen, Principal, Delhi</w:t>
      </w:r>
      <w:r>
        <w:rPr>
          <w:spacing w:val="-1"/>
          <w:sz w:val="24"/>
        </w:rPr>
        <w:t> </w:t>
      </w:r>
      <w:r>
        <w:rPr>
          <w:sz w:val="24"/>
        </w:rPr>
        <w:t>College</w:t>
      </w:r>
      <w:r>
        <w:rPr>
          <w:spacing w:val="-1"/>
          <w:sz w:val="24"/>
        </w:rPr>
        <w:t> </w:t>
      </w:r>
      <w:r>
        <w:rPr>
          <w:sz w:val="24"/>
        </w:rPr>
        <w:t>of</w:t>
      </w:r>
      <w:r>
        <w:rPr>
          <w:spacing w:val="-1"/>
          <w:sz w:val="24"/>
        </w:rPr>
        <w:t> </w:t>
      </w:r>
      <w:r>
        <w:rPr>
          <w:sz w:val="24"/>
        </w:rPr>
        <w:t>Engineering,</w:t>
      </w:r>
      <w:r>
        <w:rPr>
          <w:spacing w:val="-1"/>
          <w:sz w:val="24"/>
        </w:rPr>
        <w:t> </w:t>
      </w:r>
      <w:r>
        <w:rPr>
          <w:spacing w:val="-2"/>
          <w:sz w:val="24"/>
        </w:rPr>
        <w:t>Delhi.</w:t>
      </w:r>
    </w:p>
    <w:p>
      <w:pPr>
        <w:pStyle w:val="BodyText"/>
        <w:spacing w:before="2"/>
      </w:pPr>
    </w:p>
    <w:p>
      <w:pPr>
        <w:pStyle w:val="ListParagraph"/>
        <w:numPr>
          <w:ilvl w:val="0"/>
          <w:numId w:val="166"/>
        </w:numPr>
        <w:tabs>
          <w:tab w:pos="532" w:val="left" w:leader="none"/>
        </w:tabs>
        <w:spacing w:line="240" w:lineRule="auto" w:before="0" w:after="0"/>
        <w:ind w:left="160" w:right="498" w:firstLine="0"/>
        <w:jc w:val="left"/>
        <w:rPr>
          <w:sz w:val="24"/>
        </w:rPr>
      </w:pPr>
      <w:r>
        <w:rPr>
          <w:sz w:val="24"/>
        </w:rPr>
        <w:t>Shri R. K. Srivastav, Deputy Secretary, Directorate of Manpower, Ministry of </w:t>
      </w:r>
      <w:r>
        <w:rPr>
          <w:sz w:val="24"/>
        </w:rPr>
        <w:t>Home Affairs, New Delhi.</w:t>
      </w:r>
    </w:p>
    <w:p>
      <w:pPr>
        <w:pStyle w:val="BodyText"/>
        <w:spacing w:before="6"/>
      </w:pPr>
    </w:p>
    <w:p>
      <w:pPr>
        <w:pStyle w:val="ListParagraph"/>
        <w:numPr>
          <w:ilvl w:val="0"/>
          <w:numId w:val="166"/>
        </w:numPr>
        <w:tabs>
          <w:tab w:pos="520" w:val="left" w:leader="none"/>
        </w:tabs>
        <w:spacing w:line="240" w:lineRule="auto" w:before="0" w:after="0"/>
        <w:ind w:left="520" w:right="0" w:hanging="360"/>
        <w:jc w:val="left"/>
        <w:rPr>
          <w:sz w:val="24"/>
        </w:rPr>
      </w:pPr>
      <w:r>
        <w:rPr>
          <w:sz w:val="24"/>
        </w:rPr>
        <w:t>Dr.</w:t>
      </w:r>
      <w:r>
        <w:rPr>
          <w:spacing w:val="-5"/>
          <w:sz w:val="24"/>
        </w:rPr>
        <w:t> </w:t>
      </w:r>
      <w:r>
        <w:rPr>
          <w:sz w:val="24"/>
        </w:rPr>
        <w:t>H.</w:t>
      </w:r>
      <w:r>
        <w:rPr>
          <w:spacing w:val="-2"/>
          <w:sz w:val="24"/>
        </w:rPr>
        <w:t> </w:t>
      </w:r>
      <w:r>
        <w:rPr>
          <w:sz w:val="24"/>
        </w:rPr>
        <w:t>C.</w:t>
      </w:r>
      <w:r>
        <w:rPr>
          <w:spacing w:val="-2"/>
          <w:sz w:val="24"/>
        </w:rPr>
        <w:t> </w:t>
      </w:r>
      <w:r>
        <w:rPr>
          <w:sz w:val="24"/>
        </w:rPr>
        <w:t>Visvesvaraya,</w:t>
      </w:r>
      <w:r>
        <w:rPr>
          <w:spacing w:val="-3"/>
          <w:sz w:val="24"/>
        </w:rPr>
        <w:t> </w:t>
      </w:r>
      <w:r>
        <w:rPr>
          <w:sz w:val="24"/>
        </w:rPr>
        <w:t>Deputy</w:t>
      </w:r>
      <w:r>
        <w:rPr>
          <w:spacing w:val="-2"/>
          <w:sz w:val="24"/>
        </w:rPr>
        <w:t> </w:t>
      </w:r>
      <w:r>
        <w:rPr>
          <w:sz w:val="24"/>
        </w:rPr>
        <w:t>Director,</w:t>
      </w:r>
      <w:r>
        <w:rPr>
          <w:spacing w:val="-2"/>
          <w:sz w:val="24"/>
        </w:rPr>
        <w:t> </w:t>
      </w:r>
      <w:r>
        <w:rPr>
          <w:sz w:val="24"/>
        </w:rPr>
        <w:t>Indian</w:t>
      </w:r>
      <w:r>
        <w:rPr>
          <w:spacing w:val="-4"/>
          <w:sz w:val="24"/>
        </w:rPr>
        <w:t> </w:t>
      </w:r>
      <w:r>
        <w:rPr>
          <w:sz w:val="24"/>
        </w:rPr>
        <w:t>Standard</w:t>
      </w:r>
      <w:r>
        <w:rPr>
          <w:spacing w:val="-3"/>
          <w:sz w:val="24"/>
        </w:rPr>
        <w:t> </w:t>
      </w:r>
      <w:r>
        <w:rPr>
          <w:sz w:val="24"/>
        </w:rPr>
        <w:t>Institute,</w:t>
      </w:r>
      <w:r>
        <w:rPr>
          <w:spacing w:val="-3"/>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66"/>
        </w:numPr>
        <w:tabs>
          <w:tab w:pos="530" w:val="left" w:leader="none"/>
        </w:tabs>
        <w:spacing w:line="240" w:lineRule="auto" w:before="0" w:after="0"/>
        <w:ind w:left="160" w:right="499" w:firstLine="0"/>
        <w:jc w:val="left"/>
        <w:rPr>
          <w:sz w:val="24"/>
        </w:rPr>
      </w:pPr>
      <w:r>
        <w:rPr>
          <w:sz w:val="24"/>
        </w:rPr>
        <w:t>Shri S. Venkatesh, Deputy Educational Adviser, Education Commission, New Delhi. </w:t>
      </w:r>
      <w:r>
        <w:rPr>
          <w:spacing w:val="-2"/>
          <w:sz w:val="24"/>
        </w:rPr>
        <w:t>Secretary</w:t>
      </w:r>
    </w:p>
    <w:p>
      <w:pPr>
        <w:pStyle w:val="BodyText"/>
        <w:spacing w:before="6"/>
      </w:pPr>
    </w:p>
    <w:p>
      <w:pPr>
        <w:pStyle w:val="Heading2"/>
      </w:pPr>
      <w:r>
        <w:rPr/>
        <w:t>AIV.09. Task Force on</w:t>
      </w:r>
      <w:r>
        <w:rPr>
          <w:spacing w:val="-2"/>
        </w:rPr>
        <w:t> </w:t>
      </w:r>
      <w:r>
        <w:rPr/>
        <w:t>Science </w:t>
      </w:r>
      <w:r>
        <w:rPr>
          <w:spacing w:val="-2"/>
        </w:rPr>
        <w:t>Education</w:t>
      </w:r>
    </w:p>
    <w:p>
      <w:pPr>
        <w:pStyle w:val="BodyText"/>
        <w:spacing w:before="2"/>
        <w:rPr>
          <w:b/>
        </w:rPr>
      </w:pPr>
    </w:p>
    <w:p>
      <w:pPr>
        <w:pStyle w:val="ListParagraph"/>
        <w:numPr>
          <w:ilvl w:val="0"/>
          <w:numId w:val="167"/>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D.</w:t>
      </w:r>
      <w:r>
        <w:rPr>
          <w:spacing w:val="-1"/>
          <w:sz w:val="24"/>
        </w:rPr>
        <w:t> </w:t>
      </w:r>
      <w:r>
        <w:rPr>
          <w:sz w:val="24"/>
        </w:rPr>
        <w:t>S. Kothari,</w:t>
      </w:r>
      <w:r>
        <w:rPr>
          <w:spacing w:val="-1"/>
          <w:sz w:val="24"/>
        </w:rPr>
        <w:t> </w:t>
      </w:r>
      <w:r>
        <w:rPr>
          <w:sz w:val="24"/>
        </w:rPr>
        <w:t>Chairman, Education</w:t>
      </w:r>
      <w:r>
        <w:rPr>
          <w:spacing w:val="-1"/>
          <w:sz w:val="24"/>
        </w:rPr>
        <w:t> </w:t>
      </w:r>
      <w:r>
        <w:rPr>
          <w:sz w:val="24"/>
        </w:rPr>
        <w:t>Commission, New</w:t>
      </w:r>
      <w:r>
        <w:rPr>
          <w:spacing w:val="-1"/>
          <w:sz w:val="24"/>
        </w:rPr>
        <w:t> </w:t>
      </w:r>
      <w:r>
        <w:rPr>
          <w:sz w:val="24"/>
        </w:rPr>
        <w:t>Delhi. </w:t>
      </w:r>
      <w:r>
        <w:rPr>
          <w:spacing w:val="-2"/>
          <w:sz w:val="24"/>
        </w:rPr>
        <w:t>Convener</w:t>
      </w:r>
    </w:p>
    <w:p>
      <w:pPr>
        <w:pStyle w:val="BodyText"/>
        <w:spacing w:before="5"/>
      </w:pPr>
    </w:p>
    <w:p>
      <w:pPr>
        <w:pStyle w:val="ListParagraph"/>
        <w:numPr>
          <w:ilvl w:val="0"/>
          <w:numId w:val="167"/>
        </w:numPr>
        <w:tabs>
          <w:tab w:pos="399" w:val="left" w:leader="none"/>
        </w:tabs>
        <w:spacing w:line="240" w:lineRule="auto" w:before="0" w:after="0"/>
        <w:ind w:left="399" w:right="0" w:hanging="240"/>
        <w:jc w:val="left"/>
        <w:rPr>
          <w:sz w:val="24"/>
        </w:rPr>
      </w:pPr>
      <w:r>
        <w:rPr>
          <w:sz w:val="24"/>
        </w:rPr>
        <w:t>Prof. S. Deb, Head of the Department</w:t>
      </w:r>
      <w:r>
        <w:rPr>
          <w:spacing w:val="-1"/>
          <w:sz w:val="24"/>
        </w:rPr>
        <w:t> </w:t>
      </w:r>
      <w:r>
        <w:rPr>
          <w:sz w:val="24"/>
        </w:rPr>
        <w:t>of</w:t>
      </w:r>
      <w:r>
        <w:rPr>
          <w:spacing w:val="-1"/>
          <w:sz w:val="24"/>
        </w:rPr>
        <w:t> </w:t>
      </w:r>
      <w:r>
        <w:rPr>
          <w:sz w:val="24"/>
        </w:rPr>
        <w:t>Geology,</w:t>
      </w:r>
      <w:r>
        <w:rPr>
          <w:spacing w:val="-1"/>
          <w:sz w:val="24"/>
        </w:rPr>
        <w:t> </w:t>
      </w:r>
      <w:r>
        <w:rPr>
          <w:sz w:val="24"/>
        </w:rPr>
        <w:t>Jadavpur</w:t>
      </w:r>
      <w:r>
        <w:rPr>
          <w:spacing w:val="-1"/>
          <w:sz w:val="24"/>
        </w:rPr>
        <w:t> </w:t>
      </w:r>
      <w:r>
        <w:rPr>
          <w:sz w:val="24"/>
        </w:rPr>
        <w:t>University,</w:t>
      </w:r>
      <w:r>
        <w:rPr>
          <w:spacing w:val="-1"/>
          <w:sz w:val="24"/>
        </w:rPr>
        <w:t> </w:t>
      </w:r>
      <w:r>
        <w:rPr>
          <w:spacing w:val="-2"/>
          <w:sz w:val="24"/>
        </w:rPr>
        <w:t>Jadavpur.</w:t>
      </w:r>
    </w:p>
    <w:p>
      <w:pPr>
        <w:pStyle w:val="BodyText"/>
        <w:spacing w:before="4"/>
      </w:pPr>
    </w:p>
    <w:p>
      <w:pPr>
        <w:pStyle w:val="ListParagraph"/>
        <w:numPr>
          <w:ilvl w:val="0"/>
          <w:numId w:val="167"/>
        </w:numPr>
        <w:tabs>
          <w:tab w:pos="399" w:val="left" w:leader="none"/>
        </w:tabs>
        <w:spacing w:line="240" w:lineRule="auto" w:before="0" w:after="0"/>
        <w:ind w:left="399" w:right="0" w:hanging="240"/>
        <w:jc w:val="left"/>
        <w:rPr>
          <w:sz w:val="24"/>
        </w:rPr>
      </w:pPr>
      <w:r>
        <w:rPr>
          <w:sz w:val="24"/>
        </w:rPr>
        <w:t>Prof.</w:t>
      </w:r>
      <w:r>
        <w:rPr>
          <w:spacing w:val="-1"/>
          <w:sz w:val="24"/>
        </w:rPr>
        <w:t> </w:t>
      </w:r>
      <w:r>
        <w:rPr>
          <w:sz w:val="24"/>
        </w:rPr>
        <w:t>B. D. Jain, Professor</w:t>
      </w:r>
      <w:r>
        <w:rPr>
          <w:spacing w:val="-1"/>
          <w:sz w:val="24"/>
        </w:rPr>
        <w:t> </w:t>
      </w:r>
      <w:r>
        <w:rPr>
          <w:sz w:val="24"/>
        </w:rPr>
        <w:t>of Chemistry, Delhi University, </w:t>
      </w:r>
      <w:r>
        <w:rPr>
          <w:spacing w:val="-2"/>
          <w:sz w:val="24"/>
        </w:rPr>
        <w:t>Delhi.</w:t>
      </w:r>
    </w:p>
    <w:p>
      <w:pPr>
        <w:pStyle w:val="BodyText"/>
        <w:spacing w:before="3"/>
      </w:pPr>
    </w:p>
    <w:p>
      <w:pPr>
        <w:pStyle w:val="ListParagraph"/>
        <w:numPr>
          <w:ilvl w:val="0"/>
          <w:numId w:val="167"/>
        </w:numPr>
        <w:tabs>
          <w:tab w:pos="399" w:val="left" w:leader="none"/>
        </w:tabs>
        <w:spacing w:line="240" w:lineRule="auto" w:before="0" w:after="0"/>
        <w:ind w:left="399" w:right="0" w:hanging="240"/>
        <w:jc w:val="left"/>
        <w:rPr>
          <w:sz w:val="24"/>
        </w:rPr>
      </w:pPr>
      <w:r>
        <w:rPr>
          <w:sz w:val="24"/>
        </w:rPr>
        <w:t>Miss</w:t>
      </w:r>
      <w:r>
        <w:rPr>
          <w:spacing w:val="-1"/>
          <w:sz w:val="24"/>
        </w:rPr>
        <w:t> </w:t>
      </w:r>
      <w:r>
        <w:rPr>
          <w:sz w:val="24"/>
        </w:rPr>
        <w:t>P. Florence Nightingale, Lecturer,</w:t>
      </w:r>
      <w:r>
        <w:rPr>
          <w:spacing w:val="-1"/>
          <w:sz w:val="24"/>
        </w:rPr>
        <w:t> </w:t>
      </w:r>
      <w:r>
        <w:rPr>
          <w:sz w:val="24"/>
        </w:rPr>
        <w:t>Science</w:t>
      </w:r>
      <w:r>
        <w:rPr>
          <w:spacing w:val="-1"/>
          <w:sz w:val="24"/>
        </w:rPr>
        <w:t> </w:t>
      </w:r>
      <w:r>
        <w:rPr>
          <w:sz w:val="24"/>
        </w:rPr>
        <w:t>Education</w:t>
      </w:r>
      <w:r>
        <w:rPr>
          <w:spacing w:val="-1"/>
          <w:sz w:val="24"/>
        </w:rPr>
        <w:t> </w:t>
      </w:r>
      <w:r>
        <w:rPr>
          <w:sz w:val="24"/>
        </w:rPr>
        <w:t>Unit,</w:t>
      </w:r>
      <w:r>
        <w:rPr>
          <w:spacing w:val="-1"/>
          <w:sz w:val="24"/>
        </w:rPr>
        <w:t> </w:t>
      </w:r>
      <w:r>
        <w:rPr>
          <w:spacing w:val="-2"/>
          <w:sz w:val="24"/>
        </w:rPr>
        <w:t>Hyderabad.</w:t>
      </w:r>
    </w:p>
    <w:p>
      <w:pPr>
        <w:pStyle w:val="BodyText"/>
        <w:spacing w:before="4"/>
      </w:pPr>
    </w:p>
    <w:p>
      <w:pPr>
        <w:pStyle w:val="ListParagraph"/>
        <w:numPr>
          <w:ilvl w:val="0"/>
          <w:numId w:val="167"/>
        </w:numPr>
        <w:tabs>
          <w:tab w:pos="500" w:val="left" w:leader="none"/>
        </w:tabs>
        <w:spacing w:line="240" w:lineRule="auto" w:before="0" w:after="0"/>
        <w:ind w:left="159" w:right="497" w:firstLine="0"/>
        <w:jc w:val="left"/>
        <w:rPr>
          <w:sz w:val="24"/>
        </w:rPr>
      </w:pPr>
      <w:r>
        <w:rPr>
          <w:sz w:val="24"/>
        </w:rPr>
        <w:t>Prof.</w:t>
      </w:r>
      <w:r>
        <w:rPr>
          <w:spacing w:val="80"/>
          <w:sz w:val="24"/>
        </w:rPr>
        <w:t> </w:t>
      </w:r>
      <w:r>
        <w:rPr>
          <w:sz w:val="24"/>
        </w:rPr>
        <w:t>R.</w:t>
      </w:r>
      <w:r>
        <w:rPr>
          <w:spacing w:val="80"/>
          <w:sz w:val="24"/>
        </w:rPr>
        <w:t> </w:t>
      </w:r>
      <w:r>
        <w:rPr>
          <w:sz w:val="24"/>
        </w:rPr>
        <w:t>C.</w:t>
      </w:r>
      <w:r>
        <w:rPr>
          <w:spacing w:val="80"/>
          <w:sz w:val="24"/>
        </w:rPr>
        <w:t> </w:t>
      </w:r>
      <w:r>
        <w:rPr>
          <w:sz w:val="24"/>
        </w:rPr>
        <w:t>Paul,</w:t>
      </w:r>
      <w:r>
        <w:rPr>
          <w:spacing w:val="80"/>
          <w:sz w:val="24"/>
        </w:rPr>
        <w:t> </w:t>
      </w:r>
      <w:r>
        <w:rPr>
          <w:sz w:val="24"/>
        </w:rPr>
        <w:t>Head</w:t>
      </w:r>
      <w:r>
        <w:rPr>
          <w:spacing w:val="80"/>
          <w:sz w:val="24"/>
        </w:rPr>
        <w:t> </w:t>
      </w:r>
      <w:r>
        <w:rPr>
          <w:sz w:val="24"/>
        </w:rPr>
        <w:t>of</w:t>
      </w:r>
      <w:r>
        <w:rPr>
          <w:spacing w:val="80"/>
          <w:sz w:val="24"/>
        </w:rPr>
        <w:t> </w:t>
      </w:r>
      <w:r>
        <w:rPr>
          <w:sz w:val="24"/>
        </w:rPr>
        <w:t>the</w:t>
      </w:r>
      <w:r>
        <w:rPr>
          <w:spacing w:val="80"/>
          <w:sz w:val="24"/>
        </w:rPr>
        <w:t> </w:t>
      </w:r>
      <w:r>
        <w:rPr>
          <w:sz w:val="24"/>
        </w:rPr>
        <w:t>Department</w:t>
      </w:r>
      <w:r>
        <w:rPr>
          <w:spacing w:val="80"/>
          <w:sz w:val="24"/>
        </w:rPr>
        <w:t> </w:t>
      </w:r>
      <w:r>
        <w:rPr>
          <w:sz w:val="24"/>
        </w:rPr>
        <w:t>of</w:t>
      </w:r>
      <w:r>
        <w:rPr>
          <w:spacing w:val="80"/>
          <w:sz w:val="24"/>
        </w:rPr>
        <w:t> </w:t>
      </w:r>
      <w:r>
        <w:rPr>
          <w:sz w:val="24"/>
        </w:rPr>
        <w:t>Chemistry,</w:t>
      </w:r>
      <w:r>
        <w:rPr>
          <w:spacing w:val="80"/>
          <w:sz w:val="24"/>
        </w:rPr>
        <w:t> </w:t>
      </w:r>
      <w:r>
        <w:rPr>
          <w:sz w:val="24"/>
        </w:rPr>
        <w:t>Panjab</w:t>
      </w:r>
      <w:r>
        <w:rPr>
          <w:spacing w:val="80"/>
          <w:sz w:val="24"/>
        </w:rPr>
        <w:t> </w:t>
      </w:r>
      <w:r>
        <w:rPr>
          <w:sz w:val="24"/>
        </w:rPr>
        <w:t>University,</w:t>
      </w:r>
      <w:r>
        <w:rPr>
          <w:spacing w:val="40"/>
          <w:sz w:val="24"/>
        </w:rPr>
        <w:t> </w:t>
      </w:r>
      <w:r>
        <w:rPr>
          <w:spacing w:val="-2"/>
          <w:sz w:val="24"/>
        </w:rPr>
        <w:t>Chandigarh.</w:t>
      </w:r>
    </w:p>
    <w:p>
      <w:pPr>
        <w:pStyle w:val="BodyText"/>
        <w:spacing w:before="4"/>
      </w:pPr>
    </w:p>
    <w:p>
      <w:pPr>
        <w:pStyle w:val="ListParagraph"/>
        <w:numPr>
          <w:ilvl w:val="0"/>
          <w:numId w:val="167"/>
        </w:numPr>
        <w:tabs>
          <w:tab w:pos="448" w:val="left" w:leader="none"/>
        </w:tabs>
        <w:spacing w:line="240" w:lineRule="auto" w:before="0" w:after="0"/>
        <w:ind w:left="159" w:right="497" w:firstLine="0"/>
        <w:jc w:val="left"/>
        <w:rPr>
          <w:sz w:val="24"/>
        </w:rPr>
      </w:pPr>
      <w:r>
        <w:rPr>
          <w:sz w:val="24"/>
        </w:rPr>
        <w:t>Dr.</w:t>
      </w:r>
      <w:r>
        <w:rPr>
          <w:spacing w:val="40"/>
          <w:sz w:val="24"/>
        </w:rPr>
        <w:t> </w:t>
      </w:r>
      <w:r>
        <w:rPr>
          <w:sz w:val="24"/>
        </w:rPr>
        <w:t>R.</w:t>
      </w:r>
      <w:r>
        <w:rPr>
          <w:spacing w:val="40"/>
          <w:sz w:val="24"/>
        </w:rPr>
        <w:t> </w:t>
      </w:r>
      <w:r>
        <w:rPr>
          <w:sz w:val="24"/>
        </w:rPr>
        <w:t>N.</w:t>
      </w:r>
      <w:r>
        <w:rPr>
          <w:spacing w:val="40"/>
          <w:sz w:val="24"/>
        </w:rPr>
        <w:t> </w:t>
      </w:r>
      <w:r>
        <w:rPr>
          <w:sz w:val="24"/>
        </w:rPr>
        <w:t>Rai,</w:t>
      </w:r>
      <w:r>
        <w:rPr>
          <w:spacing w:val="40"/>
          <w:sz w:val="24"/>
        </w:rPr>
        <w:t> </w:t>
      </w:r>
      <w:r>
        <w:rPr>
          <w:sz w:val="24"/>
        </w:rPr>
        <w:t>Head</w:t>
      </w:r>
      <w:r>
        <w:rPr>
          <w:spacing w:val="40"/>
          <w:sz w:val="24"/>
        </w:rPr>
        <w:t> </w:t>
      </w:r>
      <w:r>
        <w:rPr>
          <w:sz w:val="24"/>
        </w:rPr>
        <w:t>of</w:t>
      </w:r>
      <w:r>
        <w:rPr>
          <w:spacing w:val="40"/>
          <w:sz w:val="24"/>
        </w:rPr>
        <w:t> </w:t>
      </w:r>
      <w:r>
        <w:rPr>
          <w:sz w:val="24"/>
        </w:rPr>
        <w:t>the</w:t>
      </w:r>
      <w:r>
        <w:rPr>
          <w:spacing w:val="40"/>
          <w:sz w:val="24"/>
        </w:rPr>
        <w:t> </w:t>
      </w:r>
      <w:r>
        <w:rPr>
          <w:sz w:val="24"/>
        </w:rPr>
        <w:t>Department</w:t>
      </w:r>
      <w:r>
        <w:rPr>
          <w:spacing w:val="40"/>
          <w:sz w:val="24"/>
        </w:rPr>
        <w:t> </w:t>
      </w:r>
      <w:r>
        <w:rPr>
          <w:sz w:val="24"/>
        </w:rPr>
        <w:t>of</w:t>
      </w:r>
      <w:r>
        <w:rPr>
          <w:spacing w:val="40"/>
          <w:sz w:val="24"/>
        </w:rPr>
        <w:t> </w:t>
      </w:r>
      <w:r>
        <w:rPr>
          <w:sz w:val="24"/>
        </w:rPr>
        <w:t>Science</w:t>
      </w:r>
      <w:r>
        <w:rPr>
          <w:spacing w:val="40"/>
          <w:sz w:val="24"/>
        </w:rPr>
        <w:t> </w:t>
      </w:r>
      <w:r>
        <w:rPr>
          <w:sz w:val="24"/>
        </w:rPr>
        <w:t>Education,</w:t>
      </w:r>
      <w:r>
        <w:rPr>
          <w:spacing w:val="40"/>
          <w:sz w:val="24"/>
        </w:rPr>
        <w:t> </w:t>
      </w:r>
      <w:r>
        <w:rPr>
          <w:sz w:val="24"/>
        </w:rPr>
        <w:t>N.C.E.R.T.,</w:t>
      </w:r>
      <w:r>
        <w:rPr>
          <w:spacing w:val="40"/>
          <w:sz w:val="24"/>
        </w:rPr>
        <w:t> </w:t>
      </w:r>
      <w:r>
        <w:rPr>
          <w:sz w:val="24"/>
        </w:rPr>
        <w:t>H-2/3, Model Town, Delhi-9.</w:t>
      </w:r>
    </w:p>
    <w:p>
      <w:pPr>
        <w:pStyle w:val="BodyText"/>
        <w:spacing w:before="3"/>
      </w:pPr>
    </w:p>
    <w:p>
      <w:pPr>
        <w:pStyle w:val="ListParagraph"/>
        <w:numPr>
          <w:ilvl w:val="0"/>
          <w:numId w:val="167"/>
        </w:numPr>
        <w:tabs>
          <w:tab w:pos="477" w:val="left" w:leader="none"/>
        </w:tabs>
        <w:spacing w:line="240" w:lineRule="auto" w:before="0" w:after="0"/>
        <w:ind w:left="159" w:right="498" w:firstLine="0"/>
        <w:jc w:val="left"/>
        <w:rPr>
          <w:sz w:val="24"/>
        </w:rPr>
      </w:pPr>
      <w:r>
        <w:rPr>
          <w:sz w:val="24"/>
        </w:rPr>
        <w:t>Prof.</w:t>
      </w:r>
      <w:r>
        <w:rPr>
          <w:spacing w:val="75"/>
          <w:sz w:val="24"/>
        </w:rPr>
        <w:t> </w:t>
      </w:r>
      <w:r>
        <w:rPr>
          <w:sz w:val="24"/>
        </w:rPr>
        <w:t>T.</w:t>
      </w:r>
      <w:r>
        <w:rPr>
          <w:spacing w:val="75"/>
          <w:sz w:val="24"/>
        </w:rPr>
        <w:t> </w:t>
      </w:r>
      <w:r>
        <w:rPr>
          <w:sz w:val="24"/>
        </w:rPr>
        <w:t>S.</w:t>
      </w:r>
      <w:r>
        <w:rPr>
          <w:spacing w:val="75"/>
          <w:sz w:val="24"/>
        </w:rPr>
        <w:t> </w:t>
      </w:r>
      <w:r>
        <w:rPr>
          <w:sz w:val="24"/>
        </w:rPr>
        <w:t>Sadasivan,</w:t>
      </w:r>
      <w:r>
        <w:rPr>
          <w:spacing w:val="75"/>
          <w:sz w:val="24"/>
        </w:rPr>
        <w:t> </w:t>
      </w:r>
      <w:r>
        <w:rPr>
          <w:sz w:val="24"/>
        </w:rPr>
        <w:t>Director,</w:t>
      </w:r>
      <w:r>
        <w:rPr>
          <w:spacing w:val="75"/>
          <w:sz w:val="24"/>
        </w:rPr>
        <w:t> </w:t>
      </w:r>
      <w:r>
        <w:rPr>
          <w:sz w:val="24"/>
        </w:rPr>
        <w:t>Centre</w:t>
      </w:r>
      <w:r>
        <w:rPr>
          <w:spacing w:val="75"/>
          <w:sz w:val="24"/>
        </w:rPr>
        <w:t> </w:t>
      </w:r>
      <w:r>
        <w:rPr>
          <w:sz w:val="24"/>
        </w:rPr>
        <w:t>of</w:t>
      </w:r>
      <w:r>
        <w:rPr>
          <w:spacing w:val="75"/>
          <w:sz w:val="24"/>
        </w:rPr>
        <w:t> </w:t>
      </w:r>
      <w:r>
        <w:rPr>
          <w:sz w:val="24"/>
        </w:rPr>
        <w:t>Advanced</w:t>
      </w:r>
      <w:r>
        <w:rPr>
          <w:spacing w:val="75"/>
          <w:sz w:val="24"/>
        </w:rPr>
        <w:t> </w:t>
      </w:r>
      <w:r>
        <w:rPr>
          <w:sz w:val="24"/>
        </w:rPr>
        <w:t>Study</w:t>
      </w:r>
      <w:r>
        <w:rPr>
          <w:spacing w:val="75"/>
          <w:sz w:val="24"/>
        </w:rPr>
        <w:t> </w:t>
      </w:r>
      <w:r>
        <w:rPr>
          <w:sz w:val="24"/>
        </w:rPr>
        <w:t>in</w:t>
      </w:r>
      <w:r>
        <w:rPr>
          <w:spacing w:val="75"/>
          <w:sz w:val="24"/>
        </w:rPr>
        <w:t> </w:t>
      </w:r>
      <w:r>
        <w:rPr>
          <w:sz w:val="24"/>
        </w:rPr>
        <w:t>Botany,</w:t>
      </w:r>
      <w:r>
        <w:rPr>
          <w:spacing w:val="75"/>
          <w:sz w:val="24"/>
        </w:rPr>
        <w:t> </w:t>
      </w:r>
      <w:r>
        <w:rPr>
          <w:sz w:val="24"/>
        </w:rPr>
        <w:t>Madras University, Madras.</w:t>
      </w:r>
    </w:p>
    <w:p>
      <w:pPr>
        <w:pStyle w:val="BodyText"/>
        <w:spacing w:before="5"/>
      </w:pPr>
    </w:p>
    <w:p>
      <w:pPr>
        <w:pStyle w:val="ListParagraph"/>
        <w:numPr>
          <w:ilvl w:val="0"/>
          <w:numId w:val="167"/>
        </w:numPr>
        <w:tabs>
          <w:tab w:pos="506" w:val="left" w:leader="none"/>
        </w:tabs>
        <w:spacing w:line="240" w:lineRule="auto" w:before="0" w:after="0"/>
        <w:ind w:left="159" w:right="498" w:firstLine="0"/>
        <w:jc w:val="left"/>
        <w:rPr>
          <w:sz w:val="24"/>
        </w:rPr>
      </w:pPr>
      <w:r>
        <w:rPr>
          <w:sz w:val="24"/>
        </w:rPr>
        <w:t>Dr.</w:t>
      </w:r>
      <w:r>
        <w:rPr>
          <w:spacing w:val="80"/>
          <w:sz w:val="24"/>
        </w:rPr>
        <w:t> </w:t>
      </w:r>
      <w:r>
        <w:rPr>
          <w:sz w:val="24"/>
        </w:rPr>
        <w:t>D.</w:t>
      </w:r>
      <w:r>
        <w:rPr>
          <w:spacing w:val="80"/>
          <w:sz w:val="24"/>
        </w:rPr>
        <w:t> </w:t>
      </w:r>
      <w:r>
        <w:rPr>
          <w:sz w:val="24"/>
        </w:rPr>
        <w:t>Shankernarayan,</w:t>
      </w:r>
      <w:r>
        <w:rPr>
          <w:spacing w:val="80"/>
          <w:sz w:val="24"/>
        </w:rPr>
        <w:t> </w:t>
      </w:r>
      <w:r>
        <w:rPr>
          <w:sz w:val="24"/>
        </w:rPr>
        <w:t>Development</w:t>
      </w:r>
      <w:r>
        <w:rPr>
          <w:spacing w:val="80"/>
          <w:sz w:val="24"/>
        </w:rPr>
        <w:t> </w:t>
      </w:r>
      <w:r>
        <w:rPr>
          <w:sz w:val="24"/>
        </w:rPr>
        <w:t>Officer,</w:t>
      </w:r>
      <w:r>
        <w:rPr>
          <w:spacing w:val="80"/>
          <w:sz w:val="24"/>
        </w:rPr>
        <w:t> </w:t>
      </w:r>
      <w:r>
        <w:rPr>
          <w:sz w:val="24"/>
        </w:rPr>
        <w:t>University</w:t>
      </w:r>
      <w:r>
        <w:rPr>
          <w:spacing w:val="80"/>
          <w:sz w:val="24"/>
        </w:rPr>
        <w:t> </w:t>
      </w:r>
      <w:r>
        <w:rPr>
          <w:sz w:val="24"/>
        </w:rPr>
        <w:t>Grants</w:t>
      </w:r>
      <w:r>
        <w:rPr>
          <w:spacing w:val="80"/>
          <w:sz w:val="24"/>
        </w:rPr>
        <w:t> </w:t>
      </w:r>
      <w:r>
        <w:rPr>
          <w:sz w:val="24"/>
        </w:rPr>
        <w:t>Commission, Bahadur Shah Zafar Marg, New Delhi.</w:t>
      </w:r>
    </w:p>
    <w:p>
      <w:pPr>
        <w:pStyle w:val="BodyText"/>
        <w:spacing w:before="5"/>
      </w:pPr>
    </w:p>
    <w:p>
      <w:pPr>
        <w:pStyle w:val="ListParagraph"/>
        <w:numPr>
          <w:ilvl w:val="0"/>
          <w:numId w:val="167"/>
        </w:numPr>
        <w:tabs>
          <w:tab w:pos="398" w:val="left" w:leader="none"/>
        </w:tabs>
        <w:spacing w:line="240" w:lineRule="auto" w:before="0" w:after="0"/>
        <w:ind w:left="398" w:right="0" w:hanging="239"/>
        <w:jc w:val="left"/>
        <w:rPr>
          <w:sz w:val="24"/>
        </w:rPr>
      </w:pPr>
      <w:r>
        <w:rPr>
          <w:sz w:val="24"/>
        </w:rPr>
        <w:t>Prof.</w:t>
      </w:r>
      <w:r>
        <w:rPr>
          <w:spacing w:val="-4"/>
          <w:sz w:val="24"/>
        </w:rPr>
        <w:t> </w:t>
      </w:r>
      <w:r>
        <w:rPr>
          <w:sz w:val="24"/>
        </w:rPr>
        <w:t>Shantinarayan,</w:t>
      </w:r>
      <w:r>
        <w:rPr>
          <w:spacing w:val="-1"/>
          <w:sz w:val="24"/>
        </w:rPr>
        <w:t> </w:t>
      </w:r>
      <w:r>
        <w:rPr>
          <w:sz w:val="24"/>
        </w:rPr>
        <w:t>Principal,</w:t>
      </w:r>
      <w:r>
        <w:rPr>
          <w:spacing w:val="-2"/>
          <w:sz w:val="24"/>
        </w:rPr>
        <w:t> </w:t>
      </w:r>
      <w:r>
        <w:rPr>
          <w:sz w:val="24"/>
        </w:rPr>
        <w:t>Hansraj</w:t>
      </w:r>
      <w:r>
        <w:rPr>
          <w:spacing w:val="-1"/>
          <w:sz w:val="24"/>
        </w:rPr>
        <w:t> </w:t>
      </w:r>
      <w:r>
        <w:rPr>
          <w:sz w:val="24"/>
        </w:rPr>
        <w:t>College,</w:t>
      </w:r>
      <w:r>
        <w:rPr>
          <w:spacing w:val="-1"/>
          <w:sz w:val="24"/>
        </w:rPr>
        <w:t> </w:t>
      </w:r>
      <w:r>
        <w:rPr>
          <w:spacing w:val="-2"/>
          <w:sz w:val="24"/>
        </w:rPr>
        <w:t>Delhi.</w:t>
      </w:r>
    </w:p>
    <w:p>
      <w:pPr>
        <w:pStyle w:val="BodyText"/>
        <w:spacing w:before="4"/>
      </w:pPr>
    </w:p>
    <w:p>
      <w:pPr>
        <w:pStyle w:val="ListParagraph"/>
        <w:numPr>
          <w:ilvl w:val="0"/>
          <w:numId w:val="167"/>
        </w:numPr>
        <w:tabs>
          <w:tab w:pos="519" w:val="left" w:leader="none"/>
        </w:tabs>
        <w:spacing w:line="240" w:lineRule="auto" w:before="0" w:after="0"/>
        <w:ind w:left="519" w:right="0" w:hanging="360"/>
        <w:jc w:val="left"/>
        <w:rPr>
          <w:sz w:val="24"/>
        </w:rPr>
      </w:pPr>
      <w:r>
        <w:rPr>
          <w:sz w:val="24"/>
        </w:rPr>
        <w:t>Dr.</w:t>
      </w:r>
      <w:r>
        <w:rPr>
          <w:spacing w:val="-1"/>
          <w:sz w:val="24"/>
        </w:rPr>
        <w:t> </w:t>
      </w:r>
      <w:r>
        <w:rPr>
          <w:sz w:val="24"/>
        </w:rPr>
        <w:t>A. R. Verma,</w:t>
      </w:r>
      <w:r>
        <w:rPr>
          <w:spacing w:val="-1"/>
          <w:sz w:val="24"/>
        </w:rPr>
        <w:t> </w:t>
      </w:r>
      <w:r>
        <w:rPr>
          <w:sz w:val="24"/>
        </w:rPr>
        <w:t>Director, National</w:t>
      </w:r>
      <w:r>
        <w:rPr>
          <w:spacing w:val="-1"/>
          <w:sz w:val="24"/>
        </w:rPr>
        <w:t> </w:t>
      </w:r>
      <w:r>
        <w:rPr>
          <w:sz w:val="24"/>
        </w:rPr>
        <w:t>Physical</w:t>
      </w:r>
      <w:r>
        <w:rPr>
          <w:spacing w:val="-2"/>
          <w:sz w:val="24"/>
        </w:rPr>
        <w:t> </w:t>
      </w:r>
      <w:r>
        <w:rPr>
          <w:sz w:val="24"/>
        </w:rPr>
        <w:t>Laboratory,</w:t>
      </w:r>
      <w:r>
        <w:rPr>
          <w:spacing w:val="-1"/>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67"/>
        </w:numPr>
        <w:tabs>
          <w:tab w:pos="525" w:val="left" w:leader="none"/>
        </w:tabs>
        <w:spacing w:line="240" w:lineRule="auto" w:before="0" w:after="0"/>
        <w:ind w:left="159" w:right="499" w:firstLine="0"/>
        <w:jc w:val="left"/>
        <w:rPr>
          <w:sz w:val="24"/>
        </w:rPr>
      </w:pPr>
      <w:r>
        <w:rPr>
          <w:sz w:val="24"/>
        </w:rPr>
        <w:t>Dr. R. D. Deshpande, Development Officer, University Grants Commission, </w:t>
      </w:r>
      <w:r>
        <w:rPr>
          <w:sz w:val="24"/>
        </w:rPr>
        <w:t>Bahadur Shah Zafar Marg, New Delhi. Secretary</w:t>
      </w:r>
    </w:p>
    <w:p>
      <w:pPr>
        <w:spacing w:after="0" w:line="240" w:lineRule="auto"/>
        <w:jc w:val="left"/>
        <w:rPr>
          <w:sz w:val="24"/>
        </w:rPr>
        <w:sectPr>
          <w:pgSz w:w="12240" w:h="15840"/>
          <w:pgMar w:header="0" w:footer="743" w:top="1360" w:bottom="940" w:left="1640" w:right="1300"/>
        </w:sectPr>
      </w:pPr>
    </w:p>
    <w:p>
      <w:pPr>
        <w:pStyle w:val="ListParagraph"/>
        <w:numPr>
          <w:ilvl w:val="0"/>
          <w:numId w:val="167"/>
        </w:numPr>
        <w:tabs>
          <w:tab w:pos="540" w:val="left" w:leader="none"/>
        </w:tabs>
        <w:spacing w:line="240" w:lineRule="auto" w:before="76" w:after="0"/>
        <w:ind w:left="159" w:right="498" w:firstLine="0"/>
        <w:jc w:val="left"/>
        <w:rPr>
          <w:sz w:val="24"/>
        </w:rPr>
      </w:pPr>
      <w:r>
        <w:rPr>
          <w:sz w:val="24"/>
        </w:rPr>
        <w:t>Shri I. C. Menon, Education Officer, University Grants Commission, Bahadur Shah Zafar Marg, New Delhi. Secretary</w:t>
      </w:r>
    </w:p>
    <w:p>
      <w:pPr>
        <w:pStyle w:val="BodyText"/>
        <w:spacing w:before="6"/>
      </w:pPr>
    </w:p>
    <w:p>
      <w:pPr>
        <w:pStyle w:val="Heading2"/>
        <w:spacing w:before="1"/>
        <w:ind w:left="159"/>
      </w:pPr>
      <w:r>
        <w:rPr/>
        <w:t>AIV. 10. Task Force on</w:t>
      </w:r>
      <w:r>
        <w:rPr>
          <w:spacing w:val="-2"/>
        </w:rPr>
        <w:t> </w:t>
      </w:r>
      <w:r>
        <w:rPr/>
        <w:t>School </w:t>
      </w:r>
      <w:r>
        <w:rPr>
          <w:spacing w:val="-2"/>
        </w:rPr>
        <w:t>Education</w:t>
      </w:r>
    </w:p>
    <w:p>
      <w:pPr>
        <w:pStyle w:val="BodyText"/>
        <w:spacing w:before="2"/>
        <w:rPr>
          <w:b/>
        </w:rPr>
      </w:pPr>
    </w:p>
    <w:p>
      <w:pPr>
        <w:pStyle w:val="ListParagraph"/>
        <w:numPr>
          <w:ilvl w:val="0"/>
          <w:numId w:val="168"/>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 R. Dawood, Member, 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5"/>
      </w:pPr>
    </w:p>
    <w:p>
      <w:pPr>
        <w:pStyle w:val="ListParagraph"/>
        <w:numPr>
          <w:ilvl w:val="0"/>
          <w:numId w:val="168"/>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K.</w:t>
      </w:r>
      <w:r>
        <w:rPr>
          <w:spacing w:val="-1"/>
          <w:sz w:val="24"/>
        </w:rPr>
        <w:t> </w:t>
      </w:r>
      <w:r>
        <w:rPr>
          <w:sz w:val="24"/>
        </w:rPr>
        <w:t>L.</w:t>
      </w:r>
      <w:r>
        <w:rPr>
          <w:spacing w:val="-1"/>
          <w:sz w:val="24"/>
        </w:rPr>
        <w:t> </w:t>
      </w:r>
      <w:r>
        <w:rPr>
          <w:sz w:val="24"/>
        </w:rPr>
        <w:t>Gupta,</w:t>
      </w:r>
      <w:r>
        <w:rPr>
          <w:spacing w:val="-1"/>
          <w:sz w:val="24"/>
        </w:rPr>
        <w:t> </w:t>
      </w:r>
      <w:r>
        <w:rPr>
          <w:sz w:val="24"/>
        </w:rPr>
        <w:t>Principal,</w:t>
      </w:r>
      <w:r>
        <w:rPr>
          <w:spacing w:val="-2"/>
          <w:sz w:val="24"/>
        </w:rPr>
        <w:t> </w:t>
      </w:r>
      <w:r>
        <w:rPr>
          <w:sz w:val="24"/>
        </w:rPr>
        <w:t>M.B.</w:t>
      </w:r>
      <w:r>
        <w:rPr>
          <w:spacing w:val="-1"/>
          <w:sz w:val="24"/>
        </w:rPr>
        <w:t> </w:t>
      </w:r>
      <w:r>
        <w:rPr>
          <w:sz w:val="24"/>
        </w:rPr>
        <w:t>Intermediate</w:t>
      </w:r>
      <w:r>
        <w:rPr>
          <w:spacing w:val="-1"/>
          <w:sz w:val="24"/>
        </w:rPr>
        <w:t> </w:t>
      </w:r>
      <w:r>
        <w:rPr>
          <w:sz w:val="24"/>
        </w:rPr>
        <w:t>College,</w:t>
      </w:r>
      <w:r>
        <w:rPr>
          <w:spacing w:val="-1"/>
          <w:sz w:val="24"/>
        </w:rPr>
        <w:t> </w:t>
      </w:r>
      <w:r>
        <w:rPr>
          <w:spacing w:val="-2"/>
          <w:sz w:val="24"/>
        </w:rPr>
        <w:t>Brindaban.</w:t>
      </w:r>
    </w:p>
    <w:p>
      <w:pPr>
        <w:pStyle w:val="BodyText"/>
        <w:spacing w:before="3"/>
      </w:pPr>
    </w:p>
    <w:p>
      <w:pPr>
        <w:pStyle w:val="ListParagraph"/>
        <w:numPr>
          <w:ilvl w:val="0"/>
          <w:numId w:val="168"/>
        </w:numPr>
        <w:tabs>
          <w:tab w:pos="399" w:val="left" w:leader="none"/>
        </w:tabs>
        <w:spacing w:line="240" w:lineRule="auto" w:before="0" w:after="0"/>
        <w:ind w:left="399" w:right="0" w:hanging="240"/>
        <w:jc w:val="left"/>
        <w:rPr>
          <w:sz w:val="24"/>
        </w:rPr>
      </w:pPr>
      <w:r>
        <w:rPr>
          <w:sz w:val="24"/>
        </w:rPr>
        <w:t>Dr. G. S. Khair, Principal, Poona Anath Vidyarthi</w:t>
      </w:r>
      <w:r>
        <w:rPr>
          <w:spacing w:val="-1"/>
          <w:sz w:val="24"/>
        </w:rPr>
        <w:t> </w:t>
      </w:r>
      <w:r>
        <w:rPr>
          <w:sz w:val="24"/>
        </w:rPr>
        <w:t>Griha,</w:t>
      </w:r>
      <w:r>
        <w:rPr>
          <w:spacing w:val="-1"/>
          <w:sz w:val="24"/>
        </w:rPr>
        <w:t> </w:t>
      </w:r>
      <w:r>
        <w:rPr>
          <w:sz w:val="24"/>
        </w:rPr>
        <w:t>Sadashiv</w:t>
      </w:r>
      <w:r>
        <w:rPr>
          <w:spacing w:val="-1"/>
          <w:sz w:val="24"/>
        </w:rPr>
        <w:t> </w:t>
      </w:r>
      <w:r>
        <w:rPr>
          <w:sz w:val="24"/>
        </w:rPr>
        <w:t>Peth, Poona-</w:t>
      </w:r>
      <w:r>
        <w:rPr>
          <w:spacing w:val="-5"/>
          <w:sz w:val="24"/>
        </w:rPr>
        <w:t>2.</w:t>
      </w:r>
    </w:p>
    <w:p>
      <w:pPr>
        <w:pStyle w:val="BodyText"/>
        <w:spacing w:before="4"/>
      </w:pPr>
    </w:p>
    <w:p>
      <w:pPr>
        <w:pStyle w:val="ListParagraph"/>
        <w:numPr>
          <w:ilvl w:val="0"/>
          <w:numId w:val="168"/>
        </w:numPr>
        <w:tabs>
          <w:tab w:pos="501" w:val="left" w:leader="none"/>
        </w:tabs>
        <w:spacing w:line="240" w:lineRule="auto" w:before="0" w:after="0"/>
        <w:ind w:left="159" w:right="497" w:firstLine="0"/>
        <w:jc w:val="left"/>
        <w:rPr>
          <w:sz w:val="24"/>
        </w:rPr>
      </w:pPr>
      <w:r>
        <w:rPr>
          <w:sz w:val="24"/>
        </w:rPr>
        <w:t>Shri</w:t>
      </w:r>
      <w:r>
        <w:rPr>
          <w:spacing w:val="80"/>
          <w:sz w:val="24"/>
        </w:rPr>
        <w:t> </w:t>
      </w:r>
      <w:r>
        <w:rPr>
          <w:sz w:val="24"/>
        </w:rPr>
        <w:t>K.</w:t>
      </w:r>
      <w:r>
        <w:rPr>
          <w:spacing w:val="80"/>
          <w:sz w:val="24"/>
        </w:rPr>
        <w:t> </w:t>
      </w:r>
      <w:r>
        <w:rPr>
          <w:sz w:val="24"/>
        </w:rPr>
        <w:t>Kuruvila</w:t>
      </w:r>
      <w:r>
        <w:rPr>
          <w:spacing w:val="80"/>
          <w:sz w:val="24"/>
        </w:rPr>
        <w:t> </w:t>
      </w:r>
      <w:r>
        <w:rPr>
          <w:sz w:val="24"/>
        </w:rPr>
        <w:t>Jacob,</w:t>
      </w:r>
      <w:r>
        <w:rPr>
          <w:spacing w:val="80"/>
          <w:sz w:val="24"/>
        </w:rPr>
        <w:t> </w:t>
      </w:r>
      <w:r>
        <w:rPr>
          <w:sz w:val="24"/>
        </w:rPr>
        <w:t>Principal,</w:t>
      </w:r>
      <w:r>
        <w:rPr>
          <w:spacing w:val="80"/>
          <w:sz w:val="24"/>
        </w:rPr>
        <w:t> </w:t>
      </w:r>
      <w:r>
        <w:rPr>
          <w:sz w:val="24"/>
        </w:rPr>
        <w:t>The</w:t>
      </w:r>
      <w:r>
        <w:rPr>
          <w:spacing w:val="80"/>
          <w:sz w:val="24"/>
        </w:rPr>
        <w:t> </w:t>
      </w:r>
      <w:r>
        <w:rPr>
          <w:sz w:val="24"/>
        </w:rPr>
        <w:t>Hyderabad</w:t>
      </w:r>
      <w:r>
        <w:rPr>
          <w:spacing w:val="80"/>
          <w:sz w:val="24"/>
        </w:rPr>
        <w:t> </w:t>
      </w:r>
      <w:r>
        <w:rPr>
          <w:sz w:val="24"/>
        </w:rPr>
        <w:t>Public</w:t>
      </w:r>
      <w:r>
        <w:rPr>
          <w:spacing w:val="80"/>
          <w:sz w:val="24"/>
        </w:rPr>
        <w:t> </w:t>
      </w:r>
      <w:r>
        <w:rPr>
          <w:sz w:val="24"/>
        </w:rPr>
        <w:t>School,</w:t>
      </w:r>
      <w:r>
        <w:rPr>
          <w:spacing w:val="80"/>
          <w:sz w:val="24"/>
        </w:rPr>
        <w:t> </w:t>
      </w:r>
      <w:r>
        <w:rPr>
          <w:sz w:val="24"/>
        </w:rPr>
        <w:t>Begumpet, </w:t>
      </w:r>
      <w:r>
        <w:rPr>
          <w:spacing w:val="-2"/>
          <w:sz w:val="24"/>
        </w:rPr>
        <w:t>Hyderabad-16.</w:t>
      </w:r>
    </w:p>
    <w:p>
      <w:pPr>
        <w:pStyle w:val="BodyText"/>
        <w:spacing w:before="5"/>
      </w:pPr>
    </w:p>
    <w:p>
      <w:pPr>
        <w:pStyle w:val="ListParagraph"/>
        <w:numPr>
          <w:ilvl w:val="0"/>
          <w:numId w:val="168"/>
        </w:numPr>
        <w:tabs>
          <w:tab w:pos="398" w:val="left" w:leader="none"/>
        </w:tabs>
        <w:spacing w:line="240" w:lineRule="auto" w:before="0" w:after="0"/>
        <w:ind w:left="398" w:right="0" w:hanging="239"/>
        <w:jc w:val="left"/>
        <w:rPr>
          <w:sz w:val="24"/>
        </w:rPr>
      </w:pPr>
      <w:r>
        <w:rPr>
          <w:sz w:val="24"/>
        </w:rPr>
        <w:t>Dr.</w:t>
      </w:r>
      <w:r>
        <w:rPr>
          <w:spacing w:val="-6"/>
          <w:sz w:val="24"/>
        </w:rPr>
        <w:t> </w:t>
      </w:r>
      <w:r>
        <w:rPr>
          <w:sz w:val="24"/>
        </w:rPr>
        <w:t>D.</w:t>
      </w:r>
      <w:r>
        <w:rPr>
          <w:spacing w:val="-3"/>
          <w:sz w:val="24"/>
        </w:rPr>
        <w:t> </w:t>
      </w:r>
      <w:r>
        <w:rPr>
          <w:sz w:val="24"/>
        </w:rPr>
        <w:t>R.</w:t>
      </w:r>
      <w:r>
        <w:rPr>
          <w:spacing w:val="-4"/>
          <w:sz w:val="24"/>
        </w:rPr>
        <w:t> </w:t>
      </w:r>
      <w:r>
        <w:rPr>
          <w:sz w:val="24"/>
        </w:rPr>
        <w:t>Mankad,</w:t>
      </w:r>
      <w:r>
        <w:rPr>
          <w:spacing w:val="-3"/>
          <w:sz w:val="24"/>
        </w:rPr>
        <w:t> </w:t>
      </w:r>
      <w:r>
        <w:rPr>
          <w:sz w:val="24"/>
        </w:rPr>
        <w:t>Secretary,</w:t>
      </w:r>
      <w:r>
        <w:rPr>
          <w:spacing w:val="-4"/>
          <w:sz w:val="24"/>
        </w:rPr>
        <w:t> </w:t>
      </w:r>
      <w:r>
        <w:rPr>
          <w:sz w:val="24"/>
        </w:rPr>
        <w:t>Gangajala</w:t>
      </w:r>
      <w:r>
        <w:rPr>
          <w:spacing w:val="-3"/>
          <w:sz w:val="24"/>
        </w:rPr>
        <w:t> </w:t>
      </w:r>
      <w:r>
        <w:rPr>
          <w:sz w:val="24"/>
        </w:rPr>
        <w:t>Vidyapith,</w:t>
      </w:r>
      <w:r>
        <w:rPr>
          <w:spacing w:val="-4"/>
          <w:sz w:val="24"/>
        </w:rPr>
        <w:t> </w:t>
      </w:r>
      <w:r>
        <w:rPr>
          <w:sz w:val="24"/>
        </w:rPr>
        <w:t>Aliabad,</w:t>
      </w:r>
      <w:r>
        <w:rPr>
          <w:spacing w:val="-3"/>
          <w:sz w:val="24"/>
        </w:rPr>
        <w:t> </w:t>
      </w:r>
      <w:r>
        <w:rPr>
          <w:sz w:val="24"/>
        </w:rPr>
        <w:t>Jamnagar</w:t>
      </w:r>
      <w:r>
        <w:rPr>
          <w:spacing w:val="-3"/>
          <w:sz w:val="24"/>
        </w:rPr>
        <w:t> </w:t>
      </w:r>
      <w:r>
        <w:rPr>
          <w:spacing w:val="-2"/>
          <w:sz w:val="24"/>
        </w:rPr>
        <w:t>(Gujarat).</w:t>
      </w:r>
    </w:p>
    <w:p>
      <w:pPr>
        <w:pStyle w:val="BodyText"/>
        <w:spacing w:before="3"/>
      </w:pPr>
    </w:p>
    <w:p>
      <w:pPr>
        <w:pStyle w:val="ListParagraph"/>
        <w:numPr>
          <w:ilvl w:val="0"/>
          <w:numId w:val="168"/>
        </w:numPr>
        <w:tabs>
          <w:tab w:pos="399" w:val="left" w:leader="none"/>
        </w:tabs>
        <w:spacing w:line="240" w:lineRule="auto" w:before="1" w:after="0"/>
        <w:ind w:left="399" w:right="0" w:hanging="240"/>
        <w:jc w:val="left"/>
        <w:rPr>
          <w:sz w:val="24"/>
        </w:rPr>
      </w:pPr>
      <w:r>
        <w:rPr>
          <w:sz w:val="24"/>
        </w:rPr>
        <w:t>Shri P. N. Mathar, Banasthali Vidyapeeth, Banasthali </w:t>
      </w:r>
      <w:r>
        <w:rPr>
          <w:spacing w:val="-2"/>
          <w:sz w:val="24"/>
        </w:rPr>
        <w:t>(Jaipur).</w:t>
      </w:r>
    </w:p>
    <w:p>
      <w:pPr>
        <w:pStyle w:val="BodyText"/>
        <w:spacing w:before="2"/>
      </w:pPr>
    </w:p>
    <w:p>
      <w:pPr>
        <w:pStyle w:val="ListParagraph"/>
        <w:numPr>
          <w:ilvl w:val="0"/>
          <w:numId w:val="168"/>
        </w:numPr>
        <w:tabs>
          <w:tab w:pos="481" w:val="left" w:leader="none"/>
        </w:tabs>
        <w:spacing w:line="240" w:lineRule="auto" w:before="0" w:after="0"/>
        <w:ind w:left="159" w:right="499" w:firstLine="0"/>
        <w:jc w:val="left"/>
        <w:rPr>
          <w:sz w:val="24"/>
        </w:rPr>
      </w:pPr>
      <w:r>
        <w:rPr>
          <w:sz w:val="24"/>
        </w:rPr>
        <w:t>Dr.</w:t>
      </w:r>
      <w:r>
        <w:rPr>
          <w:spacing w:val="78"/>
          <w:sz w:val="24"/>
        </w:rPr>
        <w:t> </w:t>
      </w:r>
      <w:r>
        <w:rPr>
          <w:sz w:val="24"/>
        </w:rPr>
        <w:t>(Mrs.)</w:t>
      </w:r>
      <w:r>
        <w:rPr>
          <w:spacing w:val="78"/>
          <w:sz w:val="24"/>
        </w:rPr>
        <w:t> </w:t>
      </w:r>
      <w:r>
        <w:rPr>
          <w:sz w:val="24"/>
        </w:rPr>
        <w:t>R.</w:t>
      </w:r>
      <w:r>
        <w:rPr>
          <w:spacing w:val="78"/>
          <w:sz w:val="24"/>
        </w:rPr>
        <w:t> </w:t>
      </w:r>
      <w:r>
        <w:rPr>
          <w:sz w:val="24"/>
        </w:rPr>
        <w:t>Muralidharan,</w:t>
      </w:r>
      <w:r>
        <w:rPr>
          <w:spacing w:val="78"/>
          <w:sz w:val="24"/>
        </w:rPr>
        <w:t> </w:t>
      </w:r>
      <w:r>
        <w:rPr>
          <w:sz w:val="24"/>
        </w:rPr>
        <w:t>Reader,</w:t>
      </w:r>
      <w:r>
        <w:rPr>
          <w:spacing w:val="78"/>
          <w:sz w:val="24"/>
        </w:rPr>
        <w:t> </w:t>
      </w:r>
      <w:r>
        <w:rPr>
          <w:sz w:val="24"/>
        </w:rPr>
        <w:t>Department</w:t>
      </w:r>
      <w:r>
        <w:rPr>
          <w:spacing w:val="78"/>
          <w:sz w:val="24"/>
        </w:rPr>
        <w:t> </w:t>
      </w:r>
      <w:r>
        <w:rPr>
          <w:sz w:val="24"/>
        </w:rPr>
        <w:t>of</w:t>
      </w:r>
      <w:r>
        <w:rPr>
          <w:spacing w:val="78"/>
          <w:sz w:val="24"/>
        </w:rPr>
        <w:t> </w:t>
      </w:r>
      <w:r>
        <w:rPr>
          <w:sz w:val="24"/>
        </w:rPr>
        <w:t>Psychological</w:t>
      </w:r>
      <w:r>
        <w:rPr>
          <w:spacing w:val="78"/>
          <w:sz w:val="24"/>
        </w:rPr>
        <w:t> </w:t>
      </w:r>
      <w:r>
        <w:rPr>
          <w:sz w:val="24"/>
        </w:rPr>
        <w:t>Foundations, N.C.E.R.T., H-2/6, Model Town, Delhi-9.</w:t>
      </w:r>
    </w:p>
    <w:p>
      <w:pPr>
        <w:pStyle w:val="BodyText"/>
        <w:spacing w:before="6"/>
      </w:pPr>
    </w:p>
    <w:p>
      <w:pPr>
        <w:pStyle w:val="ListParagraph"/>
        <w:numPr>
          <w:ilvl w:val="0"/>
          <w:numId w:val="168"/>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68"/>
        </w:numPr>
        <w:tabs>
          <w:tab w:pos="398" w:val="left" w:leader="none"/>
        </w:tabs>
        <w:spacing w:line="240" w:lineRule="auto" w:before="0" w:after="0"/>
        <w:ind w:left="398" w:right="0" w:hanging="239"/>
        <w:jc w:val="left"/>
        <w:rPr>
          <w:sz w:val="24"/>
        </w:rPr>
      </w:pPr>
      <w:r>
        <w:rPr>
          <w:sz w:val="24"/>
        </w:rPr>
        <w:t>Miss</w:t>
      </w:r>
      <w:r>
        <w:rPr>
          <w:spacing w:val="-6"/>
          <w:sz w:val="24"/>
        </w:rPr>
        <w:t> </w:t>
      </w:r>
      <w:r>
        <w:rPr>
          <w:sz w:val="24"/>
        </w:rPr>
        <w:t>S.</w:t>
      </w:r>
      <w:r>
        <w:rPr>
          <w:spacing w:val="-4"/>
          <w:sz w:val="24"/>
        </w:rPr>
        <w:t> </w:t>
      </w:r>
      <w:r>
        <w:rPr>
          <w:sz w:val="24"/>
        </w:rPr>
        <w:t>Panandikar,</w:t>
      </w:r>
      <w:r>
        <w:rPr>
          <w:spacing w:val="-4"/>
          <w:sz w:val="24"/>
        </w:rPr>
        <w:t> </w:t>
      </w:r>
      <w:r>
        <w:rPr>
          <w:sz w:val="24"/>
        </w:rPr>
        <w:t>Member,</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68"/>
        </w:numPr>
        <w:tabs>
          <w:tab w:pos="528" w:val="left" w:leader="none"/>
        </w:tabs>
        <w:spacing w:line="240" w:lineRule="auto" w:before="0" w:after="0"/>
        <w:ind w:left="159" w:right="496" w:firstLine="0"/>
        <w:jc w:val="left"/>
        <w:rPr>
          <w:sz w:val="24"/>
        </w:rPr>
      </w:pPr>
      <w:r>
        <w:rPr>
          <w:sz w:val="24"/>
        </w:rPr>
        <w:t>Shri H. Radhakrishna, Secretary, Akhil Bharat Sarva Seva Sangh, Rajghat, Varanasi- </w:t>
      </w:r>
      <w:r>
        <w:rPr>
          <w:spacing w:val="-6"/>
          <w:sz w:val="24"/>
        </w:rPr>
        <w:t>1.</w:t>
      </w:r>
    </w:p>
    <w:p>
      <w:pPr>
        <w:pStyle w:val="BodyText"/>
        <w:spacing w:before="6"/>
      </w:pPr>
    </w:p>
    <w:p>
      <w:pPr>
        <w:pStyle w:val="ListParagraph"/>
        <w:numPr>
          <w:ilvl w:val="0"/>
          <w:numId w:val="168"/>
        </w:numPr>
        <w:tabs>
          <w:tab w:pos="516" w:val="left" w:leader="none"/>
        </w:tabs>
        <w:spacing w:line="240" w:lineRule="auto" w:before="0" w:after="0"/>
        <w:ind w:left="516" w:right="0" w:hanging="357"/>
        <w:jc w:val="left"/>
        <w:rPr>
          <w:sz w:val="24"/>
        </w:rPr>
      </w:pPr>
      <w:r>
        <w:rPr>
          <w:sz w:val="24"/>
        </w:rPr>
        <w:t>Dr.</w:t>
      </w:r>
      <w:r>
        <w:rPr>
          <w:spacing w:val="-3"/>
          <w:sz w:val="24"/>
        </w:rPr>
        <w:t> </w:t>
      </w:r>
      <w:r>
        <w:rPr>
          <w:sz w:val="24"/>
        </w:rPr>
        <w:t>S.</w:t>
      </w:r>
      <w:r>
        <w:rPr>
          <w:spacing w:val="-3"/>
          <w:sz w:val="24"/>
        </w:rPr>
        <w:t> </w:t>
      </w:r>
      <w:r>
        <w:rPr>
          <w:sz w:val="24"/>
        </w:rPr>
        <w:t>N.</w:t>
      </w:r>
      <w:r>
        <w:rPr>
          <w:spacing w:val="-2"/>
          <w:sz w:val="24"/>
        </w:rPr>
        <w:t> </w:t>
      </w:r>
      <w:r>
        <w:rPr>
          <w:sz w:val="24"/>
        </w:rPr>
        <w:t>Saraf,</w:t>
      </w:r>
      <w:r>
        <w:rPr>
          <w:spacing w:val="-3"/>
          <w:sz w:val="24"/>
        </w:rPr>
        <w:t> </w:t>
      </w:r>
      <w:r>
        <w:rPr>
          <w:sz w:val="24"/>
        </w:rPr>
        <w:t>Director,</w:t>
      </w:r>
      <w:r>
        <w:rPr>
          <w:spacing w:val="-1"/>
          <w:sz w:val="24"/>
        </w:rPr>
        <w:t> </w:t>
      </w:r>
      <w:r>
        <w:rPr>
          <w:sz w:val="24"/>
        </w:rPr>
        <w:t>Education</w:t>
      </w:r>
      <w:r>
        <w:rPr>
          <w:spacing w:val="-2"/>
          <w:sz w:val="24"/>
        </w:rPr>
        <w:t> </w:t>
      </w:r>
      <w:r>
        <w:rPr>
          <w:sz w:val="24"/>
        </w:rPr>
        <w:t>Division,</w:t>
      </w:r>
      <w:r>
        <w:rPr>
          <w:spacing w:val="-2"/>
          <w:sz w:val="24"/>
        </w:rPr>
        <w:t> </w:t>
      </w:r>
      <w:r>
        <w:rPr>
          <w:sz w:val="24"/>
        </w:rPr>
        <w:t>Planning</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68"/>
        </w:numPr>
        <w:tabs>
          <w:tab w:pos="519" w:val="left" w:leader="none"/>
        </w:tabs>
        <w:spacing w:line="240" w:lineRule="auto" w:before="0" w:after="0"/>
        <w:ind w:left="159" w:right="499" w:firstLine="0"/>
        <w:jc w:val="left"/>
        <w:rPr>
          <w:sz w:val="24"/>
        </w:rPr>
      </w:pPr>
      <w:r>
        <w:rPr>
          <w:sz w:val="24"/>
        </w:rPr>
        <w:t>Shrimati</w:t>
      </w:r>
      <w:r>
        <w:rPr>
          <w:spacing w:val="-5"/>
          <w:sz w:val="24"/>
        </w:rPr>
        <w:t> </w:t>
      </w:r>
      <w:r>
        <w:rPr>
          <w:sz w:val="24"/>
        </w:rPr>
        <w:t>S.</w:t>
      </w:r>
      <w:r>
        <w:rPr>
          <w:spacing w:val="-5"/>
          <w:sz w:val="24"/>
        </w:rPr>
        <w:t> </w:t>
      </w:r>
      <w:r>
        <w:rPr>
          <w:sz w:val="24"/>
        </w:rPr>
        <w:t>Doraiswami,</w:t>
      </w:r>
      <w:r>
        <w:rPr>
          <w:spacing w:val="-5"/>
          <w:sz w:val="24"/>
        </w:rPr>
        <w:t> </w:t>
      </w:r>
      <w:r>
        <w:rPr>
          <w:sz w:val="24"/>
        </w:rPr>
        <w:t>Assistant</w:t>
      </w:r>
      <w:r>
        <w:rPr>
          <w:spacing w:val="-5"/>
          <w:sz w:val="24"/>
        </w:rPr>
        <w:t> </w:t>
      </w:r>
      <w:r>
        <w:rPr>
          <w:sz w:val="24"/>
        </w:rPr>
        <w:t>Educational</w:t>
      </w:r>
      <w:r>
        <w:rPr>
          <w:spacing w:val="-6"/>
          <w:sz w:val="24"/>
        </w:rPr>
        <w:t> </w:t>
      </w:r>
      <w:r>
        <w:rPr>
          <w:sz w:val="24"/>
        </w:rPr>
        <w:t>Adviser,</w:t>
      </w:r>
      <w:r>
        <w:rPr>
          <w:spacing w:val="-6"/>
          <w:sz w:val="24"/>
        </w:rPr>
        <w:t> </w:t>
      </w:r>
      <w:r>
        <w:rPr>
          <w:sz w:val="24"/>
        </w:rPr>
        <w:t>Education</w:t>
      </w:r>
      <w:r>
        <w:rPr>
          <w:spacing w:val="-6"/>
          <w:sz w:val="24"/>
        </w:rPr>
        <w:t> </w:t>
      </w:r>
      <w:r>
        <w:rPr>
          <w:sz w:val="24"/>
        </w:rPr>
        <w:t>Commission,</w:t>
      </w:r>
      <w:r>
        <w:rPr>
          <w:spacing w:val="-6"/>
          <w:sz w:val="24"/>
        </w:rPr>
        <w:t> </w:t>
      </w:r>
      <w:r>
        <w:rPr>
          <w:sz w:val="24"/>
        </w:rPr>
        <w:t>New Delhi. Secretary</w:t>
      </w:r>
    </w:p>
    <w:p>
      <w:pPr>
        <w:pStyle w:val="BodyText"/>
        <w:spacing w:before="5"/>
      </w:pPr>
    </w:p>
    <w:p>
      <w:pPr>
        <w:pStyle w:val="Heading2"/>
        <w:ind w:left="159"/>
        <w:rPr>
          <w:rFonts w:ascii="Arial"/>
        </w:rPr>
      </w:pPr>
      <w:r>
        <w:rPr>
          <w:rFonts w:ascii="Arial"/>
        </w:rPr>
        <w:t>Sub-Group</w:t>
      </w:r>
      <w:r>
        <w:rPr>
          <w:rFonts w:ascii="Arial"/>
          <w:spacing w:val="-6"/>
        </w:rPr>
        <w:t> </w:t>
      </w:r>
      <w:r>
        <w:rPr>
          <w:rFonts w:ascii="Arial"/>
        </w:rPr>
        <w:t>on</w:t>
      </w:r>
      <w:r>
        <w:rPr>
          <w:rFonts w:ascii="Arial"/>
          <w:spacing w:val="-5"/>
        </w:rPr>
        <w:t> </w:t>
      </w:r>
      <w:r>
        <w:rPr>
          <w:rFonts w:ascii="Arial"/>
        </w:rPr>
        <w:t>Secondary</w:t>
      </w:r>
      <w:r>
        <w:rPr>
          <w:rFonts w:ascii="Arial"/>
          <w:spacing w:val="-6"/>
        </w:rPr>
        <w:t> </w:t>
      </w:r>
      <w:r>
        <w:rPr>
          <w:rFonts w:ascii="Arial"/>
          <w:spacing w:val="-2"/>
        </w:rPr>
        <w:t>Education</w:t>
      </w:r>
    </w:p>
    <w:p>
      <w:pPr>
        <w:pStyle w:val="BodyText"/>
        <w:spacing w:before="3"/>
        <w:rPr>
          <w:rFonts w:ascii="Arial"/>
          <w:b/>
        </w:rPr>
      </w:pPr>
    </w:p>
    <w:p>
      <w:pPr>
        <w:pStyle w:val="ListParagraph"/>
        <w:numPr>
          <w:ilvl w:val="0"/>
          <w:numId w:val="169"/>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 R. Dawood, Member, 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4"/>
      </w:pPr>
    </w:p>
    <w:p>
      <w:pPr>
        <w:pStyle w:val="ListParagraph"/>
        <w:numPr>
          <w:ilvl w:val="0"/>
          <w:numId w:val="169"/>
        </w:numPr>
        <w:tabs>
          <w:tab w:pos="444" w:val="left" w:leader="none"/>
        </w:tabs>
        <w:spacing w:line="240" w:lineRule="auto" w:before="0" w:after="0"/>
        <w:ind w:left="159" w:right="498" w:firstLine="0"/>
        <w:jc w:val="left"/>
        <w:rPr>
          <w:sz w:val="24"/>
        </w:rPr>
      </w:pPr>
      <w:r>
        <w:rPr>
          <w:sz w:val="24"/>
        </w:rPr>
        <w:t>Shri</w:t>
      </w:r>
      <w:r>
        <w:rPr>
          <w:spacing w:val="40"/>
          <w:sz w:val="24"/>
        </w:rPr>
        <w:t> </w:t>
      </w:r>
      <w:r>
        <w:rPr>
          <w:sz w:val="24"/>
        </w:rPr>
        <w:t>S.</w:t>
      </w:r>
      <w:r>
        <w:rPr>
          <w:spacing w:val="40"/>
          <w:sz w:val="24"/>
        </w:rPr>
        <w:t> </w:t>
      </w:r>
      <w:r>
        <w:rPr>
          <w:sz w:val="24"/>
        </w:rPr>
        <w:t>S.</w:t>
      </w:r>
      <w:r>
        <w:rPr>
          <w:spacing w:val="40"/>
          <w:sz w:val="24"/>
        </w:rPr>
        <w:t> </w:t>
      </w:r>
      <w:r>
        <w:rPr>
          <w:sz w:val="24"/>
        </w:rPr>
        <w:t>Desnavi,</w:t>
      </w:r>
      <w:r>
        <w:rPr>
          <w:spacing w:val="40"/>
          <w:sz w:val="24"/>
        </w:rPr>
        <w:t> </w:t>
      </w:r>
      <w:r>
        <w:rPr>
          <w:sz w:val="24"/>
        </w:rPr>
        <w:t>Principal,</w:t>
      </w:r>
      <w:r>
        <w:rPr>
          <w:spacing w:val="40"/>
          <w:sz w:val="24"/>
        </w:rPr>
        <w:t> </w:t>
      </w:r>
      <w:r>
        <w:rPr>
          <w:sz w:val="24"/>
        </w:rPr>
        <w:t>M.</w:t>
      </w:r>
      <w:r>
        <w:rPr>
          <w:spacing w:val="40"/>
          <w:sz w:val="24"/>
        </w:rPr>
        <w:t> </w:t>
      </w:r>
      <w:r>
        <w:rPr>
          <w:sz w:val="24"/>
        </w:rPr>
        <w:t>H.</w:t>
      </w:r>
      <w:r>
        <w:rPr>
          <w:spacing w:val="40"/>
          <w:sz w:val="24"/>
        </w:rPr>
        <w:t> </w:t>
      </w:r>
      <w:r>
        <w:rPr>
          <w:sz w:val="24"/>
        </w:rPr>
        <w:t>Saboo</w:t>
      </w:r>
      <w:r>
        <w:rPr>
          <w:spacing w:val="40"/>
          <w:sz w:val="24"/>
        </w:rPr>
        <w:t> </w:t>
      </w:r>
      <w:r>
        <w:rPr>
          <w:sz w:val="24"/>
        </w:rPr>
        <w:t>Siddik</w:t>
      </w:r>
      <w:r>
        <w:rPr>
          <w:spacing w:val="40"/>
          <w:sz w:val="24"/>
        </w:rPr>
        <w:t> </w:t>
      </w:r>
      <w:r>
        <w:rPr>
          <w:sz w:val="24"/>
        </w:rPr>
        <w:t>Polytechnic,</w:t>
      </w:r>
      <w:r>
        <w:rPr>
          <w:spacing w:val="40"/>
          <w:sz w:val="24"/>
        </w:rPr>
        <w:t> </w:t>
      </w:r>
      <w:r>
        <w:rPr>
          <w:sz w:val="24"/>
        </w:rPr>
        <w:t>8</w:t>
      </w:r>
      <w:r>
        <w:rPr>
          <w:spacing w:val="40"/>
          <w:sz w:val="24"/>
        </w:rPr>
        <w:t> </w:t>
      </w:r>
      <w:r>
        <w:rPr>
          <w:sz w:val="24"/>
        </w:rPr>
        <w:t>Shepherd</w:t>
      </w:r>
      <w:r>
        <w:rPr>
          <w:spacing w:val="40"/>
          <w:sz w:val="24"/>
        </w:rPr>
        <w:t> </w:t>
      </w:r>
      <w:r>
        <w:rPr>
          <w:sz w:val="24"/>
        </w:rPr>
        <w:t>Road, </w:t>
      </w:r>
      <w:r>
        <w:rPr>
          <w:spacing w:val="-2"/>
          <w:sz w:val="24"/>
        </w:rPr>
        <w:t>Bombay-8.</w:t>
      </w:r>
    </w:p>
    <w:p>
      <w:pPr>
        <w:pStyle w:val="BodyText"/>
        <w:spacing w:before="5"/>
      </w:pPr>
    </w:p>
    <w:p>
      <w:pPr>
        <w:pStyle w:val="ListParagraph"/>
        <w:numPr>
          <w:ilvl w:val="0"/>
          <w:numId w:val="169"/>
        </w:numPr>
        <w:tabs>
          <w:tab w:pos="399" w:val="left" w:leader="none"/>
        </w:tabs>
        <w:spacing w:line="240" w:lineRule="auto" w:before="0" w:after="0"/>
        <w:ind w:left="399" w:right="0" w:hanging="240"/>
        <w:jc w:val="left"/>
        <w:rPr>
          <w:sz w:val="24"/>
        </w:rPr>
      </w:pPr>
      <w:r>
        <w:rPr>
          <w:sz w:val="24"/>
        </w:rPr>
        <w:t>Shri</w:t>
      </w:r>
      <w:r>
        <w:rPr>
          <w:spacing w:val="-3"/>
          <w:sz w:val="24"/>
        </w:rPr>
        <w:t> </w:t>
      </w:r>
      <w:r>
        <w:rPr>
          <w:sz w:val="24"/>
        </w:rPr>
        <w:t>A. C. Deve Gowda,</w:t>
      </w:r>
      <w:r>
        <w:rPr>
          <w:spacing w:val="-1"/>
          <w:sz w:val="24"/>
        </w:rPr>
        <w:t> </w:t>
      </w:r>
      <w:r>
        <w:rPr>
          <w:sz w:val="24"/>
        </w:rPr>
        <w:t>Director,</w:t>
      </w:r>
      <w:r>
        <w:rPr>
          <w:spacing w:val="-1"/>
          <w:sz w:val="24"/>
        </w:rPr>
        <w:t> </w:t>
      </w:r>
      <w:r>
        <w:rPr>
          <w:sz w:val="24"/>
        </w:rPr>
        <w:t>DEPSE, 7, Lancer</w:t>
      </w:r>
      <w:r>
        <w:rPr>
          <w:spacing w:val="-1"/>
          <w:sz w:val="24"/>
        </w:rPr>
        <w:t> </w:t>
      </w:r>
      <w:r>
        <w:rPr>
          <w:sz w:val="24"/>
        </w:rPr>
        <w:t>Road, Timarpur, Delhi-</w:t>
      </w:r>
      <w:r>
        <w:rPr>
          <w:spacing w:val="-5"/>
          <w:sz w:val="24"/>
        </w:rPr>
        <w:t>6.</w:t>
      </w:r>
    </w:p>
    <w:p>
      <w:pPr>
        <w:pStyle w:val="BodyText"/>
        <w:spacing w:before="3"/>
      </w:pPr>
    </w:p>
    <w:p>
      <w:pPr>
        <w:pStyle w:val="ListParagraph"/>
        <w:numPr>
          <w:ilvl w:val="0"/>
          <w:numId w:val="169"/>
        </w:numPr>
        <w:tabs>
          <w:tab w:pos="429" w:val="left" w:leader="none"/>
        </w:tabs>
        <w:spacing w:line="240" w:lineRule="auto" w:before="0" w:after="0"/>
        <w:ind w:left="159" w:right="498" w:firstLine="0"/>
        <w:jc w:val="left"/>
        <w:rPr>
          <w:sz w:val="24"/>
        </w:rPr>
      </w:pPr>
      <w:r>
        <w:rPr>
          <w:sz w:val="24"/>
        </w:rPr>
        <w:t>Shri A. D Souza, Inspector of Anglo-Indian Schools, West Bengal, New Secretariat</w:t>
      </w:r>
      <w:r>
        <w:rPr>
          <w:spacing w:val="80"/>
          <w:sz w:val="24"/>
        </w:rPr>
        <w:t> </w:t>
      </w:r>
      <w:r>
        <w:rPr>
          <w:sz w:val="24"/>
        </w:rPr>
        <w:t>Building, 6th Floor, 1, Hasting Street, Calcutta-1.</w:t>
      </w:r>
    </w:p>
    <w:p>
      <w:pPr>
        <w:pStyle w:val="BodyText"/>
        <w:spacing w:before="5"/>
      </w:pPr>
    </w:p>
    <w:p>
      <w:pPr>
        <w:pStyle w:val="ListParagraph"/>
        <w:numPr>
          <w:ilvl w:val="0"/>
          <w:numId w:val="169"/>
        </w:numPr>
        <w:tabs>
          <w:tab w:pos="399" w:val="left" w:leader="none"/>
        </w:tabs>
        <w:spacing w:line="240" w:lineRule="auto" w:before="0" w:after="0"/>
        <w:ind w:left="399" w:right="0" w:hanging="240"/>
        <w:jc w:val="left"/>
        <w:rPr>
          <w:sz w:val="24"/>
        </w:rPr>
      </w:pPr>
      <w:r>
        <w:rPr>
          <w:sz w:val="24"/>
        </w:rPr>
        <w:t>Shri K. L. Gupta, Principal, M. B. Inter College, </w:t>
      </w:r>
      <w:r>
        <w:rPr>
          <w:spacing w:val="-2"/>
          <w:sz w:val="24"/>
        </w:rPr>
        <w:t>Brindaban.</w:t>
      </w:r>
    </w:p>
    <w:p>
      <w:pPr>
        <w:spacing w:after="0" w:line="240" w:lineRule="auto"/>
        <w:jc w:val="left"/>
        <w:rPr>
          <w:sz w:val="24"/>
        </w:rPr>
        <w:sectPr>
          <w:pgSz w:w="12240" w:h="15840"/>
          <w:pgMar w:header="0" w:footer="743" w:top="1360" w:bottom="940" w:left="1640" w:right="1300"/>
        </w:sectPr>
      </w:pPr>
    </w:p>
    <w:p>
      <w:pPr>
        <w:pStyle w:val="ListParagraph"/>
        <w:numPr>
          <w:ilvl w:val="0"/>
          <w:numId w:val="169"/>
        </w:numPr>
        <w:tabs>
          <w:tab w:pos="400" w:val="left" w:leader="none"/>
        </w:tabs>
        <w:spacing w:line="240" w:lineRule="auto" w:before="78" w:after="0"/>
        <w:ind w:left="400" w:right="0" w:hanging="240"/>
        <w:jc w:val="left"/>
        <w:rPr>
          <w:sz w:val="24"/>
        </w:rPr>
      </w:pPr>
      <w:r>
        <w:rPr>
          <w:sz w:val="24"/>
        </w:rPr>
        <w:t>Dr. G. S. Khair, Principal, Poona Anath Vidyarthi</w:t>
      </w:r>
      <w:r>
        <w:rPr>
          <w:spacing w:val="-1"/>
          <w:sz w:val="24"/>
        </w:rPr>
        <w:t> </w:t>
      </w:r>
      <w:r>
        <w:rPr>
          <w:sz w:val="24"/>
        </w:rPr>
        <w:t>Griha,</w:t>
      </w:r>
      <w:r>
        <w:rPr>
          <w:spacing w:val="-1"/>
          <w:sz w:val="24"/>
        </w:rPr>
        <w:t> </w:t>
      </w:r>
      <w:r>
        <w:rPr>
          <w:sz w:val="24"/>
        </w:rPr>
        <w:t>Sadashiv</w:t>
      </w:r>
      <w:r>
        <w:rPr>
          <w:spacing w:val="-1"/>
          <w:sz w:val="24"/>
        </w:rPr>
        <w:t> </w:t>
      </w:r>
      <w:r>
        <w:rPr>
          <w:sz w:val="24"/>
        </w:rPr>
        <w:t>Peth, Poona-</w:t>
      </w:r>
      <w:r>
        <w:rPr>
          <w:spacing w:val="-5"/>
          <w:sz w:val="24"/>
        </w:rPr>
        <w:t>2.</w:t>
      </w:r>
    </w:p>
    <w:p>
      <w:pPr>
        <w:pStyle w:val="BodyText"/>
        <w:spacing w:before="2"/>
      </w:pPr>
    </w:p>
    <w:p>
      <w:pPr>
        <w:pStyle w:val="ListParagraph"/>
        <w:numPr>
          <w:ilvl w:val="0"/>
          <w:numId w:val="169"/>
        </w:numPr>
        <w:tabs>
          <w:tab w:pos="502" w:val="left" w:leader="none"/>
        </w:tabs>
        <w:spacing w:line="240" w:lineRule="auto" w:before="0" w:after="0"/>
        <w:ind w:left="160" w:right="497" w:firstLine="0"/>
        <w:jc w:val="left"/>
        <w:rPr>
          <w:sz w:val="24"/>
        </w:rPr>
      </w:pPr>
      <w:r>
        <w:rPr>
          <w:sz w:val="24"/>
        </w:rPr>
        <w:t>Shri</w:t>
      </w:r>
      <w:r>
        <w:rPr>
          <w:spacing w:val="80"/>
          <w:sz w:val="24"/>
        </w:rPr>
        <w:t> </w:t>
      </w:r>
      <w:r>
        <w:rPr>
          <w:sz w:val="24"/>
        </w:rPr>
        <w:t>K.</w:t>
      </w:r>
      <w:r>
        <w:rPr>
          <w:spacing w:val="80"/>
          <w:sz w:val="24"/>
        </w:rPr>
        <w:t> </w:t>
      </w:r>
      <w:r>
        <w:rPr>
          <w:sz w:val="24"/>
        </w:rPr>
        <w:t>Kuruvila</w:t>
      </w:r>
      <w:r>
        <w:rPr>
          <w:spacing w:val="80"/>
          <w:sz w:val="24"/>
        </w:rPr>
        <w:t> </w:t>
      </w:r>
      <w:r>
        <w:rPr>
          <w:sz w:val="24"/>
        </w:rPr>
        <w:t>Jacob,</w:t>
      </w:r>
      <w:r>
        <w:rPr>
          <w:spacing w:val="80"/>
          <w:sz w:val="24"/>
        </w:rPr>
        <w:t> </w:t>
      </w:r>
      <w:r>
        <w:rPr>
          <w:sz w:val="24"/>
        </w:rPr>
        <w:t>Principal,</w:t>
      </w:r>
      <w:r>
        <w:rPr>
          <w:spacing w:val="80"/>
          <w:sz w:val="24"/>
        </w:rPr>
        <w:t> </w:t>
      </w:r>
      <w:r>
        <w:rPr>
          <w:sz w:val="24"/>
        </w:rPr>
        <w:t>The</w:t>
      </w:r>
      <w:r>
        <w:rPr>
          <w:spacing w:val="80"/>
          <w:sz w:val="24"/>
        </w:rPr>
        <w:t> </w:t>
      </w:r>
      <w:r>
        <w:rPr>
          <w:sz w:val="24"/>
        </w:rPr>
        <w:t>Hyderabad</w:t>
      </w:r>
      <w:r>
        <w:rPr>
          <w:spacing w:val="80"/>
          <w:sz w:val="24"/>
        </w:rPr>
        <w:t> </w:t>
      </w:r>
      <w:r>
        <w:rPr>
          <w:sz w:val="24"/>
        </w:rPr>
        <w:t>Public</w:t>
      </w:r>
      <w:r>
        <w:rPr>
          <w:spacing w:val="80"/>
          <w:sz w:val="24"/>
        </w:rPr>
        <w:t> </w:t>
      </w:r>
      <w:r>
        <w:rPr>
          <w:sz w:val="24"/>
        </w:rPr>
        <w:t>School,</w:t>
      </w:r>
      <w:r>
        <w:rPr>
          <w:spacing w:val="80"/>
          <w:sz w:val="24"/>
        </w:rPr>
        <w:t> </w:t>
      </w:r>
      <w:r>
        <w:rPr>
          <w:sz w:val="24"/>
        </w:rPr>
        <w:t>Begumpet, </w:t>
      </w:r>
      <w:r>
        <w:rPr>
          <w:spacing w:val="-2"/>
          <w:sz w:val="24"/>
        </w:rPr>
        <w:t>Hyderabad.</w:t>
      </w:r>
    </w:p>
    <w:p>
      <w:pPr>
        <w:pStyle w:val="BodyText"/>
        <w:spacing w:before="6"/>
      </w:pPr>
    </w:p>
    <w:p>
      <w:pPr>
        <w:pStyle w:val="ListParagraph"/>
        <w:numPr>
          <w:ilvl w:val="0"/>
          <w:numId w:val="169"/>
        </w:numPr>
        <w:tabs>
          <w:tab w:pos="400" w:val="left" w:leader="none"/>
        </w:tabs>
        <w:spacing w:line="240" w:lineRule="auto" w:before="0" w:after="0"/>
        <w:ind w:left="400" w:right="0" w:hanging="240"/>
        <w:jc w:val="left"/>
        <w:rPr>
          <w:sz w:val="24"/>
        </w:rPr>
      </w:pPr>
      <w:r>
        <w:rPr>
          <w:sz w:val="24"/>
        </w:rPr>
        <w:t>Shri P. N. Mathur, Banasthali Vidyapeeth, Banasthali </w:t>
      </w:r>
      <w:r>
        <w:rPr>
          <w:spacing w:val="-2"/>
          <w:sz w:val="24"/>
        </w:rPr>
        <w:t>(Jaipur).</w:t>
      </w:r>
    </w:p>
    <w:p>
      <w:pPr>
        <w:pStyle w:val="BodyText"/>
        <w:spacing w:before="4"/>
      </w:pPr>
    </w:p>
    <w:p>
      <w:pPr>
        <w:pStyle w:val="ListParagraph"/>
        <w:numPr>
          <w:ilvl w:val="0"/>
          <w:numId w:val="169"/>
        </w:numPr>
        <w:tabs>
          <w:tab w:pos="400" w:val="left" w:leader="none"/>
        </w:tabs>
        <w:spacing w:line="240" w:lineRule="auto" w:before="0" w:after="0"/>
        <w:ind w:left="400" w:right="0" w:hanging="240"/>
        <w:jc w:val="left"/>
        <w:rPr>
          <w:sz w:val="24"/>
        </w:rPr>
      </w:pPr>
      <w:r>
        <w:rPr>
          <w:sz w:val="24"/>
        </w:rPr>
        <w:t>Shri</w:t>
      </w:r>
      <w:r>
        <w:rPr>
          <w:spacing w:val="-3"/>
          <w:sz w:val="24"/>
        </w:rPr>
        <w:t> </w:t>
      </w:r>
      <w:r>
        <w:rPr>
          <w:sz w:val="24"/>
        </w:rPr>
        <w:t>S. G.</w:t>
      </w:r>
      <w:r>
        <w:rPr>
          <w:spacing w:val="-1"/>
          <w:sz w:val="24"/>
        </w:rPr>
        <w:t> </w:t>
      </w:r>
      <w:r>
        <w:rPr>
          <w:sz w:val="24"/>
        </w:rPr>
        <w:t>Nadgir, Headmaster,</w:t>
      </w:r>
      <w:r>
        <w:rPr>
          <w:spacing w:val="-1"/>
          <w:sz w:val="24"/>
        </w:rPr>
        <w:t> </w:t>
      </w:r>
      <w:r>
        <w:rPr>
          <w:sz w:val="24"/>
        </w:rPr>
        <w:t>K.E. Boards</w:t>
      </w:r>
      <w:r>
        <w:rPr>
          <w:spacing w:val="-1"/>
          <w:sz w:val="24"/>
        </w:rPr>
        <w:t> </w:t>
      </w:r>
      <w:r>
        <w:rPr>
          <w:sz w:val="24"/>
        </w:rPr>
        <w:t>High</w:t>
      </w:r>
      <w:r>
        <w:rPr>
          <w:spacing w:val="-2"/>
          <w:sz w:val="24"/>
        </w:rPr>
        <w:t> </w:t>
      </w:r>
      <w:r>
        <w:rPr>
          <w:sz w:val="24"/>
        </w:rPr>
        <w:t>School,</w:t>
      </w:r>
      <w:r>
        <w:rPr>
          <w:spacing w:val="-1"/>
          <w:sz w:val="24"/>
        </w:rPr>
        <w:t> </w:t>
      </w:r>
      <w:r>
        <w:rPr>
          <w:sz w:val="24"/>
        </w:rPr>
        <w:t>Malmaddi,</w:t>
      </w:r>
      <w:r>
        <w:rPr>
          <w:spacing w:val="-1"/>
          <w:sz w:val="24"/>
        </w:rPr>
        <w:t> </w:t>
      </w:r>
      <w:r>
        <w:rPr>
          <w:spacing w:val="-2"/>
          <w:sz w:val="24"/>
        </w:rPr>
        <w:t>Dharwar.</w:t>
      </w:r>
    </w:p>
    <w:p>
      <w:pPr>
        <w:pStyle w:val="BodyText"/>
        <w:spacing w:before="2"/>
      </w:pPr>
    </w:p>
    <w:p>
      <w:pPr>
        <w:pStyle w:val="ListParagraph"/>
        <w:numPr>
          <w:ilvl w:val="0"/>
          <w:numId w:val="169"/>
        </w:numPr>
        <w:tabs>
          <w:tab w:pos="575" w:val="left" w:leader="none"/>
        </w:tabs>
        <w:spacing w:line="240" w:lineRule="auto" w:before="0" w:after="0"/>
        <w:ind w:left="160" w:right="496" w:firstLine="0"/>
        <w:jc w:val="left"/>
        <w:rPr>
          <w:sz w:val="24"/>
        </w:rPr>
      </w:pPr>
      <w:r>
        <w:rPr>
          <w:sz w:val="24"/>
        </w:rPr>
        <w:t>Shri</w:t>
      </w:r>
      <w:r>
        <w:rPr>
          <w:spacing w:val="40"/>
          <w:sz w:val="24"/>
        </w:rPr>
        <w:t> </w:t>
      </w:r>
      <w:r>
        <w:rPr>
          <w:sz w:val="24"/>
        </w:rPr>
        <w:t>S.</w:t>
      </w:r>
      <w:r>
        <w:rPr>
          <w:spacing w:val="40"/>
          <w:sz w:val="24"/>
        </w:rPr>
        <w:t> </w:t>
      </w:r>
      <w:r>
        <w:rPr>
          <w:sz w:val="24"/>
        </w:rPr>
        <w:t>Natarajan,</w:t>
      </w:r>
      <w:r>
        <w:rPr>
          <w:spacing w:val="40"/>
          <w:sz w:val="24"/>
        </w:rPr>
        <w:t> </w:t>
      </w:r>
      <w:r>
        <w:rPr>
          <w:sz w:val="24"/>
        </w:rPr>
        <w:t>S.I.T.U.</w:t>
      </w:r>
      <w:r>
        <w:rPr>
          <w:spacing w:val="40"/>
          <w:sz w:val="24"/>
        </w:rPr>
        <w:t> </w:t>
      </w:r>
      <w:r>
        <w:rPr>
          <w:sz w:val="24"/>
        </w:rPr>
        <w:t>Council</w:t>
      </w:r>
      <w:r>
        <w:rPr>
          <w:spacing w:val="40"/>
          <w:sz w:val="24"/>
        </w:rPr>
        <w:t> </w:t>
      </w:r>
      <w:r>
        <w:rPr>
          <w:sz w:val="24"/>
        </w:rPr>
        <w:t>of</w:t>
      </w:r>
      <w:r>
        <w:rPr>
          <w:spacing w:val="40"/>
          <w:sz w:val="24"/>
        </w:rPr>
        <w:t> </w:t>
      </w:r>
      <w:r>
        <w:rPr>
          <w:sz w:val="24"/>
        </w:rPr>
        <w:t>Educational</w:t>
      </w:r>
      <w:r>
        <w:rPr>
          <w:spacing w:val="40"/>
          <w:sz w:val="24"/>
        </w:rPr>
        <w:t> </w:t>
      </w:r>
      <w:r>
        <w:rPr>
          <w:sz w:val="24"/>
        </w:rPr>
        <w:t>Research,</w:t>
      </w:r>
      <w:r>
        <w:rPr>
          <w:spacing w:val="40"/>
          <w:sz w:val="24"/>
        </w:rPr>
        <w:t> </w:t>
      </w:r>
      <w:r>
        <w:rPr>
          <w:sz w:val="24"/>
        </w:rPr>
        <w:t>Robertsonpet,</w:t>
      </w:r>
      <w:r>
        <w:rPr>
          <w:spacing w:val="40"/>
          <w:sz w:val="24"/>
        </w:rPr>
        <w:t> </w:t>
      </w:r>
      <w:r>
        <w:rPr>
          <w:sz w:val="24"/>
        </w:rPr>
        <w:t>Raja Annamalaipuram, Madras-28.</w:t>
      </w:r>
    </w:p>
    <w:p>
      <w:pPr>
        <w:pStyle w:val="BodyText"/>
        <w:spacing w:before="6"/>
      </w:pPr>
    </w:p>
    <w:p>
      <w:pPr>
        <w:pStyle w:val="ListParagraph"/>
        <w:numPr>
          <w:ilvl w:val="0"/>
          <w:numId w:val="169"/>
        </w:numPr>
        <w:tabs>
          <w:tab w:pos="520" w:val="left" w:leader="none"/>
        </w:tabs>
        <w:spacing w:line="240" w:lineRule="auto" w:before="0" w:after="0"/>
        <w:ind w:left="520" w:right="0" w:hanging="360"/>
        <w:jc w:val="left"/>
        <w:rPr>
          <w:sz w:val="24"/>
        </w:rPr>
      </w:pPr>
      <w:r>
        <w:rPr>
          <w:sz w:val="24"/>
        </w:rPr>
        <w:t>Shri</w:t>
      </w:r>
      <w:r>
        <w:rPr>
          <w:spacing w:val="-1"/>
          <w:sz w:val="24"/>
        </w:rPr>
        <w:t> </w:t>
      </w:r>
      <w:r>
        <w:rPr>
          <w:sz w:val="24"/>
        </w:rPr>
        <w:t>S.</w:t>
      </w:r>
      <w:r>
        <w:rPr>
          <w:spacing w:val="-1"/>
          <w:sz w:val="24"/>
        </w:rPr>
        <w:t> </w:t>
      </w:r>
      <w:r>
        <w:rPr>
          <w:sz w:val="24"/>
        </w:rPr>
        <w:t>P.</w:t>
      </w:r>
      <w:r>
        <w:rPr>
          <w:spacing w:val="-1"/>
          <w:sz w:val="24"/>
        </w:rPr>
        <w:t> </w:t>
      </w:r>
      <w:r>
        <w:rPr>
          <w:sz w:val="24"/>
        </w:rPr>
        <w:t>Nigam, Principal,</w:t>
      </w:r>
      <w:r>
        <w:rPr>
          <w:spacing w:val="-1"/>
          <w:sz w:val="24"/>
        </w:rPr>
        <w:t> </w:t>
      </w:r>
      <w:r>
        <w:rPr>
          <w:sz w:val="24"/>
        </w:rPr>
        <w:t>Government</w:t>
      </w:r>
      <w:r>
        <w:rPr>
          <w:spacing w:val="-2"/>
          <w:sz w:val="24"/>
        </w:rPr>
        <w:t> </w:t>
      </w:r>
      <w:r>
        <w:rPr>
          <w:sz w:val="24"/>
        </w:rPr>
        <w:t>Model</w:t>
      </w:r>
      <w:r>
        <w:rPr>
          <w:spacing w:val="-1"/>
          <w:sz w:val="24"/>
        </w:rPr>
        <w:t> </w:t>
      </w:r>
      <w:r>
        <w:rPr>
          <w:sz w:val="24"/>
        </w:rPr>
        <w:t>Multipurpose</w:t>
      </w:r>
      <w:r>
        <w:rPr>
          <w:spacing w:val="-2"/>
          <w:sz w:val="24"/>
        </w:rPr>
        <w:t> </w:t>
      </w:r>
      <w:r>
        <w:rPr>
          <w:sz w:val="24"/>
        </w:rPr>
        <w:t>School,</w:t>
      </w:r>
      <w:r>
        <w:rPr>
          <w:spacing w:val="-1"/>
          <w:sz w:val="24"/>
        </w:rPr>
        <w:t> </w:t>
      </w:r>
      <w:r>
        <w:rPr>
          <w:spacing w:val="-2"/>
          <w:sz w:val="24"/>
        </w:rPr>
        <w:t>Jabalpur.</w:t>
      </w:r>
    </w:p>
    <w:p>
      <w:pPr>
        <w:pStyle w:val="BodyText"/>
        <w:spacing w:before="4"/>
      </w:pPr>
    </w:p>
    <w:p>
      <w:pPr>
        <w:pStyle w:val="ListParagraph"/>
        <w:numPr>
          <w:ilvl w:val="0"/>
          <w:numId w:val="169"/>
        </w:numPr>
        <w:tabs>
          <w:tab w:pos="519" w:val="left" w:leader="none"/>
        </w:tabs>
        <w:spacing w:line="240" w:lineRule="auto" w:before="0" w:after="0"/>
        <w:ind w:left="519" w:right="0" w:hanging="359"/>
        <w:jc w:val="left"/>
        <w:rPr>
          <w:sz w:val="24"/>
        </w:rPr>
      </w:pPr>
      <w:r>
        <w:rPr>
          <w:sz w:val="24"/>
        </w:rPr>
        <w:t>Miss</w:t>
      </w:r>
      <w:r>
        <w:rPr>
          <w:spacing w:val="-6"/>
          <w:sz w:val="24"/>
        </w:rPr>
        <w:t> </w:t>
      </w:r>
      <w:r>
        <w:rPr>
          <w:sz w:val="24"/>
        </w:rPr>
        <w:t>S.</w:t>
      </w:r>
      <w:r>
        <w:rPr>
          <w:spacing w:val="-3"/>
          <w:sz w:val="24"/>
        </w:rPr>
        <w:t> </w:t>
      </w:r>
      <w:r>
        <w:rPr>
          <w:sz w:val="24"/>
        </w:rPr>
        <w:t>Panandikar,</w:t>
      </w:r>
      <w:r>
        <w:rPr>
          <w:spacing w:val="-3"/>
          <w:sz w:val="24"/>
        </w:rPr>
        <w:t> </w:t>
      </w:r>
      <w:r>
        <w:rPr>
          <w:sz w:val="24"/>
        </w:rPr>
        <w:t>Member,</w:t>
      </w:r>
      <w:r>
        <w:rPr>
          <w:spacing w:val="-4"/>
          <w:sz w:val="24"/>
        </w:rPr>
        <w:t> </w:t>
      </w:r>
      <w:r>
        <w:rPr>
          <w:sz w:val="24"/>
        </w:rPr>
        <w:t>Education</w:t>
      </w:r>
      <w:r>
        <w:rPr>
          <w:spacing w:val="-3"/>
          <w:sz w:val="24"/>
        </w:rPr>
        <w:t> </w:t>
      </w:r>
      <w:r>
        <w:rPr>
          <w:sz w:val="24"/>
        </w:rPr>
        <w:t>Commission,</w:t>
      </w:r>
      <w:r>
        <w:rPr>
          <w:spacing w:val="-3"/>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69"/>
        </w:numPr>
        <w:tabs>
          <w:tab w:pos="554" w:val="left" w:leader="none"/>
        </w:tabs>
        <w:spacing w:line="240" w:lineRule="auto" w:before="0" w:after="0"/>
        <w:ind w:left="160" w:right="498" w:firstLine="0"/>
        <w:jc w:val="left"/>
        <w:rPr>
          <w:sz w:val="24"/>
        </w:rPr>
      </w:pPr>
      <w:r>
        <w:rPr>
          <w:sz w:val="24"/>
        </w:rPr>
        <w:t>Shri</w:t>
      </w:r>
      <w:r>
        <w:rPr>
          <w:spacing w:val="30"/>
          <w:sz w:val="24"/>
        </w:rPr>
        <w:t> </w:t>
      </w:r>
      <w:r>
        <w:rPr>
          <w:sz w:val="24"/>
        </w:rPr>
        <w:t>Vajubhai</w:t>
      </w:r>
      <w:r>
        <w:rPr>
          <w:spacing w:val="30"/>
          <w:sz w:val="24"/>
        </w:rPr>
        <w:t> </w:t>
      </w:r>
      <w:r>
        <w:rPr>
          <w:sz w:val="24"/>
        </w:rPr>
        <w:t>Patel,</w:t>
      </w:r>
      <w:r>
        <w:rPr>
          <w:spacing w:val="30"/>
          <w:sz w:val="24"/>
        </w:rPr>
        <w:t> </w:t>
      </w:r>
      <w:r>
        <w:rPr>
          <w:sz w:val="24"/>
        </w:rPr>
        <w:t>Shri</w:t>
      </w:r>
      <w:r>
        <w:rPr>
          <w:spacing w:val="30"/>
          <w:sz w:val="24"/>
        </w:rPr>
        <w:t> </w:t>
      </w:r>
      <w:r>
        <w:rPr>
          <w:sz w:val="24"/>
        </w:rPr>
        <w:t>Chandulal</w:t>
      </w:r>
      <w:r>
        <w:rPr>
          <w:spacing w:val="30"/>
          <w:sz w:val="24"/>
        </w:rPr>
        <w:t> </w:t>
      </w:r>
      <w:r>
        <w:rPr>
          <w:sz w:val="24"/>
        </w:rPr>
        <w:t>Nanavati,</w:t>
      </w:r>
      <w:r>
        <w:rPr>
          <w:spacing w:val="30"/>
          <w:sz w:val="24"/>
        </w:rPr>
        <w:t> </w:t>
      </w:r>
      <w:r>
        <w:rPr>
          <w:sz w:val="24"/>
        </w:rPr>
        <w:t>Kanya</w:t>
      </w:r>
      <w:r>
        <w:rPr>
          <w:spacing w:val="30"/>
          <w:sz w:val="24"/>
        </w:rPr>
        <w:t> </w:t>
      </w:r>
      <w:r>
        <w:rPr>
          <w:sz w:val="24"/>
        </w:rPr>
        <w:t>Vinaya</w:t>
      </w:r>
      <w:r>
        <w:rPr>
          <w:spacing w:val="30"/>
          <w:sz w:val="24"/>
        </w:rPr>
        <w:t> </w:t>
      </w:r>
      <w:r>
        <w:rPr>
          <w:sz w:val="24"/>
        </w:rPr>
        <w:t>Mandir,</w:t>
      </w:r>
      <w:r>
        <w:rPr>
          <w:spacing w:val="30"/>
          <w:sz w:val="24"/>
        </w:rPr>
        <w:t> </w:t>
      </w:r>
      <w:r>
        <w:rPr>
          <w:sz w:val="24"/>
        </w:rPr>
        <w:t>Vallabhbhai Patel Road, Vile Parle (West), Bombay-56.</w:t>
      </w:r>
    </w:p>
    <w:p>
      <w:pPr>
        <w:pStyle w:val="BodyText"/>
        <w:spacing w:before="4"/>
      </w:pPr>
    </w:p>
    <w:p>
      <w:pPr>
        <w:pStyle w:val="ListParagraph"/>
        <w:numPr>
          <w:ilvl w:val="0"/>
          <w:numId w:val="169"/>
        </w:numPr>
        <w:tabs>
          <w:tab w:pos="599" w:val="left" w:leader="none"/>
        </w:tabs>
        <w:spacing w:line="240" w:lineRule="auto" w:before="0" w:after="0"/>
        <w:ind w:left="160" w:right="497" w:firstLine="0"/>
        <w:jc w:val="left"/>
        <w:rPr>
          <w:sz w:val="24"/>
        </w:rPr>
      </w:pPr>
      <w:r>
        <w:rPr>
          <w:sz w:val="24"/>
        </w:rPr>
        <w:t>Shri</w:t>
      </w:r>
      <w:r>
        <w:rPr>
          <w:spacing w:val="40"/>
          <w:sz w:val="24"/>
        </w:rPr>
        <w:t> </w:t>
      </w:r>
      <w:r>
        <w:rPr>
          <w:sz w:val="24"/>
        </w:rPr>
        <w:t>Nandakishore</w:t>
      </w:r>
      <w:r>
        <w:rPr>
          <w:spacing w:val="40"/>
          <w:sz w:val="24"/>
        </w:rPr>
        <w:t> </w:t>
      </w:r>
      <w:r>
        <w:rPr>
          <w:sz w:val="24"/>
        </w:rPr>
        <w:t>Rath,</w:t>
      </w:r>
      <w:r>
        <w:rPr>
          <w:spacing w:val="40"/>
          <w:sz w:val="24"/>
        </w:rPr>
        <w:t> </w:t>
      </w:r>
      <w:r>
        <w:rPr>
          <w:sz w:val="24"/>
        </w:rPr>
        <w:t>Headmaster,</w:t>
      </w:r>
      <w:r>
        <w:rPr>
          <w:spacing w:val="40"/>
          <w:sz w:val="24"/>
        </w:rPr>
        <w:t> </w:t>
      </w:r>
      <w:r>
        <w:rPr>
          <w:sz w:val="24"/>
        </w:rPr>
        <w:t>Ravenshaw</w:t>
      </w:r>
      <w:r>
        <w:rPr>
          <w:spacing w:val="40"/>
          <w:sz w:val="24"/>
        </w:rPr>
        <w:t> </w:t>
      </w:r>
      <w:r>
        <w:rPr>
          <w:sz w:val="24"/>
        </w:rPr>
        <w:t>Collegiate</w:t>
      </w:r>
      <w:r>
        <w:rPr>
          <w:spacing w:val="40"/>
          <w:sz w:val="24"/>
        </w:rPr>
        <w:t> </w:t>
      </w:r>
      <w:r>
        <w:rPr>
          <w:sz w:val="24"/>
        </w:rPr>
        <w:t>Higher</w:t>
      </w:r>
      <w:r>
        <w:rPr>
          <w:spacing w:val="40"/>
          <w:sz w:val="24"/>
        </w:rPr>
        <w:t> </w:t>
      </w:r>
      <w:r>
        <w:rPr>
          <w:sz w:val="24"/>
        </w:rPr>
        <w:t>Secondary</w:t>
      </w:r>
      <w:r>
        <w:rPr>
          <w:spacing w:val="40"/>
          <w:sz w:val="24"/>
        </w:rPr>
        <w:t> </w:t>
      </w:r>
      <w:r>
        <w:rPr>
          <w:sz w:val="24"/>
        </w:rPr>
        <w:t>School, Cuttack-2.</w:t>
      </w:r>
    </w:p>
    <w:p>
      <w:pPr>
        <w:pStyle w:val="BodyText"/>
        <w:spacing w:before="5"/>
      </w:pPr>
    </w:p>
    <w:p>
      <w:pPr>
        <w:pStyle w:val="ListParagraph"/>
        <w:numPr>
          <w:ilvl w:val="0"/>
          <w:numId w:val="169"/>
        </w:numPr>
        <w:tabs>
          <w:tab w:pos="523" w:val="left" w:leader="none"/>
        </w:tabs>
        <w:spacing w:line="240" w:lineRule="auto" w:before="0" w:after="0"/>
        <w:ind w:left="160" w:right="498" w:firstLine="0"/>
        <w:jc w:val="left"/>
        <w:rPr>
          <w:sz w:val="24"/>
        </w:rPr>
      </w:pPr>
      <w:r>
        <w:rPr>
          <w:sz w:val="24"/>
        </w:rPr>
        <w:t>Shri Satya Priya Roy, All India Secondary Teachers'</w:t>
      </w:r>
      <w:r>
        <w:rPr>
          <w:spacing w:val="-1"/>
          <w:sz w:val="24"/>
        </w:rPr>
        <w:t> </w:t>
      </w:r>
      <w:r>
        <w:rPr>
          <w:sz w:val="24"/>
        </w:rPr>
        <w:t>Federation, 15, Bankim</w:t>
      </w:r>
      <w:r>
        <w:rPr>
          <w:spacing w:val="-2"/>
          <w:sz w:val="24"/>
        </w:rPr>
        <w:t> </w:t>
      </w:r>
      <w:r>
        <w:rPr>
          <w:sz w:val="24"/>
        </w:rPr>
        <w:t>Chandra Chatterjee Street, Calcutta-12.</w:t>
      </w:r>
    </w:p>
    <w:p>
      <w:pPr>
        <w:pStyle w:val="BodyText"/>
        <w:spacing w:before="5"/>
      </w:pPr>
    </w:p>
    <w:p>
      <w:pPr>
        <w:pStyle w:val="ListParagraph"/>
        <w:numPr>
          <w:ilvl w:val="0"/>
          <w:numId w:val="169"/>
        </w:numPr>
        <w:tabs>
          <w:tab w:pos="517" w:val="left" w:leader="none"/>
        </w:tabs>
        <w:spacing w:line="240" w:lineRule="auto" w:before="0" w:after="0"/>
        <w:ind w:left="517" w:right="0" w:hanging="357"/>
        <w:jc w:val="left"/>
        <w:rPr>
          <w:sz w:val="24"/>
        </w:rPr>
      </w:pPr>
      <w:r>
        <w:rPr>
          <w:sz w:val="24"/>
        </w:rPr>
        <w:t>Dr.</w:t>
      </w:r>
      <w:r>
        <w:rPr>
          <w:spacing w:val="-3"/>
          <w:sz w:val="24"/>
        </w:rPr>
        <w:t> </w:t>
      </w:r>
      <w:r>
        <w:rPr>
          <w:sz w:val="24"/>
        </w:rPr>
        <w:t>S.</w:t>
      </w:r>
      <w:r>
        <w:rPr>
          <w:spacing w:val="-3"/>
          <w:sz w:val="24"/>
        </w:rPr>
        <w:t> </w:t>
      </w:r>
      <w:r>
        <w:rPr>
          <w:sz w:val="24"/>
        </w:rPr>
        <w:t>N.</w:t>
      </w:r>
      <w:r>
        <w:rPr>
          <w:spacing w:val="-2"/>
          <w:sz w:val="24"/>
        </w:rPr>
        <w:t> </w:t>
      </w:r>
      <w:r>
        <w:rPr>
          <w:sz w:val="24"/>
        </w:rPr>
        <w:t>Saraf,</w:t>
      </w:r>
      <w:r>
        <w:rPr>
          <w:spacing w:val="-3"/>
          <w:sz w:val="24"/>
        </w:rPr>
        <w:t> </w:t>
      </w:r>
      <w:r>
        <w:rPr>
          <w:sz w:val="24"/>
        </w:rPr>
        <w:t>Director,</w:t>
      </w:r>
      <w:r>
        <w:rPr>
          <w:spacing w:val="-1"/>
          <w:sz w:val="24"/>
        </w:rPr>
        <w:t> </w:t>
      </w:r>
      <w:r>
        <w:rPr>
          <w:sz w:val="24"/>
        </w:rPr>
        <w:t>Education</w:t>
      </w:r>
      <w:r>
        <w:rPr>
          <w:spacing w:val="-2"/>
          <w:sz w:val="24"/>
        </w:rPr>
        <w:t> </w:t>
      </w:r>
      <w:r>
        <w:rPr>
          <w:sz w:val="24"/>
        </w:rPr>
        <w:t>Division,</w:t>
      </w:r>
      <w:r>
        <w:rPr>
          <w:spacing w:val="-2"/>
          <w:sz w:val="24"/>
        </w:rPr>
        <w:t> </w:t>
      </w:r>
      <w:r>
        <w:rPr>
          <w:sz w:val="24"/>
        </w:rPr>
        <w:t>Planning</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69"/>
        </w:numPr>
        <w:tabs>
          <w:tab w:pos="597" w:val="left" w:leader="none"/>
        </w:tabs>
        <w:spacing w:line="240" w:lineRule="auto" w:before="0" w:after="0"/>
        <w:ind w:left="160" w:right="497" w:firstLine="0"/>
        <w:jc w:val="left"/>
        <w:rPr>
          <w:sz w:val="24"/>
        </w:rPr>
      </w:pPr>
      <w:r>
        <w:rPr>
          <w:sz w:val="24"/>
        </w:rPr>
        <w:t>Shri</w:t>
      </w:r>
      <w:r>
        <w:rPr>
          <w:spacing w:val="40"/>
          <w:sz w:val="24"/>
        </w:rPr>
        <w:t> </w:t>
      </w:r>
      <w:r>
        <w:rPr>
          <w:sz w:val="24"/>
        </w:rPr>
        <w:t>H.</w:t>
      </w:r>
      <w:r>
        <w:rPr>
          <w:spacing w:val="40"/>
          <w:sz w:val="24"/>
        </w:rPr>
        <w:t> </w:t>
      </w:r>
      <w:r>
        <w:rPr>
          <w:sz w:val="24"/>
        </w:rPr>
        <w:t>N.</w:t>
      </w:r>
      <w:r>
        <w:rPr>
          <w:spacing w:val="40"/>
          <w:sz w:val="24"/>
        </w:rPr>
        <w:t> </w:t>
      </w:r>
      <w:r>
        <w:rPr>
          <w:sz w:val="24"/>
        </w:rPr>
        <w:t>Sarma,</w:t>
      </w:r>
      <w:r>
        <w:rPr>
          <w:spacing w:val="40"/>
          <w:sz w:val="24"/>
        </w:rPr>
        <w:t> </w:t>
      </w:r>
      <w:r>
        <w:rPr>
          <w:sz w:val="24"/>
        </w:rPr>
        <w:t>Headmaster,</w:t>
      </w:r>
      <w:r>
        <w:rPr>
          <w:spacing w:val="40"/>
          <w:sz w:val="24"/>
        </w:rPr>
        <w:t> </w:t>
      </w:r>
      <w:r>
        <w:rPr>
          <w:sz w:val="24"/>
        </w:rPr>
        <w:t>Pattacharkuchi</w:t>
      </w:r>
      <w:r>
        <w:rPr>
          <w:spacing w:val="40"/>
          <w:sz w:val="24"/>
        </w:rPr>
        <w:t> </w:t>
      </w:r>
      <w:r>
        <w:rPr>
          <w:sz w:val="24"/>
        </w:rPr>
        <w:t>Vidyapith,</w:t>
      </w:r>
      <w:r>
        <w:rPr>
          <w:spacing w:val="40"/>
          <w:sz w:val="24"/>
        </w:rPr>
        <w:t> </w:t>
      </w:r>
      <w:r>
        <w:rPr>
          <w:sz w:val="24"/>
        </w:rPr>
        <w:t>P.O.</w:t>
      </w:r>
      <w:r>
        <w:rPr>
          <w:spacing w:val="40"/>
          <w:sz w:val="24"/>
        </w:rPr>
        <w:t> </w:t>
      </w:r>
      <w:r>
        <w:rPr>
          <w:sz w:val="24"/>
        </w:rPr>
        <w:t>Pattacharkuchi,</w:t>
      </w:r>
      <w:r>
        <w:rPr>
          <w:spacing w:val="80"/>
          <w:sz w:val="24"/>
        </w:rPr>
        <w:t> </w:t>
      </w:r>
      <w:r>
        <w:rPr>
          <w:sz w:val="24"/>
        </w:rPr>
        <w:t>District Kamrup, Assam.</w:t>
      </w:r>
    </w:p>
    <w:p>
      <w:pPr>
        <w:pStyle w:val="BodyText"/>
        <w:spacing w:before="5"/>
      </w:pPr>
    </w:p>
    <w:p>
      <w:pPr>
        <w:pStyle w:val="ListParagraph"/>
        <w:numPr>
          <w:ilvl w:val="0"/>
          <w:numId w:val="169"/>
        </w:numPr>
        <w:tabs>
          <w:tab w:pos="529" w:val="left" w:leader="none"/>
        </w:tabs>
        <w:spacing w:line="240" w:lineRule="auto" w:before="0" w:after="0"/>
        <w:ind w:left="160" w:right="496" w:firstLine="0"/>
        <w:jc w:val="left"/>
        <w:rPr>
          <w:sz w:val="24"/>
        </w:rPr>
      </w:pPr>
      <w:r>
        <w:rPr>
          <w:sz w:val="24"/>
        </w:rPr>
        <w:t>Miss S. Sethi, Principal, Government Higher Secondary School, Sector 4, House No. 40, Chandigarh.</w:t>
      </w:r>
    </w:p>
    <w:p>
      <w:pPr>
        <w:pStyle w:val="BodyText"/>
        <w:spacing w:before="5"/>
      </w:pPr>
    </w:p>
    <w:p>
      <w:pPr>
        <w:pStyle w:val="ListParagraph"/>
        <w:numPr>
          <w:ilvl w:val="0"/>
          <w:numId w:val="169"/>
        </w:numPr>
        <w:tabs>
          <w:tab w:pos="520" w:val="left" w:leader="none"/>
        </w:tabs>
        <w:spacing w:line="240" w:lineRule="auto" w:before="0" w:after="0"/>
        <w:ind w:left="520" w:right="0" w:hanging="360"/>
        <w:jc w:val="left"/>
        <w:rPr>
          <w:sz w:val="24"/>
        </w:rPr>
      </w:pPr>
      <w:r>
        <w:rPr>
          <w:sz w:val="24"/>
        </w:rPr>
        <w:t>Shri</w:t>
      </w:r>
      <w:r>
        <w:rPr>
          <w:spacing w:val="-1"/>
          <w:sz w:val="24"/>
        </w:rPr>
        <w:t> </w:t>
      </w:r>
      <w:r>
        <w:rPr>
          <w:sz w:val="24"/>
        </w:rPr>
        <w:t>C. C. Shah, Principal, Sarvajanik</w:t>
      </w:r>
      <w:r>
        <w:rPr>
          <w:spacing w:val="-1"/>
          <w:sz w:val="24"/>
        </w:rPr>
        <w:t> </w:t>
      </w:r>
      <w:r>
        <w:rPr>
          <w:sz w:val="24"/>
        </w:rPr>
        <w:t>College of Education, Desai Pole, </w:t>
      </w:r>
      <w:r>
        <w:rPr>
          <w:spacing w:val="-2"/>
          <w:sz w:val="24"/>
        </w:rPr>
        <w:t>Surat.</w:t>
      </w:r>
    </w:p>
    <w:p>
      <w:pPr>
        <w:pStyle w:val="BodyText"/>
        <w:spacing w:before="3"/>
      </w:pPr>
    </w:p>
    <w:p>
      <w:pPr>
        <w:pStyle w:val="ListParagraph"/>
        <w:numPr>
          <w:ilvl w:val="0"/>
          <w:numId w:val="169"/>
        </w:numPr>
        <w:tabs>
          <w:tab w:pos="519" w:val="left" w:leader="none"/>
        </w:tabs>
        <w:spacing w:line="240" w:lineRule="auto" w:before="1" w:after="0"/>
        <w:ind w:left="519" w:right="0" w:hanging="359"/>
        <w:jc w:val="left"/>
        <w:rPr>
          <w:sz w:val="24"/>
        </w:rPr>
      </w:pPr>
      <w:r>
        <w:rPr>
          <w:sz w:val="24"/>
        </w:rPr>
        <w:t>Shri</w:t>
      </w:r>
      <w:r>
        <w:rPr>
          <w:spacing w:val="-3"/>
          <w:sz w:val="24"/>
        </w:rPr>
        <w:t> </w:t>
      </w:r>
      <w:r>
        <w:rPr>
          <w:sz w:val="24"/>
        </w:rPr>
        <w:t>Kailash</w:t>
      </w:r>
      <w:r>
        <w:rPr>
          <w:spacing w:val="-3"/>
          <w:sz w:val="24"/>
        </w:rPr>
        <w:t> </w:t>
      </w:r>
      <w:r>
        <w:rPr>
          <w:sz w:val="24"/>
        </w:rPr>
        <w:t>Singh,</w:t>
      </w:r>
      <w:r>
        <w:rPr>
          <w:spacing w:val="-3"/>
          <w:sz w:val="24"/>
        </w:rPr>
        <w:t> </w:t>
      </w:r>
      <w:r>
        <w:rPr>
          <w:sz w:val="24"/>
        </w:rPr>
        <w:t>Principal,</w:t>
      </w:r>
      <w:r>
        <w:rPr>
          <w:spacing w:val="-3"/>
          <w:sz w:val="24"/>
        </w:rPr>
        <w:t> </w:t>
      </w:r>
      <w:r>
        <w:rPr>
          <w:sz w:val="24"/>
        </w:rPr>
        <w:t>D.A.V.</w:t>
      </w:r>
      <w:r>
        <w:rPr>
          <w:spacing w:val="-3"/>
          <w:sz w:val="24"/>
        </w:rPr>
        <w:t> </w:t>
      </w:r>
      <w:r>
        <w:rPr>
          <w:sz w:val="24"/>
        </w:rPr>
        <w:t>Higher</w:t>
      </w:r>
      <w:r>
        <w:rPr>
          <w:spacing w:val="-3"/>
          <w:sz w:val="24"/>
        </w:rPr>
        <w:t> </w:t>
      </w:r>
      <w:r>
        <w:rPr>
          <w:sz w:val="24"/>
        </w:rPr>
        <w:t>Secondary</w:t>
      </w:r>
      <w:r>
        <w:rPr>
          <w:spacing w:val="-3"/>
          <w:sz w:val="24"/>
        </w:rPr>
        <w:t> </w:t>
      </w:r>
      <w:r>
        <w:rPr>
          <w:sz w:val="24"/>
        </w:rPr>
        <w:t>School,</w:t>
      </w:r>
      <w:r>
        <w:rPr>
          <w:spacing w:val="-2"/>
          <w:sz w:val="24"/>
        </w:rPr>
        <w:t> </w:t>
      </w:r>
      <w:r>
        <w:rPr>
          <w:sz w:val="24"/>
        </w:rPr>
        <w:t>Mithapur,</w:t>
      </w:r>
      <w:r>
        <w:rPr>
          <w:spacing w:val="-2"/>
          <w:sz w:val="24"/>
        </w:rPr>
        <w:t> Patna.</w:t>
      </w:r>
    </w:p>
    <w:p>
      <w:pPr>
        <w:pStyle w:val="BodyText"/>
        <w:spacing w:before="3"/>
      </w:pPr>
    </w:p>
    <w:p>
      <w:pPr>
        <w:pStyle w:val="ListParagraph"/>
        <w:numPr>
          <w:ilvl w:val="0"/>
          <w:numId w:val="169"/>
        </w:numPr>
        <w:tabs>
          <w:tab w:pos="629" w:val="left" w:leader="none"/>
        </w:tabs>
        <w:spacing w:line="240" w:lineRule="auto" w:before="0" w:after="0"/>
        <w:ind w:left="160" w:right="498" w:firstLine="0"/>
        <w:jc w:val="left"/>
        <w:rPr>
          <w:sz w:val="24"/>
        </w:rPr>
      </w:pPr>
      <w:r>
        <w:rPr>
          <w:sz w:val="24"/>
        </w:rPr>
        <w:t>Shri</w:t>
      </w:r>
      <w:r>
        <w:rPr>
          <w:spacing w:val="80"/>
          <w:sz w:val="24"/>
        </w:rPr>
        <w:t> </w:t>
      </w:r>
      <w:r>
        <w:rPr>
          <w:sz w:val="24"/>
        </w:rPr>
        <w:t>P.</w:t>
      </w:r>
      <w:r>
        <w:rPr>
          <w:spacing w:val="80"/>
          <w:sz w:val="24"/>
        </w:rPr>
        <w:t> </w:t>
      </w:r>
      <w:r>
        <w:rPr>
          <w:sz w:val="24"/>
        </w:rPr>
        <w:t>M.</w:t>
      </w:r>
      <w:r>
        <w:rPr>
          <w:spacing w:val="80"/>
          <w:sz w:val="24"/>
        </w:rPr>
        <w:t> </w:t>
      </w:r>
      <w:r>
        <w:rPr>
          <w:sz w:val="24"/>
        </w:rPr>
        <w:t>Cherian</w:t>
      </w:r>
      <w:r>
        <w:rPr>
          <w:spacing w:val="80"/>
          <w:sz w:val="24"/>
        </w:rPr>
        <w:t> </w:t>
      </w:r>
      <w:r>
        <w:rPr>
          <w:sz w:val="24"/>
        </w:rPr>
        <w:t>Tharakan,</w:t>
      </w:r>
      <w:r>
        <w:rPr>
          <w:spacing w:val="80"/>
          <w:sz w:val="24"/>
        </w:rPr>
        <w:t> </w:t>
      </w:r>
      <w:r>
        <w:rPr>
          <w:sz w:val="24"/>
        </w:rPr>
        <w:t>Headmaster,</w:t>
      </w:r>
      <w:r>
        <w:rPr>
          <w:spacing w:val="80"/>
          <w:sz w:val="24"/>
        </w:rPr>
        <w:t> </w:t>
      </w:r>
      <w:r>
        <w:rPr>
          <w:sz w:val="24"/>
        </w:rPr>
        <w:t>St.</w:t>
      </w:r>
      <w:r>
        <w:rPr>
          <w:spacing w:val="80"/>
          <w:sz w:val="24"/>
        </w:rPr>
        <w:t> </w:t>
      </w:r>
      <w:r>
        <w:rPr>
          <w:sz w:val="24"/>
        </w:rPr>
        <w:t>John's</w:t>
      </w:r>
      <w:r>
        <w:rPr>
          <w:spacing w:val="80"/>
          <w:sz w:val="24"/>
        </w:rPr>
        <w:t> </w:t>
      </w:r>
      <w:r>
        <w:rPr>
          <w:sz w:val="24"/>
        </w:rPr>
        <w:t>Model</w:t>
      </w:r>
      <w:r>
        <w:rPr>
          <w:spacing w:val="80"/>
          <w:sz w:val="24"/>
        </w:rPr>
        <w:t> </w:t>
      </w:r>
      <w:r>
        <w:rPr>
          <w:sz w:val="24"/>
        </w:rPr>
        <w:t>High</w:t>
      </w:r>
      <w:r>
        <w:rPr>
          <w:spacing w:val="80"/>
          <w:sz w:val="24"/>
        </w:rPr>
        <w:t> </w:t>
      </w:r>
      <w:r>
        <w:rPr>
          <w:sz w:val="24"/>
        </w:rPr>
        <w:t>School,</w:t>
      </w:r>
      <w:r>
        <w:rPr>
          <w:spacing w:val="80"/>
          <w:sz w:val="24"/>
        </w:rPr>
        <w:t> </w:t>
      </w:r>
      <w:r>
        <w:rPr>
          <w:spacing w:val="-2"/>
          <w:sz w:val="24"/>
        </w:rPr>
        <w:t>Trivandrum.</w:t>
      </w:r>
    </w:p>
    <w:p>
      <w:pPr>
        <w:pStyle w:val="BodyText"/>
        <w:spacing w:before="4"/>
      </w:pPr>
    </w:p>
    <w:p>
      <w:pPr>
        <w:pStyle w:val="ListParagraph"/>
        <w:numPr>
          <w:ilvl w:val="0"/>
          <w:numId w:val="169"/>
        </w:numPr>
        <w:tabs>
          <w:tab w:pos="520" w:val="left" w:leader="none"/>
        </w:tabs>
        <w:spacing w:line="240" w:lineRule="auto" w:before="0" w:after="0"/>
        <w:ind w:left="160" w:right="499" w:firstLine="0"/>
        <w:jc w:val="left"/>
        <w:rPr>
          <w:sz w:val="24"/>
        </w:rPr>
      </w:pPr>
      <w:r>
        <w:rPr>
          <w:sz w:val="24"/>
        </w:rPr>
        <w:t>Shrimati</w:t>
      </w:r>
      <w:r>
        <w:rPr>
          <w:spacing w:val="-5"/>
          <w:sz w:val="24"/>
        </w:rPr>
        <w:t> </w:t>
      </w:r>
      <w:r>
        <w:rPr>
          <w:sz w:val="24"/>
        </w:rPr>
        <w:t>S.</w:t>
      </w:r>
      <w:r>
        <w:rPr>
          <w:spacing w:val="-5"/>
          <w:sz w:val="24"/>
        </w:rPr>
        <w:t> </w:t>
      </w:r>
      <w:r>
        <w:rPr>
          <w:sz w:val="24"/>
        </w:rPr>
        <w:t>Doraiswami,</w:t>
      </w:r>
      <w:r>
        <w:rPr>
          <w:spacing w:val="-5"/>
          <w:sz w:val="24"/>
        </w:rPr>
        <w:t> </w:t>
      </w:r>
      <w:r>
        <w:rPr>
          <w:sz w:val="24"/>
        </w:rPr>
        <w:t>Assistant</w:t>
      </w:r>
      <w:r>
        <w:rPr>
          <w:spacing w:val="-5"/>
          <w:sz w:val="24"/>
        </w:rPr>
        <w:t> </w:t>
      </w:r>
      <w:r>
        <w:rPr>
          <w:sz w:val="24"/>
        </w:rPr>
        <w:t>Educational</w:t>
      </w:r>
      <w:r>
        <w:rPr>
          <w:spacing w:val="-6"/>
          <w:sz w:val="24"/>
        </w:rPr>
        <w:t> </w:t>
      </w:r>
      <w:r>
        <w:rPr>
          <w:sz w:val="24"/>
        </w:rPr>
        <w:t>Adviser,</w:t>
      </w:r>
      <w:r>
        <w:rPr>
          <w:spacing w:val="-6"/>
          <w:sz w:val="24"/>
        </w:rPr>
        <w:t> </w:t>
      </w:r>
      <w:r>
        <w:rPr>
          <w:sz w:val="24"/>
        </w:rPr>
        <w:t>Education</w:t>
      </w:r>
      <w:r>
        <w:rPr>
          <w:spacing w:val="-6"/>
          <w:sz w:val="24"/>
        </w:rPr>
        <w:t> </w:t>
      </w:r>
      <w:r>
        <w:rPr>
          <w:sz w:val="24"/>
        </w:rPr>
        <w:t>Commission,</w:t>
      </w:r>
      <w:r>
        <w:rPr>
          <w:spacing w:val="-6"/>
          <w:sz w:val="24"/>
        </w:rPr>
        <w:t> </w:t>
      </w:r>
      <w:r>
        <w:rPr>
          <w:sz w:val="24"/>
        </w:rPr>
        <w:t>New Delhi. Secretary</w:t>
      </w:r>
    </w:p>
    <w:p>
      <w:pPr>
        <w:pStyle w:val="BodyText"/>
        <w:spacing w:before="5"/>
      </w:pPr>
    </w:p>
    <w:p>
      <w:pPr>
        <w:pStyle w:val="Heading2"/>
        <w:rPr>
          <w:rFonts w:ascii="Arial"/>
        </w:rPr>
      </w:pPr>
      <w:r>
        <w:rPr>
          <w:rFonts w:ascii="Arial"/>
        </w:rPr>
        <w:t>Sub-Group</w:t>
      </w:r>
      <w:r>
        <w:rPr>
          <w:rFonts w:ascii="Arial"/>
          <w:spacing w:val="-7"/>
        </w:rPr>
        <w:t> </w:t>
      </w:r>
      <w:r>
        <w:rPr>
          <w:rFonts w:ascii="Arial"/>
        </w:rPr>
        <w:t>on</w:t>
      </w:r>
      <w:r>
        <w:rPr>
          <w:rFonts w:ascii="Arial"/>
          <w:spacing w:val="-4"/>
        </w:rPr>
        <w:t> </w:t>
      </w:r>
      <w:r>
        <w:rPr>
          <w:rFonts w:ascii="Arial"/>
        </w:rPr>
        <w:t>Evaluation</w:t>
      </w:r>
      <w:r>
        <w:rPr>
          <w:rFonts w:ascii="Arial"/>
          <w:spacing w:val="-5"/>
        </w:rPr>
        <w:t> </w:t>
      </w:r>
      <w:r>
        <w:rPr>
          <w:rFonts w:ascii="Arial"/>
        </w:rPr>
        <w:t>at</w:t>
      </w:r>
      <w:r>
        <w:rPr>
          <w:rFonts w:ascii="Arial"/>
          <w:spacing w:val="-5"/>
        </w:rPr>
        <w:t> </w:t>
      </w:r>
      <w:r>
        <w:rPr>
          <w:rFonts w:ascii="Arial"/>
        </w:rPr>
        <w:t>the</w:t>
      </w:r>
      <w:r>
        <w:rPr>
          <w:rFonts w:ascii="Arial"/>
          <w:spacing w:val="-4"/>
        </w:rPr>
        <w:t> </w:t>
      </w:r>
      <w:r>
        <w:rPr>
          <w:rFonts w:ascii="Arial"/>
        </w:rPr>
        <w:t>School</w:t>
      </w:r>
      <w:r>
        <w:rPr>
          <w:rFonts w:ascii="Arial"/>
          <w:spacing w:val="-4"/>
        </w:rPr>
        <w:t> </w:t>
      </w:r>
      <w:r>
        <w:rPr>
          <w:rFonts w:ascii="Arial"/>
          <w:spacing w:val="-2"/>
        </w:rPr>
        <w:t>Stage</w:t>
      </w:r>
    </w:p>
    <w:p>
      <w:pPr>
        <w:pStyle w:val="BodyText"/>
        <w:spacing w:before="3"/>
        <w:rPr>
          <w:rFonts w:ascii="Arial"/>
          <w:b/>
        </w:rPr>
      </w:pPr>
    </w:p>
    <w:p>
      <w:pPr>
        <w:pStyle w:val="ListParagraph"/>
        <w:numPr>
          <w:ilvl w:val="0"/>
          <w:numId w:val="170"/>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A. R. Dawood, Member, 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spacing w:after="0" w:line="240" w:lineRule="auto"/>
        <w:jc w:val="left"/>
        <w:rPr>
          <w:sz w:val="24"/>
        </w:rPr>
        <w:sectPr>
          <w:pgSz w:w="12240" w:h="15840"/>
          <w:pgMar w:header="0" w:footer="743" w:top="1360" w:bottom="940" w:left="1640" w:right="1300"/>
        </w:sectPr>
      </w:pPr>
    </w:p>
    <w:p>
      <w:pPr>
        <w:pStyle w:val="ListParagraph"/>
        <w:numPr>
          <w:ilvl w:val="0"/>
          <w:numId w:val="170"/>
        </w:numPr>
        <w:tabs>
          <w:tab w:pos="400" w:val="left" w:leader="none"/>
        </w:tabs>
        <w:spacing w:line="240" w:lineRule="auto" w:before="78" w:after="0"/>
        <w:ind w:left="400" w:right="0" w:hanging="240"/>
        <w:jc w:val="left"/>
        <w:rPr>
          <w:sz w:val="24"/>
        </w:rPr>
      </w:pPr>
      <w:r>
        <w:rPr>
          <w:sz w:val="24"/>
        </w:rPr>
        <w:t>Dr.</w:t>
      </w:r>
      <w:r>
        <w:rPr>
          <w:spacing w:val="-5"/>
          <w:sz w:val="24"/>
        </w:rPr>
        <w:t> </w:t>
      </w:r>
      <w:r>
        <w:rPr>
          <w:sz w:val="24"/>
        </w:rPr>
        <w:t>R.</w:t>
      </w:r>
      <w:r>
        <w:rPr>
          <w:spacing w:val="-2"/>
          <w:sz w:val="24"/>
        </w:rPr>
        <w:t> </w:t>
      </w:r>
      <w:r>
        <w:rPr>
          <w:sz w:val="24"/>
        </w:rPr>
        <w:t>H.</w:t>
      </w:r>
      <w:r>
        <w:rPr>
          <w:spacing w:val="-2"/>
          <w:sz w:val="24"/>
        </w:rPr>
        <w:t> </w:t>
      </w:r>
      <w:r>
        <w:rPr>
          <w:sz w:val="24"/>
        </w:rPr>
        <w:t>Dave,</w:t>
      </w:r>
      <w:r>
        <w:rPr>
          <w:spacing w:val="-2"/>
          <w:sz w:val="24"/>
        </w:rPr>
        <w:t> </w:t>
      </w:r>
      <w:r>
        <w:rPr>
          <w:sz w:val="24"/>
        </w:rPr>
        <w:t>Deputy</w:t>
      </w:r>
      <w:r>
        <w:rPr>
          <w:spacing w:val="-2"/>
          <w:sz w:val="24"/>
        </w:rPr>
        <w:t> </w:t>
      </w:r>
      <w:r>
        <w:rPr>
          <w:sz w:val="24"/>
        </w:rPr>
        <w:t>Director,</w:t>
      </w:r>
      <w:r>
        <w:rPr>
          <w:spacing w:val="-3"/>
          <w:sz w:val="24"/>
        </w:rPr>
        <w:t> </w:t>
      </w:r>
      <w:r>
        <w:rPr>
          <w:sz w:val="24"/>
        </w:rPr>
        <w:t>DEPSE,</w:t>
      </w:r>
      <w:r>
        <w:rPr>
          <w:spacing w:val="-3"/>
          <w:sz w:val="24"/>
        </w:rPr>
        <w:t> </w:t>
      </w:r>
      <w:r>
        <w:rPr>
          <w:sz w:val="24"/>
        </w:rPr>
        <w:t>7,</w:t>
      </w:r>
      <w:r>
        <w:rPr>
          <w:spacing w:val="-3"/>
          <w:sz w:val="24"/>
        </w:rPr>
        <w:t> </w:t>
      </w:r>
      <w:r>
        <w:rPr>
          <w:sz w:val="24"/>
        </w:rPr>
        <w:t>Lancer</w:t>
      </w:r>
      <w:r>
        <w:rPr>
          <w:spacing w:val="-3"/>
          <w:sz w:val="24"/>
        </w:rPr>
        <w:t> </w:t>
      </w:r>
      <w:r>
        <w:rPr>
          <w:sz w:val="24"/>
        </w:rPr>
        <w:t>Road,</w:t>
      </w:r>
      <w:r>
        <w:rPr>
          <w:spacing w:val="-3"/>
          <w:sz w:val="24"/>
        </w:rPr>
        <w:t> </w:t>
      </w:r>
      <w:r>
        <w:rPr>
          <w:sz w:val="24"/>
        </w:rPr>
        <w:t>Delhi-</w:t>
      </w:r>
      <w:r>
        <w:rPr>
          <w:spacing w:val="-5"/>
          <w:sz w:val="24"/>
        </w:rPr>
        <w:t>6.</w:t>
      </w:r>
    </w:p>
    <w:p>
      <w:pPr>
        <w:pStyle w:val="BodyText"/>
        <w:spacing w:before="2"/>
      </w:pPr>
    </w:p>
    <w:p>
      <w:pPr>
        <w:pStyle w:val="ListParagraph"/>
        <w:numPr>
          <w:ilvl w:val="0"/>
          <w:numId w:val="170"/>
        </w:numPr>
        <w:tabs>
          <w:tab w:pos="407" w:val="left" w:leader="none"/>
        </w:tabs>
        <w:spacing w:line="240" w:lineRule="auto" w:before="0" w:after="0"/>
        <w:ind w:left="159" w:right="499" w:firstLine="0"/>
        <w:jc w:val="left"/>
        <w:rPr>
          <w:sz w:val="24"/>
        </w:rPr>
      </w:pPr>
      <w:r>
        <w:rPr>
          <w:sz w:val="24"/>
        </w:rPr>
        <w:t>Shri V. B. Desai, Deputy Director of Education in- charge Examinations, Government of Mysore, Mysore.</w:t>
      </w:r>
    </w:p>
    <w:p>
      <w:pPr>
        <w:pStyle w:val="BodyText"/>
        <w:spacing w:before="6"/>
      </w:pPr>
    </w:p>
    <w:p>
      <w:pPr>
        <w:pStyle w:val="ListParagraph"/>
        <w:numPr>
          <w:ilvl w:val="0"/>
          <w:numId w:val="170"/>
        </w:numPr>
        <w:tabs>
          <w:tab w:pos="399" w:val="left" w:leader="none"/>
        </w:tabs>
        <w:spacing w:line="240" w:lineRule="auto" w:before="0" w:after="0"/>
        <w:ind w:left="399" w:right="0" w:hanging="240"/>
        <w:jc w:val="left"/>
        <w:rPr>
          <w:sz w:val="24"/>
        </w:rPr>
      </w:pPr>
      <w:r>
        <w:rPr>
          <w:sz w:val="24"/>
        </w:rPr>
        <w:t>Dr. C. D. Deshpande, Director of</w:t>
      </w:r>
      <w:r>
        <w:rPr>
          <w:spacing w:val="-2"/>
          <w:sz w:val="24"/>
        </w:rPr>
        <w:t> </w:t>
      </w:r>
      <w:r>
        <w:rPr>
          <w:sz w:val="24"/>
        </w:rPr>
        <w:t>Education,</w:t>
      </w:r>
      <w:r>
        <w:rPr>
          <w:spacing w:val="-1"/>
          <w:sz w:val="24"/>
        </w:rPr>
        <w:t> </w:t>
      </w:r>
      <w:r>
        <w:rPr>
          <w:sz w:val="24"/>
        </w:rPr>
        <w:t>Maharashtra,</w:t>
      </w:r>
      <w:r>
        <w:rPr>
          <w:spacing w:val="-1"/>
          <w:sz w:val="24"/>
        </w:rPr>
        <w:t> </w:t>
      </w:r>
      <w:r>
        <w:rPr>
          <w:spacing w:val="-2"/>
          <w:sz w:val="24"/>
        </w:rPr>
        <w:t>Poona.</w:t>
      </w:r>
    </w:p>
    <w:p>
      <w:pPr>
        <w:pStyle w:val="BodyText"/>
        <w:spacing w:before="4"/>
      </w:pPr>
    </w:p>
    <w:p>
      <w:pPr>
        <w:pStyle w:val="ListParagraph"/>
        <w:numPr>
          <w:ilvl w:val="0"/>
          <w:numId w:val="170"/>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L. L. Joshi, Chairman, Board</w:t>
      </w:r>
      <w:r>
        <w:rPr>
          <w:spacing w:val="-1"/>
          <w:sz w:val="24"/>
        </w:rPr>
        <w:t> </w:t>
      </w:r>
      <w:r>
        <w:rPr>
          <w:sz w:val="24"/>
        </w:rPr>
        <w:t>of Secondary</w:t>
      </w:r>
      <w:r>
        <w:rPr>
          <w:spacing w:val="-1"/>
          <w:sz w:val="24"/>
        </w:rPr>
        <w:t> </w:t>
      </w:r>
      <w:r>
        <w:rPr>
          <w:sz w:val="24"/>
        </w:rPr>
        <w:t>Education,</w:t>
      </w:r>
      <w:r>
        <w:rPr>
          <w:spacing w:val="-1"/>
          <w:sz w:val="24"/>
        </w:rPr>
        <w:t> </w:t>
      </w:r>
      <w:r>
        <w:rPr>
          <w:sz w:val="24"/>
        </w:rPr>
        <w:t>Rajasthan,</w:t>
      </w:r>
      <w:r>
        <w:rPr>
          <w:spacing w:val="-1"/>
          <w:sz w:val="24"/>
        </w:rPr>
        <w:t> </w:t>
      </w:r>
      <w:r>
        <w:rPr>
          <w:spacing w:val="-2"/>
          <w:sz w:val="24"/>
        </w:rPr>
        <w:t>Jaipur.</w:t>
      </w:r>
    </w:p>
    <w:p>
      <w:pPr>
        <w:pStyle w:val="BodyText"/>
        <w:spacing w:before="3"/>
      </w:pPr>
    </w:p>
    <w:p>
      <w:pPr>
        <w:pStyle w:val="ListParagraph"/>
        <w:numPr>
          <w:ilvl w:val="0"/>
          <w:numId w:val="170"/>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5"/>
      </w:pPr>
    </w:p>
    <w:p>
      <w:pPr>
        <w:pStyle w:val="ListParagraph"/>
        <w:numPr>
          <w:ilvl w:val="0"/>
          <w:numId w:val="170"/>
        </w:numPr>
        <w:tabs>
          <w:tab w:pos="398" w:val="left" w:leader="none"/>
        </w:tabs>
        <w:spacing w:line="240" w:lineRule="auto" w:before="0" w:after="0"/>
        <w:ind w:left="398" w:right="0" w:hanging="238"/>
        <w:jc w:val="left"/>
        <w:rPr>
          <w:sz w:val="24"/>
        </w:rPr>
      </w:pPr>
      <w:r>
        <w:rPr>
          <w:sz w:val="24"/>
        </w:rPr>
        <w:t>Dr.</w:t>
      </w:r>
      <w:r>
        <w:rPr>
          <w:spacing w:val="-4"/>
          <w:sz w:val="24"/>
        </w:rPr>
        <w:t> </w:t>
      </w:r>
      <w:r>
        <w:rPr>
          <w:sz w:val="24"/>
        </w:rPr>
        <w:t>H.</w:t>
      </w:r>
      <w:r>
        <w:rPr>
          <w:spacing w:val="-4"/>
          <w:sz w:val="24"/>
        </w:rPr>
        <w:t> </w:t>
      </w:r>
      <w:r>
        <w:rPr>
          <w:sz w:val="24"/>
        </w:rPr>
        <w:t>J.</w:t>
      </w:r>
      <w:r>
        <w:rPr>
          <w:spacing w:val="-3"/>
          <w:sz w:val="24"/>
        </w:rPr>
        <w:t> </w:t>
      </w:r>
      <w:r>
        <w:rPr>
          <w:sz w:val="24"/>
        </w:rPr>
        <w:t>Taylor,</w:t>
      </w:r>
      <w:r>
        <w:rPr>
          <w:spacing w:val="-4"/>
          <w:sz w:val="24"/>
        </w:rPr>
        <w:t> </w:t>
      </w:r>
      <w:r>
        <w:rPr>
          <w:sz w:val="24"/>
        </w:rPr>
        <w:t>Principal,</w:t>
      </w:r>
      <w:r>
        <w:rPr>
          <w:spacing w:val="-3"/>
          <w:sz w:val="24"/>
        </w:rPr>
        <w:t> </w:t>
      </w:r>
      <w:r>
        <w:rPr>
          <w:sz w:val="24"/>
        </w:rPr>
        <w:t>Union</w:t>
      </w:r>
      <w:r>
        <w:rPr>
          <w:spacing w:val="-4"/>
          <w:sz w:val="24"/>
        </w:rPr>
        <w:t> </w:t>
      </w:r>
      <w:r>
        <w:rPr>
          <w:sz w:val="24"/>
        </w:rPr>
        <w:t>Christian</w:t>
      </w:r>
      <w:r>
        <w:rPr>
          <w:spacing w:val="-3"/>
          <w:sz w:val="24"/>
        </w:rPr>
        <w:t> </w:t>
      </w:r>
      <w:r>
        <w:rPr>
          <w:sz w:val="24"/>
        </w:rPr>
        <w:t>College,</w:t>
      </w:r>
      <w:r>
        <w:rPr>
          <w:spacing w:val="-2"/>
          <w:sz w:val="24"/>
        </w:rPr>
        <w:t> </w:t>
      </w:r>
      <w:r>
        <w:rPr>
          <w:sz w:val="24"/>
        </w:rPr>
        <w:t>Barapani,</w:t>
      </w:r>
      <w:r>
        <w:rPr>
          <w:spacing w:val="-3"/>
          <w:sz w:val="24"/>
        </w:rPr>
        <w:t> </w:t>
      </w:r>
      <w:r>
        <w:rPr>
          <w:sz w:val="24"/>
        </w:rPr>
        <w:t>Shillong</w:t>
      </w:r>
      <w:r>
        <w:rPr>
          <w:spacing w:val="-2"/>
          <w:sz w:val="24"/>
        </w:rPr>
        <w:t> (Assam).</w:t>
      </w:r>
    </w:p>
    <w:p>
      <w:pPr>
        <w:pStyle w:val="BodyText"/>
        <w:spacing w:before="5"/>
      </w:pPr>
    </w:p>
    <w:p>
      <w:pPr>
        <w:pStyle w:val="Heading2"/>
      </w:pPr>
      <w:r>
        <w:rPr/>
        <w:t>AIV.11. Task Force on</w:t>
      </w:r>
      <w:r>
        <w:rPr>
          <w:spacing w:val="-2"/>
        </w:rPr>
        <w:t> </w:t>
      </w:r>
      <w:r>
        <w:rPr/>
        <w:t>Student </w:t>
      </w:r>
      <w:r>
        <w:rPr>
          <w:spacing w:val="-2"/>
        </w:rPr>
        <w:t>Welfare</w:t>
      </w:r>
    </w:p>
    <w:p>
      <w:pPr>
        <w:pStyle w:val="BodyText"/>
        <w:spacing w:before="2"/>
        <w:rPr>
          <w:b/>
        </w:rPr>
      </w:pPr>
    </w:p>
    <w:p>
      <w:pPr>
        <w:pStyle w:val="ListParagraph"/>
        <w:numPr>
          <w:ilvl w:val="0"/>
          <w:numId w:val="171"/>
        </w:numPr>
        <w:tabs>
          <w:tab w:pos="400" w:val="left" w:leader="none"/>
        </w:tabs>
        <w:spacing w:line="240" w:lineRule="auto" w:before="1" w:after="0"/>
        <w:ind w:left="400" w:right="0" w:hanging="240"/>
        <w:jc w:val="left"/>
        <w:rPr>
          <w:sz w:val="24"/>
        </w:rPr>
      </w:pPr>
      <w:r>
        <w:rPr>
          <w:sz w:val="24"/>
        </w:rPr>
        <w:t>Shri</w:t>
      </w:r>
      <w:r>
        <w:rPr>
          <w:spacing w:val="-1"/>
          <w:sz w:val="24"/>
        </w:rPr>
        <w:t> </w:t>
      </w:r>
      <w:r>
        <w:rPr>
          <w:sz w:val="24"/>
        </w:rPr>
        <w:t>A. R. Dawood, Member, 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3"/>
      </w:pPr>
    </w:p>
    <w:p>
      <w:pPr>
        <w:pStyle w:val="ListParagraph"/>
        <w:numPr>
          <w:ilvl w:val="0"/>
          <w:numId w:val="171"/>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5"/>
      </w:pPr>
    </w:p>
    <w:p>
      <w:pPr>
        <w:pStyle w:val="ListParagraph"/>
        <w:numPr>
          <w:ilvl w:val="0"/>
          <w:numId w:val="171"/>
        </w:numPr>
        <w:tabs>
          <w:tab w:pos="399" w:val="left" w:leader="none"/>
        </w:tabs>
        <w:spacing w:line="240" w:lineRule="auto" w:before="0" w:after="0"/>
        <w:ind w:left="399" w:right="0" w:hanging="239"/>
        <w:jc w:val="left"/>
        <w:rPr>
          <w:sz w:val="24"/>
        </w:rPr>
      </w:pPr>
      <w:r>
        <w:rPr>
          <w:sz w:val="24"/>
        </w:rPr>
        <w:t>Dr.</w:t>
      </w:r>
      <w:r>
        <w:rPr>
          <w:spacing w:val="-3"/>
          <w:sz w:val="24"/>
        </w:rPr>
        <w:t> </w:t>
      </w:r>
      <w:r>
        <w:rPr>
          <w:sz w:val="24"/>
        </w:rPr>
        <w:t>D.</w:t>
      </w:r>
      <w:r>
        <w:rPr>
          <w:spacing w:val="-3"/>
          <w:sz w:val="24"/>
        </w:rPr>
        <w:t> </w:t>
      </w:r>
      <w:r>
        <w:rPr>
          <w:sz w:val="24"/>
        </w:rPr>
        <w:t>R.</w:t>
      </w:r>
      <w:r>
        <w:rPr>
          <w:spacing w:val="-3"/>
          <w:sz w:val="24"/>
        </w:rPr>
        <w:t> </w:t>
      </w:r>
      <w:r>
        <w:rPr>
          <w:sz w:val="24"/>
        </w:rPr>
        <w:t>Mankad,</w:t>
      </w:r>
      <w:r>
        <w:rPr>
          <w:spacing w:val="-2"/>
          <w:sz w:val="24"/>
        </w:rPr>
        <w:t> </w:t>
      </w:r>
      <w:r>
        <w:rPr>
          <w:sz w:val="24"/>
        </w:rPr>
        <w:t>Gangajala</w:t>
      </w:r>
      <w:r>
        <w:rPr>
          <w:spacing w:val="-3"/>
          <w:sz w:val="24"/>
        </w:rPr>
        <w:t> </w:t>
      </w:r>
      <w:r>
        <w:rPr>
          <w:sz w:val="24"/>
        </w:rPr>
        <w:t>Vidyapith,</w:t>
      </w:r>
      <w:r>
        <w:rPr>
          <w:spacing w:val="-3"/>
          <w:sz w:val="24"/>
        </w:rPr>
        <w:t> </w:t>
      </w:r>
      <w:r>
        <w:rPr>
          <w:sz w:val="24"/>
        </w:rPr>
        <w:t>Aliabad,</w:t>
      </w:r>
      <w:r>
        <w:rPr>
          <w:spacing w:val="-3"/>
          <w:sz w:val="24"/>
        </w:rPr>
        <w:t> </w:t>
      </w:r>
      <w:r>
        <w:rPr>
          <w:sz w:val="24"/>
        </w:rPr>
        <w:t>Gujarat</w:t>
      </w:r>
      <w:r>
        <w:rPr>
          <w:spacing w:val="-2"/>
          <w:sz w:val="24"/>
        </w:rPr>
        <w:t> State.</w:t>
      </w:r>
    </w:p>
    <w:p>
      <w:pPr>
        <w:pStyle w:val="BodyText"/>
        <w:spacing w:before="4"/>
      </w:pPr>
    </w:p>
    <w:p>
      <w:pPr>
        <w:pStyle w:val="ListParagraph"/>
        <w:numPr>
          <w:ilvl w:val="0"/>
          <w:numId w:val="171"/>
        </w:numPr>
        <w:tabs>
          <w:tab w:pos="400" w:val="left" w:leader="none"/>
        </w:tabs>
        <w:spacing w:line="240" w:lineRule="auto" w:before="0" w:after="0"/>
        <w:ind w:left="400" w:right="0" w:hanging="240"/>
        <w:jc w:val="left"/>
        <w:rPr>
          <w:sz w:val="24"/>
        </w:rPr>
      </w:pPr>
      <w:r>
        <w:rPr>
          <w:sz w:val="24"/>
        </w:rPr>
        <w:t>Dr. M. S. Mehta, Vice-Chancellor,</w:t>
      </w:r>
      <w:r>
        <w:rPr>
          <w:spacing w:val="-2"/>
          <w:sz w:val="24"/>
        </w:rPr>
        <w:t> </w:t>
      </w:r>
      <w:r>
        <w:rPr>
          <w:sz w:val="24"/>
        </w:rPr>
        <w:t>Rajasthan</w:t>
      </w:r>
      <w:r>
        <w:rPr>
          <w:spacing w:val="-1"/>
          <w:sz w:val="24"/>
        </w:rPr>
        <w:t> </w:t>
      </w:r>
      <w:r>
        <w:rPr>
          <w:sz w:val="24"/>
        </w:rPr>
        <w:t>University,</w:t>
      </w:r>
      <w:r>
        <w:rPr>
          <w:spacing w:val="-1"/>
          <w:sz w:val="24"/>
        </w:rPr>
        <w:t> </w:t>
      </w:r>
      <w:r>
        <w:rPr>
          <w:spacing w:val="-2"/>
          <w:sz w:val="24"/>
        </w:rPr>
        <w:t>Jaipur.</w:t>
      </w:r>
    </w:p>
    <w:p>
      <w:pPr>
        <w:pStyle w:val="BodyText"/>
        <w:spacing w:before="2"/>
      </w:pPr>
    </w:p>
    <w:p>
      <w:pPr>
        <w:pStyle w:val="ListParagraph"/>
        <w:numPr>
          <w:ilvl w:val="0"/>
          <w:numId w:val="171"/>
        </w:numPr>
        <w:tabs>
          <w:tab w:pos="410" w:val="left" w:leader="none"/>
        </w:tabs>
        <w:spacing w:line="240" w:lineRule="auto" w:before="0" w:after="0"/>
        <w:ind w:left="160" w:right="496" w:firstLine="0"/>
        <w:jc w:val="left"/>
        <w:rPr>
          <w:sz w:val="24"/>
        </w:rPr>
      </w:pPr>
      <w:r>
        <w:rPr>
          <w:sz w:val="24"/>
        </w:rPr>
        <w:t>Dr. (Mrs.) Perin H. Mehta, Director, Bureau of Educational and Vocational Guidance, N.C.E.R.T., New Delhi.</w:t>
      </w:r>
    </w:p>
    <w:p>
      <w:pPr>
        <w:pStyle w:val="BodyText"/>
        <w:spacing w:before="6"/>
      </w:pPr>
    </w:p>
    <w:p>
      <w:pPr>
        <w:pStyle w:val="ListParagraph"/>
        <w:numPr>
          <w:ilvl w:val="0"/>
          <w:numId w:val="171"/>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71"/>
        </w:numPr>
        <w:tabs>
          <w:tab w:pos="422" w:val="left" w:leader="none"/>
        </w:tabs>
        <w:spacing w:line="240" w:lineRule="auto" w:before="0" w:after="0"/>
        <w:ind w:left="160" w:right="499" w:firstLine="0"/>
        <w:jc w:val="left"/>
        <w:rPr>
          <w:sz w:val="24"/>
        </w:rPr>
      </w:pPr>
      <w:r>
        <w:rPr>
          <w:sz w:val="24"/>
        </w:rPr>
        <w:t>Dr. Prem. Pasricha, United States Educational Foundation in India, 12, Hailey Road, New Delhi.</w:t>
      </w:r>
    </w:p>
    <w:p>
      <w:pPr>
        <w:pStyle w:val="BodyText"/>
        <w:spacing w:before="4"/>
      </w:pPr>
    </w:p>
    <w:p>
      <w:pPr>
        <w:pStyle w:val="ListParagraph"/>
        <w:numPr>
          <w:ilvl w:val="0"/>
          <w:numId w:val="171"/>
        </w:numPr>
        <w:tabs>
          <w:tab w:pos="400" w:val="left" w:leader="none"/>
        </w:tabs>
        <w:spacing w:line="240" w:lineRule="auto" w:before="1" w:after="0"/>
        <w:ind w:left="400" w:right="0" w:hanging="240"/>
        <w:jc w:val="left"/>
        <w:rPr>
          <w:sz w:val="24"/>
        </w:rPr>
      </w:pPr>
      <w:r>
        <w:rPr>
          <w:sz w:val="24"/>
        </w:rPr>
        <w:t>Dr.</w:t>
      </w:r>
      <w:r>
        <w:rPr>
          <w:spacing w:val="-1"/>
          <w:sz w:val="24"/>
        </w:rPr>
        <w:t> </w:t>
      </w:r>
      <w:r>
        <w:rPr>
          <w:sz w:val="24"/>
        </w:rPr>
        <w:t>V. Ramakrishna, Director, Central Bureau</w:t>
      </w:r>
      <w:r>
        <w:rPr>
          <w:spacing w:val="-1"/>
          <w:sz w:val="24"/>
        </w:rPr>
        <w:t> </w:t>
      </w:r>
      <w:r>
        <w:rPr>
          <w:sz w:val="24"/>
        </w:rPr>
        <w:t>of Health Education, New </w:t>
      </w:r>
      <w:r>
        <w:rPr>
          <w:spacing w:val="-2"/>
          <w:sz w:val="24"/>
        </w:rPr>
        <w:t>Delhi.</w:t>
      </w:r>
    </w:p>
    <w:p>
      <w:pPr>
        <w:pStyle w:val="BodyText"/>
        <w:spacing w:before="4"/>
      </w:pPr>
    </w:p>
    <w:p>
      <w:pPr>
        <w:pStyle w:val="ListParagraph"/>
        <w:numPr>
          <w:ilvl w:val="0"/>
          <w:numId w:val="171"/>
        </w:numPr>
        <w:tabs>
          <w:tab w:pos="400" w:val="left" w:leader="none"/>
        </w:tabs>
        <w:spacing w:line="240" w:lineRule="auto" w:before="0" w:after="0"/>
        <w:ind w:left="400" w:right="0" w:hanging="240"/>
        <w:jc w:val="left"/>
        <w:rPr>
          <w:sz w:val="24"/>
        </w:rPr>
      </w:pPr>
      <w:r>
        <w:rPr>
          <w:sz w:val="24"/>
        </w:rPr>
        <w:t>Dr. A. S. Raturi, Dean of Students,</w:t>
      </w:r>
      <w:r>
        <w:rPr>
          <w:spacing w:val="-1"/>
          <w:sz w:val="24"/>
        </w:rPr>
        <w:t> </w:t>
      </w:r>
      <w:r>
        <w:rPr>
          <w:sz w:val="24"/>
        </w:rPr>
        <w:t>Banaras Hindu University, Varanasi-</w:t>
      </w:r>
      <w:r>
        <w:rPr>
          <w:spacing w:val="-5"/>
          <w:sz w:val="24"/>
        </w:rPr>
        <w:t>5.</w:t>
      </w:r>
    </w:p>
    <w:p>
      <w:pPr>
        <w:pStyle w:val="BodyText"/>
        <w:spacing w:before="4"/>
      </w:pPr>
    </w:p>
    <w:p>
      <w:pPr>
        <w:pStyle w:val="ListParagraph"/>
        <w:numPr>
          <w:ilvl w:val="0"/>
          <w:numId w:val="171"/>
        </w:numPr>
        <w:tabs>
          <w:tab w:pos="520" w:val="left" w:leader="none"/>
        </w:tabs>
        <w:spacing w:line="240" w:lineRule="auto" w:before="0" w:after="0"/>
        <w:ind w:left="520" w:right="0" w:hanging="360"/>
        <w:jc w:val="left"/>
        <w:rPr>
          <w:sz w:val="24"/>
        </w:rPr>
      </w:pPr>
      <w:r>
        <w:rPr>
          <w:sz w:val="24"/>
        </w:rPr>
        <w:t>Dr.</w:t>
      </w:r>
      <w:r>
        <w:rPr>
          <w:spacing w:val="-1"/>
          <w:sz w:val="24"/>
        </w:rPr>
        <w:t> </w:t>
      </w:r>
      <w:r>
        <w:rPr>
          <w:sz w:val="24"/>
        </w:rPr>
        <w:t>D. S. Reddy,</w:t>
      </w:r>
      <w:r>
        <w:rPr>
          <w:spacing w:val="-1"/>
          <w:sz w:val="24"/>
        </w:rPr>
        <w:t> </w:t>
      </w:r>
      <w:r>
        <w:rPr>
          <w:sz w:val="24"/>
        </w:rPr>
        <w:t>Vice-Chancellor,</w:t>
      </w:r>
      <w:r>
        <w:rPr>
          <w:spacing w:val="-1"/>
          <w:sz w:val="24"/>
        </w:rPr>
        <w:t> </w:t>
      </w:r>
      <w:r>
        <w:rPr>
          <w:sz w:val="24"/>
        </w:rPr>
        <w:t>Osmania</w:t>
      </w:r>
      <w:r>
        <w:rPr>
          <w:spacing w:val="1"/>
          <w:sz w:val="24"/>
        </w:rPr>
        <w:t> </w:t>
      </w:r>
      <w:r>
        <w:rPr>
          <w:sz w:val="24"/>
        </w:rPr>
        <w:t>University,</w:t>
      </w:r>
      <w:r>
        <w:rPr>
          <w:spacing w:val="-2"/>
          <w:sz w:val="24"/>
        </w:rPr>
        <w:t> Hyderabad.</w:t>
      </w:r>
    </w:p>
    <w:p>
      <w:pPr>
        <w:pStyle w:val="BodyText"/>
        <w:spacing w:before="2"/>
      </w:pPr>
    </w:p>
    <w:p>
      <w:pPr>
        <w:pStyle w:val="ListParagraph"/>
        <w:numPr>
          <w:ilvl w:val="0"/>
          <w:numId w:val="171"/>
        </w:numPr>
        <w:tabs>
          <w:tab w:pos="613" w:val="left" w:leader="none"/>
        </w:tabs>
        <w:spacing w:line="240" w:lineRule="auto" w:before="1" w:after="0"/>
        <w:ind w:left="159" w:right="499" w:firstLine="0"/>
        <w:jc w:val="left"/>
        <w:rPr>
          <w:sz w:val="24"/>
        </w:rPr>
      </w:pPr>
      <w:r>
        <w:rPr>
          <w:sz w:val="24"/>
        </w:rPr>
        <w:t>Shri</w:t>
      </w:r>
      <w:r>
        <w:rPr>
          <w:spacing w:val="80"/>
          <w:sz w:val="24"/>
        </w:rPr>
        <w:t> </w:t>
      </w:r>
      <w:r>
        <w:rPr>
          <w:sz w:val="24"/>
        </w:rPr>
        <w:t>S.</w:t>
      </w:r>
      <w:r>
        <w:rPr>
          <w:spacing w:val="80"/>
          <w:sz w:val="24"/>
        </w:rPr>
        <w:t> </w:t>
      </w:r>
      <w:r>
        <w:rPr>
          <w:sz w:val="24"/>
        </w:rPr>
        <w:t>L.</w:t>
      </w:r>
      <w:r>
        <w:rPr>
          <w:spacing w:val="80"/>
          <w:sz w:val="24"/>
        </w:rPr>
        <w:t> </w:t>
      </w:r>
      <w:r>
        <w:rPr>
          <w:sz w:val="24"/>
        </w:rPr>
        <w:t>Saruparia,</w:t>
      </w:r>
      <w:r>
        <w:rPr>
          <w:spacing w:val="80"/>
          <w:sz w:val="24"/>
        </w:rPr>
        <w:t> </w:t>
      </w:r>
      <w:r>
        <w:rPr>
          <w:sz w:val="24"/>
        </w:rPr>
        <w:t>Research</w:t>
      </w:r>
      <w:r>
        <w:rPr>
          <w:spacing w:val="80"/>
          <w:sz w:val="24"/>
        </w:rPr>
        <w:t> </w:t>
      </w:r>
      <w:r>
        <w:rPr>
          <w:sz w:val="24"/>
        </w:rPr>
        <w:t>Fellow,</w:t>
      </w:r>
      <w:r>
        <w:rPr>
          <w:spacing w:val="80"/>
          <w:sz w:val="24"/>
        </w:rPr>
        <w:t> </w:t>
      </w:r>
      <w:r>
        <w:rPr>
          <w:sz w:val="24"/>
        </w:rPr>
        <w:t>Department</w:t>
      </w:r>
      <w:r>
        <w:rPr>
          <w:spacing w:val="80"/>
          <w:sz w:val="24"/>
        </w:rPr>
        <w:t> </w:t>
      </w:r>
      <w:r>
        <w:rPr>
          <w:sz w:val="24"/>
        </w:rPr>
        <w:t>of</w:t>
      </w:r>
      <w:r>
        <w:rPr>
          <w:spacing w:val="80"/>
          <w:sz w:val="24"/>
        </w:rPr>
        <w:t> </w:t>
      </w:r>
      <w:r>
        <w:rPr>
          <w:sz w:val="24"/>
        </w:rPr>
        <w:t>Economics,</w:t>
      </w:r>
      <w:r>
        <w:rPr>
          <w:spacing w:val="80"/>
          <w:sz w:val="24"/>
        </w:rPr>
        <w:t> </w:t>
      </w:r>
      <w:r>
        <w:rPr>
          <w:sz w:val="24"/>
        </w:rPr>
        <w:t>Rajasthan University, Jaipur.</w:t>
      </w:r>
    </w:p>
    <w:p>
      <w:pPr>
        <w:pStyle w:val="BodyText"/>
        <w:spacing w:before="5"/>
      </w:pPr>
    </w:p>
    <w:p>
      <w:pPr>
        <w:pStyle w:val="ListParagraph"/>
        <w:numPr>
          <w:ilvl w:val="0"/>
          <w:numId w:val="171"/>
        </w:numPr>
        <w:tabs>
          <w:tab w:pos="519" w:val="left" w:leader="none"/>
        </w:tabs>
        <w:spacing w:line="240" w:lineRule="auto" w:before="1" w:after="0"/>
        <w:ind w:left="519" w:right="0" w:hanging="360"/>
        <w:jc w:val="left"/>
        <w:rPr>
          <w:sz w:val="24"/>
        </w:rPr>
      </w:pPr>
      <w:r>
        <w:rPr>
          <w:sz w:val="24"/>
        </w:rPr>
        <w:t>Dr.</w:t>
      </w:r>
      <w:r>
        <w:rPr>
          <w:spacing w:val="-5"/>
          <w:sz w:val="24"/>
        </w:rPr>
        <w:t> </w:t>
      </w:r>
      <w:r>
        <w:rPr>
          <w:sz w:val="24"/>
        </w:rPr>
        <w:t>Vikram</w:t>
      </w:r>
      <w:r>
        <w:rPr>
          <w:spacing w:val="-4"/>
          <w:sz w:val="24"/>
        </w:rPr>
        <w:t> </w:t>
      </w:r>
      <w:r>
        <w:rPr>
          <w:sz w:val="24"/>
        </w:rPr>
        <w:t>Singh,</w:t>
      </w:r>
      <w:r>
        <w:rPr>
          <w:spacing w:val="-2"/>
          <w:sz w:val="24"/>
        </w:rPr>
        <w:t> </w:t>
      </w:r>
      <w:r>
        <w:rPr>
          <w:sz w:val="24"/>
        </w:rPr>
        <w:t>Deputy</w:t>
      </w:r>
      <w:r>
        <w:rPr>
          <w:spacing w:val="-2"/>
          <w:sz w:val="24"/>
        </w:rPr>
        <w:t> </w:t>
      </w:r>
      <w:r>
        <w:rPr>
          <w:sz w:val="24"/>
        </w:rPr>
        <w:t>Educational</w:t>
      </w:r>
      <w:r>
        <w:rPr>
          <w:spacing w:val="-2"/>
          <w:sz w:val="24"/>
        </w:rPr>
        <w:t> </w:t>
      </w:r>
      <w:r>
        <w:rPr>
          <w:sz w:val="24"/>
        </w:rPr>
        <w:t>Adviser,</w:t>
      </w:r>
      <w:r>
        <w:rPr>
          <w:spacing w:val="-3"/>
          <w:sz w:val="24"/>
        </w:rPr>
        <w:t> </w:t>
      </w:r>
      <w:r>
        <w:rPr>
          <w:sz w:val="24"/>
        </w:rPr>
        <w:t>Ministry</w:t>
      </w:r>
      <w:r>
        <w:rPr>
          <w:spacing w:val="-3"/>
          <w:sz w:val="24"/>
        </w:rPr>
        <w:t> </w:t>
      </w:r>
      <w:r>
        <w:rPr>
          <w:sz w:val="24"/>
        </w:rPr>
        <w:t>of</w:t>
      </w:r>
      <w:r>
        <w:rPr>
          <w:spacing w:val="-3"/>
          <w:sz w:val="24"/>
        </w:rPr>
        <w:t> </w:t>
      </w:r>
      <w:r>
        <w:rPr>
          <w:sz w:val="24"/>
        </w:rPr>
        <w:t>Education,</w:t>
      </w:r>
      <w:r>
        <w:rPr>
          <w:spacing w:val="-3"/>
          <w:sz w:val="24"/>
        </w:rPr>
        <w:t> </w:t>
      </w:r>
      <w:r>
        <w:rPr>
          <w:sz w:val="24"/>
        </w:rPr>
        <w:t>New</w:t>
      </w:r>
      <w:r>
        <w:rPr>
          <w:spacing w:val="-3"/>
          <w:sz w:val="24"/>
        </w:rPr>
        <w:t> </w:t>
      </w:r>
      <w:r>
        <w:rPr>
          <w:spacing w:val="-2"/>
          <w:sz w:val="24"/>
        </w:rPr>
        <w:t>Delhi.</w:t>
      </w:r>
    </w:p>
    <w:p>
      <w:pPr>
        <w:pStyle w:val="BodyText"/>
        <w:spacing w:before="2"/>
      </w:pPr>
    </w:p>
    <w:p>
      <w:pPr>
        <w:pStyle w:val="ListParagraph"/>
        <w:numPr>
          <w:ilvl w:val="0"/>
          <w:numId w:val="171"/>
        </w:numPr>
        <w:tabs>
          <w:tab w:pos="519" w:val="left" w:leader="none"/>
        </w:tabs>
        <w:spacing w:line="240" w:lineRule="auto" w:before="0" w:after="0"/>
        <w:ind w:left="159" w:right="499" w:firstLine="0"/>
        <w:jc w:val="left"/>
        <w:rPr>
          <w:sz w:val="24"/>
        </w:rPr>
      </w:pPr>
      <w:r>
        <w:rPr>
          <w:sz w:val="24"/>
        </w:rPr>
        <w:t>Shrimati</w:t>
      </w:r>
      <w:r>
        <w:rPr>
          <w:spacing w:val="-5"/>
          <w:sz w:val="24"/>
        </w:rPr>
        <w:t> </w:t>
      </w:r>
      <w:r>
        <w:rPr>
          <w:sz w:val="24"/>
        </w:rPr>
        <w:t>S.</w:t>
      </w:r>
      <w:r>
        <w:rPr>
          <w:spacing w:val="-5"/>
          <w:sz w:val="24"/>
        </w:rPr>
        <w:t> </w:t>
      </w:r>
      <w:r>
        <w:rPr>
          <w:sz w:val="24"/>
        </w:rPr>
        <w:t>Doraiswami,</w:t>
      </w:r>
      <w:r>
        <w:rPr>
          <w:spacing w:val="-5"/>
          <w:sz w:val="24"/>
        </w:rPr>
        <w:t> </w:t>
      </w:r>
      <w:r>
        <w:rPr>
          <w:sz w:val="24"/>
        </w:rPr>
        <w:t>Assistant</w:t>
      </w:r>
      <w:r>
        <w:rPr>
          <w:spacing w:val="-5"/>
          <w:sz w:val="24"/>
        </w:rPr>
        <w:t> </w:t>
      </w:r>
      <w:r>
        <w:rPr>
          <w:sz w:val="24"/>
        </w:rPr>
        <w:t>Educational</w:t>
      </w:r>
      <w:r>
        <w:rPr>
          <w:spacing w:val="-6"/>
          <w:sz w:val="24"/>
        </w:rPr>
        <w:t> </w:t>
      </w:r>
      <w:r>
        <w:rPr>
          <w:sz w:val="24"/>
        </w:rPr>
        <w:t>Adviser,</w:t>
      </w:r>
      <w:r>
        <w:rPr>
          <w:spacing w:val="-6"/>
          <w:sz w:val="24"/>
        </w:rPr>
        <w:t> </w:t>
      </w:r>
      <w:r>
        <w:rPr>
          <w:sz w:val="24"/>
        </w:rPr>
        <w:t>Education</w:t>
      </w:r>
      <w:r>
        <w:rPr>
          <w:spacing w:val="-6"/>
          <w:sz w:val="24"/>
        </w:rPr>
        <w:t> </w:t>
      </w:r>
      <w:r>
        <w:rPr>
          <w:sz w:val="24"/>
        </w:rPr>
        <w:t>Commission,</w:t>
      </w:r>
      <w:r>
        <w:rPr>
          <w:spacing w:val="-6"/>
          <w:sz w:val="24"/>
        </w:rPr>
        <w:t> </w:t>
      </w:r>
      <w:r>
        <w:rPr>
          <w:sz w:val="24"/>
        </w:rPr>
        <w:t>New Delhi. Secretary</w:t>
      </w:r>
    </w:p>
    <w:p>
      <w:pPr>
        <w:spacing w:after="0" w:line="240" w:lineRule="auto"/>
        <w:jc w:val="left"/>
        <w:rPr>
          <w:sz w:val="24"/>
        </w:rPr>
        <w:sectPr>
          <w:pgSz w:w="12240" w:h="15840"/>
          <w:pgMar w:header="0" w:footer="743" w:top="1360" w:bottom="940" w:left="1640" w:right="1300"/>
        </w:sectPr>
      </w:pPr>
    </w:p>
    <w:p>
      <w:pPr>
        <w:pStyle w:val="Heading1"/>
        <w:spacing w:before="79"/>
        <w:ind w:left="160" w:right="0"/>
        <w:jc w:val="left"/>
      </w:pPr>
      <w:r>
        <w:rPr/>
        <w:t>SPECIAL</w:t>
      </w:r>
      <w:r>
        <w:rPr>
          <w:spacing w:val="-8"/>
        </w:rPr>
        <w:t> </w:t>
      </w:r>
      <w:r>
        <w:rPr>
          <w:spacing w:val="-2"/>
        </w:rPr>
        <w:t>INVITEES</w:t>
      </w:r>
    </w:p>
    <w:p>
      <w:pPr>
        <w:pStyle w:val="BodyText"/>
        <w:spacing w:before="2"/>
        <w:rPr>
          <w:b/>
        </w:rPr>
      </w:pPr>
    </w:p>
    <w:p>
      <w:pPr>
        <w:pStyle w:val="ListParagraph"/>
        <w:numPr>
          <w:ilvl w:val="0"/>
          <w:numId w:val="172"/>
        </w:numPr>
        <w:tabs>
          <w:tab w:pos="407" w:val="left" w:leader="none"/>
        </w:tabs>
        <w:spacing w:line="240" w:lineRule="auto" w:before="0" w:after="0"/>
        <w:ind w:left="160" w:right="496" w:firstLine="0"/>
        <w:jc w:val="left"/>
        <w:rPr>
          <w:sz w:val="24"/>
        </w:rPr>
      </w:pPr>
      <w:r>
        <w:rPr>
          <w:sz w:val="24"/>
        </w:rPr>
        <w:t>Dr. H. H. Howes, c/o United States Educational Foundation in India, 12, Hailey Road, New Delhi.</w:t>
      </w:r>
    </w:p>
    <w:p>
      <w:pPr>
        <w:pStyle w:val="BodyText"/>
        <w:spacing w:before="5"/>
      </w:pPr>
    </w:p>
    <w:p>
      <w:pPr>
        <w:pStyle w:val="ListParagraph"/>
        <w:numPr>
          <w:ilvl w:val="0"/>
          <w:numId w:val="172"/>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Nauhria Ram, Deputy</w:t>
      </w:r>
      <w:r>
        <w:rPr>
          <w:spacing w:val="-1"/>
          <w:sz w:val="24"/>
        </w:rPr>
        <w:t> </w:t>
      </w:r>
      <w:r>
        <w:rPr>
          <w:sz w:val="24"/>
        </w:rPr>
        <w:t>Educational Adviser, Ministry</w:t>
      </w:r>
      <w:r>
        <w:rPr>
          <w:spacing w:val="-1"/>
          <w:sz w:val="24"/>
        </w:rPr>
        <w:t> </w:t>
      </w:r>
      <w:r>
        <w:rPr>
          <w:sz w:val="24"/>
        </w:rPr>
        <w:t>of Education, New </w:t>
      </w:r>
      <w:r>
        <w:rPr>
          <w:spacing w:val="-2"/>
          <w:sz w:val="24"/>
        </w:rPr>
        <w:t>Delhi.</w:t>
      </w:r>
    </w:p>
    <w:p>
      <w:pPr>
        <w:pStyle w:val="BodyText"/>
        <w:spacing w:before="2"/>
      </w:pPr>
    </w:p>
    <w:p>
      <w:pPr>
        <w:pStyle w:val="ListParagraph"/>
        <w:numPr>
          <w:ilvl w:val="0"/>
          <w:numId w:val="172"/>
        </w:numPr>
        <w:tabs>
          <w:tab w:pos="406" w:val="left" w:leader="none"/>
        </w:tabs>
        <w:spacing w:line="240" w:lineRule="auto" w:before="1" w:after="0"/>
        <w:ind w:left="160" w:right="497" w:firstLine="0"/>
        <w:jc w:val="left"/>
        <w:rPr>
          <w:sz w:val="24"/>
        </w:rPr>
      </w:pPr>
      <w:r>
        <w:rPr>
          <w:sz w:val="24"/>
        </w:rPr>
        <w:t>Dr. Olive 1. Reddick, United States Educational Foundation in India, 12, Hailey </w:t>
      </w:r>
      <w:r>
        <w:rPr>
          <w:sz w:val="24"/>
        </w:rPr>
        <w:t>Road, New Delhi.</w:t>
      </w:r>
    </w:p>
    <w:p>
      <w:pPr>
        <w:pStyle w:val="BodyText"/>
        <w:spacing w:before="4"/>
      </w:pPr>
    </w:p>
    <w:p>
      <w:pPr>
        <w:pStyle w:val="Heading2"/>
        <w:spacing w:before="1"/>
        <w:rPr>
          <w:rFonts w:ascii="Arial"/>
        </w:rPr>
      </w:pPr>
      <w:r>
        <w:rPr>
          <w:rFonts w:ascii="Arial"/>
        </w:rPr>
        <w:t>Sub-Group</w:t>
      </w:r>
      <w:r>
        <w:rPr>
          <w:rFonts w:ascii="Arial"/>
          <w:spacing w:val="-5"/>
        </w:rPr>
        <w:t> </w:t>
      </w:r>
      <w:r>
        <w:rPr>
          <w:rFonts w:ascii="Arial"/>
        </w:rPr>
        <w:t>on</w:t>
      </w:r>
      <w:r>
        <w:rPr>
          <w:rFonts w:ascii="Arial"/>
          <w:spacing w:val="-4"/>
        </w:rPr>
        <w:t> </w:t>
      </w:r>
      <w:r>
        <w:rPr>
          <w:rFonts w:ascii="Arial"/>
          <w:spacing w:val="-2"/>
        </w:rPr>
        <w:t>Hostels</w:t>
      </w:r>
    </w:p>
    <w:p>
      <w:pPr>
        <w:pStyle w:val="BodyText"/>
        <w:spacing w:before="3"/>
        <w:rPr>
          <w:rFonts w:ascii="Arial"/>
          <w:b/>
        </w:rPr>
      </w:pPr>
    </w:p>
    <w:p>
      <w:pPr>
        <w:pStyle w:val="ListParagraph"/>
        <w:numPr>
          <w:ilvl w:val="0"/>
          <w:numId w:val="173"/>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D. R. Mankad, Gangajala</w:t>
      </w:r>
      <w:r>
        <w:rPr>
          <w:spacing w:val="-1"/>
          <w:sz w:val="24"/>
        </w:rPr>
        <w:t> </w:t>
      </w:r>
      <w:r>
        <w:rPr>
          <w:sz w:val="24"/>
        </w:rPr>
        <w:t>Vidyapith,</w:t>
      </w:r>
      <w:r>
        <w:rPr>
          <w:spacing w:val="-2"/>
          <w:sz w:val="24"/>
        </w:rPr>
        <w:t> </w:t>
      </w:r>
      <w:r>
        <w:rPr>
          <w:sz w:val="24"/>
        </w:rPr>
        <w:t>Aliabad, Distt. Jamnagar </w:t>
      </w:r>
      <w:r>
        <w:rPr>
          <w:spacing w:val="-2"/>
          <w:sz w:val="24"/>
        </w:rPr>
        <w:t>(Gujarat).</w:t>
      </w:r>
    </w:p>
    <w:p>
      <w:pPr>
        <w:pStyle w:val="BodyText"/>
        <w:spacing w:before="5"/>
      </w:pPr>
    </w:p>
    <w:p>
      <w:pPr>
        <w:pStyle w:val="ListParagraph"/>
        <w:numPr>
          <w:ilvl w:val="0"/>
          <w:numId w:val="173"/>
        </w:numPr>
        <w:tabs>
          <w:tab w:pos="400" w:val="left" w:leader="none"/>
        </w:tabs>
        <w:spacing w:line="240" w:lineRule="auto" w:before="0" w:after="0"/>
        <w:ind w:left="400" w:right="0" w:hanging="240"/>
        <w:jc w:val="left"/>
        <w:rPr>
          <w:sz w:val="24"/>
        </w:rPr>
      </w:pPr>
      <w:r>
        <w:rPr>
          <w:sz w:val="24"/>
        </w:rPr>
        <w:t>Dr. A. S. Raturi, Dean of Students,</w:t>
      </w:r>
      <w:r>
        <w:rPr>
          <w:spacing w:val="-1"/>
          <w:sz w:val="24"/>
        </w:rPr>
        <w:t> </w:t>
      </w:r>
      <w:r>
        <w:rPr>
          <w:sz w:val="24"/>
        </w:rPr>
        <w:t>Banaras Hindu University, </w:t>
      </w:r>
      <w:r>
        <w:rPr>
          <w:spacing w:val="-2"/>
          <w:sz w:val="24"/>
        </w:rPr>
        <w:t>Varanasi.</w:t>
      </w:r>
    </w:p>
    <w:p>
      <w:pPr>
        <w:pStyle w:val="BodyText"/>
        <w:spacing w:before="2"/>
      </w:pPr>
    </w:p>
    <w:p>
      <w:pPr>
        <w:pStyle w:val="ListParagraph"/>
        <w:numPr>
          <w:ilvl w:val="0"/>
          <w:numId w:val="173"/>
        </w:numPr>
        <w:tabs>
          <w:tab w:pos="506" w:val="left" w:leader="none"/>
        </w:tabs>
        <w:spacing w:line="240" w:lineRule="auto" w:before="0" w:after="0"/>
        <w:ind w:left="160" w:right="497" w:firstLine="0"/>
        <w:jc w:val="left"/>
        <w:rPr>
          <w:sz w:val="24"/>
        </w:rPr>
      </w:pPr>
      <w:r>
        <w:rPr>
          <w:sz w:val="24"/>
        </w:rPr>
        <w:t>Shri</w:t>
      </w:r>
      <w:r>
        <w:rPr>
          <w:spacing w:val="80"/>
          <w:sz w:val="24"/>
        </w:rPr>
        <w:t> </w:t>
      </w:r>
      <w:r>
        <w:rPr>
          <w:sz w:val="24"/>
        </w:rPr>
        <w:t>S.</w:t>
      </w:r>
      <w:r>
        <w:rPr>
          <w:spacing w:val="80"/>
          <w:sz w:val="24"/>
        </w:rPr>
        <w:t> </w:t>
      </w:r>
      <w:r>
        <w:rPr>
          <w:sz w:val="24"/>
        </w:rPr>
        <w:t>L.</w:t>
      </w:r>
      <w:r>
        <w:rPr>
          <w:spacing w:val="80"/>
          <w:sz w:val="24"/>
        </w:rPr>
        <w:t> </w:t>
      </w:r>
      <w:r>
        <w:rPr>
          <w:sz w:val="24"/>
        </w:rPr>
        <w:t>Saruparia,</w:t>
      </w:r>
      <w:r>
        <w:rPr>
          <w:spacing w:val="80"/>
          <w:sz w:val="24"/>
        </w:rPr>
        <w:t> </w:t>
      </w:r>
      <w:r>
        <w:rPr>
          <w:sz w:val="24"/>
        </w:rPr>
        <w:t>Research</w:t>
      </w:r>
      <w:r>
        <w:rPr>
          <w:spacing w:val="80"/>
          <w:sz w:val="24"/>
        </w:rPr>
        <w:t> </w:t>
      </w:r>
      <w:r>
        <w:rPr>
          <w:sz w:val="24"/>
        </w:rPr>
        <w:t>Fellow,</w:t>
      </w:r>
      <w:r>
        <w:rPr>
          <w:spacing w:val="80"/>
          <w:sz w:val="24"/>
        </w:rPr>
        <w:t> </w:t>
      </w:r>
      <w:r>
        <w:rPr>
          <w:sz w:val="24"/>
        </w:rPr>
        <w:t>Department</w:t>
      </w:r>
      <w:r>
        <w:rPr>
          <w:spacing w:val="80"/>
          <w:sz w:val="24"/>
        </w:rPr>
        <w:t> </w:t>
      </w:r>
      <w:r>
        <w:rPr>
          <w:sz w:val="24"/>
        </w:rPr>
        <w:t>of</w:t>
      </w:r>
      <w:r>
        <w:rPr>
          <w:spacing w:val="80"/>
          <w:sz w:val="24"/>
        </w:rPr>
        <w:t> </w:t>
      </w:r>
      <w:r>
        <w:rPr>
          <w:sz w:val="24"/>
        </w:rPr>
        <w:t>Economics,</w:t>
      </w:r>
      <w:r>
        <w:rPr>
          <w:spacing w:val="80"/>
          <w:sz w:val="24"/>
        </w:rPr>
        <w:t> </w:t>
      </w:r>
      <w:r>
        <w:rPr>
          <w:sz w:val="24"/>
        </w:rPr>
        <w:t>Rajasthan</w:t>
      </w:r>
      <w:r>
        <w:rPr>
          <w:spacing w:val="40"/>
          <w:sz w:val="24"/>
        </w:rPr>
        <w:t> </w:t>
      </w:r>
      <w:r>
        <w:rPr>
          <w:sz w:val="24"/>
        </w:rPr>
        <w:t>University, Jaipur.</w:t>
      </w:r>
    </w:p>
    <w:p>
      <w:pPr>
        <w:pStyle w:val="BodyText"/>
        <w:spacing w:before="5"/>
      </w:pPr>
    </w:p>
    <w:p>
      <w:pPr>
        <w:pStyle w:val="Heading2"/>
        <w:rPr>
          <w:rFonts w:ascii="Arial"/>
        </w:rPr>
      </w:pPr>
      <w:r>
        <w:rPr>
          <w:rFonts w:ascii="Arial"/>
        </w:rPr>
        <w:t>Sub-Group</w:t>
      </w:r>
      <w:r>
        <w:rPr>
          <w:rFonts w:ascii="Arial"/>
          <w:spacing w:val="-7"/>
        </w:rPr>
        <w:t> </w:t>
      </w:r>
      <w:r>
        <w:rPr>
          <w:rFonts w:ascii="Arial"/>
        </w:rPr>
        <w:t>on</w:t>
      </w:r>
      <w:r>
        <w:rPr>
          <w:rFonts w:ascii="Arial"/>
          <w:spacing w:val="-4"/>
        </w:rPr>
        <w:t> </w:t>
      </w:r>
      <w:r>
        <w:rPr>
          <w:rFonts w:ascii="Arial"/>
        </w:rPr>
        <w:t>Guidance</w:t>
      </w:r>
      <w:r>
        <w:rPr>
          <w:rFonts w:ascii="Arial"/>
          <w:spacing w:val="-5"/>
        </w:rPr>
        <w:t> </w:t>
      </w:r>
      <w:r>
        <w:rPr>
          <w:rFonts w:ascii="Arial"/>
        </w:rPr>
        <w:t>and</w:t>
      </w:r>
      <w:r>
        <w:rPr>
          <w:rFonts w:ascii="Arial"/>
          <w:spacing w:val="-4"/>
        </w:rPr>
        <w:t> </w:t>
      </w:r>
      <w:r>
        <w:rPr>
          <w:rFonts w:ascii="Arial"/>
          <w:spacing w:val="-2"/>
        </w:rPr>
        <w:t>Counseling</w:t>
      </w:r>
    </w:p>
    <w:p>
      <w:pPr>
        <w:pStyle w:val="BodyText"/>
        <w:spacing w:before="4"/>
        <w:rPr>
          <w:rFonts w:ascii="Arial"/>
          <w:b/>
        </w:rPr>
      </w:pPr>
    </w:p>
    <w:p>
      <w:pPr>
        <w:pStyle w:val="ListParagraph"/>
        <w:numPr>
          <w:ilvl w:val="0"/>
          <w:numId w:val="174"/>
        </w:numPr>
        <w:tabs>
          <w:tab w:pos="433" w:val="left" w:leader="none"/>
        </w:tabs>
        <w:spacing w:line="240" w:lineRule="auto" w:before="0" w:after="0"/>
        <w:ind w:left="160" w:right="498" w:firstLine="0"/>
        <w:jc w:val="left"/>
        <w:rPr>
          <w:sz w:val="24"/>
        </w:rPr>
      </w:pPr>
      <w:r>
        <w:rPr>
          <w:sz w:val="24"/>
        </w:rPr>
        <w:t>Dr.</w:t>
      </w:r>
      <w:r>
        <w:rPr>
          <w:spacing w:val="30"/>
          <w:sz w:val="24"/>
        </w:rPr>
        <w:t> </w:t>
      </w:r>
      <w:r>
        <w:rPr>
          <w:sz w:val="24"/>
        </w:rPr>
        <w:t>(Mrs.)</w:t>
      </w:r>
      <w:r>
        <w:rPr>
          <w:spacing w:val="30"/>
          <w:sz w:val="24"/>
        </w:rPr>
        <w:t> </w:t>
      </w:r>
      <w:r>
        <w:rPr>
          <w:sz w:val="24"/>
        </w:rPr>
        <w:t>Perin</w:t>
      </w:r>
      <w:r>
        <w:rPr>
          <w:spacing w:val="30"/>
          <w:sz w:val="24"/>
        </w:rPr>
        <w:t> </w:t>
      </w:r>
      <w:r>
        <w:rPr>
          <w:sz w:val="24"/>
        </w:rPr>
        <w:t>H.</w:t>
      </w:r>
      <w:r>
        <w:rPr>
          <w:spacing w:val="30"/>
          <w:sz w:val="24"/>
        </w:rPr>
        <w:t> </w:t>
      </w:r>
      <w:r>
        <w:rPr>
          <w:sz w:val="24"/>
        </w:rPr>
        <w:t>Mehta,</w:t>
      </w:r>
      <w:r>
        <w:rPr>
          <w:spacing w:val="30"/>
          <w:sz w:val="24"/>
        </w:rPr>
        <w:t> </w:t>
      </w:r>
      <w:r>
        <w:rPr>
          <w:sz w:val="24"/>
        </w:rPr>
        <w:t>Director,</w:t>
      </w:r>
      <w:r>
        <w:rPr>
          <w:spacing w:val="30"/>
          <w:sz w:val="24"/>
        </w:rPr>
        <w:t> </w:t>
      </w:r>
      <w:r>
        <w:rPr>
          <w:sz w:val="24"/>
        </w:rPr>
        <w:t>Central</w:t>
      </w:r>
      <w:r>
        <w:rPr>
          <w:spacing w:val="30"/>
          <w:sz w:val="24"/>
        </w:rPr>
        <w:t> </w:t>
      </w:r>
      <w:r>
        <w:rPr>
          <w:sz w:val="24"/>
        </w:rPr>
        <w:t>Bureau</w:t>
      </w:r>
      <w:r>
        <w:rPr>
          <w:spacing w:val="30"/>
          <w:sz w:val="24"/>
        </w:rPr>
        <w:t> </w:t>
      </w:r>
      <w:r>
        <w:rPr>
          <w:sz w:val="24"/>
        </w:rPr>
        <w:t>of</w:t>
      </w:r>
      <w:r>
        <w:rPr>
          <w:spacing w:val="29"/>
          <w:sz w:val="24"/>
        </w:rPr>
        <w:t> </w:t>
      </w:r>
      <w:r>
        <w:rPr>
          <w:sz w:val="24"/>
        </w:rPr>
        <w:t>Educational</w:t>
      </w:r>
      <w:r>
        <w:rPr>
          <w:spacing w:val="30"/>
          <w:sz w:val="24"/>
        </w:rPr>
        <w:t> </w:t>
      </w:r>
      <w:r>
        <w:rPr>
          <w:sz w:val="24"/>
        </w:rPr>
        <w:t>and</w:t>
      </w:r>
      <w:r>
        <w:rPr>
          <w:spacing w:val="30"/>
          <w:sz w:val="24"/>
        </w:rPr>
        <w:t> </w:t>
      </w:r>
      <w:r>
        <w:rPr>
          <w:sz w:val="24"/>
        </w:rPr>
        <w:t>Vocational Guidance, N.C.E.R.T., New Delhi.</w:t>
      </w:r>
    </w:p>
    <w:p>
      <w:pPr>
        <w:pStyle w:val="BodyText"/>
        <w:spacing w:before="3"/>
      </w:pPr>
    </w:p>
    <w:p>
      <w:pPr>
        <w:pStyle w:val="ListParagraph"/>
        <w:numPr>
          <w:ilvl w:val="0"/>
          <w:numId w:val="174"/>
        </w:numPr>
        <w:tabs>
          <w:tab w:pos="427" w:val="left" w:leader="none"/>
        </w:tabs>
        <w:spacing w:line="240" w:lineRule="auto" w:before="1" w:after="0"/>
        <w:ind w:left="160" w:right="498" w:firstLine="0"/>
        <w:jc w:val="left"/>
        <w:rPr>
          <w:sz w:val="24"/>
        </w:rPr>
      </w:pPr>
      <w:r>
        <w:rPr>
          <w:sz w:val="24"/>
        </w:rPr>
        <w:t>Dr. Prem Pasricha, United States Educational Foundation in India, 12, Hailey Road,</w:t>
      </w:r>
      <w:r>
        <w:rPr>
          <w:spacing w:val="80"/>
          <w:sz w:val="24"/>
        </w:rPr>
        <w:t> </w:t>
      </w:r>
      <w:r>
        <w:rPr>
          <w:sz w:val="24"/>
        </w:rPr>
        <w:t>New Delhi.</w:t>
      </w:r>
    </w:p>
    <w:p>
      <w:pPr>
        <w:pStyle w:val="BodyText"/>
        <w:spacing w:before="3"/>
      </w:pPr>
    </w:p>
    <w:p>
      <w:pPr>
        <w:pStyle w:val="ListParagraph"/>
        <w:numPr>
          <w:ilvl w:val="0"/>
          <w:numId w:val="174"/>
        </w:numPr>
        <w:tabs>
          <w:tab w:pos="406" w:val="left" w:leader="none"/>
        </w:tabs>
        <w:spacing w:line="240" w:lineRule="auto" w:before="0" w:after="0"/>
        <w:ind w:left="160" w:right="497" w:firstLine="0"/>
        <w:jc w:val="left"/>
        <w:rPr>
          <w:sz w:val="24"/>
        </w:rPr>
      </w:pPr>
      <w:r>
        <w:rPr>
          <w:sz w:val="24"/>
        </w:rPr>
        <w:t>Dr. Olive 1. Reddick, United States Educational Foundation in India, 12, Hailey </w:t>
      </w:r>
      <w:r>
        <w:rPr>
          <w:sz w:val="24"/>
        </w:rPr>
        <w:t>Road, New Delhi.</w:t>
      </w:r>
    </w:p>
    <w:p>
      <w:pPr>
        <w:pStyle w:val="BodyText"/>
        <w:spacing w:before="5"/>
      </w:pPr>
    </w:p>
    <w:p>
      <w:pPr>
        <w:pStyle w:val="ListParagraph"/>
        <w:numPr>
          <w:ilvl w:val="0"/>
          <w:numId w:val="174"/>
        </w:numPr>
        <w:tabs>
          <w:tab w:pos="413" w:val="left" w:leader="none"/>
        </w:tabs>
        <w:spacing w:line="240" w:lineRule="auto" w:before="0" w:after="0"/>
        <w:ind w:left="160" w:right="497" w:firstLine="0"/>
        <w:jc w:val="left"/>
        <w:rPr>
          <w:sz w:val="24"/>
        </w:rPr>
      </w:pPr>
      <w:r>
        <w:rPr>
          <w:sz w:val="24"/>
        </w:rPr>
        <w:t>Shrimati S. Doraiswami, Assistant Educational Adviser, Education Commission, New </w:t>
      </w:r>
      <w:r>
        <w:rPr>
          <w:spacing w:val="-2"/>
          <w:sz w:val="24"/>
        </w:rPr>
        <w:t>Delhi.</w:t>
      </w:r>
    </w:p>
    <w:p>
      <w:pPr>
        <w:pStyle w:val="BodyText"/>
        <w:spacing w:before="5"/>
      </w:pPr>
    </w:p>
    <w:p>
      <w:pPr>
        <w:pStyle w:val="Heading2"/>
        <w:rPr>
          <w:rFonts w:ascii="Arial"/>
        </w:rPr>
      </w:pPr>
      <w:r>
        <w:rPr>
          <w:rFonts w:ascii="Arial"/>
        </w:rPr>
        <w:t>Sub-Group on Health </w:t>
      </w:r>
      <w:r>
        <w:rPr>
          <w:rFonts w:ascii="Arial"/>
          <w:spacing w:val="-2"/>
        </w:rPr>
        <w:t>Services</w:t>
      </w:r>
    </w:p>
    <w:p>
      <w:pPr>
        <w:pStyle w:val="BodyText"/>
        <w:spacing w:before="3"/>
        <w:rPr>
          <w:rFonts w:ascii="Arial"/>
          <w:b/>
        </w:rPr>
      </w:pPr>
    </w:p>
    <w:p>
      <w:pPr>
        <w:pStyle w:val="ListParagraph"/>
        <w:numPr>
          <w:ilvl w:val="0"/>
          <w:numId w:val="175"/>
        </w:numPr>
        <w:tabs>
          <w:tab w:pos="400" w:val="left" w:leader="none"/>
        </w:tabs>
        <w:spacing w:line="240" w:lineRule="auto" w:before="1" w:after="0"/>
        <w:ind w:left="400"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75"/>
        </w:numPr>
        <w:tabs>
          <w:tab w:pos="460" w:val="left" w:leader="none"/>
        </w:tabs>
        <w:spacing w:line="240" w:lineRule="auto" w:before="0" w:after="0"/>
        <w:ind w:left="160" w:right="496" w:firstLine="0"/>
        <w:jc w:val="left"/>
        <w:rPr>
          <w:sz w:val="24"/>
        </w:rPr>
      </w:pPr>
      <w:r>
        <w:rPr>
          <w:sz w:val="24"/>
        </w:rPr>
        <w:t>Dr.</w:t>
      </w:r>
      <w:r>
        <w:rPr>
          <w:spacing w:val="40"/>
          <w:sz w:val="24"/>
        </w:rPr>
        <w:t> </w:t>
      </w:r>
      <w:r>
        <w:rPr>
          <w:sz w:val="24"/>
        </w:rPr>
        <w:t>A.</w:t>
      </w:r>
      <w:r>
        <w:rPr>
          <w:spacing w:val="40"/>
          <w:sz w:val="24"/>
        </w:rPr>
        <w:t> </w:t>
      </w:r>
      <w:r>
        <w:rPr>
          <w:sz w:val="24"/>
        </w:rPr>
        <w:t>M.</w:t>
      </w:r>
      <w:r>
        <w:rPr>
          <w:spacing w:val="40"/>
          <w:sz w:val="24"/>
        </w:rPr>
        <w:t> </w:t>
      </w:r>
      <w:r>
        <w:rPr>
          <w:sz w:val="24"/>
        </w:rPr>
        <w:t>Gade,</w:t>
      </w:r>
      <w:r>
        <w:rPr>
          <w:spacing w:val="40"/>
          <w:sz w:val="24"/>
        </w:rPr>
        <w:t> </w:t>
      </w:r>
      <w:r>
        <w:rPr>
          <w:sz w:val="24"/>
        </w:rPr>
        <w:t>Regional</w:t>
      </w:r>
      <w:r>
        <w:rPr>
          <w:spacing w:val="40"/>
          <w:sz w:val="24"/>
        </w:rPr>
        <w:t> </w:t>
      </w:r>
      <w:r>
        <w:rPr>
          <w:sz w:val="24"/>
        </w:rPr>
        <w:t>Adviser</w:t>
      </w:r>
      <w:r>
        <w:rPr>
          <w:spacing w:val="40"/>
          <w:sz w:val="24"/>
        </w:rPr>
        <w:t> </w:t>
      </w:r>
      <w:r>
        <w:rPr>
          <w:sz w:val="24"/>
        </w:rPr>
        <w:t>in</w:t>
      </w:r>
      <w:r>
        <w:rPr>
          <w:spacing w:val="40"/>
          <w:sz w:val="24"/>
        </w:rPr>
        <w:t> </w:t>
      </w:r>
      <w:r>
        <w:rPr>
          <w:sz w:val="24"/>
        </w:rPr>
        <w:t>Maternal</w:t>
      </w:r>
      <w:r>
        <w:rPr>
          <w:spacing w:val="40"/>
          <w:sz w:val="24"/>
        </w:rPr>
        <w:t> </w:t>
      </w:r>
      <w:r>
        <w:rPr>
          <w:sz w:val="24"/>
        </w:rPr>
        <w:t>and</w:t>
      </w:r>
      <w:r>
        <w:rPr>
          <w:spacing w:val="40"/>
          <w:sz w:val="24"/>
        </w:rPr>
        <w:t> </w:t>
      </w:r>
      <w:r>
        <w:rPr>
          <w:sz w:val="24"/>
        </w:rPr>
        <w:t>Child</w:t>
      </w:r>
      <w:r>
        <w:rPr>
          <w:spacing w:val="40"/>
          <w:sz w:val="24"/>
        </w:rPr>
        <w:t> </w:t>
      </w:r>
      <w:r>
        <w:rPr>
          <w:sz w:val="24"/>
        </w:rPr>
        <w:t>Health,</w:t>
      </w:r>
      <w:r>
        <w:rPr>
          <w:spacing w:val="40"/>
          <w:sz w:val="24"/>
        </w:rPr>
        <w:t> </w:t>
      </w:r>
      <w:r>
        <w:rPr>
          <w:sz w:val="24"/>
        </w:rPr>
        <w:t>World</w:t>
      </w:r>
      <w:r>
        <w:rPr>
          <w:spacing w:val="40"/>
          <w:sz w:val="24"/>
        </w:rPr>
        <w:t> </w:t>
      </w:r>
      <w:r>
        <w:rPr>
          <w:sz w:val="24"/>
        </w:rPr>
        <w:t>Health</w:t>
      </w:r>
      <w:r>
        <w:rPr>
          <w:spacing w:val="40"/>
          <w:sz w:val="24"/>
        </w:rPr>
        <w:t> </w:t>
      </w:r>
      <w:r>
        <w:rPr>
          <w:sz w:val="24"/>
        </w:rPr>
        <w:t>Organization, Indraprastha Estate, New Delhi.</w:t>
      </w:r>
    </w:p>
    <w:p>
      <w:pPr>
        <w:pStyle w:val="BodyText"/>
        <w:spacing w:before="4"/>
      </w:pPr>
    </w:p>
    <w:p>
      <w:pPr>
        <w:pStyle w:val="ListParagraph"/>
        <w:numPr>
          <w:ilvl w:val="0"/>
          <w:numId w:val="175"/>
        </w:numPr>
        <w:tabs>
          <w:tab w:pos="421" w:val="left" w:leader="none"/>
        </w:tabs>
        <w:spacing w:line="240" w:lineRule="auto" w:before="0" w:after="0"/>
        <w:ind w:left="160" w:right="498" w:firstLine="0"/>
        <w:jc w:val="left"/>
        <w:rPr>
          <w:sz w:val="24"/>
        </w:rPr>
      </w:pPr>
      <w:r>
        <w:rPr>
          <w:sz w:val="24"/>
        </w:rPr>
        <w:t>Miss F. Kornegay, Health Educator, World Health Organization, Indraprastha Estate, New Delhi.</w:t>
      </w:r>
    </w:p>
    <w:p>
      <w:pPr>
        <w:pStyle w:val="BodyText"/>
        <w:spacing w:before="5"/>
      </w:pPr>
    </w:p>
    <w:p>
      <w:pPr>
        <w:pStyle w:val="ListParagraph"/>
        <w:numPr>
          <w:ilvl w:val="0"/>
          <w:numId w:val="175"/>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Ramakrishna, Director,</w:t>
      </w:r>
      <w:r>
        <w:rPr>
          <w:spacing w:val="-1"/>
          <w:sz w:val="24"/>
        </w:rPr>
        <w:t> </w:t>
      </w:r>
      <w:r>
        <w:rPr>
          <w:sz w:val="24"/>
        </w:rPr>
        <w:t>Central</w:t>
      </w:r>
      <w:r>
        <w:rPr>
          <w:spacing w:val="-1"/>
          <w:sz w:val="24"/>
        </w:rPr>
        <w:t> </w:t>
      </w:r>
      <w:r>
        <w:rPr>
          <w:sz w:val="24"/>
        </w:rPr>
        <w:t>Health</w:t>
      </w:r>
      <w:r>
        <w:rPr>
          <w:spacing w:val="-1"/>
          <w:sz w:val="24"/>
        </w:rPr>
        <w:t> </w:t>
      </w:r>
      <w:r>
        <w:rPr>
          <w:sz w:val="24"/>
        </w:rPr>
        <w:t>Education</w:t>
      </w:r>
      <w:r>
        <w:rPr>
          <w:spacing w:val="-2"/>
          <w:sz w:val="24"/>
        </w:rPr>
        <w:t> </w:t>
      </w:r>
      <w:r>
        <w:rPr>
          <w:sz w:val="24"/>
        </w:rPr>
        <w:t>Bureau,</w:t>
      </w:r>
      <w:r>
        <w:rPr>
          <w:spacing w:val="-1"/>
          <w:sz w:val="24"/>
        </w:rPr>
        <w:t> </w:t>
      </w:r>
      <w:r>
        <w:rPr>
          <w:sz w:val="24"/>
        </w:rPr>
        <w:t>New</w:t>
      </w:r>
      <w:r>
        <w:rPr>
          <w:spacing w:val="-1"/>
          <w:sz w:val="24"/>
        </w:rPr>
        <w:t> </w:t>
      </w:r>
      <w:r>
        <w:rPr>
          <w:spacing w:val="-2"/>
          <w:sz w:val="24"/>
        </w:rPr>
        <w:t>Delhi.</w:t>
      </w:r>
    </w:p>
    <w:p>
      <w:pPr>
        <w:spacing w:after="0" w:line="240" w:lineRule="auto"/>
        <w:jc w:val="left"/>
        <w:rPr>
          <w:sz w:val="24"/>
        </w:rPr>
        <w:sectPr>
          <w:pgSz w:w="12240" w:h="15840"/>
          <w:pgMar w:header="0" w:footer="743" w:top="1360" w:bottom="940" w:left="1640" w:right="1300"/>
        </w:sectPr>
      </w:pPr>
    </w:p>
    <w:p>
      <w:pPr>
        <w:pStyle w:val="ListParagraph"/>
        <w:numPr>
          <w:ilvl w:val="0"/>
          <w:numId w:val="175"/>
        </w:numPr>
        <w:tabs>
          <w:tab w:pos="426" w:val="left" w:leader="none"/>
        </w:tabs>
        <w:spacing w:line="240" w:lineRule="auto" w:before="76" w:after="0"/>
        <w:ind w:left="160" w:right="498" w:firstLine="0"/>
        <w:jc w:val="left"/>
        <w:rPr>
          <w:sz w:val="24"/>
        </w:rPr>
      </w:pPr>
      <w:r>
        <w:rPr>
          <w:sz w:val="24"/>
        </w:rPr>
        <w:t>Dr. D. K. Roy, Medical Officer-in-Charge, World University Service Health Centre,</w:t>
      </w:r>
      <w:r>
        <w:rPr>
          <w:spacing w:val="80"/>
          <w:sz w:val="24"/>
        </w:rPr>
        <w:t> </w:t>
      </w:r>
      <w:r>
        <w:rPr>
          <w:sz w:val="24"/>
        </w:rPr>
        <w:t>University of Delhi, Delhi.</w:t>
      </w:r>
    </w:p>
    <w:p>
      <w:pPr>
        <w:pStyle w:val="BodyText"/>
        <w:spacing w:before="4"/>
      </w:pPr>
    </w:p>
    <w:p>
      <w:pPr>
        <w:pStyle w:val="ListParagraph"/>
        <w:numPr>
          <w:ilvl w:val="0"/>
          <w:numId w:val="175"/>
        </w:numPr>
        <w:tabs>
          <w:tab w:pos="414" w:val="left" w:leader="none"/>
        </w:tabs>
        <w:spacing w:line="240" w:lineRule="auto" w:before="0" w:after="0"/>
        <w:ind w:left="160" w:right="497" w:firstLine="0"/>
        <w:jc w:val="left"/>
        <w:rPr>
          <w:sz w:val="24"/>
        </w:rPr>
      </w:pPr>
      <w:r>
        <w:rPr>
          <w:sz w:val="24"/>
        </w:rPr>
        <w:t>Dr. (Miss) Sebastian, Adviser in Maternity and Child Welfare, Directorate-General of Health Services, New Delhi.</w:t>
      </w:r>
    </w:p>
    <w:p>
      <w:pPr>
        <w:pStyle w:val="BodyText"/>
        <w:spacing w:before="6"/>
      </w:pPr>
    </w:p>
    <w:p>
      <w:pPr>
        <w:pStyle w:val="ListParagraph"/>
        <w:numPr>
          <w:ilvl w:val="0"/>
          <w:numId w:val="175"/>
        </w:numPr>
        <w:tabs>
          <w:tab w:pos="400" w:val="left" w:leader="none"/>
        </w:tabs>
        <w:spacing w:line="240" w:lineRule="auto" w:before="0" w:after="0"/>
        <w:ind w:left="400" w:right="0" w:hanging="240"/>
        <w:jc w:val="left"/>
        <w:rPr>
          <w:sz w:val="24"/>
        </w:rPr>
      </w:pPr>
      <w:r>
        <w:rPr>
          <w:sz w:val="24"/>
        </w:rPr>
        <w:t>Miss</w:t>
      </w:r>
      <w:r>
        <w:rPr>
          <w:spacing w:val="-3"/>
          <w:sz w:val="24"/>
        </w:rPr>
        <w:t> </w:t>
      </w:r>
      <w:r>
        <w:rPr>
          <w:sz w:val="24"/>
        </w:rPr>
        <w:t>K. Sood, Deputy</w:t>
      </w:r>
      <w:r>
        <w:rPr>
          <w:spacing w:val="-1"/>
          <w:sz w:val="24"/>
        </w:rPr>
        <w:t> </w:t>
      </w:r>
      <w:r>
        <w:rPr>
          <w:sz w:val="24"/>
        </w:rPr>
        <w:t>Assistant Director-General of</w:t>
      </w:r>
      <w:r>
        <w:rPr>
          <w:spacing w:val="-1"/>
          <w:sz w:val="24"/>
        </w:rPr>
        <w:t> </w:t>
      </w:r>
      <w:r>
        <w:rPr>
          <w:sz w:val="24"/>
        </w:rPr>
        <w:t>Health Services, New </w:t>
      </w:r>
      <w:r>
        <w:rPr>
          <w:spacing w:val="-2"/>
          <w:sz w:val="24"/>
        </w:rPr>
        <w:t>Delhi.</w:t>
      </w:r>
    </w:p>
    <w:p>
      <w:pPr>
        <w:pStyle w:val="BodyText"/>
        <w:spacing w:before="2"/>
      </w:pPr>
    </w:p>
    <w:p>
      <w:pPr>
        <w:pStyle w:val="ListParagraph"/>
        <w:numPr>
          <w:ilvl w:val="0"/>
          <w:numId w:val="175"/>
        </w:numPr>
        <w:tabs>
          <w:tab w:pos="413" w:val="left" w:leader="none"/>
        </w:tabs>
        <w:spacing w:line="240" w:lineRule="auto" w:before="1" w:after="0"/>
        <w:ind w:left="160" w:right="497" w:firstLine="0"/>
        <w:jc w:val="left"/>
        <w:rPr>
          <w:sz w:val="24"/>
        </w:rPr>
      </w:pPr>
      <w:r>
        <w:rPr>
          <w:sz w:val="24"/>
        </w:rPr>
        <w:t>Shrimati S. Doraiswami, Assistant Educational Adviser, Education Commission, New </w:t>
      </w:r>
      <w:r>
        <w:rPr>
          <w:spacing w:val="-2"/>
          <w:sz w:val="24"/>
        </w:rPr>
        <w:t>Delhi.</w:t>
      </w:r>
    </w:p>
    <w:p>
      <w:pPr>
        <w:pStyle w:val="BodyText"/>
        <w:spacing w:before="6"/>
      </w:pPr>
    </w:p>
    <w:p>
      <w:pPr>
        <w:pStyle w:val="Heading2"/>
      </w:pPr>
      <w:r>
        <w:rPr/>
        <w:t>AIV.12.Task</w:t>
      </w:r>
      <w:r>
        <w:rPr>
          <w:spacing w:val="-1"/>
        </w:rPr>
        <w:t> </w:t>
      </w:r>
      <w:r>
        <w:rPr/>
        <w:t>Force</w:t>
      </w:r>
      <w:r>
        <w:rPr>
          <w:spacing w:val="-1"/>
        </w:rPr>
        <w:t> </w:t>
      </w:r>
      <w:r>
        <w:rPr/>
        <w:t>on</w:t>
      </w:r>
      <w:r>
        <w:rPr>
          <w:spacing w:val="-1"/>
        </w:rPr>
        <w:t> </w:t>
      </w:r>
      <w:r>
        <w:rPr/>
        <w:t>Teacher</w:t>
      </w:r>
      <w:r>
        <w:rPr>
          <w:spacing w:val="-1"/>
        </w:rPr>
        <w:t> </w:t>
      </w:r>
      <w:r>
        <w:rPr/>
        <w:t>Education</w:t>
      </w:r>
      <w:r>
        <w:rPr>
          <w:spacing w:val="-1"/>
        </w:rPr>
        <w:t> </w:t>
      </w:r>
      <w:r>
        <w:rPr/>
        <w:t>and</w:t>
      </w:r>
      <w:r>
        <w:rPr>
          <w:spacing w:val="-1"/>
        </w:rPr>
        <w:t> </w:t>
      </w:r>
      <w:r>
        <w:rPr/>
        <w:t>Teacher </w:t>
      </w:r>
      <w:r>
        <w:rPr>
          <w:spacing w:val="-2"/>
        </w:rPr>
        <w:t>Status</w:t>
      </w:r>
    </w:p>
    <w:p>
      <w:pPr>
        <w:pStyle w:val="BodyText"/>
        <w:spacing w:before="2"/>
        <w:rPr>
          <w:b/>
        </w:rPr>
      </w:pPr>
    </w:p>
    <w:p>
      <w:pPr>
        <w:pStyle w:val="ListParagraph"/>
        <w:numPr>
          <w:ilvl w:val="0"/>
          <w:numId w:val="176"/>
        </w:numPr>
        <w:tabs>
          <w:tab w:pos="399" w:val="left" w:leader="none"/>
        </w:tabs>
        <w:spacing w:line="240" w:lineRule="auto" w:before="0" w:after="0"/>
        <w:ind w:left="399" w:right="0" w:hanging="239"/>
        <w:jc w:val="left"/>
        <w:rPr>
          <w:sz w:val="24"/>
        </w:rPr>
      </w:pPr>
      <w:r>
        <w:rPr>
          <w:sz w:val="24"/>
        </w:rPr>
        <w:t>Miss</w:t>
      </w:r>
      <w:r>
        <w:rPr>
          <w:spacing w:val="-2"/>
          <w:sz w:val="24"/>
        </w:rPr>
        <w:t> </w:t>
      </w:r>
      <w:r>
        <w:rPr>
          <w:sz w:val="24"/>
        </w:rPr>
        <w:t>S.</w:t>
      </w:r>
      <w:r>
        <w:rPr>
          <w:spacing w:val="-1"/>
          <w:sz w:val="24"/>
        </w:rPr>
        <w:t> </w:t>
      </w:r>
      <w:r>
        <w:rPr>
          <w:sz w:val="24"/>
        </w:rPr>
        <w:t>Panandikar,</w:t>
      </w:r>
      <w:r>
        <w:rPr>
          <w:spacing w:val="-2"/>
          <w:sz w:val="24"/>
        </w:rPr>
        <w:t> </w:t>
      </w:r>
      <w:r>
        <w:rPr>
          <w:sz w:val="24"/>
        </w:rPr>
        <w:t>Member,</w:t>
      </w:r>
      <w:r>
        <w:rPr>
          <w:spacing w:val="-1"/>
          <w:sz w:val="24"/>
        </w:rPr>
        <w:t> </w:t>
      </w:r>
      <w:r>
        <w:rPr>
          <w:sz w:val="24"/>
        </w:rPr>
        <w:t>Education</w:t>
      </w:r>
      <w:r>
        <w:rPr>
          <w:spacing w:val="-1"/>
          <w:sz w:val="24"/>
        </w:rPr>
        <w:t> </w:t>
      </w:r>
      <w:r>
        <w:rPr>
          <w:sz w:val="24"/>
        </w:rPr>
        <w:t>Commission, New </w:t>
      </w:r>
      <w:r>
        <w:rPr>
          <w:spacing w:val="-2"/>
          <w:sz w:val="24"/>
        </w:rPr>
        <w:t>Delhi.Convener</w:t>
      </w:r>
    </w:p>
    <w:p>
      <w:pPr>
        <w:pStyle w:val="BodyText"/>
        <w:spacing w:before="4"/>
      </w:pPr>
    </w:p>
    <w:p>
      <w:pPr>
        <w:pStyle w:val="ListParagraph"/>
        <w:numPr>
          <w:ilvl w:val="0"/>
          <w:numId w:val="176"/>
        </w:numPr>
        <w:tabs>
          <w:tab w:pos="445" w:val="left" w:leader="none"/>
        </w:tabs>
        <w:spacing w:line="240" w:lineRule="auto" w:before="0" w:after="0"/>
        <w:ind w:left="160" w:right="497" w:firstLine="0"/>
        <w:jc w:val="left"/>
        <w:rPr>
          <w:sz w:val="24"/>
        </w:rPr>
      </w:pPr>
      <w:r>
        <w:rPr>
          <w:sz w:val="24"/>
        </w:rPr>
        <w:t>Dr.</w:t>
      </w:r>
      <w:r>
        <w:rPr>
          <w:spacing w:val="40"/>
          <w:sz w:val="24"/>
        </w:rPr>
        <w:t> </w:t>
      </w:r>
      <w:r>
        <w:rPr>
          <w:sz w:val="24"/>
        </w:rPr>
        <w:t>S.</w:t>
      </w:r>
      <w:r>
        <w:rPr>
          <w:spacing w:val="40"/>
          <w:sz w:val="24"/>
        </w:rPr>
        <w:t> </w:t>
      </w:r>
      <w:r>
        <w:rPr>
          <w:sz w:val="24"/>
        </w:rPr>
        <w:t>P.</w:t>
      </w:r>
      <w:r>
        <w:rPr>
          <w:spacing w:val="40"/>
          <w:sz w:val="24"/>
        </w:rPr>
        <w:t> </w:t>
      </w:r>
      <w:r>
        <w:rPr>
          <w:sz w:val="24"/>
        </w:rPr>
        <w:t>Aggarwal,</w:t>
      </w:r>
      <w:r>
        <w:rPr>
          <w:spacing w:val="40"/>
          <w:sz w:val="24"/>
        </w:rPr>
        <w:t> </w:t>
      </w:r>
      <w:r>
        <w:rPr>
          <w:sz w:val="24"/>
        </w:rPr>
        <w:t>Institute</w:t>
      </w:r>
      <w:r>
        <w:rPr>
          <w:spacing w:val="40"/>
          <w:sz w:val="24"/>
        </w:rPr>
        <w:t> </w:t>
      </w:r>
      <w:r>
        <w:rPr>
          <w:sz w:val="24"/>
        </w:rPr>
        <w:t>of</w:t>
      </w:r>
      <w:r>
        <w:rPr>
          <w:spacing w:val="40"/>
          <w:sz w:val="24"/>
        </w:rPr>
        <w:t> </w:t>
      </w:r>
      <w:r>
        <w:rPr>
          <w:sz w:val="24"/>
        </w:rPr>
        <w:t>Applied</w:t>
      </w:r>
      <w:r>
        <w:rPr>
          <w:spacing w:val="40"/>
          <w:sz w:val="24"/>
        </w:rPr>
        <w:t> </w:t>
      </w:r>
      <w:r>
        <w:rPr>
          <w:sz w:val="24"/>
        </w:rPr>
        <w:t>Manpower</w:t>
      </w:r>
      <w:r>
        <w:rPr>
          <w:spacing w:val="40"/>
          <w:sz w:val="24"/>
        </w:rPr>
        <w:t> </w:t>
      </w:r>
      <w:r>
        <w:rPr>
          <w:sz w:val="24"/>
        </w:rPr>
        <w:t>Research,</w:t>
      </w:r>
      <w:r>
        <w:rPr>
          <w:spacing w:val="40"/>
          <w:sz w:val="24"/>
        </w:rPr>
        <w:t> </w:t>
      </w:r>
      <w:r>
        <w:rPr>
          <w:sz w:val="24"/>
        </w:rPr>
        <w:t>Indraprastha</w:t>
      </w:r>
      <w:r>
        <w:rPr>
          <w:spacing w:val="40"/>
          <w:sz w:val="24"/>
        </w:rPr>
        <w:t> </w:t>
      </w:r>
      <w:r>
        <w:rPr>
          <w:sz w:val="24"/>
        </w:rPr>
        <w:t>Estate, New Delhi.</w:t>
      </w:r>
    </w:p>
    <w:p>
      <w:pPr>
        <w:pStyle w:val="BodyText"/>
        <w:spacing w:before="3"/>
      </w:pPr>
    </w:p>
    <w:p>
      <w:pPr>
        <w:pStyle w:val="ListParagraph"/>
        <w:numPr>
          <w:ilvl w:val="0"/>
          <w:numId w:val="176"/>
        </w:numPr>
        <w:tabs>
          <w:tab w:pos="500" w:val="left" w:leader="none"/>
        </w:tabs>
        <w:spacing w:line="240" w:lineRule="auto" w:before="0" w:after="0"/>
        <w:ind w:left="160" w:right="495" w:firstLine="0"/>
        <w:jc w:val="left"/>
        <w:rPr>
          <w:sz w:val="24"/>
        </w:rPr>
      </w:pPr>
      <w:r>
        <w:rPr>
          <w:sz w:val="24"/>
        </w:rPr>
        <w:t>Dr.</w:t>
      </w:r>
      <w:r>
        <w:rPr>
          <w:spacing w:val="80"/>
          <w:sz w:val="24"/>
        </w:rPr>
        <w:t> </w:t>
      </w:r>
      <w:r>
        <w:rPr>
          <w:sz w:val="24"/>
        </w:rPr>
        <w:t>Reginald</w:t>
      </w:r>
      <w:r>
        <w:rPr>
          <w:spacing w:val="80"/>
          <w:sz w:val="24"/>
        </w:rPr>
        <w:t> </w:t>
      </w:r>
      <w:r>
        <w:rPr>
          <w:sz w:val="24"/>
        </w:rPr>
        <w:t>Bell,</w:t>
      </w:r>
      <w:r>
        <w:rPr>
          <w:spacing w:val="80"/>
          <w:sz w:val="24"/>
        </w:rPr>
        <w:t> </w:t>
      </w:r>
      <w:r>
        <w:rPr>
          <w:sz w:val="24"/>
        </w:rPr>
        <w:t>Expert,</w:t>
      </w:r>
      <w:r>
        <w:rPr>
          <w:spacing w:val="80"/>
          <w:sz w:val="24"/>
        </w:rPr>
        <w:t> </w:t>
      </w:r>
      <w:r>
        <w:rPr>
          <w:sz w:val="24"/>
        </w:rPr>
        <w:t>Teachers'</w:t>
      </w:r>
      <w:r>
        <w:rPr>
          <w:spacing w:val="80"/>
          <w:sz w:val="24"/>
        </w:rPr>
        <w:t> </w:t>
      </w:r>
      <w:r>
        <w:rPr>
          <w:sz w:val="24"/>
        </w:rPr>
        <w:t>College,</w:t>
      </w:r>
      <w:r>
        <w:rPr>
          <w:spacing w:val="80"/>
          <w:sz w:val="24"/>
        </w:rPr>
        <w:t> </w:t>
      </w:r>
      <w:r>
        <w:rPr>
          <w:sz w:val="24"/>
        </w:rPr>
        <w:t>Columbia</w:t>
      </w:r>
      <w:r>
        <w:rPr>
          <w:spacing w:val="80"/>
          <w:sz w:val="24"/>
        </w:rPr>
        <w:t> </w:t>
      </w:r>
      <w:r>
        <w:rPr>
          <w:sz w:val="24"/>
        </w:rPr>
        <w:t>University</w:t>
      </w:r>
      <w:r>
        <w:rPr>
          <w:spacing w:val="80"/>
          <w:sz w:val="24"/>
        </w:rPr>
        <w:t> </w:t>
      </w:r>
      <w:r>
        <w:rPr>
          <w:sz w:val="24"/>
        </w:rPr>
        <w:t>Team</w:t>
      </w:r>
      <w:r>
        <w:rPr>
          <w:spacing w:val="80"/>
          <w:sz w:val="24"/>
        </w:rPr>
        <w:t> </w:t>
      </w:r>
      <w:r>
        <w:rPr>
          <w:sz w:val="24"/>
        </w:rPr>
        <w:t>c/o American Embassy, Faridkot House, New Delhi.</w:t>
      </w:r>
    </w:p>
    <w:p>
      <w:pPr>
        <w:pStyle w:val="BodyText"/>
        <w:spacing w:before="4"/>
      </w:pPr>
    </w:p>
    <w:p>
      <w:pPr>
        <w:pStyle w:val="ListParagraph"/>
        <w:numPr>
          <w:ilvl w:val="0"/>
          <w:numId w:val="176"/>
        </w:numPr>
        <w:tabs>
          <w:tab w:pos="401" w:val="left" w:leader="none"/>
        </w:tabs>
        <w:spacing w:line="240" w:lineRule="auto" w:before="0" w:after="0"/>
        <w:ind w:left="160" w:right="499" w:firstLine="0"/>
        <w:jc w:val="left"/>
        <w:rPr>
          <w:sz w:val="24"/>
        </w:rPr>
      </w:pPr>
      <w:r>
        <w:rPr>
          <w:sz w:val="24"/>
        </w:rPr>
        <w:t>Shri</w:t>
      </w:r>
      <w:r>
        <w:rPr>
          <w:spacing w:val="-2"/>
          <w:sz w:val="24"/>
        </w:rPr>
        <w:t> </w:t>
      </w:r>
      <w:r>
        <w:rPr>
          <w:sz w:val="24"/>
        </w:rPr>
        <w:t>A.</w:t>
      </w:r>
      <w:r>
        <w:rPr>
          <w:spacing w:val="-2"/>
          <w:sz w:val="24"/>
        </w:rPr>
        <w:t> </w:t>
      </w:r>
      <w:r>
        <w:rPr>
          <w:sz w:val="24"/>
        </w:rPr>
        <w:t>C.</w:t>
      </w:r>
      <w:r>
        <w:rPr>
          <w:spacing w:val="-2"/>
          <w:sz w:val="24"/>
        </w:rPr>
        <w:t> </w:t>
      </w:r>
      <w:r>
        <w:rPr>
          <w:sz w:val="24"/>
        </w:rPr>
        <w:t>Deve</w:t>
      </w:r>
      <w:r>
        <w:rPr>
          <w:spacing w:val="-2"/>
          <w:sz w:val="24"/>
        </w:rPr>
        <w:t> </w:t>
      </w:r>
      <w:r>
        <w:rPr>
          <w:sz w:val="24"/>
        </w:rPr>
        <w:t>Gowda,</w:t>
      </w:r>
      <w:r>
        <w:rPr>
          <w:spacing w:val="-2"/>
          <w:sz w:val="24"/>
        </w:rPr>
        <w:t> </w:t>
      </w:r>
      <w:r>
        <w:rPr>
          <w:sz w:val="24"/>
        </w:rPr>
        <w:t>Director,</w:t>
      </w:r>
      <w:r>
        <w:rPr>
          <w:spacing w:val="-4"/>
          <w:sz w:val="24"/>
        </w:rPr>
        <w:t> </w:t>
      </w:r>
      <w:r>
        <w:rPr>
          <w:sz w:val="24"/>
        </w:rPr>
        <w:t>Directorate</w:t>
      </w:r>
      <w:r>
        <w:rPr>
          <w:spacing w:val="-3"/>
          <w:sz w:val="24"/>
        </w:rPr>
        <w:t> </w:t>
      </w:r>
      <w:r>
        <w:rPr>
          <w:sz w:val="24"/>
        </w:rPr>
        <w:t>of</w:t>
      </w:r>
      <w:r>
        <w:rPr>
          <w:spacing w:val="-3"/>
          <w:sz w:val="24"/>
        </w:rPr>
        <w:t> </w:t>
      </w:r>
      <w:r>
        <w:rPr>
          <w:sz w:val="24"/>
        </w:rPr>
        <w:t>Extension</w:t>
      </w:r>
      <w:r>
        <w:rPr>
          <w:spacing w:val="-2"/>
          <w:sz w:val="24"/>
        </w:rPr>
        <w:t> </w:t>
      </w:r>
      <w:r>
        <w:rPr>
          <w:sz w:val="24"/>
        </w:rPr>
        <w:t>Programmes</w:t>
      </w:r>
      <w:r>
        <w:rPr>
          <w:spacing w:val="-2"/>
          <w:sz w:val="24"/>
        </w:rPr>
        <w:t> </w:t>
      </w:r>
      <w:r>
        <w:rPr>
          <w:sz w:val="24"/>
        </w:rPr>
        <w:t>for</w:t>
      </w:r>
      <w:r>
        <w:rPr>
          <w:spacing w:val="-2"/>
          <w:sz w:val="24"/>
        </w:rPr>
        <w:t> </w:t>
      </w:r>
      <w:r>
        <w:rPr>
          <w:sz w:val="24"/>
        </w:rPr>
        <w:t>Secondary Education, 7, Lancer Road, Timarpur, Delhi-6.</w:t>
      </w:r>
    </w:p>
    <w:p>
      <w:pPr>
        <w:pStyle w:val="BodyText"/>
        <w:spacing w:before="5"/>
      </w:pPr>
    </w:p>
    <w:p>
      <w:pPr>
        <w:pStyle w:val="ListParagraph"/>
        <w:numPr>
          <w:ilvl w:val="0"/>
          <w:numId w:val="176"/>
        </w:numPr>
        <w:tabs>
          <w:tab w:pos="409" w:val="left" w:leader="none"/>
        </w:tabs>
        <w:spacing w:line="240" w:lineRule="auto" w:before="0" w:after="0"/>
        <w:ind w:left="160" w:right="497" w:firstLine="0"/>
        <w:jc w:val="left"/>
        <w:rPr>
          <w:sz w:val="24"/>
        </w:rPr>
      </w:pPr>
      <w:r>
        <w:rPr>
          <w:sz w:val="24"/>
        </w:rPr>
        <w:t>Dr. G. N. Kaul, Field Adviser, National Institute of Basic Education, D. 14/16, Model Town, Delhi-9.</w:t>
      </w:r>
    </w:p>
    <w:p>
      <w:pPr>
        <w:pStyle w:val="BodyText"/>
        <w:spacing w:before="5"/>
      </w:pPr>
    </w:p>
    <w:p>
      <w:pPr>
        <w:pStyle w:val="ListParagraph"/>
        <w:numPr>
          <w:ilvl w:val="0"/>
          <w:numId w:val="176"/>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76"/>
        </w:numPr>
        <w:tabs>
          <w:tab w:pos="419" w:val="left" w:leader="none"/>
        </w:tabs>
        <w:spacing w:line="240" w:lineRule="auto" w:before="0" w:after="0"/>
        <w:ind w:left="160" w:right="497" w:firstLine="0"/>
        <w:jc w:val="left"/>
        <w:rPr>
          <w:sz w:val="24"/>
        </w:rPr>
      </w:pPr>
      <w:r>
        <w:rPr>
          <w:sz w:val="24"/>
        </w:rPr>
        <w:t>Shri S. Natarajan, Director of Projects, The South Indian Teachers' Union Council </w:t>
      </w:r>
      <w:r>
        <w:rPr>
          <w:sz w:val="24"/>
        </w:rPr>
        <w:t>of Educational Research, Robertsonpet, Raja Annamalaipuram, Madras-28.</w:t>
      </w:r>
    </w:p>
    <w:p>
      <w:pPr>
        <w:pStyle w:val="BodyText"/>
        <w:spacing w:before="6"/>
      </w:pPr>
    </w:p>
    <w:p>
      <w:pPr>
        <w:pStyle w:val="ListParagraph"/>
        <w:numPr>
          <w:ilvl w:val="0"/>
          <w:numId w:val="176"/>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K. G. Saiyidain, Member,</w:t>
      </w:r>
      <w:r>
        <w:rPr>
          <w:spacing w:val="-2"/>
          <w:sz w:val="24"/>
        </w:rPr>
        <w:t> </w:t>
      </w:r>
      <w:r>
        <w:rPr>
          <w:sz w:val="24"/>
        </w:rPr>
        <w:t>Education Commission, New </w:t>
      </w:r>
      <w:r>
        <w:rPr>
          <w:spacing w:val="-2"/>
          <w:sz w:val="24"/>
        </w:rPr>
        <w:t>Delhi.</w:t>
      </w:r>
    </w:p>
    <w:p>
      <w:pPr>
        <w:pStyle w:val="BodyText"/>
        <w:spacing w:before="3"/>
      </w:pPr>
    </w:p>
    <w:p>
      <w:pPr>
        <w:pStyle w:val="ListParagraph"/>
        <w:numPr>
          <w:ilvl w:val="0"/>
          <w:numId w:val="176"/>
        </w:numPr>
        <w:tabs>
          <w:tab w:pos="469" w:val="left" w:leader="none"/>
        </w:tabs>
        <w:spacing w:line="240" w:lineRule="auto" w:before="0" w:after="0"/>
        <w:ind w:left="160" w:right="496" w:firstLine="0"/>
        <w:jc w:val="left"/>
        <w:rPr>
          <w:sz w:val="24"/>
        </w:rPr>
      </w:pPr>
      <w:r>
        <w:rPr>
          <w:sz w:val="24"/>
        </w:rPr>
        <w:t>Dr.</w:t>
      </w:r>
      <w:r>
        <w:rPr>
          <w:spacing w:val="40"/>
          <w:sz w:val="24"/>
        </w:rPr>
        <w:t> </w:t>
      </w:r>
      <w:r>
        <w:rPr>
          <w:sz w:val="24"/>
        </w:rPr>
        <w:t>Salamatullah,</w:t>
      </w:r>
      <w:r>
        <w:rPr>
          <w:spacing w:val="40"/>
          <w:sz w:val="24"/>
        </w:rPr>
        <w:t> </w:t>
      </w:r>
      <w:r>
        <w:rPr>
          <w:sz w:val="24"/>
        </w:rPr>
        <w:t>Principal,</w:t>
      </w:r>
      <w:r>
        <w:rPr>
          <w:spacing w:val="40"/>
          <w:sz w:val="24"/>
        </w:rPr>
        <w:t> </w:t>
      </w:r>
      <w:r>
        <w:rPr>
          <w:sz w:val="24"/>
        </w:rPr>
        <w:t>Teachers</w:t>
      </w:r>
      <w:r>
        <w:rPr>
          <w:spacing w:val="40"/>
          <w:sz w:val="24"/>
        </w:rPr>
        <w:t> </w:t>
      </w:r>
      <w:r>
        <w:rPr>
          <w:sz w:val="24"/>
        </w:rPr>
        <w:t>College,</w:t>
      </w:r>
      <w:r>
        <w:rPr>
          <w:spacing w:val="40"/>
          <w:sz w:val="24"/>
        </w:rPr>
        <w:t> </w:t>
      </w:r>
      <w:r>
        <w:rPr>
          <w:sz w:val="24"/>
        </w:rPr>
        <w:t>Jamia</w:t>
      </w:r>
      <w:r>
        <w:rPr>
          <w:spacing w:val="40"/>
          <w:sz w:val="24"/>
        </w:rPr>
        <w:t> </w:t>
      </w:r>
      <w:r>
        <w:rPr>
          <w:sz w:val="24"/>
        </w:rPr>
        <w:t>Millia</w:t>
      </w:r>
      <w:r>
        <w:rPr>
          <w:spacing w:val="40"/>
          <w:sz w:val="24"/>
        </w:rPr>
        <w:t> </w:t>
      </w:r>
      <w:r>
        <w:rPr>
          <w:sz w:val="24"/>
        </w:rPr>
        <w:t>Islamia,</w:t>
      </w:r>
      <w:r>
        <w:rPr>
          <w:spacing w:val="40"/>
          <w:sz w:val="24"/>
        </w:rPr>
        <w:t> </w:t>
      </w:r>
      <w:r>
        <w:rPr>
          <w:sz w:val="24"/>
        </w:rPr>
        <w:t>Jamianagar,</w:t>
      </w:r>
      <w:r>
        <w:rPr>
          <w:spacing w:val="40"/>
          <w:sz w:val="24"/>
        </w:rPr>
        <w:t> </w:t>
      </w:r>
      <w:r>
        <w:rPr>
          <w:spacing w:val="-2"/>
          <w:sz w:val="24"/>
        </w:rPr>
        <w:t>Delhi-25.</w:t>
      </w:r>
    </w:p>
    <w:p>
      <w:pPr>
        <w:pStyle w:val="BodyText"/>
        <w:spacing w:before="3"/>
      </w:pPr>
    </w:p>
    <w:p>
      <w:pPr>
        <w:pStyle w:val="ListParagraph"/>
        <w:numPr>
          <w:ilvl w:val="0"/>
          <w:numId w:val="176"/>
        </w:numPr>
        <w:tabs>
          <w:tab w:pos="557" w:val="left" w:leader="none"/>
        </w:tabs>
        <w:spacing w:line="240" w:lineRule="auto" w:before="1" w:after="0"/>
        <w:ind w:left="160" w:right="499" w:firstLine="0"/>
        <w:jc w:val="left"/>
        <w:rPr>
          <w:sz w:val="24"/>
        </w:rPr>
      </w:pPr>
      <w:r>
        <w:rPr>
          <w:sz w:val="24"/>
        </w:rPr>
        <w:t>Dr.</w:t>
      </w:r>
      <w:r>
        <w:rPr>
          <w:spacing w:val="33"/>
          <w:sz w:val="24"/>
        </w:rPr>
        <w:t> </w:t>
      </w:r>
      <w:r>
        <w:rPr>
          <w:sz w:val="24"/>
        </w:rPr>
        <w:t>M.</w:t>
      </w:r>
      <w:r>
        <w:rPr>
          <w:spacing w:val="33"/>
          <w:sz w:val="24"/>
        </w:rPr>
        <w:t> </w:t>
      </w:r>
      <w:r>
        <w:rPr>
          <w:sz w:val="24"/>
        </w:rPr>
        <w:t>D.</w:t>
      </w:r>
      <w:r>
        <w:rPr>
          <w:spacing w:val="33"/>
          <w:sz w:val="24"/>
        </w:rPr>
        <w:t> </w:t>
      </w:r>
      <w:r>
        <w:rPr>
          <w:sz w:val="24"/>
        </w:rPr>
        <w:t>Paul,</w:t>
      </w:r>
      <w:r>
        <w:rPr>
          <w:spacing w:val="33"/>
          <w:sz w:val="24"/>
        </w:rPr>
        <w:t> </w:t>
      </w:r>
      <w:r>
        <w:rPr>
          <w:sz w:val="24"/>
        </w:rPr>
        <w:t>Deputy</w:t>
      </w:r>
      <w:r>
        <w:rPr>
          <w:spacing w:val="33"/>
          <w:sz w:val="24"/>
        </w:rPr>
        <w:t> </w:t>
      </w:r>
      <w:r>
        <w:rPr>
          <w:sz w:val="24"/>
        </w:rPr>
        <w:t>Educational</w:t>
      </w:r>
      <w:r>
        <w:rPr>
          <w:spacing w:val="33"/>
          <w:sz w:val="24"/>
        </w:rPr>
        <w:t> </w:t>
      </w:r>
      <w:r>
        <w:rPr>
          <w:sz w:val="24"/>
        </w:rPr>
        <w:t>Adviser,</w:t>
      </w:r>
      <w:r>
        <w:rPr>
          <w:spacing w:val="33"/>
          <w:sz w:val="24"/>
        </w:rPr>
        <w:t> </w:t>
      </w:r>
      <w:r>
        <w:rPr>
          <w:sz w:val="24"/>
        </w:rPr>
        <w:t>Education</w:t>
      </w:r>
      <w:r>
        <w:rPr>
          <w:spacing w:val="33"/>
          <w:sz w:val="24"/>
        </w:rPr>
        <w:t> </w:t>
      </w:r>
      <w:r>
        <w:rPr>
          <w:sz w:val="24"/>
        </w:rPr>
        <w:t>Commission,</w:t>
      </w:r>
      <w:r>
        <w:rPr>
          <w:spacing w:val="33"/>
          <w:sz w:val="24"/>
        </w:rPr>
        <w:t> </w:t>
      </w:r>
      <w:r>
        <w:rPr>
          <w:sz w:val="24"/>
        </w:rPr>
        <w:t>New</w:t>
      </w:r>
      <w:r>
        <w:rPr>
          <w:spacing w:val="33"/>
          <w:sz w:val="24"/>
        </w:rPr>
        <w:t> </w:t>
      </w:r>
      <w:r>
        <w:rPr>
          <w:sz w:val="24"/>
        </w:rPr>
        <w:t>Delhi. </w:t>
      </w:r>
      <w:r>
        <w:rPr>
          <w:spacing w:val="-2"/>
          <w:sz w:val="24"/>
        </w:rPr>
        <w:t>Secretary</w:t>
      </w:r>
    </w:p>
    <w:p>
      <w:pPr>
        <w:pStyle w:val="BodyText"/>
        <w:spacing w:before="6"/>
      </w:pPr>
    </w:p>
    <w:p>
      <w:pPr>
        <w:pStyle w:val="Heading2"/>
        <w:rPr>
          <w:rFonts w:ascii="Arial"/>
        </w:rPr>
      </w:pPr>
      <w:r>
        <w:rPr>
          <w:rFonts w:ascii="Arial"/>
        </w:rPr>
        <w:t>Sub-Group</w:t>
      </w:r>
      <w:r>
        <w:rPr>
          <w:rFonts w:ascii="Arial"/>
          <w:spacing w:val="-4"/>
        </w:rPr>
        <w:t> </w:t>
      </w:r>
      <w:r>
        <w:rPr>
          <w:rFonts w:ascii="Arial"/>
        </w:rPr>
        <w:t>on</w:t>
      </w:r>
      <w:r>
        <w:rPr>
          <w:rFonts w:ascii="Arial"/>
          <w:spacing w:val="-2"/>
        </w:rPr>
        <w:t> </w:t>
      </w:r>
      <w:r>
        <w:rPr>
          <w:rFonts w:ascii="Arial"/>
        </w:rPr>
        <w:t>Teacher</w:t>
      </w:r>
      <w:r>
        <w:rPr>
          <w:rFonts w:ascii="Arial"/>
          <w:spacing w:val="-2"/>
        </w:rPr>
        <w:t> Education</w:t>
      </w:r>
    </w:p>
    <w:p>
      <w:pPr>
        <w:pStyle w:val="BodyText"/>
        <w:spacing w:before="2"/>
        <w:rPr>
          <w:rFonts w:ascii="Arial"/>
          <w:b/>
        </w:rPr>
      </w:pPr>
    </w:p>
    <w:p>
      <w:pPr>
        <w:pStyle w:val="ListParagraph"/>
        <w:numPr>
          <w:ilvl w:val="0"/>
          <w:numId w:val="177"/>
        </w:numPr>
        <w:tabs>
          <w:tab w:pos="399" w:val="left" w:leader="none"/>
        </w:tabs>
        <w:spacing w:line="240" w:lineRule="auto" w:before="0" w:after="0"/>
        <w:ind w:left="399" w:right="0" w:hanging="239"/>
        <w:jc w:val="left"/>
        <w:rPr>
          <w:sz w:val="24"/>
        </w:rPr>
      </w:pPr>
      <w:r>
        <w:rPr>
          <w:sz w:val="24"/>
        </w:rPr>
        <w:t>Miss</w:t>
      </w:r>
      <w:r>
        <w:rPr>
          <w:spacing w:val="-2"/>
          <w:sz w:val="24"/>
        </w:rPr>
        <w:t> </w:t>
      </w:r>
      <w:r>
        <w:rPr>
          <w:sz w:val="24"/>
        </w:rPr>
        <w:t>S.</w:t>
      </w:r>
      <w:r>
        <w:rPr>
          <w:spacing w:val="-1"/>
          <w:sz w:val="24"/>
        </w:rPr>
        <w:t> </w:t>
      </w:r>
      <w:r>
        <w:rPr>
          <w:sz w:val="24"/>
        </w:rPr>
        <w:t>Panandikar,</w:t>
      </w:r>
      <w:r>
        <w:rPr>
          <w:spacing w:val="-2"/>
          <w:sz w:val="24"/>
        </w:rPr>
        <w:t> </w:t>
      </w:r>
      <w:r>
        <w:rPr>
          <w:sz w:val="24"/>
        </w:rPr>
        <w:t>Member,</w:t>
      </w:r>
      <w:r>
        <w:rPr>
          <w:spacing w:val="-1"/>
          <w:sz w:val="24"/>
        </w:rPr>
        <w:t> </w:t>
      </w:r>
      <w:r>
        <w:rPr>
          <w:sz w:val="24"/>
        </w:rPr>
        <w:t>Education Commission,</w:t>
      </w:r>
      <w:r>
        <w:rPr>
          <w:spacing w:val="-1"/>
          <w:sz w:val="24"/>
        </w:rPr>
        <w:t> </w:t>
      </w:r>
      <w:r>
        <w:rPr>
          <w:sz w:val="24"/>
        </w:rPr>
        <w:t>New Delhi. </w:t>
      </w:r>
      <w:r>
        <w:rPr>
          <w:spacing w:val="-2"/>
          <w:sz w:val="24"/>
        </w:rPr>
        <w:t>Convener</w:t>
      </w:r>
    </w:p>
    <w:p>
      <w:pPr>
        <w:pStyle w:val="BodyText"/>
        <w:spacing w:before="3"/>
      </w:pPr>
    </w:p>
    <w:p>
      <w:pPr>
        <w:pStyle w:val="ListParagraph"/>
        <w:numPr>
          <w:ilvl w:val="0"/>
          <w:numId w:val="177"/>
        </w:numPr>
        <w:tabs>
          <w:tab w:pos="498" w:val="left" w:leader="none"/>
        </w:tabs>
        <w:spacing w:line="240" w:lineRule="auto" w:before="1" w:after="0"/>
        <w:ind w:left="160" w:right="497" w:firstLine="0"/>
        <w:jc w:val="left"/>
        <w:rPr>
          <w:sz w:val="24"/>
        </w:rPr>
      </w:pPr>
      <w:r>
        <w:rPr>
          <w:sz w:val="24"/>
        </w:rPr>
        <w:t>Dr.</w:t>
      </w:r>
      <w:r>
        <w:rPr>
          <w:spacing w:val="80"/>
          <w:sz w:val="24"/>
        </w:rPr>
        <w:t> </w:t>
      </w:r>
      <w:r>
        <w:rPr>
          <w:sz w:val="24"/>
        </w:rPr>
        <w:t>Reginald</w:t>
      </w:r>
      <w:r>
        <w:rPr>
          <w:spacing w:val="80"/>
          <w:sz w:val="24"/>
        </w:rPr>
        <w:t> </w:t>
      </w:r>
      <w:r>
        <w:rPr>
          <w:sz w:val="24"/>
        </w:rPr>
        <w:t>Bell,</w:t>
      </w:r>
      <w:r>
        <w:rPr>
          <w:spacing w:val="80"/>
          <w:sz w:val="24"/>
        </w:rPr>
        <w:t> </w:t>
      </w:r>
      <w:r>
        <w:rPr>
          <w:sz w:val="24"/>
        </w:rPr>
        <w:t>Expert,</w:t>
      </w:r>
      <w:r>
        <w:rPr>
          <w:spacing w:val="80"/>
          <w:sz w:val="24"/>
        </w:rPr>
        <w:t> </w:t>
      </w:r>
      <w:r>
        <w:rPr>
          <w:sz w:val="24"/>
        </w:rPr>
        <w:t>Teachers</w:t>
      </w:r>
      <w:r>
        <w:rPr>
          <w:spacing w:val="80"/>
          <w:sz w:val="24"/>
        </w:rPr>
        <w:t> </w:t>
      </w:r>
      <w:r>
        <w:rPr>
          <w:sz w:val="24"/>
        </w:rPr>
        <w:t>College,</w:t>
      </w:r>
      <w:r>
        <w:rPr>
          <w:spacing w:val="80"/>
          <w:sz w:val="24"/>
        </w:rPr>
        <w:t> </w:t>
      </w:r>
      <w:r>
        <w:rPr>
          <w:sz w:val="24"/>
        </w:rPr>
        <w:t>Columbia</w:t>
      </w:r>
      <w:r>
        <w:rPr>
          <w:spacing w:val="80"/>
          <w:sz w:val="24"/>
        </w:rPr>
        <w:t> </w:t>
      </w:r>
      <w:r>
        <w:rPr>
          <w:sz w:val="24"/>
        </w:rPr>
        <w:t>University</w:t>
      </w:r>
      <w:r>
        <w:rPr>
          <w:spacing w:val="80"/>
          <w:sz w:val="24"/>
        </w:rPr>
        <w:t> </w:t>
      </w:r>
      <w:r>
        <w:rPr>
          <w:sz w:val="24"/>
        </w:rPr>
        <w:t>Team,</w:t>
      </w:r>
      <w:r>
        <w:rPr>
          <w:spacing w:val="80"/>
          <w:sz w:val="24"/>
        </w:rPr>
        <w:t> </w:t>
      </w:r>
      <w:r>
        <w:rPr>
          <w:sz w:val="24"/>
        </w:rPr>
        <w:t>c/o American Embassy, Faridkot House, New Delhi.</w:t>
      </w:r>
    </w:p>
    <w:p>
      <w:pPr>
        <w:spacing w:after="0" w:line="240" w:lineRule="auto"/>
        <w:jc w:val="left"/>
        <w:rPr>
          <w:sz w:val="24"/>
        </w:rPr>
        <w:sectPr>
          <w:pgSz w:w="12240" w:h="15840"/>
          <w:pgMar w:header="0" w:footer="743" w:top="1360" w:bottom="940" w:left="1640" w:right="1300"/>
        </w:sectPr>
      </w:pPr>
    </w:p>
    <w:p>
      <w:pPr>
        <w:pStyle w:val="ListParagraph"/>
        <w:numPr>
          <w:ilvl w:val="0"/>
          <w:numId w:val="177"/>
        </w:numPr>
        <w:tabs>
          <w:tab w:pos="443" w:val="left" w:leader="none"/>
        </w:tabs>
        <w:spacing w:line="240" w:lineRule="auto" w:before="76" w:after="0"/>
        <w:ind w:left="160" w:right="497" w:firstLine="0"/>
        <w:jc w:val="left"/>
        <w:rPr>
          <w:sz w:val="24"/>
        </w:rPr>
      </w:pPr>
      <w:r>
        <w:rPr>
          <w:sz w:val="24"/>
        </w:rPr>
        <w:t>Mrs.</w:t>
      </w:r>
      <w:r>
        <w:rPr>
          <w:spacing w:val="39"/>
          <w:sz w:val="24"/>
        </w:rPr>
        <w:t> </w:t>
      </w:r>
      <w:r>
        <w:rPr>
          <w:sz w:val="24"/>
        </w:rPr>
        <w:t>Nalini</w:t>
      </w:r>
      <w:r>
        <w:rPr>
          <w:spacing w:val="39"/>
          <w:sz w:val="24"/>
        </w:rPr>
        <w:t> </w:t>
      </w:r>
      <w:r>
        <w:rPr>
          <w:sz w:val="24"/>
        </w:rPr>
        <w:t>Das,</w:t>
      </w:r>
      <w:r>
        <w:rPr>
          <w:spacing w:val="39"/>
          <w:sz w:val="24"/>
        </w:rPr>
        <w:t> </w:t>
      </w:r>
      <w:r>
        <w:rPr>
          <w:sz w:val="24"/>
        </w:rPr>
        <w:t>Principal,</w:t>
      </w:r>
      <w:r>
        <w:rPr>
          <w:spacing w:val="39"/>
          <w:sz w:val="24"/>
        </w:rPr>
        <w:t> </w:t>
      </w:r>
      <w:r>
        <w:rPr>
          <w:sz w:val="24"/>
        </w:rPr>
        <w:t>Institute</w:t>
      </w:r>
      <w:r>
        <w:rPr>
          <w:spacing w:val="39"/>
          <w:sz w:val="24"/>
        </w:rPr>
        <w:t> </w:t>
      </w:r>
      <w:r>
        <w:rPr>
          <w:sz w:val="24"/>
        </w:rPr>
        <w:t>of</w:t>
      </w:r>
      <w:r>
        <w:rPr>
          <w:spacing w:val="39"/>
          <w:sz w:val="24"/>
        </w:rPr>
        <w:t> </w:t>
      </w:r>
      <w:r>
        <w:rPr>
          <w:sz w:val="24"/>
        </w:rPr>
        <w:t>Education</w:t>
      </w:r>
      <w:r>
        <w:rPr>
          <w:spacing w:val="39"/>
          <w:sz w:val="24"/>
        </w:rPr>
        <w:t> </w:t>
      </w:r>
      <w:r>
        <w:rPr>
          <w:sz w:val="24"/>
        </w:rPr>
        <w:t>for</w:t>
      </w:r>
      <w:r>
        <w:rPr>
          <w:spacing w:val="39"/>
          <w:sz w:val="24"/>
        </w:rPr>
        <w:t> </w:t>
      </w:r>
      <w:r>
        <w:rPr>
          <w:sz w:val="24"/>
        </w:rPr>
        <w:t>Women,</w:t>
      </w:r>
      <w:r>
        <w:rPr>
          <w:spacing w:val="39"/>
          <w:sz w:val="24"/>
        </w:rPr>
        <w:t> </w:t>
      </w:r>
      <w:r>
        <w:rPr>
          <w:sz w:val="24"/>
        </w:rPr>
        <w:t>20-B,</w:t>
      </w:r>
      <w:r>
        <w:rPr>
          <w:spacing w:val="39"/>
          <w:sz w:val="24"/>
        </w:rPr>
        <w:t> </w:t>
      </w:r>
      <w:r>
        <w:rPr>
          <w:sz w:val="24"/>
        </w:rPr>
        <w:t>judges'</w:t>
      </w:r>
      <w:r>
        <w:rPr>
          <w:spacing w:val="38"/>
          <w:sz w:val="24"/>
        </w:rPr>
        <w:t> </w:t>
      </w:r>
      <w:r>
        <w:rPr>
          <w:sz w:val="24"/>
        </w:rPr>
        <w:t>Court Road, Hastings House, Alipore, Calcutta.</w:t>
      </w:r>
    </w:p>
    <w:p>
      <w:pPr>
        <w:pStyle w:val="BodyText"/>
        <w:spacing w:before="4"/>
      </w:pPr>
    </w:p>
    <w:p>
      <w:pPr>
        <w:pStyle w:val="ListParagraph"/>
        <w:numPr>
          <w:ilvl w:val="0"/>
          <w:numId w:val="177"/>
        </w:numPr>
        <w:tabs>
          <w:tab w:pos="401" w:val="left" w:leader="none"/>
        </w:tabs>
        <w:spacing w:line="240" w:lineRule="auto" w:before="0" w:after="0"/>
        <w:ind w:left="160" w:right="499" w:firstLine="0"/>
        <w:jc w:val="left"/>
        <w:rPr>
          <w:sz w:val="24"/>
        </w:rPr>
      </w:pPr>
      <w:r>
        <w:rPr>
          <w:sz w:val="24"/>
        </w:rPr>
        <w:t>Shri</w:t>
      </w:r>
      <w:r>
        <w:rPr>
          <w:spacing w:val="-2"/>
          <w:sz w:val="24"/>
        </w:rPr>
        <w:t> </w:t>
      </w:r>
      <w:r>
        <w:rPr>
          <w:sz w:val="24"/>
        </w:rPr>
        <w:t>A.</w:t>
      </w:r>
      <w:r>
        <w:rPr>
          <w:spacing w:val="-2"/>
          <w:sz w:val="24"/>
        </w:rPr>
        <w:t> </w:t>
      </w:r>
      <w:r>
        <w:rPr>
          <w:sz w:val="24"/>
        </w:rPr>
        <w:t>C.</w:t>
      </w:r>
      <w:r>
        <w:rPr>
          <w:spacing w:val="-2"/>
          <w:sz w:val="24"/>
        </w:rPr>
        <w:t> </w:t>
      </w:r>
      <w:r>
        <w:rPr>
          <w:sz w:val="24"/>
        </w:rPr>
        <w:t>Deve</w:t>
      </w:r>
      <w:r>
        <w:rPr>
          <w:spacing w:val="-2"/>
          <w:sz w:val="24"/>
        </w:rPr>
        <w:t> </w:t>
      </w:r>
      <w:r>
        <w:rPr>
          <w:sz w:val="24"/>
        </w:rPr>
        <w:t>Gowda,</w:t>
      </w:r>
      <w:r>
        <w:rPr>
          <w:spacing w:val="-2"/>
          <w:sz w:val="24"/>
        </w:rPr>
        <w:t> </w:t>
      </w:r>
      <w:r>
        <w:rPr>
          <w:sz w:val="24"/>
        </w:rPr>
        <w:t>Director,</w:t>
      </w:r>
      <w:r>
        <w:rPr>
          <w:spacing w:val="-4"/>
          <w:sz w:val="24"/>
        </w:rPr>
        <w:t> </w:t>
      </w:r>
      <w:r>
        <w:rPr>
          <w:sz w:val="24"/>
        </w:rPr>
        <w:t>Directorate</w:t>
      </w:r>
      <w:r>
        <w:rPr>
          <w:spacing w:val="-3"/>
          <w:sz w:val="24"/>
        </w:rPr>
        <w:t> </w:t>
      </w:r>
      <w:r>
        <w:rPr>
          <w:sz w:val="24"/>
        </w:rPr>
        <w:t>of</w:t>
      </w:r>
      <w:r>
        <w:rPr>
          <w:spacing w:val="-3"/>
          <w:sz w:val="24"/>
        </w:rPr>
        <w:t> </w:t>
      </w:r>
      <w:r>
        <w:rPr>
          <w:sz w:val="24"/>
        </w:rPr>
        <w:t>Extension</w:t>
      </w:r>
      <w:r>
        <w:rPr>
          <w:spacing w:val="-2"/>
          <w:sz w:val="24"/>
        </w:rPr>
        <w:t> </w:t>
      </w:r>
      <w:r>
        <w:rPr>
          <w:sz w:val="24"/>
        </w:rPr>
        <w:t>Programmes</w:t>
      </w:r>
      <w:r>
        <w:rPr>
          <w:spacing w:val="-2"/>
          <w:sz w:val="24"/>
        </w:rPr>
        <w:t> </w:t>
      </w:r>
      <w:r>
        <w:rPr>
          <w:sz w:val="24"/>
        </w:rPr>
        <w:t>for</w:t>
      </w:r>
      <w:r>
        <w:rPr>
          <w:spacing w:val="-2"/>
          <w:sz w:val="24"/>
        </w:rPr>
        <w:t> </w:t>
      </w:r>
      <w:r>
        <w:rPr>
          <w:sz w:val="24"/>
        </w:rPr>
        <w:t>Secondary Education, N.C.E.R.T., 7, Lancer Road, Timarpur, Delhi-6.</w:t>
      </w:r>
    </w:p>
    <w:p>
      <w:pPr>
        <w:pStyle w:val="BodyText"/>
        <w:spacing w:before="6"/>
      </w:pPr>
    </w:p>
    <w:p>
      <w:pPr>
        <w:pStyle w:val="ListParagraph"/>
        <w:numPr>
          <w:ilvl w:val="0"/>
          <w:numId w:val="177"/>
        </w:numPr>
        <w:tabs>
          <w:tab w:pos="399" w:val="left" w:leader="none"/>
        </w:tabs>
        <w:spacing w:line="240" w:lineRule="auto" w:before="0" w:after="0"/>
        <w:ind w:left="399" w:right="0" w:hanging="239"/>
        <w:jc w:val="left"/>
        <w:rPr>
          <w:sz w:val="24"/>
        </w:rPr>
      </w:pPr>
      <w:r>
        <w:rPr>
          <w:sz w:val="24"/>
        </w:rPr>
        <w:t>Shri</w:t>
      </w:r>
      <w:r>
        <w:rPr>
          <w:spacing w:val="-1"/>
          <w:sz w:val="24"/>
        </w:rPr>
        <w:t> </w:t>
      </w:r>
      <w:r>
        <w:rPr>
          <w:sz w:val="24"/>
        </w:rPr>
        <w:t>Dwarika</w:t>
      </w:r>
      <w:r>
        <w:rPr>
          <w:spacing w:val="-1"/>
          <w:sz w:val="24"/>
        </w:rPr>
        <w:t> </w:t>
      </w:r>
      <w:r>
        <w:rPr>
          <w:sz w:val="24"/>
        </w:rPr>
        <w:t>Singh,</w:t>
      </w:r>
      <w:r>
        <w:rPr>
          <w:spacing w:val="-1"/>
          <w:sz w:val="24"/>
        </w:rPr>
        <w:t> </w:t>
      </w:r>
      <w:r>
        <w:rPr>
          <w:sz w:val="24"/>
        </w:rPr>
        <w:t>Director, State Institute of Education, Bihar,</w:t>
      </w:r>
      <w:r>
        <w:rPr>
          <w:spacing w:val="1"/>
          <w:sz w:val="24"/>
        </w:rPr>
        <w:t> </w:t>
      </w:r>
      <w:r>
        <w:rPr>
          <w:spacing w:val="-2"/>
          <w:sz w:val="24"/>
        </w:rPr>
        <w:t>Patna.</w:t>
      </w:r>
    </w:p>
    <w:p>
      <w:pPr>
        <w:pStyle w:val="BodyText"/>
        <w:spacing w:before="4"/>
      </w:pPr>
    </w:p>
    <w:p>
      <w:pPr>
        <w:pStyle w:val="ListParagraph"/>
        <w:numPr>
          <w:ilvl w:val="0"/>
          <w:numId w:val="177"/>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V. S. Mathur, Principal,</w:t>
      </w:r>
      <w:r>
        <w:rPr>
          <w:spacing w:val="-1"/>
          <w:sz w:val="24"/>
        </w:rPr>
        <w:t> </w:t>
      </w:r>
      <w:r>
        <w:rPr>
          <w:sz w:val="24"/>
        </w:rPr>
        <w:t>State College of Education, </w:t>
      </w:r>
      <w:r>
        <w:rPr>
          <w:spacing w:val="-2"/>
          <w:sz w:val="24"/>
        </w:rPr>
        <w:t>Patiala.</w:t>
      </w:r>
    </w:p>
    <w:p>
      <w:pPr>
        <w:pStyle w:val="BodyText"/>
        <w:spacing w:before="3"/>
      </w:pPr>
    </w:p>
    <w:p>
      <w:pPr>
        <w:pStyle w:val="ListParagraph"/>
        <w:numPr>
          <w:ilvl w:val="0"/>
          <w:numId w:val="177"/>
        </w:numPr>
        <w:tabs>
          <w:tab w:pos="398" w:val="left" w:leader="none"/>
        </w:tabs>
        <w:spacing w:line="240" w:lineRule="auto" w:before="0" w:after="0"/>
        <w:ind w:left="398" w:right="0" w:hanging="238"/>
        <w:jc w:val="left"/>
        <w:rPr>
          <w:sz w:val="24"/>
        </w:rPr>
      </w:pPr>
      <w:r>
        <w:rPr>
          <w:sz w:val="24"/>
        </w:rPr>
        <w:t>Mrs.</w:t>
      </w:r>
      <w:r>
        <w:rPr>
          <w:spacing w:val="-7"/>
          <w:sz w:val="24"/>
        </w:rPr>
        <w:t> </w:t>
      </w:r>
      <w:r>
        <w:rPr>
          <w:sz w:val="24"/>
        </w:rPr>
        <w:t>I.</w:t>
      </w:r>
      <w:r>
        <w:rPr>
          <w:spacing w:val="-4"/>
          <w:sz w:val="24"/>
        </w:rPr>
        <w:t> </w:t>
      </w:r>
      <w:r>
        <w:rPr>
          <w:sz w:val="24"/>
        </w:rPr>
        <w:t>Miri,</w:t>
      </w:r>
      <w:r>
        <w:rPr>
          <w:spacing w:val="-4"/>
          <w:sz w:val="24"/>
        </w:rPr>
        <w:t> </w:t>
      </w:r>
      <w:r>
        <w:rPr>
          <w:sz w:val="24"/>
        </w:rPr>
        <w:t>Principal,</w:t>
      </w:r>
      <w:r>
        <w:rPr>
          <w:spacing w:val="-4"/>
          <w:sz w:val="24"/>
        </w:rPr>
        <w:t> </w:t>
      </w:r>
      <w:r>
        <w:rPr>
          <w:sz w:val="24"/>
        </w:rPr>
        <w:t>Postgraduate</w:t>
      </w:r>
      <w:r>
        <w:rPr>
          <w:spacing w:val="-3"/>
          <w:sz w:val="24"/>
        </w:rPr>
        <w:t> </w:t>
      </w:r>
      <w:r>
        <w:rPr>
          <w:sz w:val="24"/>
        </w:rPr>
        <w:t>Training</w:t>
      </w:r>
      <w:r>
        <w:rPr>
          <w:spacing w:val="-3"/>
          <w:sz w:val="24"/>
        </w:rPr>
        <w:t> </w:t>
      </w:r>
      <w:r>
        <w:rPr>
          <w:sz w:val="24"/>
        </w:rPr>
        <w:t>College,</w:t>
      </w:r>
      <w:r>
        <w:rPr>
          <w:spacing w:val="-3"/>
          <w:sz w:val="24"/>
        </w:rPr>
        <w:t> </w:t>
      </w:r>
      <w:r>
        <w:rPr>
          <w:sz w:val="24"/>
        </w:rPr>
        <w:t>Assam</w:t>
      </w:r>
      <w:r>
        <w:rPr>
          <w:spacing w:val="-3"/>
          <w:sz w:val="24"/>
        </w:rPr>
        <w:t> </w:t>
      </w:r>
      <w:r>
        <w:rPr>
          <w:sz w:val="24"/>
        </w:rPr>
        <w:t>State,</w:t>
      </w:r>
      <w:r>
        <w:rPr>
          <w:spacing w:val="-3"/>
          <w:sz w:val="24"/>
        </w:rPr>
        <w:t> </w:t>
      </w:r>
      <w:r>
        <w:rPr>
          <w:spacing w:val="-2"/>
          <w:sz w:val="24"/>
        </w:rPr>
        <w:t>Jorhat.</w:t>
      </w:r>
    </w:p>
    <w:p>
      <w:pPr>
        <w:pStyle w:val="BodyText"/>
        <w:spacing w:before="5"/>
      </w:pPr>
    </w:p>
    <w:p>
      <w:pPr>
        <w:pStyle w:val="ListParagraph"/>
        <w:numPr>
          <w:ilvl w:val="0"/>
          <w:numId w:val="177"/>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A. Mujib, Head</w:t>
      </w:r>
      <w:r>
        <w:rPr>
          <w:spacing w:val="-1"/>
          <w:sz w:val="24"/>
        </w:rPr>
        <w:t> </w:t>
      </w:r>
      <w:r>
        <w:rPr>
          <w:sz w:val="24"/>
        </w:rPr>
        <w:t>of the Department of</w:t>
      </w:r>
      <w:r>
        <w:rPr>
          <w:spacing w:val="-2"/>
          <w:sz w:val="24"/>
        </w:rPr>
        <w:t> </w:t>
      </w:r>
      <w:r>
        <w:rPr>
          <w:sz w:val="24"/>
        </w:rPr>
        <w:t>Education, Aligarh University,</w:t>
      </w:r>
      <w:r>
        <w:rPr>
          <w:spacing w:val="-1"/>
          <w:sz w:val="24"/>
        </w:rPr>
        <w:t> </w:t>
      </w:r>
      <w:r>
        <w:rPr>
          <w:spacing w:val="-2"/>
          <w:sz w:val="24"/>
        </w:rPr>
        <w:t>Aligarh.</w:t>
      </w:r>
    </w:p>
    <w:p>
      <w:pPr>
        <w:pStyle w:val="BodyText"/>
        <w:spacing w:before="3"/>
      </w:pPr>
    </w:p>
    <w:p>
      <w:pPr>
        <w:pStyle w:val="ListParagraph"/>
        <w:numPr>
          <w:ilvl w:val="0"/>
          <w:numId w:val="177"/>
        </w:numPr>
        <w:tabs>
          <w:tab w:pos="402" w:val="left" w:leader="none"/>
        </w:tabs>
        <w:spacing w:line="240" w:lineRule="auto" w:before="0" w:after="0"/>
        <w:ind w:left="160" w:right="497" w:firstLine="0"/>
        <w:jc w:val="left"/>
        <w:rPr>
          <w:sz w:val="24"/>
        </w:rPr>
      </w:pPr>
      <w:r>
        <w:rPr>
          <w:sz w:val="24"/>
        </w:rPr>
        <w:t>Dr.</w:t>
      </w:r>
      <w:r>
        <w:rPr>
          <w:spacing w:val="-1"/>
          <w:sz w:val="24"/>
        </w:rPr>
        <w:t> </w:t>
      </w:r>
      <w:r>
        <w:rPr>
          <w:sz w:val="24"/>
        </w:rPr>
        <w:t>S.</w:t>
      </w:r>
      <w:r>
        <w:rPr>
          <w:spacing w:val="-1"/>
          <w:sz w:val="24"/>
        </w:rPr>
        <w:t> </w:t>
      </w:r>
      <w:r>
        <w:rPr>
          <w:sz w:val="24"/>
        </w:rPr>
        <w:t>N.</w:t>
      </w:r>
      <w:r>
        <w:rPr>
          <w:spacing w:val="-1"/>
          <w:sz w:val="24"/>
        </w:rPr>
        <w:t> </w:t>
      </w:r>
      <w:r>
        <w:rPr>
          <w:sz w:val="24"/>
        </w:rPr>
        <w:t>Mukerji,</w:t>
      </w:r>
      <w:r>
        <w:rPr>
          <w:spacing w:val="-1"/>
          <w:sz w:val="24"/>
        </w:rPr>
        <w:t> </w:t>
      </w:r>
      <w:r>
        <w:rPr>
          <w:sz w:val="24"/>
        </w:rPr>
        <w:t>Head</w:t>
      </w:r>
      <w:r>
        <w:rPr>
          <w:spacing w:val="-1"/>
          <w:sz w:val="24"/>
        </w:rPr>
        <w:t> </w:t>
      </w:r>
      <w:r>
        <w:rPr>
          <w:sz w:val="24"/>
        </w:rPr>
        <w:t>of</w:t>
      </w:r>
      <w:r>
        <w:rPr>
          <w:spacing w:val="-1"/>
          <w:sz w:val="24"/>
        </w:rPr>
        <w:t> </w:t>
      </w:r>
      <w:r>
        <w:rPr>
          <w:sz w:val="24"/>
        </w:rPr>
        <w:t>the</w:t>
      </w:r>
      <w:r>
        <w:rPr>
          <w:spacing w:val="-1"/>
          <w:sz w:val="24"/>
        </w:rPr>
        <w:t> </w:t>
      </w:r>
      <w:r>
        <w:rPr>
          <w:sz w:val="24"/>
        </w:rPr>
        <w:t>Department</w:t>
      </w:r>
      <w:r>
        <w:rPr>
          <w:spacing w:val="-1"/>
          <w:sz w:val="24"/>
        </w:rPr>
        <w:t> </w:t>
      </w:r>
      <w:r>
        <w:rPr>
          <w:sz w:val="24"/>
        </w:rPr>
        <w:t>of</w:t>
      </w:r>
      <w:r>
        <w:rPr>
          <w:spacing w:val="-1"/>
          <w:sz w:val="24"/>
        </w:rPr>
        <w:t> </w:t>
      </w:r>
      <w:r>
        <w:rPr>
          <w:sz w:val="24"/>
        </w:rPr>
        <w:t>Educational</w:t>
      </w:r>
      <w:r>
        <w:rPr>
          <w:spacing w:val="-1"/>
          <w:sz w:val="24"/>
        </w:rPr>
        <w:t> </w:t>
      </w:r>
      <w:r>
        <w:rPr>
          <w:sz w:val="24"/>
        </w:rPr>
        <w:t>Administration,</w:t>
      </w:r>
      <w:r>
        <w:rPr>
          <w:spacing w:val="-1"/>
          <w:sz w:val="24"/>
        </w:rPr>
        <w:t> </w:t>
      </w:r>
      <w:r>
        <w:rPr>
          <w:sz w:val="24"/>
        </w:rPr>
        <w:t>N.C.E.R.T., B-6/A, Model Town, Delhi-9.</w:t>
      </w:r>
    </w:p>
    <w:p>
      <w:pPr>
        <w:pStyle w:val="BodyText"/>
        <w:spacing w:before="4"/>
      </w:pPr>
    </w:p>
    <w:p>
      <w:pPr>
        <w:pStyle w:val="ListParagraph"/>
        <w:numPr>
          <w:ilvl w:val="0"/>
          <w:numId w:val="177"/>
        </w:numPr>
        <w:tabs>
          <w:tab w:pos="520" w:val="left" w:leader="none"/>
        </w:tabs>
        <w:spacing w:line="240" w:lineRule="auto" w:before="1" w:after="0"/>
        <w:ind w:left="520" w:right="0" w:hanging="360"/>
        <w:jc w:val="left"/>
        <w:rPr>
          <w:sz w:val="24"/>
        </w:rPr>
      </w:pPr>
      <w:r>
        <w:rPr>
          <w:sz w:val="24"/>
        </w:rPr>
        <w:t>Dr.(Mrs.) Chitra Naik, Director,</w:t>
      </w:r>
      <w:r>
        <w:rPr>
          <w:spacing w:val="-1"/>
          <w:sz w:val="24"/>
        </w:rPr>
        <w:t> </w:t>
      </w:r>
      <w:r>
        <w:rPr>
          <w:sz w:val="24"/>
        </w:rPr>
        <w:t>State</w:t>
      </w:r>
      <w:r>
        <w:rPr>
          <w:spacing w:val="-1"/>
          <w:sz w:val="24"/>
        </w:rPr>
        <w:t> </w:t>
      </w:r>
      <w:r>
        <w:rPr>
          <w:sz w:val="24"/>
        </w:rPr>
        <w:t>Institute</w:t>
      </w:r>
      <w:r>
        <w:rPr>
          <w:spacing w:val="-1"/>
          <w:sz w:val="24"/>
        </w:rPr>
        <w:t> </w:t>
      </w:r>
      <w:r>
        <w:rPr>
          <w:sz w:val="24"/>
        </w:rPr>
        <w:t>of</w:t>
      </w:r>
      <w:r>
        <w:rPr>
          <w:spacing w:val="-1"/>
          <w:sz w:val="24"/>
        </w:rPr>
        <w:t> </w:t>
      </w:r>
      <w:r>
        <w:rPr>
          <w:sz w:val="24"/>
        </w:rPr>
        <w:t>Education, Maharashtra, Poona-</w:t>
      </w:r>
      <w:r>
        <w:rPr>
          <w:spacing w:val="-5"/>
          <w:sz w:val="24"/>
        </w:rPr>
        <w:t>2.</w:t>
      </w:r>
    </w:p>
    <w:p>
      <w:pPr>
        <w:pStyle w:val="BodyText"/>
        <w:spacing w:before="2"/>
      </w:pPr>
    </w:p>
    <w:p>
      <w:pPr>
        <w:pStyle w:val="ListParagraph"/>
        <w:numPr>
          <w:ilvl w:val="0"/>
          <w:numId w:val="177"/>
        </w:numPr>
        <w:tabs>
          <w:tab w:pos="550" w:val="left" w:leader="none"/>
        </w:tabs>
        <w:spacing w:line="240" w:lineRule="auto" w:before="0" w:after="0"/>
        <w:ind w:left="159" w:right="497" w:firstLine="0"/>
        <w:jc w:val="left"/>
        <w:rPr>
          <w:sz w:val="24"/>
        </w:rPr>
      </w:pPr>
      <w:r>
        <w:rPr>
          <w:sz w:val="24"/>
        </w:rPr>
        <w:t>Shri</w:t>
      </w:r>
      <w:r>
        <w:rPr>
          <w:spacing w:val="28"/>
          <w:sz w:val="24"/>
        </w:rPr>
        <w:t> </w:t>
      </w:r>
      <w:r>
        <w:rPr>
          <w:sz w:val="24"/>
        </w:rPr>
        <w:t>P.</w:t>
      </w:r>
      <w:r>
        <w:rPr>
          <w:spacing w:val="28"/>
          <w:sz w:val="24"/>
        </w:rPr>
        <w:t> </w:t>
      </w:r>
      <w:r>
        <w:rPr>
          <w:sz w:val="24"/>
        </w:rPr>
        <w:t>K.</w:t>
      </w:r>
      <w:r>
        <w:rPr>
          <w:spacing w:val="28"/>
          <w:sz w:val="24"/>
        </w:rPr>
        <w:t> </w:t>
      </w:r>
      <w:r>
        <w:rPr>
          <w:sz w:val="24"/>
        </w:rPr>
        <w:t>Roy,</w:t>
      </w:r>
      <w:r>
        <w:rPr>
          <w:spacing w:val="28"/>
          <w:sz w:val="24"/>
        </w:rPr>
        <w:t> </w:t>
      </w:r>
      <w:r>
        <w:rPr>
          <w:sz w:val="24"/>
        </w:rPr>
        <w:t>Principal,</w:t>
      </w:r>
      <w:r>
        <w:rPr>
          <w:spacing w:val="28"/>
          <w:sz w:val="24"/>
        </w:rPr>
        <w:t> </w:t>
      </w:r>
      <w:r>
        <w:rPr>
          <w:sz w:val="24"/>
        </w:rPr>
        <w:t>Central</w:t>
      </w:r>
      <w:r>
        <w:rPr>
          <w:spacing w:val="28"/>
          <w:sz w:val="24"/>
        </w:rPr>
        <w:t> </w:t>
      </w:r>
      <w:r>
        <w:rPr>
          <w:sz w:val="24"/>
        </w:rPr>
        <w:t>Institute</w:t>
      </w:r>
      <w:r>
        <w:rPr>
          <w:spacing w:val="27"/>
          <w:sz w:val="24"/>
        </w:rPr>
        <w:t> </w:t>
      </w:r>
      <w:r>
        <w:rPr>
          <w:sz w:val="24"/>
        </w:rPr>
        <w:t>of</w:t>
      </w:r>
      <w:r>
        <w:rPr>
          <w:spacing w:val="27"/>
          <w:sz w:val="24"/>
        </w:rPr>
        <w:t> </w:t>
      </w:r>
      <w:r>
        <w:rPr>
          <w:sz w:val="24"/>
        </w:rPr>
        <w:t>Education</w:t>
      </w:r>
      <w:r>
        <w:rPr>
          <w:spacing w:val="27"/>
          <w:sz w:val="24"/>
        </w:rPr>
        <w:t> </w:t>
      </w:r>
      <w:r>
        <w:rPr>
          <w:sz w:val="24"/>
        </w:rPr>
        <w:t>(N.C.E.R.T.),</w:t>
      </w:r>
      <w:r>
        <w:rPr>
          <w:spacing w:val="28"/>
          <w:sz w:val="24"/>
        </w:rPr>
        <w:t> </w:t>
      </w:r>
      <w:r>
        <w:rPr>
          <w:sz w:val="24"/>
        </w:rPr>
        <w:t>33,</w:t>
      </w:r>
      <w:r>
        <w:rPr>
          <w:spacing w:val="28"/>
          <w:sz w:val="24"/>
        </w:rPr>
        <w:t> </w:t>
      </w:r>
      <w:r>
        <w:rPr>
          <w:sz w:val="24"/>
        </w:rPr>
        <w:t>Chhatra Marg, Delhi.</w:t>
      </w:r>
    </w:p>
    <w:p>
      <w:pPr>
        <w:pStyle w:val="BodyText"/>
        <w:spacing w:before="6"/>
      </w:pPr>
    </w:p>
    <w:p>
      <w:pPr>
        <w:pStyle w:val="ListParagraph"/>
        <w:numPr>
          <w:ilvl w:val="0"/>
          <w:numId w:val="177"/>
        </w:numPr>
        <w:tabs>
          <w:tab w:pos="518" w:val="left" w:leader="none"/>
        </w:tabs>
        <w:spacing w:line="240" w:lineRule="auto" w:before="0" w:after="0"/>
        <w:ind w:left="518" w:right="0" w:hanging="359"/>
        <w:jc w:val="left"/>
        <w:rPr>
          <w:sz w:val="24"/>
        </w:rPr>
      </w:pPr>
      <w:r>
        <w:rPr>
          <w:sz w:val="24"/>
        </w:rPr>
        <w:t>Dr.</w:t>
      </w:r>
      <w:r>
        <w:rPr>
          <w:spacing w:val="-2"/>
          <w:sz w:val="24"/>
        </w:rPr>
        <w:t> </w:t>
      </w:r>
      <w:r>
        <w:rPr>
          <w:sz w:val="24"/>
        </w:rPr>
        <w:t>K.</w:t>
      </w:r>
      <w:r>
        <w:rPr>
          <w:spacing w:val="-1"/>
          <w:sz w:val="24"/>
        </w:rPr>
        <w:t> </w:t>
      </w:r>
      <w:r>
        <w:rPr>
          <w:sz w:val="24"/>
        </w:rPr>
        <w:t>G.</w:t>
      </w:r>
      <w:r>
        <w:rPr>
          <w:spacing w:val="-1"/>
          <w:sz w:val="24"/>
        </w:rPr>
        <w:t> </w:t>
      </w:r>
      <w:r>
        <w:rPr>
          <w:sz w:val="24"/>
        </w:rPr>
        <w:t>Saiyidain,</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2"/>
      </w:pPr>
    </w:p>
    <w:p>
      <w:pPr>
        <w:pStyle w:val="ListParagraph"/>
        <w:numPr>
          <w:ilvl w:val="0"/>
          <w:numId w:val="177"/>
        </w:numPr>
        <w:tabs>
          <w:tab w:pos="570" w:val="left" w:leader="none"/>
        </w:tabs>
        <w:spacing w:line="240" w:lineRule="auto" w:before="1" w:after="0"/>
        <w:ind w:left="159" w:right="496" w:firstLine="0"/>
        <w:jc w:val="left"/>
        <w:rPr>
          <w:sz w:val="24"/>
        </w:rPr>
      </w:pPr>
      <w:r>
        <w:rPr>
          <w:sz w:val="24"/>
        </w:rPr>
        <w:t>Dr.</w:t>
      </w:r>
      <w:r>
        <w:rPr>
          <w:spacing w:val="40"/>
          <w:sz w:val="24"/>
        </w:rPr>
        <w:t> </w:t>
      </w:r>
      <w:r>
        <w:rPr>
          <w:sz w:val="24"/>
        </w:rPr>
        <w:t>Salamatullah,</w:t>
      </w:r>
      <w:r>
        <w:rPr>
          <w:spacing w:val="40"/>
          <w:sz w:val="24"/>
        </w:rPr>
        <w:t> </w:t>
      </w:r>
      <w:r>
        <w:rPr>
          <w:sz w:val="24"/>
        </w:rPr>
        <w:t>Principal,</w:t>
      </w:r>
      <w:r>
        <w:rPr>
          <w:spacing w:val="40"/>
          <w:sz w:val="24"/>
        </w:rPr>
        <w:t> </w:t>
      </w:r>
      <w:r>
        <w:rPr>
          <w:sz w:val="24"/>
        </w:rPr>
        <w:t>Teachers'</w:t>
      </w:r>
      <w:r>
        <w:rPr>
          <w:spacing w:val="40"/>
          <w:sz w:val="24"/>
        </w:rPr>
        <w:t> </w:t>
      </w:r>
      <w:r>
        <w:rPr>
          <w:sz w:val="24"/>
        </w:rPr>
        <w:t>College,</w:t>
      </w:r>
      <w:r>
        <w:rPr>
          <w:spacing w:val="40"/>
          <w:sz w:val="24"/>
        </w:rPr>
        <w:t> </w:t>
      </w:r>
      <w:r>
        <w:rPr>
          <w:sz w:val="24"/>
        </w:rPr>
        <w:t>Jamia</w:t>
      </w:r>
      <w:r>
        <w:rPr>
          <w:spacing w:val="40"/>
          <w:sz w:val="24"/>
        </w:rPr>
        <w:t> </w:t>
      </w:r>
      <w:r>
        <w:rPr>
          <w:sz w:val="24"/>
        </w:rPr>
        <w:t>Millia</w:t>
      </w:r>
      <w:r>
        <w:rPr>
          <w:spacing w:val="40"/>
          <w:sz w:val="24"/>
        </w:rPr>
        <w:t> </w:t>
      </w:r>
      <w:r>
        <w:rPr>
          <w:sz w:val="24"/>
        </w:rPr>
        <w:t>Islamia,</w:t>
      </w:r>
      <w:r>
        <w:rPr>
          <w:spacing w:val="40"/>
          <w:sz w:val="24"/>
        </w:rPr>
        <w:t> </w:t>
      </w:r>
      <w:r>
        <w:rPr>
          <w:sz w:val="24"/>
        </w:rPr>
        <w:t>Jamianagar, </w:t>
      </w:r>
      <w:r>
        <w:rPr>
          <w:spacing w:val="-2"/>
          <w:sz w:val="24"/>
        </w:rPr>
        <w:t>Delhi-25.</w:t>
      </w:r>
    </w:p>
    <w:p>
      <w:pPr>
        <w:pStyle w:val="BodyText"/>
        <w:spacing w:before="4"/>
      </w:pPr>
    </w:p>
    <w:p>
      <w:pPr>
        <w:pStyle w:val="ListParagraph"/>
        <w:numPr>
          <w:ilvl w:val="0"/>
          <w:numId w:val="177"/>
        </w:numPr>
        <w:tabs>
          <w:tab w:pos="518" w:val="left" w:leader="none"/>
        </w:tabs>
        <w:spacing w:line="240" w:lineRule="auto" w:before="0" w:after="0"/>
        <w:ind w:left="518" w:right="0" w:hanging="359"/>
        <w:jc w:val="left"/>
        <w:rPr>
          <w:sz w:val="24"/>
        </w:rPr>
      </w:pPr>
      <w:r>
        <w:rPr>
          <w:sz w:val="24"/>
        </w:rPr>
        <w:t>Dr.</w:t>
      </w:r>
      <w:r>
        <w:rPr>
          <w:spacing w:val="-1"/>
          <w:sz w:val="24"/>
        </w:rPr>
        <w:t> </w:t>
      </w:r>
      <w:r>
        <w:rPr>
          <w:sz w:val="24"/>
        </w:rPr>
        <w:t>R.</w:t>
      </w:r>
      <w:r>
        <w:rPr>
          <w:spacing w:val="-1"/>
          <w:sz w:val="24"/>
        </w:rPr>
        <w:t> </w:t>
      </w:r>
      <w:r>
        <w:rPr>
          <w:sz w:val="24"/>
        </w:rPr>
        <w:t>K.</w:t>
      </w:r>
      <w:r>
        <w:rPr>
          <w:spacing w:val="-1"/>
          <w:sz w:val="24"/>
        </w:rPr>
        <w:t> </w:t>
      </w:r>
      <w:r>
        <w:rPr>
          <w:sz w:val="24"/>
        </w:rPr>
        <w:t>Singh,</w:t>
      </w:r>
      <w:r>
        <w:rPr>
          <w:spacing w:val="-1"/>
          <w:sz w:val="24"/>
        </w:rPr>
        <w:t> </w:t>
      </w:r>
      <w:r>
        <w:rPr>
          <w:sz w:val="24"/>
        </w:rPr>
        <w:t>Director,</w:t>
      </w:r>
      <w:r>
        <w:rPr>
          <w:spacing w:val="-1"/>
          <w:sz w:val="24"/>
        </w:rPr>
        <w:t> </w:t>
      </w:r>
      <w:r>
        <w:rPr>
          <w:sz w:val="24"/>
        </w:rPr>
        <w:t>Rural</w:t>
      </w:r>
      <w:r>
        <w:rPr>
          <w:spacing w:val="-1"/>
          <w:sz w:val="24"/>
        </w:rPr>
        <w:t> </w:t>
      </w:r>
      <w:r>
        <w:rPr>
          <w:sz w:val="24"/>
        </w:rPr>
        <w:t>Higher Institute, P.O. Bichpuri, </w:t>
      </w:r>
      <w:r>
        <w:rPr>
          <w:spacing w:val="-2"/>
          <w:sz w:val="24"/>
        </w:rPr>
        <w:t>Agra.</w:t>
      </w:r>
    </w:p>
    <w:p>
      <w:pPr>
        <w:pStyle w:val="BodyText"/>
        <w:spacing w:before="5"/>
      </w:pPr>
    </w:p>
    <w:p>
      <w:pPr>
        <w:pStyle w:val="ListParagraph"/>
        <w:numPr>
          <w:ilvl w:val="0"/>
          <w:numId w:val="177"/>
        </w:numPr>
        <w:tabs>
          <w:tab w:pos="518" w:val="left" w:leader="none"/>
        </w:tabs>
        <w:spacing w:line="240" w:lineRule="auto" w:before="0" w:after="0"/>
        <w:ind w:left="518" w:right="0" w:hanging="359"/>
        <w:jc w:val="left"/>
        <w:rPr>
          <w:sz w:val="24"/>
        </w:rPr>
      </w:pPr>
      <w:r>
        <w:rPr>
          <w:sz w:val="24"/>
        </w:rPr>
        <w:t>Miss</w:t>
      </w:r>
      <w:r>
        <w:rPr>
          <w:spacing w:val="-3"/>
          <w:sz w:val="24"/>
        </w:rPr>
        <w:t> </w:t>
      </w:r>
      <w:r>
        <w:rPr>
          <w:sz w:val="24"/>
        </w:rPr>
        <w:t>M.</w:t>
      </w:r>
      <w:r>
        <w:rPr>
          <w:spacing w:val="-3"/>
          <w:sz w:val="24"/>
        </w:rPr>
        <w:t> </w:t>
      </w:r>
      <w:r>
        <w:rPr>
          <w:sz w:val="24"/>
        </w:rPr>
        <w:t>Vergese,</w:t>
      </w:r>
      <w:r>
        <w:rPr>
          <w:spacing w:val="-2"/>
          <w:sz w:val="24"/>
        </w:rPr>
        <w:t> </w:t>
      </w:r>
      <w:r>
        <w:rPr>
          <w:sz w:val="24"/>
        </w:rPr>
        <w:t>Principal,</w:t>
      </w:r>
      <w:r>
        <w:rPr>
          <w:spacing w:val="-1"/>
          <w:sz w:val="24"/>
        </w:rPr>
        <w:t> </w:t>
      </w:r>
      <w:r>
        <w:rPr>
          <w:sz w:val="24"/>
        </w:rPr>
        <w:t>College</w:t>
      </w:r>
      <w:r>
        <w:rPr>
          <w:spacing w:val="-1"/>
          <w:sz w:val="24"/>
        </w:rPr>
        <w:t> </w:t>
      </w:r>
      <w:r>
        <w:rPr>
          <w:sz w:val="24"/>
        </w:rPr>
        <w:t>of</w:t>
      </w:r>
      <w:r>
        <w:rPr>
          <w:spacing w:val="-2"/>
          <w:sz w:val="24"/>
        </w:rPr>
        <w:t> </w:t>
      </w:r>
      <w:r>
        <w:rPr>
          <w:sz w:val="24"/>
        </w:rPr>
        <w:t>Women,</w:t>
      </w:r>
      <w:r>
        <w:rPr>
          <w:spacing w:val="-1"/>
          <w:sz w:val="24"/>
        </w:rPr>
        <w:t> </w:t>
      </w:r>
      <w:r>
        <w:rPr>
          <w:spacing w:val="-2"/>
          <w:sz w:val="24"/>
        </w:rPr>
        <w:t>Trivandrum.</w:t>
      </w:r>
    </w:p>
    <w:p>
      <w:pPr>
        <w:pStyle w:val="BodyText"/>
        <w:spacing w:before="4"/>
      </w:pPr>
    </w:p>
    <w:p>
      <w:pPr>
        <w:pStyle w:val="Heading2"/>
        <w:ind w:left="159"/>
        <w:rPr>
          <w:rFonts w:ascii="Arial"/>
        </w:rPr>
      </w:pPr>
      <w:r>
        <w:rPr>
          <w:rFonts w:ascii="Arial"/>
        </w:rPr>
        <w:t>Sub-Group</w:t>
      </w:r>
      <w:r>
        <w:rPr>
          <w:rFonts w:ascii="Arial"/>
          <w:spacing w:val="-2"/>
        </w:rPr>
        <w:t> </w:t>
      </w:r>
      <w:r>
        <w:rPr>
          <w:rFonts w:ascii="Arial"/>
        </w:rPr>
        <w:t>on</w:t>
      </w:r>
      <w:r>
        <w:rPr>
          <w:rFonts w:ascii="Arial"/>
          <w:spacing w:val="-1"/>
        </w:rPr>
        <w:t> </w:t>
      </w:r>
      <w:r>
        <w:rPr>
          <w:rFonts w:ascii="Arial"/>
        </w:rPr>
        <w:t>Evaluation</w:t>
      </w:r>
      <w:r>
        <w:rPr>
          <w:rFonts w:ascii="Arial"/>
          <w:spacing w:val="-2"/>
        </w:rPr>
        <w:t> </w:t>
      </w:r>
      <w:r>
        <w:rPr>
          <w:rFonts w:ascii="Arial"/>
        </w:rPr>
        <w:t>in</w:t>
      </w:r>
      <w:r>
        <w:rPr>
          <w:rFonts w:ascii="Arial"/>
          <w:spacing w:val="-1"/>
        </w:rPr>
        <w:t> </w:t>
      </w:r>
      <w:r>
        <w:rPr>
          <w:rFonts w:ascii="Arial"/>
        </w:rPr>
        <w:t>Teacher</w:t>
      </w:r>
      <w:r>
        <w:rPr>
          <w:rFonts w:ascii="Arial"/>
          <w:spacing w:val="-1"/>
        </w:rPr>
        <w:t> </w:t>
      </w:r>
      <w:r>
        <w:rPr>
          <w:rFonts w:ascii="Arial"/>
          <w:spacing w:val="-2"/>
        </w:rPr>
        <w:t>Education</w:t>
      </w:r>
    </w:p>
    <w:p>
      <w:pPr>
        <w:pStyle w:val="BodyText"/>
        <w:spacing w:before="3"/>
        <w:rPr>
          <w:rFonts w:ascii="Arial"/>
          <w:b/>
        </w:rPr>
      </w:pPr>
    </w:p>
    <w:p>
      <w:pPr>
        <w:pStyle w:val="ListParagraph"/>
        <w:numPr>
          <w:ilvl w:val="0"/>
          <w:numId w:val="178"/>
        </w:numPr>
        <w:tabs>
          <w:tab w:pos="464" w:val="left" w:leader="none"/>
        </w:tabs>
        <w:spacing w:line="240" w:lineRule="auto" w:before="1" w:after="0"/>
        <w:ind w:left="159" w:right="497" w:firstLine="0"/>
        <w:jc w:val="left"/>
        <w:rPr>
          <w:sz w:val="24"/>
        </w:rPr>
      </w:pPr>
      <w:r>
        <w:rPr>
          <w:sz w:val="24"/>
        </w:rPr>
        <w:t>Dr.</w:t>
      </w:r>
      <w:r>
        <w:rPr>
          <w:spacing w:val="40"/>
          <w:sz w:val="24"/>
        </w:rPr>
        <w:t> </w:t>
      </w:r>
      <w:r>
        <w:rPr>
          <w:sz w:val="24"/>
        </w:rPr>
        <w:t>Salamatullab,</w:t>
      </w:r>
      <w:r>
        <w:rPr>
          <w:spacing w:val="40"/>
          <w:sz w:val="24"/>
        </w:rPr>
        <w:t> </w:t>
      </w:r>
      <w:r>
        <w:rPr>
          <w:sz w:val="24"/>
        </w:rPr>
        <w:t>Principal,</w:t>
      </w:r>
      <w:r>
        <w:rPr>
          <w:spacing w:val="40"/>
          <w:sz w:val="24"/>
        </w:rPr>
        <w:t> </w:t>
      </w:r>
      <w:r>
        <w:rPr>
          <w:sz w:val="24"/>
        </w:rPr>
        <w:t>Teachers'</w:t>
      </w:r>
      <w:r>
        <w:rPr>
          <w:spacing w:val="40"/>
          <w:sz w:val="24"/>
        </w:rPr>
        <w:t> </w:t>
      </w:r>
      <w:r>
        <w:rPr>
          <w:sz w:val="24"/>
        </w:rPr>
        <w:t>College,</w:t>
      </w:r>
      <w:r>
        <w:rPr>
          <w:spacing w:val="40"/>
          <w:sz w:val="24"/>
        </w:rPr>
        <w:t> </w:t>
      </w:r>
      <w:r>
        <w:rPr>
          <w:sz w:val="24"/>
        </w:rPr>
        <w:t>Jamia</w:t>
      </w:r>
      <w:r>
        <w:rPr>
          <w:spacing w:val="40"/>
          <w:sz w:val="24"/>
        </w:rPr>
        <w:t> </w:t>
      </w:r>
      <w:r>
        <w:rPr>
          <w:sz w:val="24"/>
        </w:rPr>
        <w:t>Millia</w:t>
      </w:r>
      <w:r>
        <w:rPr>
          <w:spacing w:val="40"/>
          <w:sz w:val="24"/>
        </w:rPr>
        <w:t> </w:t>
      </w:r>
      <w:r>
        <w:rPr>
          <w:sz w:val="24"/>
        </w:rPr>
        <w:t>Islamia,</w:t>
      </w:r>
      <w:r>
        <w:rPr>
          <w:spacing w:val="40"/>
          <w:sz w:val="24"/>
        </w:rPr>
        <w:t> </w:t>
      </w:r>
      <w:r>
        <w:rPr>
          <w:sz w:val="24"/>
        </w:rPr>
        <w:t>Jamianagar, Delhi-25. Convener</w:t>
      </w:r>
    </w:p>
    <w:p>
      <w:pPr>
        <w:pStyle w:val="BodyText"/>
        <w:spacing w:before="4"/>
      </w:pPr>
    </w:p>
    <w:p>
      <w:pPr>
        <w:pStyle w:val="ListParagraph"/>
        <w:numPr>
          <w:ilvl w:val="0"/>
          <w:numId w:val="178"/>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B. V. Bapat, Principal,</w:t>
      </w:r>
      <w:r>
        <w:rPr>
          <w:spacing w:val="-1"/>
          <w:sz w:val="24"/>
        </w:rPr>
        <w:t> </w:t>
      </w:r>
      <w:r>
        <w:rPr>
          <w:sz w:val="24"/>
        </w:rPr>
        <w:t>Tilak</w:t>
      </w:r>
      <w:r>
        <w:rPr>
          <w:spacing w:val="-1"/>
          <w:sz w:val="24"/>
        </w:rPr>
        <w:t> </w:t>
      </w:r>
      <w:r>
        <w:rPr>
          <w:sz w:val="24"/>
        </w:rPr>
        <w:t>College</w:t>
      </w:r>
      <w:r>
        <w:rPr>
          <w:spacing w:val="-1"/>
          <w:sz w:val="24"/>
        </w:rPr>
        <w:t> </w:t>
      </w:r>
      <w:r>
        <w:rPr>
          <w:sz w:val="24"/>
        </w:rPr>
        <w:t>of</w:t>
      </w:r>
      <w:r>
        <w:rPr>
          <w:spacing w:val="-1"/>
          <w:sz w:val="24"/>
        </w:rPr>
        <w:t> </w:t>
      </w:r>
      <w:r>
        <w:rPr>
          <w:sz w:val="24"/>
        </w:rPr>
        <w:t>Education,</w:t>
      </w:r>
      <w:r>
        <w:rPr>
          <w:spacing w:val="-1"/>
          <w:sz w:val="24"/>
        </w:rPr>
        <w:t> </w:t>
      </w:r>
      <w:r>
        <w:rPr>
          <w:spacing w:val="-2"/>
          <w:sz w:val="24"/>
        </w:rPr>
        <w:t>Poona.</w:t>
      </w:r>
    </w:p>
    <w:p>
      <w:pPr>
        <w:pStyle w:val="BodyText"/>
        <w:spacing w:before="3"/>
      </w:pPr>
    </w:p>
    <w:p>
      <w:pPr>
        <w:pStyle w:val="ListParagraph"/>
        <w:numPr>
          <w:ilvl w:val="0"/>
          <w:numId w:val="178"/>
        </w:numPr>
        <w:tabs>
          <w:tab w:pos="407" w:val="left" w:leader="none"/>
        </w:tabs>
        <w:spacing w:line="240" w:lineRule="auto" w:before="0" w:after="0"/>
        <w:ind w:left="160" w:right="498" w:firstLine="0"/>
        <w:jc w:val="left"/>
        <w:rPr>
          <w:sz w:val="24"/>
        </w:rPr>
      </w:pPr>
      <w:r>
        <w:rPr>
          <w:sz w:val="24"/>
        </w:rPr>
        <w:t>Dr. R. H. Dave, Deputy Director, Directorate of Extension Programmes for Secondary Education, N.C.E.R.T., 7, Lancer Road, Timarpur, Delhi-6.</w:t>
      </w:r>
    </w:p>
    <w:p>
      <w:pPr>
        <w:pStyle w:val="BodyText"/>
        <w:spacing w:before="5"/>
      </w:pPr>
    </w:p>
    <w:p>
      <w:pPr>
        <w:pStyle w:val="ListParagraph"/>
        <w:numPr>
          <w:ilvl w:val="0"/>
          <w:numId w:val="178"/>
        </w:numPr>
        <w:tabs>
          <w:tab w:pos="400" w:val="left" w:leader="none"/>
        </w:tabs>
        <w:spacing w:line="240" w:lineRule="auto" w:before="0" w:after="0"/>
        <w:ind w:left="400" w:right="0" w:hanging="240"/>
        <w:jc w:val="left"/>
        <w:rPr>
          <w:sz w:val="24"/>
        </w:rPr>
      </w:pPr>
      <w:r>
        <w:rPr>
          <w:sz w:val="24"/>
        </w:rPr>
        <w:t>Dr. K. G. Desai, Principal, A.G. Teachers'</w:t>
      </w:r>
      <w:r>
        <w:rPr>
          <w:spacing w:val="-2"/>
          <w:sz w:val="24"/>
        </w:rPr>
        <w:t> </w:t>
      </w:r>
      <w:r>
        <w:rPr>
          <w:sz w:val="24"/>
        </w:rPr>
        <w:t>College, </w:t>
      </w:r>
      <w:r>
        <w:rPr>
          <w:spacing w:val="-2"/>
          <w:sz w:val="24"/>
        </w:rPr>
        <w:t>Ahmedabad.</w:t>
      </w:r>
    </w:p>
    <w:p>
      <w:pPr>
        <w:pStyle w:val="BodyText"/>
        <w:spacing w:before="3"/>
      </w:pPr>
    </w:p>
    <w:p>
      <w:pPr>
        <w:pStyle w:val="ListParagraph"/>
        <w:numPr>
          <w:ilvl w:val="0"/>
          <w:numId w:val="178"/>
        </w:numPr>
        <w:tabs>
          <w:tab w:pos="441" w:val="left" w:leader="none"/>
        </w:tabs>
        <w:spacing w:line="240" w:lineRule="auto" w:before="0" w:after="0"/>
        <w:ind w:left="160" w:right="498" w:firstLine="0"/>
        <w:jc w:val="left"/>
        <w:rPr>
          <w:sz w:val="24"/>
        </w:rPr>
      </w:pPr>
      <w:r>
        <w:rPr>
          <w:sz w:val="24"/>
        </w:rPr>
        <w:t>Prof.</w:t>
      </w:r>
      <w:r>
        <w:rPr>
          <w:spacing w:val="38"/>
          <w:sz w:val="24"/>
        </w:rPr>
        <w:t> </w:t>
      </w:r>
      <w:r>
        <w:rPr>
          <w:sz w:val="24"/>
        </w:rPr>
        <w:t>H.</w:t>
      </w:r>
      <w:r>
        <w:rPr>
          <w:spacing w:val="38"/>
          <w:sz w:val="24"/>
        </w:rPr>
        <w:t> </w:t>
      </w:r>
      <w:r>
        <w:rPr>
          <w:sz w:val="24"/>
        </w:rPr>
        <w:t>M.</w:t>
      </w:r>
      <w:r>
        <w:rPr>
          <w:spacing w:val="38"/>
          <w:sz w:val="24"/>
        </w:rPr>
        <w:t> </w:t>
      </w:r>
      <w:r>
        <w:rPr>
          <w:sz w:val="24"/>
        </w:rPr>
        <w:t>Dutta,</w:t>
      </w:r>
      <w:r>
        <w:rPr>
          <w:spacing w:val="38"/>
          <w:sz w:val="24"/>
        </w:rPr>
        <w:t> </w:t>
      </w:r>
      <w:r>
        <w:rPr>
          <w:sz w:val="24"/>
        </w:rPr>
        <w:t>Professor</w:t>
      </w:r>
      <w:r>
        <w:rPr>
          <w:spacing w:val="38"/>
          <w:sz w:val="24"/>
        </w:rPr>
        <w:t> </w:t>
      </w:r>
      <w:r>
        <w:rPr>
          <w:sz w:val="24"/>
        </w:rPr>
        <w:t>of</w:t>
      </w:r>
      <w:r>
        <w:rPr>
          <w:spacing w:val="38"/>
          <w:sz w:val="24"/>
        </w:rPr>
        <w:t> </w:t>
      </w:r>
      <w:r>
        <w:rPr>
          <w:sz w:val="24"/>
        </w:rPr>
        <w:t>Education</w:t>
      </w:r>
      <w:r>
        <w:rPr>
          <w:spacing w:val="37"/>
          <w:sz w:val="24"/>
        </w:rPr>
        <w:t> </w:t>
      </w:r>
      <w:r>
        <w:rPr>
          <w:sz w:val="24"/>
        </w:rPr>
        <w:t>and</w:t>
      </w:r>
      <w:r>
        <w:rPr>
          <w:spacing w:val="37"/>
          <w:sz w:val="24"/>
        </w:rPr>
        <w:t> </w:t>
      </w:r>
      <w:r>
        <w:rPr>
          <w:sz w:val="24"/>
        </w:rPr>
        <w:t>Director</w:t>
      </w:r>
      <w:r>
        <w:rPr>
          <w:spacing w:val="37"/>
          <w:sz w:val="24"/>
        </w:rPr>
        <w:t> </w:t>
      </w:r>
      <w:r>
        <w:rPr>
          <w:sz w:val="24"/>
        </w:rPr>
        <w:t>of</w:t>
      </w:r>
      <w:r>
        <w:rPr>
          <w:spacing w:val="37"/>
          <w:sz w:val="24"/>
        </w:rPr>
        <w:t> </w:t>
      </w:r>
      <w:r>
        <w:rPr>
          <w:sz w:val="24"/>
        </w:rPr>
        <w:t>Research</w:t>
      </w:r>
      <w:r>
        <w:rPr>
          <w:spacing w:val="37"/>
          <w:sz w:val="24"/>
        </w:rPr>
        <w:t> </w:t>
      </w:r>
      <w:r>
        <w:rPr>
          <w:sz w:val="24"/>
        </w:rPr>
        <w:t>School,</w:t>
      </w:r>
      <w:r>
        <w:rPr>
          <w:spacing w:val="37"/>
          <w:sz w:val="24"/>
        </w:rPr>
        <w:t> </w:t>
      </w:r>
      <w:r>
        <w:rPr>
          <w:sz w:val="24"/>
        </w:rPr>
        <w:t>B.</w:t>
      </w:r>
      <w:r>
        <w:rPr>
          <w:spacing w:val="37"/>
          <w:sz w:val="24"/>
        </w:rPr>
        <w:t> </w:t>
      </w:r>
      <w:r>
        <w:rPr>
          <w:sz w:val="24"/>
        </w:rPr>
        <w:t>R. Training College, Agra.</w:t>
      </w:r>
    </w:p>
    <w:p>
      <w:pPr>
        <w:spacing w:after="0" w:line="240" w:lineRule="auto"/>
        <w:jc w:val="left"/>
        <w:rPr>
          <w:sz w:val="24"/>
        </w:rPr>
        <w:sectPr>
          <w:pgSz w:w="12240" w:h="15840"/>
          <w:pgMar w:header="0" w:footer="743" w:top="1360" w:bottom="940" w:left="1640" w:right="1300"/>
        </w:sectPr>
      </w:pPr>
    </w:p>
    <w:p>
      <w:pPr>
        <w:pStyle w:val="ListParagraph"/>
        <w:numPr>
          <w:ilvl w:val="0"/>
          <w:numId w:val="178"/>
        </w:numPr>
        <w:tabs>
          <w:tab w:pos="399" w:val="left" w:leader="none"/>
        </w:tabs>
        <w:spacing w:line="240" w:lineRule="auto" w:before="78"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78"/>
        </w:numPr>
        <w:tabs>
          <w:tab w:pos="399" w:val="left" w:leader="none"/>
        </w:tabs>
        <w:spacing w:line="240" w:lineRule="auto" w:before="0" w:after="0"/>
        <w:ind w:left="399" w:right="0" w:hanging="239"/>
        <w:jc w:val="left"/>
        <w:rPr>
          <w:sz w:val="24"/>
        </w:rPr>
      </w:pPr>
      <w:r>
        <w:rPr>
          <w:sz w:val="24"/>
        </w:rPr>
        <w:t>Miss</w:t>
      </w:r>
      <w:r>
        <w:rPr>
          <w:spacing w:val="-6"/>
          <w:sz w:val="24"/>
        </w:rPr>
        <w:t> </w:t>
      </w:r>
      <w:r>
        <w:rPr>
          <w:sz w:val="24"/>
        </w:rPr>
        <w:t>S.</w:t>
      </w:r>
      <w:r>
        <w:rPr>
          <w:spacing w:val="-4"/>
          <w:sz w:val="24"/>
        </w:rPr>
        <w:t> </w:t>
      </w:r>
      <w:r>
        <w:rPr>
          <w:sz w:val="24"/>
        </w:rPr>
        <w:t>Panandikar,</w:t>
      </w:r>
      <w:r>
        <w:rPr>
          <w:spacing w:val="-4"/>
          <w:sz w:val="24"/>
        </w:rPr>
        <w:t> </w:t>
      </w:r>
      <w:r>
        <w:rPr>
          <w:sz w:val="24"/>
        </w:rPr>
        <w:t>Member,</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5"/>
      </w:pPr>
    </w:p>
    <w:p>
      <w:pPr>
        <w:pStyle w:val="ListParagraph"/>
        <w:numPr>
          <w:ilvl w:val="0"/>
          <w:numId w:val="178"/>
        </w:numPr>
        <w:tabs>
          <w:tab w:pos="398" w:val="left" w:leader="none"/>
        </w:tabs>
        <w:spacing w:line="240" w:lineRule="auto" w:before="0" w:after="0"/>
        <w:ind w:left="398" w:right="0" w:hanging="238"/>
        <w:jc w:val="left"/>
        <w:rPr>
          <w:sz w:val="24"/>
        </w:rPr>
      </w:pPr>
      <w:r>
        <w:rPr>
          <w:sz w:val="24"/>
        </w:rPr>
        <w:t>Shri</w:t>
      </w:r>
      <w:r>
        <w:rPr>
          <w:spacing w:val="-4"/>
          <w:sz w:val="24"/>
        </w:rPr>
        <w:t> </w:t>
      </w:r>
      <w:r>
        <w:rPr>
          <w:sz w:val="24"/>
        </w:rPr>
        <w:t>P.</w:t>
      </w:r>
      <w:r>
        <w:rPr>
          <w:spacing w:val="-4"/>
          <w:sz w:val="24"/>
        </w:rPr>
        <w:t> </w:t>
      </w:r>
      <w:r>
        <w:rPr>
          <w:sz w:val="24"/>
        </w:rPr>
        <w:t>D.</w:t>
      </w:r>
      <w:r>
        <w:rPr>
          <w:spacing w:val="-4"/>
          <w:sz w:val="24"/>
        </w:rPr>
        <w:t> </w:t>
      </w:r>
      <w:r>
        <w:rPr>
          <w:sz w:val="24"/>
        </w:rPr>
        <w:t>Sharma,</w:t>
      </w:r>
      <w:r>
        <w:rPr>
          <w:spacing w:val="-3"/>
          <w:sz w:val="24"/>
        </w:rPr>
        <w:t> </w:t>
      </w:r>
      <w:r>
        <w:rPr>
          <w:sz w:val="24"/>
        </w:rPr>
        <w:t>Vice-Principal,</w:t>
      </w:r>
      <w:r>
        <w:rPr>
          <w:spacing w:val="-3"/>
          <w:sz w:val="24"/>
        </w:rPr>
        <w:t> </w:t>
      </w:r>
      <w:r>
        <w:rPr>
          <w:sz w:val="24"/>
        </w:rPr>
        <w:t>Regional</w:t>
      </w:r>
      <w:r>
        <w:rPr>
          <w:spacing w:val="-3"/>
          <w:sz w:val="24"/>
        </w:rPr>
        <w:t> </w:t>
      </w:r>
      <w:r>
        <w:rPr>
          <w:sz w:val="24"/>
        </w:rPr>
        <w:t>College</w:t>
      </w:r>
      <w:r>
        <w:rPr>
          <w:spacing w:val="-3"/>
          <w:sz w:val="24"/>
        </w:rPr>
        <w:t> </w:t>
      </w:r>
      <w:r>
        <w:rPr>
          <w:sz w:val="24"/>
        </w:rPr>
        <w:t>of</w:t>
      </w:r>
      <w:r>
        <w:rPr>
          <w:spacing w:val="-3"/>
          <w:sz w:val="24"/>
        </w:rPr>
        <w:t> </w:t>
      </w:r>
      <w:r>
        <w:rPr>
          <w:sz w:val="24"/>
        </w:rPr>
        <w:t>Education,</w:t>
      </w:r>
      <w:r>
        <w:rPr>
          <w:spacing w:val="-2"/>
          <w:sz w:val="24"/>
        </w:rPr>
        <w:t> Ajmer.</w:t>
      </w:r>
    </w:p>
    <w:p>
      <w:pPr>
        <w:pStyle w:val="BodyText"/>
        <w:spacing w:before="4"/>
      </w:pPr>
    </w:p>
    <w:p>
      <w:pPr>
        <w:pStyle w:val="ListParagraph"/>
        <w:numPr>
          <w:ilvl w:val="0"/>
          <w:numId w:val="178"/>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V. B. Taneja,</w:t>
      </w:r>
      <w:r>
        <w:rPr>
          <w:spacing w:val="-1"/>
          <w:sz w:val="24"/>
        </w:rPr>
        <w:t> </w:t>
      </w:r>
      <w:r>
        <w:rPr>
          <w:sz w:val="24"/>
        </w:rPr>
        <w:t>Principal,</w:t>
      </w:r>
      <w:r>
        <w:rPr>
          <w:spacing w:val="-2"/>
          <w:sz w:val="24"/>
        </w:rPr>
        <w:t> </w:t>
      </w:r>
      <w:r>
        <w:rPr>
          <w:sz w:val="24"/>
        </w:rPr>
        <w:t>Training</w:t>
      </w:r>
      <w:r>
        <w:rPr>
          <w:spacing w:val="-1"/>
          <w:sz w:val="24"/>
        </w:rPr>
        <w:t> </w:t>
      </w:r>
      <w:r>
        <w:rPr>
          <w:sz w:val="24"/>
        </w:rPr>
        <w:t>College,</w:t>
      </w:r>
      <w:r>
        <w:rPr>
          <w:spacing w:val="-1"/>
          <w:sz w:val="24"/>
        </w:rPr>
        <w:t> </w:t>
      </w:r>
      <w:r>
        <w:rPr>
          <w:spacing w:val="-2"/>
          <w:sz w:val="24"/>
        </w:rPr>
        <w:t>Kurukshetra.</w:t>
      </w:r>
    </w:p>
    <w:p>
      <w:pPr>
        <w:pStyle w:val="BodyText"/>
        <w:spacing w:before="3"/>
      </w:pPr>
    </w:p>
    <w:p>
      <w:pPr>
        <w:pStyle w:val="Heading2"/>
        <w:spacing w:before="1"/>
        <w:rPr>
          <w:rFonts w:ascii="Arial"/>
        </w:rPr>
      </w:pPr>
      <w:r>
        <w:rPr>
          <w:rFonts w:ascii="Arial"/>
        </w:rPr>
        <w:t>Sub-Group</w:t>
      </w:r>
      <w:r>
        <w:rPr>
          <w:rFonts w:ascii="Arial"/>
          <w:spacing w:val="-4"/>
        </w:rPr>
        <w:t> </w:t>
      </w:r>
      <w:r>
        <w:rPr>
          <w:rFonts w:ascii="Arial"/>
        </w:rPr>
        <w:t>on</w:t>
      </w:r>
      <w:r>
        <w:rPr>
          <w:rFonts w:ascii="Arial"/>
          <w:spacing w:val="-4"/>
        </w:rPr>
        <w:t> </w:t>
      </w:r>
      <w:r>
        <w:rPr>
          <w:rFonts w:ascii="Arial"/>
        </w:rPr>
        <w:t>Comprehensive</w:t>
      </w:r>
      <w:r>
        <w:rPr>
          <w:rFonts w:ascii="Arial"/>
          <w:spacing w:val="-4"/>
        </w:rPr>
        <w:t> </w:t>
      </w:r>
      <w:r>
        <w:rPr>
          <w:rFonts w:ascii="Arial"/>
        </w:rPr>
        <w:t>Scheme</w:t>
      </w:r>
      <w:r>
        <w:rPr>
          <w:rFonts w:ascii="Arial"/>
          <w:spacing w:val="-4"/>
        </w:rPr>
        <w:t> </w:t>
      </w:r>
      <w:r>
        <w:rPr>
          <w:rFonts w:ascii="Arial"/>
        </w:rPr>
        <w:t>of</w:t>
      </w:r>
      <w:r>
        <w:rPr>
          <w:rFonts w:ascii="Arial"/>
          <w:spacing w:val="-4"/>
        </w:rPr>
        <w:t> </w:t>
      </w:r>
      <w:r>
        <w:rPr>
          <w:rFonts w:ascii="Arial"/>
        </w:rPr>
        <w:t>Teacher</w:t>
      </w:r>
      <w:r>
        <w:rPr>
          <w:rFonts w:ascii="Arial"/>
          <w:spacing w:val="-4"/>
        </w:rPr>
        <w:t> </w:t>
      </w:r>
      <w:r>
        <w:rPr>
          <w:rFonts w:ascii="Arial"/>
          <w:spacing w:val="-2"/>
        </w:rPr>
        <w:t>Training</w:t>
      </w:r>
    </w:p>
    <w:p>
      <w:pPr>
        <w:pStyle w:val="BodyText"/>
        <w:spacing w:before="3"/>
        <w:rPr>
          <w:rFonts w:ascii="Arial"/>
          <w:b/>
        </w:rPr>
      </w:pPr>
    </w:p>
    <w:p>
      <w:pPr>
        <w:pStyle w:val="ListParagraph"/>
        <w:numPr>
          <w:ilvl w:val="0"/>
          <w:numId w:val="179"/>
        </w:numPr>
        <w:tabs>
          <w:tab w:pos="404" w:val="left" w:leader="none"/>
        </w:tabs>
        <w:spacing w:line="240" w:lineRule="auto" w:before="0" w:after="0"/>
        <w:ind w:left="160" w:right="497" w:firstLine="0"/>
        <w:jc w:val="left"/>
        <w:rPr>
          <w:sz w:val="24"/>
        </w:rPr>
      </w:pPr>
      <w:r>
        <w:rPr>
          <w:sz w:val="24"/>
        </w:rPr>
        <w:t>Shri A. C. Deve Gowda, Director, Directorate of Extension Programmes for secondary Education, 7, Lancer Road, Timarpur, Delhi-6. Convener.</w:t>
      </w:r>
    </w:p>
    <w:p>
      <w:pPr>
        <w:pStyle w:val="BodyText"/>
        <w:spacing w:before="4"/>
      </w:pPr>
    </w:p>
    <w:p>
      <w:pPr>
        <w:pStyle w:val="ListParagraph"/>
        <w:numPr>
          <w:ilvl w:val="0"/>
          <w:numId w:val="179"/>
        </w:numPr>
        <w:tabs>
          <w:tab w:pos="498" w:val="left" w:leader="none"/>
        </w:tabs>
        <w:spacing w:line="240" w:lineRule="auto" w:before="0" w:after="0"/>
        <w:ind w:left="160" w:right="497" w:firstLine="0"/>
        <w:jc w:val="left"/>
        <w:rPr>
          <w:sz w:val="24"/>
        </w:rPr>
      </w:pPr>
      <w:r>
        <w:rPr>
          <w:sz w:val="24"/>
        </w:rPr>
        <w:t>Dr.</w:t>
      </w:r>
      <w:r>
        <w:rPr>
          <w:spacing w:val="80"/>
          <w:sz w:val="24"/>
        </w:rPr>
        <w:t> </w:t>
      </w:r>
      <w:r>
        <w:rPr>
          <w:sz w:val="24"/>
        </w:rPr>
        <w:t>Reginald</w:t>
      </w:r>
      <w:r>
        <w:rPr>
          <w:spacing w:val="80"/>
          <w:sz w:val="24"/>
        </w:rPr>
        <w:t> </w:t>
      </w:r>
      <w:r>
        <w:rPr>
          <w:sz w:val="24"/>
        </w:rPr>
        <w:t>Bell,</w:t>
      </w:r>
      <w:r>
        <w:rPr>
          <w:spacing w:val="80"/>
          <w:sz w:val="24"/>
        </w:rPr>
        <w:t> </w:t>
      </w:r>
      <w:r>
        <w:rPr>
          <w:sz w:val="24"/>
        </w:rPr>
        <w:t>Expert,</w:t>
      </w:r>
      <w:r>
        <w:rPr>
          <w:spacing w:val="80"/>
          <w:sz w:val="24"/>
        </w:rPr>
        <w:t> </w:t>
      </w:r>
      <w:r>
        <w:rPr>
          <w:sz w:val="24"/>
        </w:rPr>
        <w:t>Teachers</w:t>
      </w:r>
      <w:r>
        <w:rPr>
          <w:spacing w:val="80"/>
          <w:sz w:val="24"/>
        </w:rPr>
        <w:t> </w:t>
      </w:r>
      <w:r>
        <w:rPr>
          <w:sz w:val="24"/>
        </w:rPr>
        <w:t>College,</w:t>
      </w:r>
      <w:r>
        <w:rPr>
          <w:spacing w:val="80"/>
          <w:sz w:val="24"/>
        </w:rPr>
        <w:t> </w:t>
      </w:r>
      <w:r>
        <w:rPr>
          <w:sz w:val="24"/>
        </w:rPr>
        <w:t>Columbia</w:t>
      </w:r>
      <w:r>
        <w:rPr>
          <w:spacing w:val="80"/>
          <w:sz w:val="24"/>
        </w:rPr>
        <w:t> </w:t>
      </w:r>
      <w:r>
        <w:rPr>
          <w:sz w:val="24"/>
        </w:rPr>
        <w:t>University</w:t>
      </w:r>
      <w:r>
        <w:rPr>
          <w:spacing w:val="80"/>
          <w:sz w:val="24"/>
        </w:rPr>
        <w:t> </w:t>
      </w:r>
      <w:r>
        <w:rPr>
          <w:sz w:val="24"/>
        </w:rPr>
        <w:t>Team,</w:t>
      </w:r>
      <w:r>
        <w:rPr>
          <w:spacing w:val="80"/>
          <w:sz w:val="24"/>
        </w:rPr>
        <w:t> </w:t>
      </w:r>
      <w:r>
        <w:rPr>
          <w:sz w:val="24"/>
        </w:rPr>
        <w:t>c/o American Embassy, Faridkot House, New Delhi.</w:t>
      </w:r>
    </w:p>
    <w:p>
      <w:pPr>
        <w:pStyle w:val="BodyText"/>
        <w:spacing w:before="3"/>
      </w:pPr>
    </w:p>
    <w:p>
      <w:pPr>
        <w:pStyle w:val="ListParagraph"/>
        <w:numPr>
          <w:ilvl w:val="0"/>
          <w:numId w:val="179"/>
        </w:numPr>
        <w:tabs>
          <w:tab w:pos="421" w:val="left" w:leader="none"/>
        </w:tabs>
        <w:spacing w:line="240" w:lineRule="auto" w:before="0" w:after="0"/>
        <w:ind w:left="160" w:right="497" w:firstLine="0"/>
        <w:jc w:val="left"/>
        <w:rPr>
          <w:sz w:val="24"/>
        </w:rPr>
      </w:pPr>
      <w:r>
        <w:rPr>
          <w:sz w:val="24"/>
        </w:rPr>
        <w:t>Dr. G. S. Chaurasia, Principal, Regional College of Education, Mysore (now O.S.D.,</w:t>
      </w:r>
      <w:r>
        <w:rPr>
          <w:spacing w:val="40"/>
          <w:sz w:val="24"/>
        </w:rPr>
        <w:t> </w:t>
      </w:r>
      <w:r>
        <w:rPr>
          <w:sz w:val="24"/>
        </w:rPr>
        <w:t>Regional College of Education Unit, N.C.E.R.T.).</w:t>
      </w:r>
    </w:p>
    <w:p>
      <w:pPr>
        <w:pStyle w:val="BodyText"/>
        <w:spacing w:before="5"/>
      </w:pPr>
    </w:p>
    <w:p>
      <w:pPr>
        <w:pStyle w:val="ListParagraph"/>
        <w:numPr>
          <w:ilvl w:val="0"/>
          <w:numId w:val="179"/>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R. C. Das, Principal,</w:t>
      </w:r>
      <w:r>
        <w:rPr>
          <w:spacing w:val="-1"/>
          <w:sz w:val="24"/>
        </w:rPr>
        <w:t> </w:t>
      </w:r>
      <w:r>
        <w:rPr>
          <w:sz w:val="24"/>
        </w:rPr>
        <w:t>Regional</w:t>
      </w:r>
      <w:r>
        <w:rPr>
          <w:spacing w:val="-1"/>
          <w:sz w:val="24"/>
        </w:rPr>
        <w:t> </w:t>
      </w:r>
      <w:r>
        <w:rPr>
          <w:sz w:val="24"/>
        </w:rPr>
        <w:t>College</w:t>
      </w:r>
      <w:r>
        <w:rPr>
          <w:spacing w:val="-1"/>
          <w:sz w:val="24"/>
        </w:rPr>
        <w:t> </w:t>
      </w:r>
      <w:r>
        <w:rPr>
          <w:sz w:val="24"/>
        </w:rPr>
        <w:t>of</w:t>
      </w:r>
      <w:r>
        <w:rPr>
          <w:spacing w:val="-1"/>
          <w:sz w:val="24"/>
        </w:rPr>
        <w:t> </w:t>
      </w:r>
      <w:r>
        <w:rPr>
          <w:sz w:val="24"/>
        </w:rPr>
        <w:t>Education,</w:t>
      </w:r>
      <w:r>
        <w:rPr>
          <w:spacing w:val="-1"/>
          <w:sz w:val="24"/>
        </w:rPr>
        <w:t> </w:t>
      </w:r>
      <w:r>
        <w:rPr>
          <w:spacing w:val="-2"/>
          <w:sz w:val="24"/>
        </w:rPr>
        <w:t>Bhubaneswar.</w:t>
      </w:r>
    </w:p>
    <w:p>
      <w:pPr>
        <w:pStyle w:val="BodyText"/>
        <w:spacing w:before="5"/>
      </w:pPr>
    </w:p>
    <w:p>
      <w:pPr>
        <w:pStyle w:val="ListParagraph"/>
        <w:numPr>
          <w:ilvl w:val="0"/>
          <w:numId w:val="179"/>
        </w:numPr>
        <w:tabs>
          <w:tab w:pos="400" w:val="left" w:leader="none"/>
        </w:tabs>
        <w:spacing w:line="240" w:lineRule="auto" w:before="0" w:after="0"/>
        <w:ind w:left="400"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79"/>
        </w:numPr>
        <w:tabs>
          <w:tab w:pos="400" w:val="left" w:leader="none"/>
        </w:tabs>
        <w:spacing w:line="240" w:lineRule="auto" w:before="0" w:after="0"/>
        <w:ind w:left="400" w:right="0" w:hanging="240"/>
        <w:jc w:val="left"/>
        <w:rPr>
          <w:sz w:val="24"/>
        </w:rPr>
      </w:pPr>
      <w:r>
        <w:rPr>
          <w:sz w:val="24"/>
        </w:rPr>
        <w:t>Shri B. Mariraj, Director, State Institute of Education, Dharwar </w:t>
      </w:r>
      <w:r>
        <w:rPr>
          <w:spacing w:val="-2"/>
          <w:sz w:val="24"/>
        </w:rPr>
        <w:t>(Mysore).</w:t>
      </w:r>
    </w:p>
    <w:p>
      <w:pPr>
        <w:pStyle w:val="BodyText"/>
        <w:spacing w:before="3"/>
      </w:pPr>
    </w:p>
    <w:p>
      <w:pPr>
        <w:pStyle w:val="ListParagraph"/>
        <w:numPr>
          <w:ilvl w:val="0"/>
          <w:numId w:val="179"/>
        </w:numPr>
        <w:tabs>
          <w:tab w:pos="399" w:val="left" w:leader="none"/>
        </w:tabs>
        <w:spacing w:line="240" w:lineRule="auto" w:before="0" w:after="0"/>
        <w:ind w:left="399" w:right="0" w:hanging="239"/>
        <w:jc w:val="left"/>
        <w:rPr>
          <w:sz w:val="24"/>
        </w:rPr>
      </w:pPr>
      <w:r>
        <w:rPr>
          <w:sz w:val="24"/>
        </w:rPr>
        <w:t>Miss</w:t>
      </w:r>
      <w:r>
        <w:rPr>
          <w:spacing w:val="-6"/>
          <w:sz w:val="24"/>
        </w:rPr>
        <w:t> </w:t>
      </w:r>
      <w:r>
        <w:rPr>
          <w:sz w:val="24"/>
        </w:rPr>
        <w:t>S.</w:t>
      </w:r>
      <w:r>
        <w:rPr>
          <w:spacing w:val="-4"/>
          <w:sz w:val="24"/>
        </w:rPr>
        <w:t> </w:t>
      </w:r>
      <w:r>
        <w:rPr>
          <w:sz w:val="24"/>
        </w:rPr>
        <w:t>Panandikar,</w:t>
      </w:r>
      <w:r>
        <w:rPr>
          <w:spacing w:val="-4"/>
          <w:sz w:val="24"/>
        </w:rPr>
        <w:t> </w:t>
      </w:r>
      <w:r>
        <w:rPr>
          <w:sz w:val="24"/>
        </w:rPr>
        <w:t>Member,</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5"/>
      </w:pPr>
    </w:p>
    <w:p>
      <w:pPr>
        <w:pStyle w:val="ListParagraph"/>
        <w:numPr>
          <w:ilvl w:val="0"/>
          <w:numId w:val="179"/>
        </w:numPr>
        <w:tabs>
          <w:tab w:pos="399" w:val="left" w:leader="none"/>
        </w:tabs>
        <w:spacing w:line="240" w:lineRule="auto" w:before="0" w:after="0"/>
        <w:ind w:left="399" w:right="0" w:hanging="239"/>
        <w:jc w:val="left"/>
        <w:rPr>
          <w:sz w:val="24"/>
        </w:rPr>
      </w:pPr>
      <w:r>
        <w:rPr>
          <w:sz w:val="24"/>
        </w:rPr>
        <w:t>Shri</w:t>
      </w:r>
      <w:r>
        <w:rPr>
          <w:spacing w:val="-6"/>
          <w:sz w:val="24"/>
        </w:rPr>
        <w:t> </w:t>
      </w:r>
      <w:r>
        <w:rPr>
          <w:sz w:val="24"/>
        </w:rPr>
        <w:t>G.</w:t>
      </w:r>
      <w:r>
        <w:rPr>
          <w:spacing w:val="-3"/>
          <w:sz w:val="24"/>
        </w:rPr>
        <w:t> </w:t>
      </w:r>
      <w:r>
        <w:rPr>
          <w:sz w:val="24"/>
        </w:rPr>
        <w:t>C.</w:t>
      </w:r>
      <w:r>
        <w:rPr>
          <w:spacing w:val="-3"/>
          <w:sz w:val="24"/>
        </w:rPr>
        <w:t> </w:t>
      </w:r>
      <w:r>
        <w:rPr>
          <w:sz w:val="24"/>
        </w:rPr>
        <w:t>Satpathy,</w:t>
      </w:r>
      <w:r>
        <w:rPr>
          <w:spacing w:val="-3"/>
          <w:sz w:val="24"/>
        </w:rPr>
        <w:t> </w:t>
      </w:r>
      <w:r>
        <w:rPr>
          <w:sz w:val="24"/>
        </w:rPr>
        <w:t>joint</w:t>
      </w:r>
      <w:r>
        <w:rPr>
          <w:spacing w:val="-3"/>
          <w:sz w:val="24"/>
        </w:rPr>
        <w:t> </w:t>
      </w:r>
      <w:r>
        <w:rPr>
          <w:sz w:val="24"/>
        </w:rPr>
        <w:t>Director</w:t>
      </w:r>
      <w:r>
        <w:rPr>
          <w:spacing w:val="-4"/>
          <w:sz w:val="24"/>
        </w:rPr>
        <w:t> </w:t>
      </w:r>
      <w:r>
        <w:rPr>
          <w:sz w:val="24"/>
        </w:rPr>
        <w:t>of</w:t>
      </w:r>
      <w:r>
        <w:rPr>
          <w:spacing w:val="-2"/>
          <w:sz w:val="24"/>
        </w:rPr>
        <w:t> </w:t>
      </w:r>
      <w:r>
        <w:rPr>
          <w:sz w:val="24"/>
        </w:rPr>
        <w:t>Public</w:t>
      </w:r>
      <w:r>
        <w:rPr>
          <w:spacing w:val="-3"/>
          <w:sz w:val="24"/>
        </w:rPr>
        <w:t> </w:t>
      </w:r>
      <w:r>
        <w:rPr>
          <w:sz w:val="24"/>
        </w:rPr>
        <w:t>Instruction,</w:t>
      </w:r>
      <w:r>
        <w:rPr>
          <w:spacing w:val="-3"/>
          <w:sz w:val="24"/>
        </w:rPr>
        <w:t> </w:t>
      </w:r>
      <w:r>
        <w:rPr>
          <w:sz w:val="24"/>
        </w:rPr>
        <w:t>Orissa,</w:t>
      </w:r>
      <w:r>
        <w:rPr>
          <w:spacing w:val="-3"/>
          <w:sz w:val="24"/>
        </w:rPr>
        <w:t> </w:t>
      </w:r>
      <w:r>
        <w:rPr>
          <w:spacing w:val="-2"/>
          <w:sz w:val="24"/>
        </w:rPr>
        <w:t>Cuttack.</w:t>
      </w:r>
    </w:p>
    <w:p>
      <w:pPr>
        <w:pStyle w:val="BodyText"/>
        <w:spacing w:before="4"/>
      </w:pPr>
    </w:p>
    <w:p>
      <w:pPr>
        <w:pStyle w:val="Heading2"/>
        <w:rPr>
          <w:rFonts w:ascii="Arial"/>
        </w:rPr>
      </w:pPr>
      <w:r>
        <w:rPr>
          <w:rFonts w:ascii="Arial"/>
        </w:rPr>
        <w:t>Sub-Group</w:t>
      </w:r>
      <w:r>
        <w:rPr>
          <w:rFonts w:ascii="Arial"/>
          <w:spacing w:val="80"/>
        </w:rPr>
        <w:t> </w:t>
      </w:r>
      <w:r>
        <w:rPr>
          <w:rFonts w:ascii="Arial"/>
        </w:rPr>
        <w:t>on</w:t>
      </w:r>
      <w:r>
        <w:rPr>
          <w:rFonts w:ascii="Arial"/>
          <w:spacing w:val="80"/>
        </w:rPr>
        <w:t> </w:t>
      </w:r>
      <w:r>
        <w:rPr>
          <w:rFonts w:ascii="Arial"/>
        </w:rPr>
        <w:t>Recruitment,</w:t>
      </w:r>
      <w:r>
        <w:rPr>
          <w:rFonts w:ascii="Arial"/>
          <w:spacing w:val="80"/>
        </w:rPr>
        <w:t> </w:t>
      </w:r>
      <w:r>
        <w:rPr>
          <w:rFonts w:ascii="Arial"/>
        </w:rPr>
        <w:t>Pay-Scales</w:t>
      </w:r>
      <w:r>
        <w:rPr>
          <w:rFonts w:ascii="Arial"/>
          <w:spacing w:val="80"/>
        </w:rPr>
        <w:t> </w:t>
      </w:r>
      <w:r>
        <w:rPr>
          <w:rFonts w:ascii="Arial"/>
        </w:rPr>
        <w:t>and</w:t>
      </w:r>
      <w:r>
        <w:rPr>
          <w:rFonts w:ascii="Arial"/>
          <w:spacing w:val="80"/>
        </w:rPr>
        <w:t> </w:t>
      </w:r>
      <w:r>
        <w:rPr>
          <w:rFonts w:ascii="Arial"/>
        </w:rPr>
        <w:t>Conditions</w:t>
      </w:r>
      <w:r>
        <w:rPr>
          <w:rFonts w:ascii="Arial"/>
          <w:spacing w:val="80"/>
        </w:rPr>
        <w:t> </w:t>
      </w:r>
      <w:r>
        <w:rPr>
          <w:rFonts w:ascii="Arial"/>
        </w:rPr>
        <w:t>of</w:t>
      </w:r>
      <w:r>
        <w:rPr>
          <w:rFonts w:ascii="Arial"/>
          <w:spacing w:val="80"/>
        </w:rPr>
        <w:t> </w:t>
      </w:r>
      <w:r>
        <w:rPr>
          <w:rFonts w:ascii="Arial"/>
        </w:rPr>
        <w:t>Service</w:t>
      </w:r>
      <w:r>
        <w:rPr>
          <w:rFonts w:ascii="Arial"/>
          <w:spacing w:val="80"/>
        </w:rPr>
        <w:t> </w:t>
      </w:r>
      <w:r>
        <w:rPr>
          <w:rFonts w:ascii="Arial"/>
        </w:rPr>
        <w:t>of </w:t>
      </w:r>
      <w:r>
        <w:rPr>
          <w:rFonts w:ascii="Arial"/>
          <w:spacing w:val="-2"/>
        </w:rPr>
        <w:t>Teachers</w:t>
      </w:r>
    </w:p>
    <w:p>
      <w:pPr>
        <w:pStyle w:val="BodyText"/>
        <w:spacing w:before="3"/>
        <w:rPr>
          <w:rFonts w:ascii="Arial"/>
          <w:b/>
        </w:rPr>
      </w:pPr>
    </w:p>
    <w:p>
      <w:pPr>
        <w:pStyle w:val="ListParagraph"/>
        <w:numPr>
          <w:ilvl w:val="0"/>
          <w:numId w:val="180"/>
        </w:numPr>
        <w:tabs>
          <w:tab w:pos="399" w:val="left" w:leader="none"/>
        </w:tabs>
        <w:spacing w:line="240" w:lineRule="auto" w:before="1" w:after="0"/>
        <w:ind w:left="399" w:right="0" w:hanging="239"/>
        <w:jc w:val="left"/>
        <w:rPr>
          <w:sz w:val="24"/>
        </w:rPr>
      </w:pPr>
      <w:r>
        <w:rPr>
          <w:sz w:val="24"/>
        </w:rPr>
        <w:t>Miss</w:t>
      </w:r>
      <w:r>
        <w:rPr>
          <w:spacing w:val="-2"/>
          <w:sz w:val="24"/>
        </w:rPr>
        <w:t> </w:t>
      </w:r>
      <w:r>
        <w:rPr>
          <w:sz w:val="24"/>
        </w:rPr>
        <w:t>S.</w:t>
      </w:r>
      <w:r>
        <w:rPr>
          <w:spacing w:val="-1"/>
          <w:sz w:val="24"/>
        </w:rPr>
        <w:t> </w:t>
      </w:r>
      <w:r>
        <w:rPr>
          <w:sz w:val="24"/>
        </w:rPr>
        <w:t>Panandikar,</w:t>
      </w:r>
      <w:r>
        <w:rPr>
          <w:spacing w:val="-2"/>
          <w:sz w:val="24"/>
        </w:rPr>
        <w:t> </w:t>
      </w:r>
      <w:r>
        <w:rPr>
          <w:sz w:val="24"/>
        </w:rPr>
        <w:t>Member,</w:t>
      </w:r>
      <w:r>
        <w:rPr>
          <w:spacing w:val="-1"/>
          <w:sz w:val="24"/>
        </w:rPr>
        <w:t> </w:t>
      </w:r>
      <w:r>
        <w:rPr>
          <w:sz w:val="24"/>
        </w:rPr>
        <w:t>Education Commission,</w:t>
      </w:r>
      <w:r>
        <w:rPr>
          <w:spacing w:val="-1"/>
          <w:sz w:val="24"/>
        </w:rPr>
        <w:t> </w:t>
      </w:r>
      <w:r>
        <w:rPr>
          <w:sz w:val="24"/>
        </w:rPr>
        <w:t>New Delhi. </w:t>
      </w:r>
      <w:r>
        <w:rPr>
          <w:spacing w:val="-2"/>
          <w:sz w:val="24"/>
        </w:rPr>
        <w:t>Convener</w:t>
      </w:r>
    </w:p>
    <w:p>
      <w:pPr>
        <w:pStyle w:val="BodyText"/>
        <w:spacing w:before="3"/>
      </w:pPr>
    </w:p>
    <w:p>
      <w:pPr>
        <w:pStyle w:val="ListParagraph"/>
        <w:numPr>
          <w:ilvl w:val="0"/>
          <w:numId w:val="180"/>
        </w:numPr>
        <w:tabs>
          <w:tab w:pos="498" w:val="left" w:leader="none"/>
        </w:tabs>
        <w:spacing w:line="240" w:lineRule="auto" w:before="0" w:after="0"/>
        <w:ind w:left="160" w:right="497" w:firstLine="0"/>
        <w:jc w:val="left"/>
        <w:rPr>
          <w:sz w:val="24"/>
        </w:rPr>
      </w:pPr>
      <w:r>
        <w:rPr>
          <w:sz w:val="24"/>
        </w:rPr>
        <w:t>Shri</w:t>
      </w:r>
      <w:r>
        <w:rPr>
          <w:spacing w:val="80"/>
          <w:sz w:val="24"/>
        </w:rPr>
        <w:t> </w:t>
      </w:r>
      <w:r>
        <w:rPr>
          <w:sz w:val="24"/>
        </w:rPr>
        <w:t>P.</w:t>
      </w:r>
      <w:r>
        <w:rPr>
          <w:spacing w:val="80"/>
          <w:sz w:val="24"/>
        </w:rPr>
        <w:t> </w:t>
      </w:r>
      <w:r>
        <w:rPr>
          <w:sz w:val="24"/>
        </w:rPr>
        <w:t>Adinarayan,</w:t>
      </w:r>
      <w:r>
        <w:rPr>
          <w:spacing w:val="80"/>
          <w:sz w:val="24"/>
        </w:rPr>
        <w:t> </w:t>
      </w:r>
      <w:r>
        <w:rPr>
          <w:sz w:val="24"/>
        </w:rPr>
        <w:t>Deputy</w:t>
      </w:r>
      <w:r>
        <w:rPr>
          <w:spacing w:val="80"/>
          <w:sz w:val="24"/>
        </w:rPr>
        <w:t> </w:t>
      </w:r>
      <w:r>
        <w:rPr>
          <w:sz w:val="24"/>
        </w:rPr>
        <w:t>Director</w:t>
      </w:r>
      <w:r>
        <w:rPr>
          <w:spacing w:val="80"/>
          <w:sz w:val="24"/>
        </w:rPr>
        <w:t> </w:t>
      </w:r>
      <w:r>
        <w:rPr>
          <w:sz w:val="24"/>
        </w:rPr>
        <w:t>(Secondary</w:t>
      </w:r>
      <w:r>
        <w:rPr>
          <w:spacing w:val="80"/>
          <w:sz w:val="24"/>
        </w:rPr>
        <w:t> </w:t>
      </w:r>
      <w:r>
        <w:rPr>
          <w:sz w:val="24"/>
        </w:rPr>
        <w:t>Education),</w:t>
      </w:r>
      <w:r>
        <w:rPr>
          <w:spacing w:val="80"/>
          <w:sz w:val="24"/>
        </w:rPr>
        <w:t> </w:t>
      </w:r>
      <w:r>
        <w:rPr>
          <w:sz w:val="24"/>
        </w:rPr>
        <w:t>Andhra</w:t>
      </w:r>
      <w:r>
        <w:rPr>
          <w:spacing w:val="80"/>
          <w:sz w:val="24"/>
        </w:rPr>
        <w:t> </w:t>
      </w:r>
      <w:r>
        <w:rPr>
          <w:sz w:val="24"/>
        </w:rPr>
        <w:t>Pradesh, </w:t>
      </w:r>
      <w:r>
        <w:rPr>
          <w:spacing w:val="-2"/>
          <w:sz w:val="24"/>
        </w:rPr>
        <w:t>Hyderabad-22.</w:t>
      </w:r>
    </w:p>
    <w:p>
      <w:pPr>
        <w:pStyle w:val="BodyText"/>
        <w:spacing w:before="5"/>
      </w:pPr>
    </w:p>
    <w:p>
      <w:pPr>
        <w:pStyle w:val="ListParagraph"/>
        <w:numPr>
          <w:ilvl w:val="0"/>
          <w:numId w:val="180"/>
        </w:numPr>
        <w:tabs>
          <w:tab w:pos="398" w:val="left" w:leader="none"/>
        </w:tabs>
        <w:spacing w:line="240" w:lineRule="auto" w:before="0" w:after="0"/>
        <w:ind w:left="398" w:right="0" w:hanging="238"/>
        <w:jc w:val="left"/>
        <w:rPr>
          <w:sz w:val="24"/>
        </w:rPr>
      </w:pPr>
      <w:r>
        <w:rPr>
          <w:sz w:val="24"/>
        </w:rPr>
        <w:t>Shri</w:t>
      </w:r>
      <w:r>
        <w:rPr>
          <w:spacing w:val="-4"/>
          <w:sz w:val="24"/>
        </w:rPr>
        <w:t> </w:t>
      </w:r>
      <w:r>
        <w:rPr>
          <w:sz w:val="24"/>
        </w:rPr>
        <w:t>B.</w:t>
      </w:r>
      <w:r>
        <w:rPr>
          <w:spacing w:val="-4"/>
          <w:sz w:val="24"/>
        </w:rPr>
        <w:t> </w:t>
      </w:r>
      <w:r>
        <w:rPr>
          <w:sz w:val="24"/>
        </w:rPr>
        <w:t>R.</w:t>
      </w:r>
      <w:r>
        <w:rPr>
          <w:spacing w:val="-4"/>
          <w:sz w:val="24"/>
        </w:rPr>
        <w:t> </w:t>
      </w:r>
      <w:r>
        <w:rPr>
          <w:sz w:val="24"/>
        </w:rPr>
        <w:t>Desai,</w:t>
      </w:r>
      <w:r>
        <w:rPr>
          <w:spacing w:val="-4"/>
          <w:sz w:val="24"/>
        </w:rPr>
        <w:t> </w:t>
      </w:r>
      <w:r>
        <w:rPr>
          <w:sz w:val="24"/>
        </w:rPr>
        <w:t>Principal,</w:t>
      </w:r>
      <w:r>
        <w:rPr>
          <w:spacing w:val="-3"/>
          <w:sz w:val="24"/>
        </w:rPr>
        <w:t> </w:t>
      </w:r>
      <w:r>
        <w:rPr>
          <w:sz w:val="24"/>
        </w:rPr>
        <w:t>Gokalbai</w:t>
      </w:r>
      <w:r>
        <w:rPr>
          <w:spacing w:val="-3"/>
          <w:sz w:val="24"/>
        </w:rPr>
        <w:t> </w:t>
      </w:r>
      <w:r>
        <w:rPr>
          <w:sz w:val="24"/>
        </w:rPr>
        <w:t>High</w:t>
      </w:r>
      <w:r>
        <w:rPr>
          <w:spacing w:val="-3"/>
          <w:sz w:val="24"/>
        </w:rPr>
        <w:t> </w:t>
      </w:r>
      <w:r>
        <w:rPr>
          <w:sz w:val="24"/>
        </w:rPr>
        <w:t>School,</w:t>
      </w:r>
      <w:r>
        <w:rPr>
          <w:spacing w:val="-3"/>
          <w:sz w:val="24"/>
        </w:rPr>
        <w:t> </w:t>
      </w:r>
      <w:r>
        <w:rPr>
          <w:sz w:val="24"/>
        </w:rPr>
        <w:t>Vile</w:t>
      </w:r>
      <w:r>
        <w:rPr>
          <w:spacing w:val="-3"/>
          <w:sz w:val="24"/>
        </w:rPr>
        <w:t> </w:t>
      </w:r>
      <w:r>
        <w:rPr>
          <w:sz w:val="24"/>
        </w:rPr>
        <w:t>Parle,</w:t>
      </w:r>
      <w:r>
        <w:rPr>
          <w:spacing w:val="-2"/>
          <w:sz w:val="24"/>
        </w:rPr>
        <w:t> </w:t>
      </w:r>
      <w:r>
        <w:rPr>
          <w:sz w:val="24"/>
        </w:rPr>
        <w:t>Bombay-</w:t>
      </w:r>
      <w:r>
        <w:rPr>
          <w:spacing w:val="-5"/>
          <w:sz w:val="24"/>
        </w:rPr>
        <w:t>57.</w:t>
      </w:r>
    </w:p>
    <w:p>
      <w:pPr>
        <w:pStyle w:val="BodyText"/>
        <w:spacing w:before="2"/>
      </w:pPr>
    </w:p>
    <w:p>
      <w:pPr>
        <w:pStyle w:val="ListParagraph"/>
        <w:numPr>
          <w:ilvl w:val="0"/>
          <w:numId w:val="180"/>
        </w:numPr>
        <w:tabs>
          <w:tab w:pos="401" w:val="left" w:leader="none"/>
        </w:tabs>
        <w:spacing w:line="240" w:lineRule="auto" w:before="1" w:after="0"/>
        <w:ind w:left="160" w:right="499" w:firstLine="0"/>
        <w:jc w:val="left"/>
        <w:rPr>
          <w:sz w:val="24"/>
        </w:rPr>
      </w:pPr>
      <w:r>
        <w:rPr>
          <w:sz w:val="24"/>
        </w:rPr>
        <w:t>Shri</w:t>
      </w:r>
      <w:r>
        <w:rPr>
          <w:spacing w:val="-2"/>
          <w:sz w:val="24"/>
        </w:rPr>
        <w:t> </w:t>
      </w:r>
      <w:r>
        <w:rPr>
          <w:sz w:val="24"/>
        </w:rPr>
        <w:t>A.</w:t>
      </w:r>
      <w:r>
        <w:rPr>
          <w:spacing w:val="-2"/>
          <w:sz w:val="24"/>
        </w:rPr>
        <w:t> </w:t>
      </w:r>
      <w:r>
        <w:rPr>
          <w:sz w:val="24"/>
        </w:rPr>
        <w:t>C.</w:t>
      </w:r>
      <w:r>
        <w:rPr>
          <w:spacing w:val="-2"/>
          <w:sz w:val="24"/>
        </w:rPr>
        <w:t> </w:t>
      </w:r>
      <w:r>
        <w:rPr>
          <w:sz w:val="24"/>
        </w:rPr>
        <w:t>Deve</w:t>
      </w:r>
      <w:r>
        <w:rPr>
          <w:spacing w:val="-2"/>
          <w:sz w:val="24"/>
        </w:rPr>
        <w:t> </w:t>
      </w:r>
      <w:r>
        <w:rPr>
          <w:sz w:val="24"/>
        </w:rPr>
        <w:t>Gowda,</w:t>
      </w:r>
      <w:r>
        <w:rPr>
          <w:spacing w:val="-2"/>
          <w:sz w:val="24"/>
        </w:rPr>
        <w:t> </w:t>
      </w:r>
      <w:r>
        <w:rPr>
          <w:sz w:val="24"/>
        </w:rPr>
        <w:t>Director,</w:t>
      </w:r>
      <w:r>
        <w:rPr>
          <w:spacing w:val="-4"/>
          <w:sz w:val="24"/>
        </w:rPr>
        <w:t> </w:t>
      </w:r>
      <w:r>
        <w:rPr>
          <w:sz w:val="24"/>
        </w:rPr>
        <w:t>Directorate</w:t>
      </w:r>
      <w:r>
        <w:rPr>
          <w:spacing w:val="-3"/>
          <w:sz w:val="24"/>
        </w:rPr>
        <w:t> </w:t>
      </w:r>
      <w:r>
        <w:rPr>
          <w:sz w:val="24"/>
        </w:rPr>
        <w:t>of</w:t>
      </w:r>
      <w:r>
        <w:rPr>
          <w:spacing w:val="-3"/>
          <w:sz w:val="24"/>
        </w:rPr>
        <w:t> </w:t>
      </w:r>
      <w:r>
        <w:rPr>
          <w:sz w:val="24"/>
        </w:rPr>
        <w:t>Extension</w:t>
      </w:r>
      <w:r>
        <w:rPr>
          <w:spacing w:val="-2"/>
          <w:sz w:val="24"/>
        </w:rPr>
        <w:t> </w:t>
      </w:r>
      <w:r>
        <w:rPr>
          <w:sz w:val="24"/>
        </w:rPr>
        <w:t>Programmes</w:t>
      </w:r>
      <w:r>
        <w:rPr>
          <w:spacing w:val="-2"/>
          <w:sz w:val="24"/>
        </w:rPr>
        <w:t> </w:t>
      </w:r>
      <w:r>
        <w:rPr>
          <w:sz w:val="24"/>
        </w:rPr>
        <w:t>for</w:t>
      </w:r>
      <w:r>
        <w:rPr>
          <w:spacing w:val="-2"/>
          <w:sz w:val="24"/>
        </w:rPr>
        <w:t> </w:t>
      </w:r>
      <w:r>
        <w:rPr>
          <w:sz w:val="24"/>
        </w:rPr>
        <w:t>Secondary Education, N.C.E.R.T., 7, Lancer Road, Timarpur, Delhi-6.</w:t>
      </w:r>
    </w:p>
    <w:p>
      <w:pPr>
        <w:pStyle w:val="BodyText"/>
        <w:spacing w:before="5"/>
      </w:pPr>
    </w:p>
    <w:p>
      <w:pPr>
        <w:pStyle w:val="ListParagraph"/>
        <w:numPr>
          <w:ilvl w:val="0"/>
          <w:numId w:val="180"/>
        </w:numPr>
        <w:tabs>
          <w:tab w:pos="400" w:val="left" w:leader="none"/>
        </w:tabs>
        <w:spacing w:line="240" w:lineRule="auto" w:before="1" w:after="0"/>
        <w:ind w:left="400" w:right="0" w:hanging="240"/>
        <w:jc w:val="left"/>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3"/>
      </w:pPr>
    </w:p>
    <w:p>
      <w:pPr>
        <w:pStyle w:val="ListParagraph"/>
        <w:numPr>
          <w:ilvl w:val="0"/>
          <w:numId w:val="180"/>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spacing w:after="0" w:line="240" w:lineRule="auto"/>
        <w:jc w:val="left"/>
        <w:rPr>
          <w:sz w:val="24"/>
        </w:rPr>
        <w:sectPr>
          <w:pgSz w:w="12240" w:h="15840"/>
          <w:pgMar w:header="0" w:footer="743" w:top="1360" w:bottom="940" w:left="1640" w:right="1300"/>
        </w:sectPr>
      </w:pPr>
    </w:p>
    <w:p>
      <w:pPr>
        <w:pStyle w:val="ListParagraph"/>
        <w:numPr>
          <w:ilvl w:val="0"/>
          <w:numId w:val="180"/>
        </w:numPr>
        <w:tabs>
          <w:tab w:pos="422" w:val="left" w:leader="none"/>
        </w:tabs>
        <w:spacing w:line="240" w:lineRule="auto" w:before="76" w:after="0"/>
        <w:ind w:left="160" w:right="498" w:firstLine="0"/>
        <w:jc w:val="left"/>
        <w:rPr>
          <w:sz w:val="24"/>
        </w:rPr>
      </w:pPr>
      <w:r>
        <w:rPr>
          <w:sz w:val="24"/>
        </w:rPr>
        <w:t>Shri S. Natarajan, Director of-Projects, The South Indian Teachers Union Council of</w:t>
      </w:r>
      <w:r>
        <w:rPr>
          <w:spacing w:val="40"/>
          <w:sz w:val="24"/>
        </w:rPr>
        <w:t> </w:t>
      </w:r>
      <w:r>
        <w:rPr>
          <w:sz w:val="24"/>
        </w:rPr>
        <w:t>Educational Research, Robertsonpet, Raja Annamalaipuram, Madras-28.</w:t>
      </w:r>
    </w:p>
    <w:p>
      <w:pPr>
        <w:pStyle w:val="BodyText"/>
        <w:spacing w:before="4"/>
      </w:pPr>
    </w:p>
    <w:p>
      <w:pPr>
        <w:pStyle w:val="ListParagraph"/>
        <w:numPr>
          <w:ilvl w:val="0"/>
          <w:numId w:val="180"/>
        </w:numPr>
        <w:tabs>
          <w:tab w:pos="464" w:val="left" w:leader="none"/>
        </w:tabs>
        <w:spacing w:line="240" w:lineRule="auto" w:before="0" w:after="0"/>
        <w:ind w:left="160" w:right="499" w:firstLine="0"/>
        <w:jc w:val="left"/>
        <w:rPr>
          <w:sz w:val="24"/>
        </w:rPr>
      </w:pPr>
      <w:r>
        <w:rPr>
          <w:sz w:val="24"/>
        </w:rPr>
        <w:t>Shri</w:t>
      </w:r>
      <w:r>
        <w:rPr>
          <w:spacing w:val="40"/>
          <w:sz w:val="24"/>
        </w:rPr>
        <w:t> </w:t>
      </w:r>
      <w:r>
        <w:rPr>
          <w:sz w:val="24"/>
        </w:rPr>
        <w:t>A.</w:t>
      </w:r>
      <w:r>
        <w:rPr>
          <w:spacing w:val="40"/>
          <w:sz w:val="24"/>
        </w:rPr>
        <w:t> </w:t>
      </w:r>
      <w:r>
        <w:rPr>
          <w:sz w:val="24"/>
        </w:rPr>
        <w:t>V.</w:t>
      </w:r>
      <w:r>
        <w:rPr>
          <w:spacing w:val="40"/>
          <w:sz w:val="24"/>
        </w:rPr>
        <w:t> </w:t>
      </w:r>
      <w:r>
        <w:rPr>
          <w:sz w:val="24"/>
        </w:rPr>
        <w:t>Sriranga</w:t>
      </w:r>
      <w:r>
        <w:rPr>
          <w:spacing w:val="40"/>
          <w:sz w:val="24"/>
        </w:rPr>
        <w:t> </w:t>
      </w:r>
      <w:r>
        <w:rPr>
          <w:sz w:val="24"/>
        </w:rPr>
        <w:t>Raju,</w:t>
      </w:r>
      <w:r>
        <w:rPr>
          <w:spacing w:val="40"/>
          <w:sz w:val="24"/>
        </w:rPr>
        <w:t> </w:t>
      </w:r>
      <w:r>
        <w:rPr>
          <w:sz w:val="24"/>
        </w:rPr>
        <w:t>Deputy</w:t>
      </w:r>
      <w:r>
        <w:rPr>
          <w:spacing w:val="40"/>
          <w:sz w:val="24"/>
        </w:rPr>
        <w:t> </w:t>
      </w:r>
      <w:r>
        <w:rPr>
          <w:sz w:val="24"/>
        </w:rPr>
        <w:t>Director</w:t>
      </w:r>
      <w:r>
        <w:rPr>
          <w:spacing w:val="40"/>
          <w:sz w:val="24"/>
        </w:rPr>
        <w:t> </w:t>
      </w:r>
      <w:r>
        <w:rPr>
          <w:sz w:val="24"/>
        </w:rPr>
        <w:t>of</w:t>
      </w:r>
      <w:r>
        <w:rPr>
          <w:spacing w:val="40"/>
          <w:sz w:val="24"/>
        </w:rPr>
        <w:t> </w:t>
      </w:r>
      <w:r>
        <w:rPr>
          <w:sz w:val="24"/>
        </w:rPr>
        <w:t>Public</w:t>
      </w:r>
      <w:r>
        <w:rPr>
          <w:spacing w:val="40"/>
          <w:sz w:val="24"/>
        </w:rPr>
        <w:t> </w:t>
      </w:r>
      <w:r>
        <w:rPr>
          <w:sz w:val="24"/>
        </w:rPr>
        <w:t>Instruction</w:t>
      </w:r>
      <w:r>
        <w:rPr>
          <w:spacing w:val="40"/>
          <w:sz w:val="24"/>
        </w:rPr>
        <w:t> </w:t>
      </w:r>
      <w:r>
        <w:rPr>
          <w:sz w:val="24"/>
        </w:rPr>
        <w:t>(Examinations), Victory Hall, Bangalore.</w:t>
      </w:r>
    </w:p>
    <w:p>
      <w:pPr>
        <w:pStyle w:val="BodyText"/>
        <w:spacing w:before="6"/>
      </w:pPr>
    </w:p>
    <w:p>
      <w:pPr>
        <w:pStyle w:val="Heading2"/>
        <w:rPr>
          <w:rFonts w:ascii="Arial"/>
        </w:rPr>
      </w:pPr>
      <w:r>
        <w:rPr>
          <w:rFonts w:ascii="Arial"/>
        </w:rPr>
        <w:t>Sub-Group</w:t>
      </w:r>
      <w:r>
        <w:rPr>
          <w:rFonts w:ascii="Arial"/>
          <w:spacing w:val="-4"/>
        </w:rPr>
        <w:t> </w:t>
      </w:r>
      <w:r>
        <w:rPr>
          <w:rFonts w:ascii="Arial"/>
        </w:rPr>
        <w:t>on</w:t>
      </w:r>
      <w:r>
        <w:rPr>
          <w:rFonts w:ascii="Arial"/>
          <w:spacing w:val="-4"/>
        </w:rPr>
        <w:t> </w:t>
      </w:r>
      <w:r>
        <w:rPr>
          <w:rFonts w:ascii="Arial"/>
        </w:rPr>
        <w:t>Statistical</w:t>
      </w:r>
      <w:r>
        <w:rPr>
          <w:rFonts w:ascii="Arial"/>
          <w:spacing w:val="-4"/>
        </w:rPr>
        <w:t> </w:t>
      </w:r>
      <w:r>
        <w:rPr>
          <w:rFonts w:ascii="Arial"/>
        </w:rPr>
        <w:t>Calculations,</w:t>
      </w:r>
      <w:r>
        <w:rPr>
          <w:rFonts w:ascii="Arial"/>
          <w:spacing w:val="-4"/>
        </w:rPr>
        <w:t> </w:t>
      </w:r>
      <w:r>
        <w:rPr>
          <w:rFonts w:ascii="Arial"/>
        </w:rPr>
        <w:t>Finance</w:t>
      </w:r>
      <w:r>
        <w:rPr>
          <w:rFonts w:ascii="Arial"/>
          <w:spacing w:val="-4"/>
        </w:rPr>
        <w:t> </w:t>
      </w:r>
      <w:r>
        <w:rPr>
          <w:rFonts w:ascii="Arial"/>
        </w:rPr>
        <w:t>and</w:t>
      </w:r>
      <w:r>
        <w:rPr>
          <w:rFonts w:ascii="Arial"/>
          <w:spacing w:val="-4"/>
        </w:rPr>
        <w:t> </w:t>
      </w:r>
      <w:r>
        <w:rPr>
          <w:rFonts w:ascii="Arial"/>
        </w:rPr>
        <w:t>Unit</w:t>
      </w:r>
      <w:r>
        <w:rPr>
          <w:rFonts w:ascii="Arial"/>
          <w:spacing w:val="-5"/>
        </w:rPr>
        <w:t> </w:t>
      </w:r>
      <w:r>
        <w:rPr>
          <w:rFonts w:ascii="Arial"/>
          <w:spacing w:val="-2"/>
        </w:rPr>
        <w:t>Costs</w:t>
      </w:r>
    </w:p>
    <w:p>
      <w:pPr>
        <w:pStyle w:val="BodyText"/>
        <w:spacing w:before="4"/>
        <w:rPr>
          <w:rFonts w:ascii="Arial"/>
          <w:b/>
        </w:rPr>
      </w:pPr>
    </w:p>
    <w:p>
      <w:pPr>
        <w:pStyle w:val="ListParagraph"/>
        <w:numPr>
          <w:ilvl w:val="0"/>
          <w:numId w:val="181"/>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1"/>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2"/>
      </w:pPr>
    </w:p>
    <w:p>
      <w:pPr>
        <w:pStyle w:val="ListParagraph"/>
        <w:numPr>
          <w:ilvl w:val="0"/>
          <w:numId w:val="181"/>
        </w:numPr>
        <w:tabs>
          <w:tab w:pos="400" w:val="left" w:leader="none"/>
        </w:tabs>
        <w:spacing w:line="240" w:lineRule="auto" w:before="0" w:after="0"/>
        <w:ind w:left="159" w:right="498" w:firstLine="0"/>
        <w:jc w:val="left"/>
        <w:rPr>
          <w:sz w:val="24"/>
        </w:rPr>
      </w:pPr>
      <w:r>
        <w:rPr>
          <w:sz w:val="24"/>
        </w:rPr>
        <w:t>Dr.</w:t>
      </w:r>
      <w:r>
        <w:rPr>
          <w:spacing w:val="-2"/>
          <w:sz w:val="24"/>
        </w:rPr>
        <w:t> </w:t>
      </w:r>
      <w:r>
        <w:rPr>
          <w:sz w:val="24"/>
        </w:rPr>
        <w:t>S.</w:t>
      </w:r>
      <w:r>
        <w:rPr>
          <w:spacing w:val="-2"/>
          <w:sz w:val="24"/>
        </w:rPr>
        <w:t> </w:t>
      </w:r>
      <w:r>
        <w:rPr>
          <w:sz w:val="24"/>
        </w:rPr>
        <w:t>P.</w:t>
      </w:r>
      <w:r>
        <w:rPr>
          <w:spacing w:val="-2"/>
          <w:sz w:val="24"/>
        </w:rPr>
        <w:t> </w:t>
      </w:r>
      <w:r>
        <w:rPr>
          <w:sz w:val="24"/>
        </w:rPr>
        <w:t>Aggarwal,</w:t>
      </w:r>
      <w:r>
        <w:rPr>
          <w:spacing w:val="-2"/>
          <w:sz w:val="24"/>
        </w:rPr>
        <w:t> </w:t>
      </w:r>
      <w:r>
        <w:rPr>
          <w:sz w:val="24"/>
        </w:rPr>
        <w:t>Head</w:t>
      </w:r>
      <w:r>
        <w:rPr>
          <w:spacing w:val="-2"/>
          <w:sz w:val="24"/>
        </w:rPr>
        <w:t> </w:t>
      </w:r>
      <w:r>
        <w:rPr>
          <w:sz w:val="24"/>
        </w:rPr>
        <w:t>of</w:t>
      </w:r>
      <w:r>
        <w:rPr>
          <w:spacing w:val="-2"/>
          <w:sz w:val="24"/>
        </w:rPr>
        <w:t> </w:t>
      </w:r>
      <w:r>
        <w:rPr>
          <w:sz w:val="24"/>
        </w:rPr>
        <w:t>Division,</w:t>
      </w:r>
      <w:r>
        <w:rPr>
          <w:spacing w:val="-2"/>
          <w:sz w:val="24"/>
        </w:rPr>
        <w:t> </w:t>
      </w:r>
      <w:r>
        <w:rPr>
          <w:sz w:val="24"/>
        </w:rPr>
        <w:t>Area</w:t>
      </w:r>
      <w:r>
        <w:rPr>
          <w:spacing w:val="-3"/>
          <w:sz w:val="24"/>
        </w:rPr>
        <w:t> </w:t>
      </w:r>
      <w:r>
        <w:rPr>
          <w:sz w:val="24"/>
        </w:rPr>
        <w:t>Manpower,</w:t>
      </w:r>
      <w:r>
        <w:rPr>
          <w:spacing w:val="-3"/>
          <w:sz w:val="24"/>
        </w:rPr>
        <w:t> </w:t>
      </w:r>
      <w:r>
        <w:rPr>
          <w:sz w:val="24"/>
        </w:rPr>
        <w:t>Institute</w:t>
      </w:r>
      <w:r>
        <w:rPr>
          <w:spacing w:val="-2"/>
          <w:sz w:val="24"/>
        </w:rPr>
        <w:t> </w:t>
      </w:r>
      <w:r>
        <w:rPr>
          <w:sz w:val="24"/>
        </w:rPr>
        <w:t>of</w:t>
      </w:r>
      <w:r>
        <w:rPr>
          <w:spacing w:val="-2"/>
          <w:sz w:val="24"/>
        </w:rPr>
        <w:t> </w:t>
      </w:r>
      <w:r>
        <w:rPr>
          <w:sz w:val="24"/>
        </w:rPr>
        <w:t>Applied</w:t>
      </w:r>
      <w:r>
        <w:rPr>
          <w:spacing w:val="-2"/>
          <w:sz w:val="24"/>
        </w:rPr>
        <w:t> </w:t>
      </w:r>
      <w:r>
        <w:rPr>
          <w:sz w:val="24"/>
        </w:rPr>
        <w:t>Manpower Research, Indraprastha Estate, Ring Road, New Delhi-1.</w:t>
      </w:r>
    </w:p>
    <w:p>
      <w:pPr>
        <w:pStyle w:val="BodyText"/>
        <w:spacing w:before="6"/>
      </w:pPr>
    </w:p>
    <w:p>
      <w:pPr>
        <w:pStyle w:val="ListParagraph"/>
        <w:numPr>
          <w:ilvl w:val="0"/>
          <w:numId w:val="181"/>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81"/>
        </w:numPr>
        <w:tabs>
          <w:tab w:pos="418" w:val="left" w:leader="none"/>
        </w:tabs>
        <w:spacing w:line="240" w:lineRule="auto" w:before="0" w:after="0"/>
        <w:ind w:left="159" w:right="497" w:firstLine="0"/>
        <w:jc w:val="left"/>
        <w:rPr>
          <w:sz w:val="24"/>
        </w:rPr>
      </w:pPr>
      <w:r>
        <w:rPr>
          <w:sz w:val="24"/>
        </w:rPr>
        <w:t>Dr. G. N. Kaul, Field Adviser, National Institute of Basic Education, D. 14/6, Model</w:t>
      </w:r>
      <w:r>
        <w:rPr>
          <w:spacing w:val="40"/>
          <w:sz w:val="24"/>
        </w:rPr>
        <w:t> </w:t>
      </w:r>
      <w:r>
        <w:rPr>
          <w:sz w:val="24"/>
        </w:rPr>
        <w:t>Town, Delhi-9.</w:t>
      </w:r>
    </w:p>
    <w:p>
      <w:pPr>
        <w:pStyle w:val="BodyText"/>
        <w:spacing w:before="4"/>
      </w:pPr>
    </w:p>
    <w:p>
      <w:pPr>
        <w:pStyle w:val="ListParagraph"/>
        <w:numPr>
          <w:ilvl w:val="0"/>
          <w:numId w:val="181"/>
        </w:numPr>
        <w:tabs>
          <w:tab w:pos="398" w:val="left" w:leader="none"/>
        </w:tabs>
        <w:spacing w:line="240" w:lineRule="auto" w:before="1" w:after="0"/>
        <w:ind w:left="398" w:right="0" w:hanging="239"/>
        <w:jc w:val="left"/>
        <w:rPr>
          <w:sz w:val="24"/>
        </w:rPr>
      </w:pPr>
      <w:r>
        <w:rPr>
          <w:sz w:val="24"/>
        </w:rPr>
        <w:t>Prof.</w:t>
      </w:r>
      <w:r>
        <w:rPr>
          <w:spacing w:val="-2"/>
          <w:sz w:val="24"/>
        </w:rPr>
        <w:t> </w:t>
      </w:r>
      <w:r>
        <w:rPr>
          <w:sz w:val="24"/>
        </w:rPr>
        <w:t>M.</w:t>
      </w:r>
      <w:r>
        <w:rPr>
          <w:spacing w:val="-1"/>
          <w:sz w:val="24"/>
        </w:rPr>
        <w:t> </w:t>
      </w:r>
      <w:r>
        <w:rPr>
          <w:sz w:val="24"/>
        </w:rPr>
        <w:t>V.</w:t>
      </w:r>
      <w:r>
        <w:rPr>
          <w:spacing w:val="-1"/>
          <w:sz w:val="24"/>
        </w:rPr>
        <w:t> </w:t>
      </w:r>
      <w:r>
        <w:rPr>
          <w:sz w:val="24"/>
        </w:rPr>
        <w:t>Mathur,</w:t>
      </w:r>
      <w:r>
        <w:rPr>
          <w:spacing w:val="-1"/>
          <w:sz w:val="24"/>
        </w:rPr>
        <w:t> </w:t>
      </w:r>
      <w:r>
        <w:rPr>
          <w:sz w:val="24"/>
        </w:rPr>
        <w:t>Member,</w:t>
      </w:r>
      <w:r>
        <w:rPr>
          <w:spacing w:val="-1"/>
          <w:sz w:val="24"/>
        </w:rPr>
        <w:t> </w:t>
      </w:r>
      <w:r>
        <w:rPr>
          <w:sz w:val="24"/>
        </w:rPr>
        <w:t>Education Commission, New </w:t>
      </w:r>
      <w:r>
        <w:rPr>
          <w:spacing w:val="-2"/>
          <w:sz w:val="24"/>
        </w:rPr>
        <w:t>Delhi.</w:t>
      </w:r>
    </w:p>
    <w:p>
      <w:pPr>
        <w:pStyle w:val="BodyText"/>
        <w:spacing w:before="4"/>
      </w:pPr>
    </w:p>
    <w:p>
      <w:pPr>
        <w:pStyle w:val="Heading2"/>
        <w:spacing w:before="1"/>
        <w:ind w:left="159"/>
      </w:pPr>
      <w:r>
        <w:rPr/>
        <w:t>AIV.13.</w:t>
      </w:r>
      <w:r>
        <w:rPr>
          <w:spacing w:val="-2"/>
        </w:rPr>
        <w:t> </w:t>
      </w:r>
      <w:r>
        <w:rPr/>
        <w:t>Working</w:t>
      </w:r>
      <w:r>
        <w:rPr>
          <w:spacing w:val="-1"/>
        </w:rPr>
        <w:t> </w:t>
      </w:r>
      <w:r>
        <w:rPr/>
        <w:t>Group</w:t>
      </w:r>
      <w:r>
        <w:rPr>
          <w:spacing w:val="-2"/>
        </w:rPr>
        <w:t> </w:t>
      </w:r>
      <w:r>
        <w:rPr/>
        <w:t>on</w:t>
      </w:r>
      <w:r>
        <w:rPr>
          <w:spacing w:val="-1"/>
        </w:rPr>
        <w:t> </w:t>
      </w:r>
      <w:r>
        <w:rPr/>
        <w:t>Educational</w:t>
      </w:r>
      <w:r>
        <w:rPr>
          <w:spacing w:val="-1"/>
        </w:rPr>
        <w:t> </w:t>
      </w:r>
      <w:r>
        <w:rPr>
          <w:spacing w:val="-2"/>
        </w:rPr>
        <w:t>Buildings</w:t>
      </w:r>
    </w:p>
    <w:p>
      <w:pPr>
        <w:pStyle w:val="BodyText"/>
        <w:spacing w:before="2"/>
        <w:rPr>
          <w:b/>
        </w:rPr>
      </w:pPr>
    </w:p>
    <w:p>
      <w:pPr>
        <w:pStyle w:val="ListParagraph"/>
        <w:numPr>
          <w:ilvl w:val="0"/>
          <w:numId w:val="182"/>
        </w:numPr>
        <w:tabs>
          <w:tab w:pos="399" w:val="left" w:leader="none"/>
        </w:tabs>
        <w:spacing w:line="240" w:lineRule="auto" w:before="0" w:after="0"/>
        <w:ind w:left="399"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5"/>
      </w:pPr>
    </w:p>
    <w:p>
      <w:pPr>
        <w:pStyle w:val="ListParagraph"/>
        <w:numPr>
          <w:ilvl w:val="0"/>
          <w:numId w:val="182"/>
        </w:numPr>
        <w:tabs>
          <w:tab w:pos="397" w:val="left" w:leader="none"/>
        </w:tabs>
        <w:spacing w:line="240" w:lineRule="auto" w:before="0" w:after="0"/>
        <w:ind w:left="397" w:right="0" w:hanging="238"/>
        <w:jc w:val="left"/>
        <w:rPr>
          <w:sz w:val="24"/>
        </w:rPr>
      </w:pPr>
      <w:r>
        <w:rPr>
          <w:sz w:val="24"/>
        </w:rPr>
        <w:t>Shri</w:t>
      </w:r>
      <w:r>
        <w:rPr>
          <w:spacing w:val="-4"/>
          <w:sz w:val="24"/>
        </w:rPr>
        <w:t> </w:t>
      </w:r>
      <w:r>
        <w:rPr>
          <w:sz w:val="24"/>
        </w:rPr>
        <w:t>R.</w:t>
      </w:r>
      <w:r>
        <w:rPr>
          <w:spacing w:val="-4"/>
          <w:sz w:val="24"/>
        </w:rPr>
        <w:t> </w:t>
      </w:r>
      <w:r>
        <w:rPr>
          <w:sz w:val="24"/>
        </w:rPr>
        <w:t>K.</w:t>
      </w:r>
      <w:r>
        <w:rPr>
          <w:spacing w:val="-4"/>
          <w:sz w:val="24"/>
        </w:rPr>
        <w:t> </w:t>
      </w:r>
      <w:r>
        <w:rPr>
          <w:sz w:val="24"/>
        </w:rPr>
        <w:t>Chhabra,</w:t>
      </w:r>
      <w:r>
        <w:rPr>
          <w:spacing w:val="-4"/>
          <w:sz w:val="24"/>
        </w:rPr>
        <w:t> </w:t>
      </w:r>
      <w:r>
        <w:rPr>
          <w:sz w:val="24"/>
        </w:rPr>
        <w:t>Deputy</w:t>
      </w:r>
      <w:r>
        <w:rPr>
          <w:spacing w:val="-4"/>
          <w:sz w:val="24"/>
        </w:rPr>
        <w:t> </w:t>
      </w:r>
      <w:r>
        <w:rPr>
          <w:sz w:val="24"/>
        </w:rPr>
        <w:t>Secretary,</w:t>
      </w:r>
      <w:r>
        <w:rPr>
          <w:spacing w:val="-4"/>
          <w:sz w:val="24"/>
        </w:rPr>
        <w:t> </w:t>
      </w:r>
      <w:r>
        <w:rPr>
          <w:sz w:val="24"/>
        </w:rPr>
        <w:t>University</w:t>
      </w:r>
      <w:r>
        <w:rPr>
          <w:spacing w:val="-3"/>
          <w:sz w:val="24"/>
        </w:rPr>
        <w:t> </w:t>
      </w:r>
      <w:r>
        <w:rPr>
          <w:sz w:val="24"/>
        </w:rPr>
        <w:t>Grants</w:t>
      </w:r>
      <w:r>
        <w:rPr>
          <w:spacing w:val="-3"/>
          <w:sz w:val="24"/>
        </w:rPr>
        <w:t> </w:t>
      </w:r>
      <w:r>
        <w:rPr>
          <w:sz w:val="24"/>
        </w:rPr>
        <w:t>Commission,</w:t>
      </w:r>
      <w:r>
        <w:rPr>
          <w:spacing w:val="-3"/>
          <w:sz w:val="24"/>
        </w:rPr>
        <w:t> </w:t>
      </w:r>
      <w:r>
        <w:rPr>
          <w:sz w:val="24"/>
        </w:rPr>
        <w:t>New</w:t>
      </w:r>
      <w:r>
        <w:rPr>
          <w:spacing w:val="-2"/>
          <w:sz w:val="24"/>
        </w:rPr>
        <w:t> Delhi.</w:t>
      </w:r>
    </w:p>
    <w:p>
      <w:pPr>
        <w:pStyle w:val="BodyText"/>
        <w:spacing w:before="3"/>
      </w:pPr>
    </w:p>
    <w:p>
      <w:pPr>
        <w:pStyle w:val="ListParagraph"/>
        <w:numPr>
          <w:ilvl w:val="0"/>
          <w:numId w:val="182"/>
        </w:numPr>
        <w:tabs>
          <w:tab w:pos="398" w:val="left" w:leader="none"/>
        </w:tabs>
        <w:spacing w:line="240" w:lineRule="auto" w:before="0" w:after="0"/>
        <w:ind w:left="398" w:right="0" w:hanging="239"/>
        <w:jc w:val="left"/>
        <w:rPr>
          <w:sz w:val="24"/>
        </w:rPr>
      </w:pPr>
      <w:r>
        <w:rPr>
          <w:sz w:val="24"/>
        </w:rPr>
        <w:t>Shri</w:t>
      </w:r>
      <w:r>
        <w:rPr>
          <w:spacing w:val="-5"/>
          <w:sz w:val="24"/>
        </w:rPr>
        <w:t> </w:t>
      </w:r>
      <w:r>
        <w:rPr>
          <w:sz w:val="24"/>
        </w:rPr>
        <w:t>Dinesh</w:t>
      </w:r>
      <w:r>
        <w:rPr>
          <w:spacing w:val="-2"/>
          <w:sz w:val="24"/>
        </w:rPr>
        <w:t> </w:t>
      </w:r>
      <w:r>
        <w:rPr>
          <w:sz w:val="24"/>
        </w:rPr>
        <w:t>Mohan,</w:t>
      </w:r>
      <w:r>
        <w:rPr>
          <w:spacing w:val="-2"/>
          <w:sz w:val="24"/>
        </w:rPr>
        <w:t> </w:t>
      </w:r>
      <w:r>
        <w:rPr>
          <w:sz w:val="24"/>
        </w:rPr>
        <w:t>Director,</w:t>
      </w:r>
      <w:r>
        <w:rPr>
          <w:spacing w:val="-2"/>
          <w:sz w:val="24"/>
        </w:rPr>
        <w:t> </w:t>
      </w:r>
      <w:r>
        <w:rPr>
          <w:sz w:val="24"/>
        </w:rPr>
        <w:t>Central</w:t>
      </w:r>
      <w:r>
        <w:rPr>
          <w:spacing w:val="-2"/>
          <w:sz w:val="24"/>
        </w:rPr>
        <w:t> </w:t>
      </w:r>
      <w:r>
        <w:rPr>
          <w:sz w:val="24"/>
        </w:rPr>
        <w:t>Building</w:t>
      </w:r>
      <w:r>
        <w:rPr>
          <w:spacing w:val="-2"/>
          <w:sz w:val="24"/>
        </w:rPr>
        <w:t> </w:t>
      </w:r>
      <w:r>
        <w:rPr>
          <w:sz w:val="24"/>
        </w:rPr>
        <w:t>Research</w:t>
      </w:r>
      <w:r>
        <w:rPr>
          <w:spacing w:val="-2"/>
          <w:sz w:val="24"/>
        </w:rPr>
        <w:t> </w:t>
      </w:r>
      <w:r>
        <w:rPr>
          <w:sz w:val="24"/>
        </w:rPr>
        <w:t>Institute,</w:t>
      </w:r>
      <w:r>
        <w:rPr>
          <w:spacing w:val="-2"/>
          <w:sz w:val="24"/>
        </w:rPr>
        <w:t> Roorkee.</w:t>
      </w:r>
    </w:p>
    <w:p>
      <w:pPr>
        <w:pStyle w:val="BodyText"/>
        <w:spacing w:before="5"/>
      </w:pPr>
    </w:p>
    <w:p>
      <w:pPr>
        <w:pStyle w:val="ListParagraph"/>
        <w:numPr>
          <w:ilvl w:val="0"/>
          <w:numId w:val="182"/>
        </w:numPr>
        <w:tabs>
          <w:tab w:pos="399" w:val="left" w:leader="none"/>
        </w:tabs>
        <w:spacing w:line="240" w:lineRule="auto" w:before="0" w:after="0"/>
        <w:ind w:left="399" w:right="0" w:hanging="240"/>
        <w:jc w:val="left"/>
        <w:rPr>
          <w:sz w:val="24"/>
        </w:rPr>
      </w:pPr>
      <w:r>
        <w:rPr>
          <w:sz w:val="24"/>
        </w:rPr>
        <w:t>Shri B. V. Doshi, Architect, Designs Organization, </w:t>
      </w:r>
      <w:r>
        <w:rPr>
          <w:spacing w:val="-2"/>
          <w:sz w:val="24"/>
        </w:rPr>
        <w:t>Ahmedabad.</w:t>
      </w:r>
    </w:p>
    <w:p>
      <w:pPr>
        <w:pStyle w:val="BodyText"/>
        <w:spacing w:before="4"/>
      </w:pPr>
    </w:p>
    <w:p>
      <w:pPr>
        <w:pStyle w:val="ListParagraph"/>
        <w:numPr>
          <w:ilvl w:val="0"/>
          <w:numId w:val="182"/>
        </w:numPr>
        <w:tabs>
          <w:tab w:pos="398" w:val="left" w:leader="none"/>
        </w:tabs>
        <w:spacing w:line="240" w:lineRule="auto" w:before="0" w:after="0"/>
        <w:ind w:left="398" w:right="0" w:hanging="239"/>
        <w:jc w:val="left"/>
        <w:rPr>
          <w:sz w:val="24"/>
        </w:rPr>
      </w:pPr>
      <w:r>
        <w:rPr>
          <w:sz w:val="24"/>
        </w:rPr>
        <w:t>Mr.</w:t>
      </w:r>
      <w:r>
        <w:rPr>
          <w:spacing w:val="-6"/>
          <w:sz w:val="24"/>
        </w:rPr>
        <w:t> </w:t>
      </w:r>
      <w:r>
        <w:rPr>
          <w:sz w:val="24"/>
        </w:rPr>
        <w:t>J.</w:t>
      </w:r>
      <w:r>
        <w:rPr>
          <w:spacing w:val="-4"/>
          <w:sz w:val="24"/>
        </w:rPr>
        <w:t> </w:t>
      </w:r>
      <w:r>
        <w:rPr>
          <w:sz w:val="24"/>
        </w:rPr>
        <w:t>F.</w:t>
      </w:r>
      <w:r>
        <w:rPr>
          <w:spacing w:val="-4"/>
          <w:sz w:val="24"/>
        </w:rPr>
        <w:t> </w:t>
      </w:r>
      <w:r>
        <w:rPr>
          <w:sz w:val="24"/>
        </w:rPr>
        <w:t>McDougall,</w:t>
      </w:r>
      <w:r>
        <w:rPr>
          <w:spacing w:val="-4"/>
          <w:sz w:val="24"/>
        </w:rPr>
        <w:t> </w:t>
      </w:r>
      <w:r>
        <w:rPr>
          <w:sz w:val="24"/>
        </w:rPr>
        <w:t>Associate</w:t>
      </w:r>
      <w:r>
        <w:rPr>
          <w:spacing w:val="-3"/>
          <w:sz w:val="24"/>
        </w:rPr>
        <w:t> </w:t>
      </w:r>
      <w:r>
        <w:rPr>
          <w:sz w:val="24"/>
        </w:rPr>
        <w:t>Secretary,</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82"/>
        </w:numPr>
        <w:tabs>
          <w:tab w:pos="398" w:val="left" w:leader="none"/>
        </w:tabs>
        <w:spacing w:line="240" w:lineRule="auto" w:before="1" w:after="0"/>
        <w:ind w:left="398" w:right="0" w:hanging="239"/>
        <w:jc w:val="left"/>
        <w:rPr>
          <w:sz w:val="24"/>
        </w:rPr>
      </w:pPr>
      <w:r>
        <w:rPr>
          <w:sz w:val="24"/>
        </w:rPr>
        <w:t>Shri</w:t>
      </w:r>
      <w:r>
        <w:rPr>
          <w:spacing w:val="-3"/>
          <w:sz w:val="24"/>
        </w:rPr>
        <w:t> </w:t>
      </w:r>
      <w:r>
        <w:rPr>
          <w:sz w:val="24"/>
        </w:rPr>
        <w:t>M.</w:t>
      </w:r>
      <w:r>
        <w:rPr>
          <w:spacing w:val="-3"/>
          <w:sz w:val="24"/>
        </w:rPr>
        <w:t> </w:t>
      </w:r>
      <w:r>
        <w:rPr>
          <w:sz w:val="24"/>
        </w:rPr>
        <w:t>M.</w:t>
      </w:r>
      <w:r>
        <w:rPr>
          <w:spacing w:val="-3"/>
          <w:sz w:val="24"/>
        </w:rPr>
        <w:t> </w:t>
      </w:r>
      <w:r>
        <w:rPr>
          <w:sz w:val="24"/>
        </w:rPr>
        <w:t>Mistri,</w:t>
      </w:r>
      <w:r>
        <w:rPr>
          <w:spacing w:val="-3"/>
          <w:sz w:val="24"/>
        </w:rPr>
        <w:t> </w:t>
      </w:r>
      <w:r>
        <w:rPr>
          <w:sz w:val="24"/>
        </w:rPr>
        <w:t>Assistant</w:t>
      </w:r>
      <w:r>
        <w:rPr>
          <w:spacing w:val="-3"/>
          <w:sz w:val="24"/>
        </w:rPr>
        <w:t> </w:t>
      </w:r>
      <w:r>
        <w:rPr>
          <w:sz w:val="24"/>
        </w:rPr>
        <w:t>Director,</w:t>
      </w:r>
      <w:r>
        <w:rPr>
          <w:spacing w:val="-3"/>
          <w:sz w:val="24"/>
        </w:rPr>
        <w:t> </w:t>
      </w:r>
      <w:r>
        <w:rPr>
          <w:sz w:val="24"/>
        </w:rPr>
        <w:t>National</w:t>
      </w:r>
      <w:r>
        <w:rPr>
          <w:spacing w:val="-3"/>
          <w:sz w:val="24"/>
        </w:rPr>
        <w:t> </w:t>
      </w:r>
      <w:r>
        <w:rPr>
          <w:sz w:val="24"/>
        </w:rPr>
        <w:t>Buildings</w:t>
      </w:r>
      <w:r>
        <w:rPr>
          <w:spacing w:val="-3"/>
          <w:sz w:val="24"/>
        </w:rPr>
        <w:t> </w:t>
      </w:r>
      <w:r>
        <w:rPr>
          <w:sz w:val="24"/>
        </w:rPr>
        <w:t>Organization,</w:t>
      </w:r>
      <w:r>
        <w:rPr>
          <w:spacing w:val="-2"/>
          <w:sz w:val="24"/>
        </w:rPr>
        <w:t> </w:t>
      </w:r>
      <w:r>
        <w:rPr>
          <w:sz w:val="24"/>
        </w:rPr>
        <w:t>New</w:t>
      </w:r>
      <w:r>
        <w:rPr>
          <w:spacing w:val="-2"/>
          <w:sz w:val="24"/>
        </w:rPr>
        <w:t> Delhi.</w:t>
      </w:r>
    </w:p>
    <w:p>
      <w:pPr>
        <w:pStyle w:val="BodyText"/>
        <w:spacing w:before="4"/>
      </w:pPr>
    </w:p>
    <w:p>
      <w:pPr>
        <w:pStyle w:val="ListParagraph"/>
        <w:numPr>
          <w:ilvl w:val="0"/>
          <w:numId w:val="182"/>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82"/>
        </w:numPr>
        <w:tabs>
          <w:tab w:pos="399" w:val="left" w:leader="none"/>
        </w:tabs>
        <w:spacing w:line="240" w:lineRule="auto" w:before="0" w:after="0"/>
        <w:ind w:left="399" w:right="0" w:hanging="240"/>
        <w:jc w:val="left"/>
        <w:rPr>
          <w:sz w:val="24"/>
        </w:rPr>
      </w:pPr>
      <w:r>
        <w:rPr>
          <w:sz w:val="24"/>
        </w:rPr>
        <w:t>Shri</w:t>
      </w:r>
      <w:r>
        <w:rPr>
          <w:spacing w:val="-3"/>
          <w:sz w:val="24"/>
        </w:rPr>
        <w:t> </w:t>
      </w:r>
      <w:r>
        <w:rPr>
          <w:sz w:val="24"/>
        </w:rPr>
        <w:t>M. H.</w:t>
      </w:r>
      <w:r>
        <w:rPr>
          <w:spacing w:val="-1"/>
          <w:sz w:val="24"/>
        </w:rPr>
        <w:t> </w:t>
      </w:r>
      <w:r>
        <w:rPr>
          <w:sz w:val="24"/>
        </w:rPr>
        <w:t>Pandya, Architect,</w:t>
      </w:r>
      <w:r>
        <w:rPr>
          <w:spacing w:val="-1"/>
          <w:sz w:val="24"/>
        </w:rPr>
        <w:t> </w:t>
      </w:r>
      <w:r>
        <w:rPr>
          <w:sz w:val="24"/>
        </w:rPr>
        <w:t>Central</w:t>
      </w:r>
      <w:r>
        <w:rPr>
          <w:spacing w:val="-1"/>
          <w:sz w:val="24"/>
        </w:rPr>
        <w:t> </w:t>
      </w:r>
      <w:r>
        <w:rPr>
          <w:sz w:val="24"/>
        </w:rPr>
        <w:t>Building</w:t>
      </w:r>
      <w:r>
        <w:rPr>
          <w:spacing w:val="-2"/>
          <w:sz w:val="24"/>
        </w:rPr>
        <w:t> </w:t>
      </w:r>
      <w:r>
        <w:rPr>
          <w:sz w:val="24"/>
        </w:rPr>
        <w:t>Research</w:t>
      </w:r>
      <w:r>
        <w:rPr>
          <w:spacing w:val="-1"/>
          <w:sz w:val="24"/>
        </w:rPr>
        <w:t> </w:t>
      </w:r>
      <w:r>
        <w:rPr>
          <w:sz w:val="24"/>
        </w:rPr>
        <w:t>Institute,</w:t>
      </w:r>
      <w:r>
        <w:rPr>
          <w:spacing w:val="-1"/>
          <w:sz w:val="24"/>
        </w:rPr>
        <w:t> </w:t>
      </w:r>
      <w:r>
        <w:rPr>
          <w:spacing w:val="-2"/>
          <w:sz w:val="24"/>
        </w:rPr>
        <w:t>Roorkee.</w:t>
      </w:r>
    </w:p>
    <w:p>
      <w:pPr>
        <w:pStyle w:val="BodyText"/>
        <w:spacing w:before="4"/>
      </w:pPr>
    </w:p>
    <w:p>
      <w:pPr>
        <w:pStyle w:val="ListParagraph"/>
        <w:numPr>
          <w:ilvl w:val="0"/>
          <w:numId w:val="182"/>
        </w:numPr>
        <w:tabs>
          <w:tab w:pos="399" w:val="left" w:leader="none"/>
        </w:tabs>
        <w:spacing w:line="240" w:lineRule="auto" w:before="0" w:after="0"/>
        <w:ind w:left="399" w:right="0" w:hanging="240"/>
        <w:jc w:val="left"/>
        <w:rPr>
          <w:sz w:val="24"/>
        </w:rPr>
      </w:pPr>
      <w:r>
        <w:rPr>
          <w:sz w:val="24"/>
        </w:rPr>
        <w:t>Shri</w:t>
      </w:r>
      <w:r>
        <w:rPr>
          <w:spacing w:val="-3"/>
          <w:sz w:val="24"/>
        </w:rPr>
        <w:t> </w:t>
      </w:r>
      <w:r>
        <w:rPr>
          <w:sz w:val="24"/>
        </w:rPr>
        <w:t>C.</w:t>
      </w:r>
      <w:r>
        <w:rPr>
          <w:spacing w:val="-1"/>
          <w:sz w:val="24"/>
        </w:rPr>
        <w:t> </w:t>
      </w:r>
      <w:r>
        <w:rPr>
          <w:sz w:val="24"/>
        </w:rPr>
        <w:t>B.</w:t>
      </w:r>
      <w:r>
        <w:rPr>
          <w:spacing w:val="-1"/>
          <w:sz w:val="24"/>
        </w:rPr>
        <w:t> </w:t>
      </w:r>
      <w:r>
        <w:rPr>
          <w:sz w:val="24"/>
        </w:rPr>
        <w:t>Patel,</w:t>
      </w:r>
      <w:r>
        <w:rPr>
          <w:spacing w:val="-1"/>
          <w:sz w:val="24"/>
        </w:rPr>
        <w:t> </w:t>
      </w:r>
      <w:r>
        <w:rPr>
          <w:sz w:val="24"/>
        </w:rPr>
        <w:t>Chairman, National</w:t>
      </w:r>
      <w:r>
        <w:rPr>
          <w:spacing w:val="-2"/>
          <w:sz w:val="24"/>
        </w:rPr>
        <w:t> </w:t>
      </w:r>
      <w:r>
        <w:rPr>
          <w:sz w:val="24"/>
        </w:rPr>
        <w:t>Buildings</w:t>
      </w:r>
      <w:r>
        <w:rPr>
          <w:spacing w:val="-2"/>
          <w:sz w:val="24"/>
        </w:rPr>
        <w:t> </w:t>
      </w:r>
      <w:r>
        <w:rPr>
          <w:sz w:val="24"/>
        </w:rPr>
        <w:t>Organization,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82"/>
        </w:numPr>
        <w:tabs>
          <w:tab w:pos="519" w:val="left" w:leader="none"/>
        </w:tabs>
        <w:spacing w:line="240" w:lineRule="auto" w:before="1" w:after="0"/>
        <w:ind w:left="519" w:right="0" w:hanging="360"/>
        <w:jc w:val="left"/>
        <w:rPr>
          <w:sz w:val="24"/>
        </w:rPr>
      </w:pPr>
      <w:r>
        <w:rPr>
          <w:sz w:val="24"/>
        </w:rPr>
        <w:t>Shri</w:t>
      </w:r>
      <w:r>
        <w:rPr>
          <w:spacing w:val="-1"/>
          <w:sz w:val="24"/>
        </w:rPr>
        <w:t> </w:t>
      </w:r>
      <w:r>
        <w:rPr>
          <w:sz w:val="24"/>
        </w:rPr>
        <w:t>S.</w:t>
      </w:r>
      <w:r>
        <w:rPr>
          <w:spacing w:val="-1"/>
          <w:sz w:val="24"/>
        </w:rPr>
        <w:t> </w:t>
      </w:r>
      <w:r>
        <w:rPr>
          <w:sz w:val="24"/>
        </w:rPr>
        <w:t>Rahaman, Architect,</w:t>
      </w:r>
      <w:r>
        <w:rPr>
          <w:spacing w:val="-1"/>
          <w:sz w:val="24"/>
        </w:rPr>
        <w:t> </w:t>
      </w:r>
      <w:r>
        <w:rPr>
          <w:sz w:val="24"/>
        </w:rPr>
        <w:t>Central Public</w:t>
      </w:r>
      <w:r>
        <w:rPr>
          <w:spacing w:val="-2"/>
          <w:sz w:val="24"/>
        </w:rPr>
        <w:t> </w:t>
      </w:r>
      <w:r>
        <w:rPr>
          <w:sz w:val="24"/>
        </w:rPr>
        <w:t>Works</w:t>
      </w:r>
      <w:r>
        <w:rPr>
          <w:spacing w:val="-1"/>
          <w:sz w:val="24"/>
        </w:rPr>
        <w:t> </w:t>
      </w:r>
      <w:r>
        <w:rPr>
          <w:sz w:val="24"/>
        </w:rPr>
        <w:t>Department,</w:t>
      </w:r>
      <w:r>
        <w:rPr>
          <w:spacing w:val="-2"/>
          <w:sz w:val="24"/>
        </w:rPr>
        <w:t> </w:t>
      </w:r>
      <w:r>
        <w:rPr>
          <w:sz w:val="24"/>
        </w:rPr>
        <w:t>New</w:t>
      </w:r>
      <w:r>
        <w:rPr>
          <w:spacing w:val="-1"/>
          <w:sz w:val="24"/>
        </w:rPr>
        <w:t> </w:t>
      </w:r>
      <w:r>
        <w:rPr>
          <w:spacing w:val="-2"/>
          <w:sz w:val="24"/>
        </w:rPr>
        <w:t>Delhi.</w:t>
      </w:r>
    </w:p>
    <w:p>
      <w:pPr>
        <w:pStyle w:val="BodyText"/>
        <w:spacing w:before="3"/>
      </w:pPr>
    </w:p>
    <w:p>
      <w:pPr>
        <w:pStyle w:val="ListParagraph"/>
        <w:numPr>
          <w:ilvl w:val="0"/>
          <w:numId w:val="182"/>
        </w:numPr>
        <w:tabs>
          <w:tab w:pos="519" w:val="left" w:leader="none"/>
        </w:tabs>
        <w:spacing w:line="240" w:lineRule="auto" w:before="0" w:after="0"/>
        <w:ind w:left="519" w:right="0" w:hanging="360"/>
        <w:jc w:val="left"/>
        <w:rPr>
          <w:sz w:val="24"/>
        </w:rPr>
      </w:pPr>
      <w:r>
        <w:rPr>
          <w:sz w:val="24"/>
        </w:rPr>
        <w:t>Shri</w:t>
      </w:r>
      <w:r>
        <w:rPr>
          <w:spacing w:val="-1"/>
          <w:sz w:val="24"/>
        </w:rPr>
        <w:t> </w:t>
      </w:r>
      <w:r>
        <w:rPr>
          <w:sz w:val="24"/>
        </w:rPr>
        <w:t>J. L.</w:t>
      </w:r>
      <w:r>
        <w:rPr>
          <w:spacing w:val="-1"/>
          <w:sz w:val="24"/>
        </w:rPr>
        <w:t> </w:t>
      </w:r>
      <w:r>
        <w:rPr>
          <w:sz w:val="24"/>
        </w:rPr>
        <w:t>Sehgal, Deputy</w:t>
      </w:r>
      <w:r>
        <w:rPr>
          <w:spacing w:val="-1"/>
          <w:sz w:val="24"/>
        </w:rPr>
        <w:t> </w:t>
      </w:r>
      <w:r>
        <w:rPr>
          <w:sz w:val="24"/>
        </w:rPr>
        <w:t>Director, National</w:t>
      </w:r>
      <w:r>
        <w:rPr>
          <w:spacing w:val="-1"/>
          <w:sz w:val="24"/>
        </w:rPr>
        <w:t> </w:t>
      </w:r>
      <w:r>
        <w:rPr>
          <w:sz w:val="24"/>
        </w:rPr>
        <w:t>Buildings</w:t>
      </w:r>
      <w:r>
        <w:rPr>
          <w:spacing w:val="-2"/>
          <w:sz w:val="24"/>
        </w:rPr>
        <w:t> </w:t>
      </w:r>
      <w:r>
        <w:rPr>
          <w:sz w:val="24"/>
        </w:rPr>
        <w:t>Organization,</w:t>
      </w:r>
      <w:r>
        <w:rPr>
          <w:spacing w:val="-1"/>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82"/>
        </w:numPr>
        <w:tabs>
          <w:tab w:pos="579" w:val="left" w:leader="none"/>
        </w:tabs>
        <w:spacing w:line="240" w:lineRule="auto" w:before="1" w:after="0"/>
        <w:ind w:left="159" w:right="498" w:firstLine="0"/>
        <w:jc w:val="left"/>
        <w:rPr>
          <w:sz w:val="24"/>
        </w:rPr>
      </w:pPr>
      <w:r>
        <w:rPr>
          <w:sz w:val="24"/>
        </w:rPr>
        <w:t>Shri</w:t>
      </w:r>
      <w:r>
        <w:rPr>
          <w:spacing w:val="40"/>
          <w:sz w:val="24"/>
        </w:rPr>
        <w:t> </w:t>
      </w:r>
      <w:r>
        <w:rPr>
          <w:sz w:val="24"/>
        </w:rPr>
        <w:t>T.</w:t>
      </w:r>
      <w:r>
        <w:rPr>
          <w:spacing w:val="40"/>
          <w:sz w:val="24"/>
        </w:rPr>
        <w:t> </w:t>
      </w:r>
      <w:r>
        <w:rPr>
          <w:sz w:val="24"/>
        </w:rPr>
        <w:t>S.</w:t>
      </w:r>
      <w:r>
        <w:rPr>
          <w:spacing w:val="40"/>
          <w:sz w:val="24"/>
        </w:rPr>
        <w:t> </w:t>
      </w:r>
      <w:r>
        <w:rPr>
          <w:sz w:val="24"/>
        </w:rPr>
        <w:t>Vedagiri,</w:t>
      </w:r>
      <w:r>
        <w:rPr>
          <w:spacing w:val="40"/>
          <w:sz w:val="24"/>
        </w:rPr>
        <w:t> </w:t>
      </w:r>
      <w:r>
        <w:rPr>
          <w:sz w:val="24"/>
        </w:rPr>
        <w:t>Chief</w:t>
      </w:r>
      <w:r>
        <w:rPr>
          <w:spacing w:val="40"/>
          <w:sz w:val="24"/>
        </w:rPr>
        <w:t> </w:t>
      </w:r>
      <w:r>
        <w:rPr>
          <w:sz w:val="24"/>
        </w:rPr>
        <w:t>Industrial</w:t>
      </w:r>
      <w:r>
        <w:rPr>
          <w:spacing w:val="40"/>
          <w:sz w:val="24"/>
        </w:rPr>
        <w:t> </w:t>
      </w:r>
      <w:r>
        <w:rPr>
          <w:sz w:val="24"/>
        </w:rPr>
        <w:t>Engineer</w:t>
      </w:r>
      <w:r>
        <w:rPr>
          <w:spacing w:val="40"/>
          <w:sz w:val="24"/>
        </w:rPr>
        <w:t> </w:t>
      </w:r>
      <w:r>
        <w:rPr>
          <w:sz w:val="24"/>
        </w:rPr>
        <w:t>and</w:t>
      </w:r>
      <w:r>
        <w:rPr>
          <w:spacing w:val="40"/>
          <w:sz w:val="24"/>
        </w:rPr>
        <w:t> </w:t>
      </w:r>
      <w:r>
        <w:rPr>
          <w:sz w:val="24"/>
        </w:rPr>
        <w:t>Chief</w:t>
      </w:r>
      <w:r>
        <w:rPr>
          <w:spacing w:val="40"/>
          <w:sz w:val="24"/>
        </w:rPr>
        <w:t> </w:t>
      </w:r>
      <w:r>
        <w:rPr>
          <w:sz w:val="24"/>
        </w:rPr>
        <w:t>Designs</w:t>
      </w:r>
      <w:r>
        <w:rPr>
          <w:spacing w:val="40"/>
          <w:sz w:val="24"/>
        </w:rPr>
        <w:t> </w:t>
      </w:r>
      <w:r>
        <w:rPr>
          <w:sz w:val="24"/>
        </w:rPr>
        <w:t>and</w:t>
      </w:r>
      <w:r>
        <w:rPr>
          <w:spacing w:val="40"/>
          <w:sz w:val="24"/>
        </w:rPr>
        <w:t> </w:t>
      </w:r>
      <w:r>
        <w:rPr>
          <w:sz w:val="24"/>
        </w:rPr>
        <w:t>Planning Engineer, Bhilai Steel Plant, Bhilai.</w:t>
      </w:r>
    </w:p>
    <w:p>
      <w:pPr>
        <w:spacing w:after="0" w:line="240" w:lineRule="auto"/>
        <w:jc w:val="left"/>
        <w:rPr>
          <w:sz w:val="24"/>
        </w:rPr>
        <w:sectPr>
          <w:pgSz w:w="12240" w:h="15840"/>
          <w:pgMar w:header="0" w:footer="743" w:top="1360" w:bottom="940" w:left="1640" w:right="1300"/>
        </w:sectPr>
      </w:pPr>
    </w:p>
    <w:p>
      <w:pPr>
        <w:pStyle w:val="ListParagraph"/>
        <w:numPr>
          <w:ilvl w:val="0"/>
          <w:numId w:val="182"/>
        </w:numPr>
        <w:tabs>
          <w:tab w:pos="520" w:val="left" w:leader="none"/>
        </w:tabs>
        <w:spacing w:line="240" w:lineRule="auto" w:before="78" w:after="0"/>
        <w:ind w:left="520" w:right="0" w:hanging="360"/>
        <w:jc w:val="left"/>
        <w:rPr>
          <w:sz w:val="24"/>
        </w:rPr>
      </w:pPr>
      <w:r>
        <w:rPr>
          <w:sz w:val="24"/>
        </w:rPr>
        <w:t>Dr. H. C. Visvesaraya, Deputy Director,</w:t>
      </w:r>
      <w:r>
        <w:rPr>
          <w:spacing w:val="-1"/>
          <w:sz w:val="24"/>
        </w:rPr>
        <w:t> </w:t>
      </w:r>
      <w:r>
        <w:rPr>
          <w:sz w:val="24"/>
        </w:rPr>
        <w:t>Indian</w:t>
      </w:r>
      <w:r>
        <w:rPr>
          <w:spacing w:val="-1"/>
          <w:sz w:val="24"/>
        </w:rPr>
        <w:t> </w:t>
      </w:r>
      <w:r>
        <w:rPr>
          <w:sz w:val="24"/>
        </w:rPr>
        <w:t>Standard</w:t>
      </w:r>
      <w:r>
        <w:rPr>
          <w:spacing w:val="-1"/>
          <w:sz w:val="24"/>
        </w:rPr>
        <w:t> </w:t>
      </w:r>
      <w:r>
        <w:rPr>
          <w:sz w:val="24"/>
        </w:rPr>
        <w:t>Institute,</w:t>
      </w:r>
      <w:r>
        <w:rPr>
          <w:spacing w:val="-1"/>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82"/>
        </w:numPr>
        <w:tabs>
          <w:tab w:pos="544" w:val="left" w:leader="none"/>
        </w:tabs>
        <w:spacing w:line="240" w:lineRule="auto" w:before="0" w:after="0"/>
        <w:ind w:left="159" w:right="498" w:firstLine="0"/>
        <w:jc w:val="left"/>
        <w:rPr>
          <w:sz w:val="24"/>
        </w:rPr>
      </w:pPr>
      <w:r>
        <w:rPr>
          <w:sz w:val="24"/>
        </w:rPr>
        <w:t>Lieut.-General H. Williams, Consultant (Construction), Planning Commission, New </w:t>
      </w:r>
      <w:r>
        <w:rPr>
          <w:spacing w:val="-2"/>
          <w:sz w:val="24"/>
        </w:rPr>
        <w:t>Delhi.</w:t>
      </w:r>
    </w:p>
    <w:p>
      <w:pPr>
        <w:pStyle w:val="BodyText"/>
        <w:spacing w:before="5"/>
      </w:pPr>
    </w:p>
    <w:p>
      <w:pPr>
        <w:pStyle w:val="ListParagraph"/>
        <w:numPr>
          <w:ilvl w:val="0"/>
          <w:numId w:val="182"/>
        </w:numPr>
        <w:tabs>
          <w:tab w:pos="529" w:val="left" w:leader="none"/>
        </w:tabs>
        <w:spacing w:line="240" w:lineRule="auto" w:before="0" w:after="0"/>
        <w:ind w:left="159" w:right="499" w:firstLine="0"/>
        <w:jc w:val="left"/>
        <w:rPr>
          <w:sz w:val="24"/>
        </w:rPr>
      </w:pPr>
      <w:r>
        <w:rPr>
          <w:sz w:val="24"/>
        </w:rPr>
        <w:t>Shri S. Venkatesh, Deputy Educational Adviser, Education Commission, New Delhi. </w:t>
      </w:r>
      <w:r>
        <w:rPr>
          <w:spacing w:val="-2"/>
          <w:sz w:val="24"/>
        </w:rPr>
        <w:t>Secretary</w:t>
      </w:r>
    </w:p>
    <w:p>
      <w:pPr>
        <w:pStyle w:val="BodyText"/>
        <w:spacing w:before="6"/>
      </w:pPr>
    </w:p>
    <w:p>
      <w:pPr>
        <w:pStyle w:val="Heading2"/>
        <w:ind w:left="159"/>
      </w:pPr>
      <w:r>
        <w:rPr/>
        <w:t>AIV.14.</w:t>
      </w:r>
      <w:r>
        <w:rPr>
          <w:spacing w:val="-2"/>
        </w:rPr>
        <w:t> </w:t>
      </w:r>
      <w:r>
        <w:rPr/>
        <w:t>Working</w:t>
      </w:r>
      <w:r>
        <w:rPr>
          <w:spacing w:val="-1"/>
        </w:rPr>
        <w:t> </w:t>
      </w:r>
      <w:r>
        <w:rPr/>
        <w:t>Group</w:t>
      </w:r>
      <w:r>
        <w:rPr>
          <w:spacing w:val="-2"/>
        </w:rPr>
        <w:t> </w:t>
      </w:r>
      <w:r>
        <w:rPr/>
        <w:t>on</w:t>
      </w:r>
      <w:r>
        <w:rPr>
          <w:spacing w:val="-1"/>
        </w:rPr>
        <w:t> </w:t>
      </w:r>
      <w:r>
        <w:rPr/>
        <w:t>Education</w:t>
      </w:r>
      <w:r>
        <w:rPr>
          <w:spacing w:val="-1"/>
        </w:rPr>
        <w:t> </w:t>
      </w:r>
      <w:r>
        <w:rPr/>
        <w:t>of the</w:t>
      </w:r>
      <w:r>
        <w:rPr>
          <w:spacing w:val="-1"/>
        </w:rPr>
        <w:t> </w:t>
      </w:r>
      <w:r>
        <w:rPr/>
        <w:t>Backward </w:t>
      </w:r>
      <w:r>
        <w:rPr>
          <w:spacing w:val="-2"/>
        </w:rPr>
        <w:t>Classes</w:t>
      </w:r>
    </w:p>
    <w:p>
      <w:pPr>
        <w:pStyle w:val="BodyText"/>
        <w:spacing w:before="2"/>
        <w:rPr>
          <w:b/>
        </w:rPr>
      </w:pPr>
    </w:p>
    <w:p>
      <w:pPr>
        <w:pStyle w:val="ListParagraph"/>
        <w:numPr>
          <w:ilvl w:val="0"/>
          <w:numId w:val="183"/>
        </w:numPr>
        <w:tabs>
          <w:tab w:pos="458" w:val="left" w:leader="none"/>
        </w:tabs>
        <w:spacing w:line="240" w:lineRule="auto" w:before="0" w:after="0"/>
        <w:ind w:left="159" w:right="497" w:firstLine="0"/>
        <w:jc w:val="left"/>
        <w:rPr>
          <w:sz w:val="24"/>
        </w:rPr>
      </w:pPr>
      <w:r>
        <w:rPr>
          <w:sz w:val="24"/>
        </w:rPr>
        <w:t>Shri</w:t>
      </w:r>
      <w:r>
        <w:rPr>
          <w:spacing w:val="40"/>
          <w:sz w:val="24"/>
        </w:rPr>
        <w:t> </w:t>
      </w:r>
      <w:r>
        <w:rPr>
          <w:sz w:val="24"/>
        </w:rPr>
        <w:t>L.</w:t>
      </w:r>
      <w:r>
        <w:rPr>
          <w:spacing w:val="40"/>
          <w:sz w:val="24"/>
        </w:rPr>
        <w:t> </w:t>
      </w:r>
      <w:r>
        <w:rPr>
          <w:sz w:val="24"/>
        </w:rPr>
        <w:t>M.</w:t>
      </w:r>
      <w:r>
        <w:rPr>
          <w:spacing w:val="40"/>
          <w:sz w:val="24"/>
        </w:rPr>
        <w:t> </w:t>
      </w:r>
      <w:r>
        <w:rPr>
          <w:sz w:val="24"/>
        </w:rPr>
        <w:t>Shrikant</w:t>
      </w:r>
      <w:r>
        <w:rPr>
          <w:spacing w:val="40"/>
          <w:sz w:val="24"/>
        </w:rPr>
        <w:t> </w:t>
      </w:r>
      <w:r>
        <w:rPr>
          <w:sz w:val="24"/>
        </w:rPr>
        <w:t>(Resident</w:t>
      </w:r>
      <w:r>
        <w:rPr>
          <w:spacing w:val="40"/>
          <w:sz w:val="24"/>
        </w:rPr>
        <w:t> </w:t>
      </w:r>
      <w:r>
        <w:rPr>
          <w:sz w:val="24"/>
        </w:rPr>
        <w:t>Vice-President,</w:t>
      </w:r>
      <w:r>
        <w:rPr>
          <w:spacing w:val="40"/>
          <w:sz w:val="24"/>
        </w:rPr>
        <w:t> </w:t>
      </w:r>
      <w:r>
        <w:rPr>
          <w:sz w:val="24"/>
        </w:rPr>
        <w:t>Bharatiya</w:t>
      </w:r>
      <w:r>
        <w:rPr>
          <w:spacing w:val="40"/>
          <w:sz w:val="24"/>
        </w:rPr>
        <w:t> </w:t>
      </w:r>
      <w:r>
        <w:rPr>
          <w:sz w:val="24"/>
        </w:rPr>
        <w:t>Adimjati</w:t>
      </w:r>
      <w:r>
        <w:rPr>
          <w:spacing w:val="40"/>
          <w:sz w:val="24"/>
        </w:rPr>
        <w:t> </w:t>
      </w:r>
      <w:r>
        <w:rPr>
          <w:sz w:val="24"/>
        </w:rPr>
        <w:t>Sewak</w:t>
      </w:r>
      <w:r>
        <w:rPr>
          <w:spacing w:val="40"/>
          <w:sz w:val="24"/>
        </w:rPr>
        <w:t> </w:t>
      </w:r>
      <w:r>
        <w:rPr>
          <w:sz w:val="24"/>
        </w:rPr>
        <w:t>Sangh), Thakkar Bapa Sadan, New Delhi. Convener</w:t>
      </w:r>
    </w:p>
    <w:p>
      <w:pPr>
        <w:pStyle w:val="BodyText"/>
        <w:spacing w:before="5"/>
      </w:pPr>
    </w:p>
    <w:p>
      <w:pPr>
        <w:pStyle w:val="ListParagraph"/>
        <w:numPr>
          <w:ilvl w:val="0"/>
          <w:numId w:val="183"/>
        </w:numPr>
        <w:tabs>
          <w:tab w:pos="398" w:val="left" w:leader="none"/>
        </w:tabs>
        <w:spacing w:line="240" w:lineRule="auto" w:before="0" w:after="0"/>
        <w:ind w:left="398" w:right="0" w:hanging="239"/>
        <w:jc w:val="left"/>
        <w:rPr>
          <w:sz w:val="24"/>
        </w:rPr>
      </w:pPr>
      <w:r>
        <w:rPr>
          <w:sz w:val="24"/>
        </w:rPr>
        <w:t>Shri</w:t>
      </w:r>
      <w:r>
        <w:rPr>
          <w:spacing w:val="-4"/>
          <w:sz w:val="24"/>
        </w:rPr>
        <w:t> </w:t>
      </w:r>
      <w:r>
        <w:rPr>
          <w:sz w:val="24"/>
        </w:rPr>
        <w:t>Sashimeren</w:t>
      </w:r>
      <w:r>
        <w:rPr>
          <w:spacing w:val="-2"/>
          <w:sz w:val="24"/>
        </w:rPr>
        <w:t> </w:t>
      </w:r>
      <w:r>
        <w:rPr>
          <w:sz w:val="24"/>
        </w:rPr>
        <w:t>Aier,</w:t>
      </w:r>
      <w:r>
        <w:rPr>
          <w:spacing w:val="-2"/>
          <w:sz w:val="24"/>
        </w:rPr>
        <w:t> </w:t>
      </w:r>
      <w:r>
        <w:rPr>
          <w:sz w:val="24"/>
        </w:rPr>
        <w:t>Additional</w:t>
      </w:r>
      <w:r>
        <w:rPr>
          <w:spacing w:val="-2"/>
          <w:sz w:val="24"/>
        </w:rPr>
        <w:t> </w:t>
      </w:r>
      <w:r>
        <w:rPr>
          <w:sz w:val="24"/>
        </w:rPr>
        <w:t>Development</w:t>
      </w:r>
      <w:r>
        <w:rPr>
          <w:spacing w:val="-1"/>
          <w:sz w:val="24"/>
        </w:rPr>
        <w:t> </w:t>
      </w:r>
      <w:r>
        <w:rPr>
          <w:sz w:val="24"/>
        </w:rPr>
        <w:t>Commissioner,</w:t>
      </w:r>
      <w:r>
        <w:rPr>
          <w:spacing w:val="-1"/>
          <w:sz w:val="24"/>
        </w:rPr>
        <w:t> </w:t>
      </w:r>
      <w:r>
        <w:rPr>
          <w:sz w:val="24"/>
        </w:rPr>
        <w:t>Nagaland, </w:t>
      </w:r>
      <w:r>
        <w:rPr>
          <w:spacing w:val="-2"/>
          <w:sz w:val="24"/>
        </w:rPr>
        <w:t>Kohima.</w:t>
      </w:r>
    </w:p>
    <w:p>
      <w:pPr>
        <w:pStyle w:val="BodyText"/>
        <w:spacing w:before="4"/>
      </w:pPr>
    </w:p>
    <w:p>
      <w:pPr>
        <w:pStyle w:val="ListParagraph"/>
        <w:numPr>
          <w:ilvl w:val="0"/>
          <w:numId w:val="183"/>
        </w:numPr>
        <w:tabs>
          <w:tab w:pos="399" w:val="left" w:leader="none"/>
        </w:tabs>
        <w:spacing w:line="240" w:lineRule="auto" w:before="0" w:after="0"/>
        <w:ind w:left="399" w:right="0" w:hanging="240"/>
        <w:jc w:val="left"/>
        <w:rPr>
          <w:sz w:val="24"/>
        </w:rPr>
      </w:pPr>
      <w:r>
        <w:rPr>
          <w:sz w:val="24"/>
        </w:rPr>
        <w:t>Shri N. V. Bapat, Secretary, Varnavasi Seva Mandal, Mandla </w:t>
      </w:r>
      <w:r>
        <w:rPr>
          <w:spacing w:val="-2"/>
          <w:sz w:val="24"/>
        </w:rPr>
        <w:t>(M.P.).</w:t>
      </w:r>
    </w:p>
    <w:p>
      <w:pPr>
        <w:pStyle w:val="BodyText"/>
        <w:spacing w:before="2"/>
      </w:pPr>
    </w:p>
    <w:p>
      <w:pPr>
        <w:pStyle w:val="ListParagraph"/>
        <w:numPr>
          <w:ilvl w:val="0"/>
          <w:numId w:val="183"/>
        </w:numPr>
        <w:tabs>
          <w:tab w:pos="409" w:val="left" w:leader="none"/>
        </w:tabs>
        <w:spacing w:line="240" w:lineRule="auto" w:before="0" w:after="0"/>
        <w:ind w:left="159" w:right="499" w:firstLine="0"/>
        <w:jc w:val="left"/>
        <w:rPr>
          <w:sz w:val="24"/>
        </w:rPr>
      </w:pPr>
      <w:r>
        <w:rPr>
          <w:sz w:val="24"/>
        </w:rPr>
        <w:t>Acharya S. R. Bhise, Secretary, Adivasi Seva Mandal, Bordi, Dt. Thana, via Gholwad </w:t>
      </w:r>
      <w:r>
        <w:rPr>
          <w:spacing w:val="-2"/>
          <w:sz w:val="24"/>
        </w:rPr>
        <w:t>(Maharashtra).</w:t>
      </w:r>
    </w:p>
    <w:p>
      <w:pPr>
        <w:pStyle w:val="BodyText"/>
        <w:spacing w:before="4"/>
      </w:pPr>
    </w:p>
    <w:p>
      <w:pPr>
        <w:pStyle w:val="ListParagraph"/>
        <w:numPr>
          <w:ilvl w:val="0"/>
          <w:numId w:val="183"/>
        </w:numPr>
        <w:tabs>
          <w:tab w:pos="505" w:val="left" w:leader="none"/>
        </w:tabs>
        <w:spacing w:line="240" w:lineRule="auto" w:before="0" w:after="0"/>
        <w:ind w:left="159" w:right="497" w:firstLine="0"/>
        <w:jc w:val="left"/>
        <w:rPr>
          <w:sz w:val="24"/>
        </w:rPr>
      </w:pPr>
      <w:r>
        <w:rPr>
          <w:sz w:val="24"/>
        </w:rPr>
        <w:t>Shri</w:t>
      </w:r>
      <w:r>
        <w:rPr>
          <w:spacing w:val="80"/>
          <w:sz w:val="24"/>
        </w:rPr>
        <w:t> </w:t>
      </w:r>
      <w:r>
        <w:rPr>
          <w:sz w:val="24"/>
        </w:rPr>
        <w:t>P.</w:t>
      </w:r>
      <w:r>
        <w:rPr>
          <w:spacing w:val="80"/>
          <w:sz w:val="24"/>
        </w:rPr>
        <w:t> </w:t>
      </w:r>
      <w:r>
        <w:rPr>
          <w:sz w:val="24"/>
        </w:rPr>
        <w:t>D.</w:t>
      </w:r>
      <w:r>
        <w:rPr>
          <w:spacing w:val="80"/>
          <w:sz w:val="24"/>
        </w:rPr>
        <w:t> </w:t>
      </w:r>
      <w:r>
        <w:rPr>
          <w:sz w:val="24"/>
        </w:rPr>
        <w:t>Kulkarani,</w:t>
      </w:r>
      <w:r>
        <w:rPr>
          <w:spacing w:val="80"/>
          <w:sz w:val="24"/>
        </w:rPr>
        <w:t> </w:t>
      </w:r>
      <w:r>
        <w:rPr>
          <w:sz w:val="24"/>
        </w:rPr>
        <w:t>joint</w:t>
      </w:r>
      <w:r>
        <w:rPr>
          <w:spacing w:val="80"/>
          <w:sz w:val="24"/>
        </w:rPr>
        <w:t> </w:t>
      </w:r>
      <w:r>
        <w:rPr>
          <w:sz w:val="24"/>
        </w:rPr>
        <w:t>Director,</w:t>
      </w:r>
      <w:r>
        <w:rPr>
          <w:spacing w:val="80"/>
          <w:sz w:val="24"/>
        </w:rPr>
        <w:t> </w:t>
      </w:r>
      <w:r>
        <w:rPr>
          <w:sz w:val="24"/>
        </w:rPr>
        <w:t>Social</w:t>
      </w:r>
      <w:r>
        <w:rPr>
          <w:spacing w:val="80"/>
          <w:sz w:val="24"/>
        </w:rPr>
        <w:t> </w:t>
      </w:r>
      <w:r>
        <w:rPr>
          <w:sz w:val="24"/>
        </w:rPr>
        <w:t>Planning</w:t>
      </w:r>
      <w:r>
        <w:rPr>
          <w:spacing w:val="80"/>
          <w:sz w:val="24"/>
        </w:rPr>
        <w:t> </w:t>
      </w:r>
      <w:r>
        <w:rPr>
          <w:sz w:val="24"/>
        </w:rPr>
        <w:t>and</w:t>
      </w:r>
      <w:r>
        <w:rPr>
          <w:spacing w:val="80"/>
          <w:sz w:val="24"/>
        </w:rPr>
        <w:t> </w:t>
      </w:r>
      <w:r>
        <w:rPr>
          <w:sz w:val="24"/>
        </w:rPr>
        <w:t>Welfare,</w:t>
      </w:r>
      <w:r>
        <w:rPr>
          <w:spacing w:val="80"/>
          <w:sz w:val="24"/>
        </w:rPr>
        <w:t> </w:t>
      </w:r>
      <w:r>
        <w:rPr>
          <w:sz w:val="24"/>
        </w:rPr>
        <w:t>Planning</w:t>
      </w:r>
      <w:r>
        <w:rPr>
          <w:spacing w:val="40"/>
          <w:sz w:val="24"/>
        </w:rPr>
        <w:t> </w:t>
      </w:r>
      <w:r>
        <w:rPr>
          <w:sz w:val="24"/>
        </w:rPr>
        <w:t>Commission, New Delhi.</w:t>
      </w:r>
    </w:p>
    <w:p>
      <w:pPr>
        <w:pStyle w:val="BodyText"/>
        <w:spacing w:before="6"/>
      </w:pPr>
    </w:p>
    <w:p>
      <w:pPr>
        <w:pStyle w:val="ListParagraph"/>
        <w:numPr>
          <w:ilvl w:val="0"/>
          <w:numId w:val="183"/>
        </w:numPr>
        <w:tabs>
          <w:tab w:pos="399" w:val="left" w:leader="none"/>
        </w:tabs>
        <w:spacing w:line="240" w:lineRule="auto" w:before="0" w:after="0"/>
        <w:ind w:left="399" w:right="0" w:hanging="240"/>
        <w:jc w:val="left"/>
        <w:rPr>
          <w:sz w:val="24"/>
        </w:rPr>
      </w:pPr>
      <w:r>
        <w:rPr>
          <w:sz w:val="24"/>
        </w:rPr>
        <w:t>Shri</w:t>
      </w:r>
      <w:r>
        <w:rPr>
          <w:spacing w:val="-2"/>
          <w:sz w:val="24"/>
        </w:rPr>
        <w:t> </w:t>
      </w:r>
      <w:r>
        <w:rPr>
          <w:sz w:val="24"/>
        </w:rPr>
        <w:t>J. Lakra, President, G. L. Mission Church, Ranchi </w:t>
      </w:r>
      <w:r>
        <w:rPr>
          <w:spacing w:val="-2"/>
          <w:sz w:val="24"/>
        </w:rPr>
        <w:t>(Bihar).</w:t>
      </w:r>
    </w:p>
    <w:p>
      <w:pPr>
        <w:pStyle w:val="BodyText"/>
        <w:spacing w:before="2"/>
      </w:pPr>
    </w:p>
    <w:p>
      <w:pPr>
        <w:pStyle w:val="ListParagraph"/>
        <w:numPr>
          <w:ilvl w:val="0"/>
          <w:numId w:val="183"/>
        </w:numPr>
        <w:tabs>
          <w:tab w:pos="478" w:val="left" w:leader="none"/>
        </w:tabs>
        <w:spacing w:line="240" w:lineRule="auto" w:before="1" w:after="0"/>
        <w:ind w:left="159" w:right="498" w:firstLine="0"/>
        <w:jc w:val="left"/>
        <w:rPr>
          <w:sz w:val="24"/>
        </w:rPr>
      </w:pPr>
      <w:r>
        <w:rPr>
          <w:sz w:val="24"/>
        </w:rPr>
        <w:t>Shri</w:t>
      </w:r>
      <w:r>
        <w:rPr>
          <w:spacing w:val="76"/>
          <w:sz w:val="24"/>
        </w:rPr>
        <w:t> </w:t>
      </w:r>
      <w:r>
        <w:rPr>
          <w:sz w:val="24"/>
        </w:rPr>
        <w:t>D.</w:t>
      </w:r>
      <w:r>
        <w:rPr>
          <w:spacing w:val="76"/>
          <w:sz w:val="24"/>
        </w:rPr>
        <w:t> </w:t>
      </w:r>
      <w:r>
        <w:rPr>
          <w:sz w:val="24"/>
        </w:rPr>
        <w:t>J.</w:t>
      </w:r>
      <w:r>
        <w:rPr>
          <w:spacing w:val="76"/>
          <w:sz w:val="24"/>
        </w:rPr>
        <w:t> </w:t>
      </w:r>
      <w:r>
        <w:rPr>
          <w:sz w:val="24"/>
        </w:rPr>
        <w:t>Naik,</w:t>
      </w:r>
      <w:r>
        <w:rPr>
          <w:spacing w:val="76"/>
          <w:sz w:val="24"/>
        </w:rPr>
        <w:t> </w:t>
      </w:r>
      <w:r>
        <w:rPr>
          <w:sz w:val="24"/>
        </w:rPr>
        <w:t>M.P.,</w:t>
      </w:r>
      <w:r>
        <w:rPr>
          <w:spacing w:val="76"/>
          <w:sz w:val="24"/>
        </w:rPr>
        <w:t> </w:t>
      </w:r>
      <w:r>
        <w:rPr>
          <w:sz w:val="24"/>
        </w:rPr>
        <w:t>President,</w:t>
      </w:r>
      <w:r>
        <w:rPr>
          <w:spacing w:val="76"/>
          <w:sz w:val="24"/>
        </w:rPr>
        <w:t> </w:t>
      </w:r>
      <w:r>
        <w:rPr>
          <w:sz w:val="24"/>
        </w:rPr>
        <w:t>Bhil</w:t>
      </w:r>
      <w:r>
        <w:rPr>
          <w:spacing w:val="76"/>
          <w:sz w:val="24"/>
        </w:rPr>
        <w:t> </w:t>
      </w:r>
      <w:r>
        <w:rPr>
          <w:sz w:val="24"/>
        </w:rPr>
        <w:t>Sewa</w:t>
      </w:r>
      <w:r>
        <w:rPr>
          <w:spacing w:val="76"/>
          <w:sz w:val="24"/>
        </w:rPr>
        <w:t> </w:t>
      </w:r>
      <w:r>
        <w:rPr>
          <w:sz w:val="24"/>
        </w:rPr>
        <w:t>Mandal,</w:t>
      </w:r>
      <w:r>
        <w:rPr>
          <w:spacing w:val="76"/>
          <w:sz w:val="24"/>
        </w:rPr>
        <w:t> </w:t>
      </w:r>
      <w:r>
        <w:rPr>
          <w:sz w:val="24"/>
        </w:rPr>
        <w:t>Dohad,</w:t>
      </w:r>
      <w:r>
        <w:rPr>
          <w:spacing w:val="76"/>
          <w:sz w:val="24"/>
        </w:rPr>
        <w:t> </w:t>
      </w:r>
      <w:r>
        <w:rPr>
          <w:sz w:val="24"/>
        </w:rPr>
        <w:t>Dt.</w:t>
      </w:r>
      <w:r>
        <w:rPr>
          <w:spacing w:val="76"/>
          <w:sz w:val="24"/>
        </w:rPr>
        <w:t> </w:t>
      </w:r>
      <w:r>
        <w:rPr>
          <w:sz w:val="24"/>
        </w:rPr>
        <w:t>Panchmahals </w:t>
      </w:r>
      <w:r>
        <w:rPr>
          <w:spacing w:val="-2"/>
          <w:sz w:val="24"/>
        </w:rPr>
        <w:t>(Gujarat).</w:t>
      </w:r>
    </w:p>
    <w:p>
      <w:pPr>
        <w:pStyle w:val="BodyText"/>
        <w:spacing w:before="4"/>
      </w:pPr>
    </w:p>
    <w:p>
      <w:pPr>
        <w:pStyle w:val="ListParagraph"/>
        <w:numPr>
          <w:ilvl w:val="0"/>
          <w:numId w:val="183"/>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83"/>
        </w:numPr>
        <w:tabs>
          <w:tab w:pos="491" w:val="left" w:leader="none"/>
        </w:tabs>
        <w:spacing w:line="240" w:lineRule="auto" w:before="0" w:after="0"/>
        <w:ind w:left="159" w:right="498" w:firstLine="0"/>
        <w:jc w:val="left"/>
        <w:rPr>
          <w:sz w:val="24"/>
        </w:rPr>
      </w:pPr>
      <w:r>
        <w:rPr>
          <w:sz w:val="24"/>
        </w:rPr>
        <w:t>Shrimati</w:t>
      </w:r>
      <w:r>
        <w:rPr>
          <w:spacing w:val="80"/>
          <w:sz w:val="24"/>
        </w:rPr>
        <w:t> </w:t>
      </w:r>
      <w:r>
        <w:rPr>
          <w:sz w:val="24"/>
        </w:rPr>
        <w:t>V.</w:t>
      </w:r>
      <w:r>
        <w:rPr>
          <w:spacing w:val="80"/>
          <w:sz w:val="24"/>
        </w:rPr>
        <w:t> </w:t>
      </w:r>
      <w:r>
        <w:rPr>
          <w:sz w:val="24"/>
        </w:rPr>
        <w:t>Rajlakshmi,</w:t>
      </w:r>
      <w:r>
        <w:rPr>
          <w:spacing w:val="80"/>
          <w:sz w:val="24"/>
        </w:rPr>
        <w:t> </w:t>
      </w:r>
      <w:r>
        <w:rPr>
          <w:sz w:val="24"/>
        </w:rPr>
        <w:t>Secretary,</w:t>
      </w:r>
      <w:r>
        <w:rPr>
          <w:spacing w:val="80"/>
          <w:sz w:val="24"/>
        </w:rPr>
        <w:t> </w:t>
      </w:r>
      <w:r>
        <w:rPr>
          <w:sz w:val="24"/>
        </w:rPr>
        <w:t>Kasturba</w:t>
      </w:r>
      <w:r>
        <w:rPr>
          <w:spacing w:val="80"/>
          <w:sz w:val="24"/>
        </w:rPr>
        <w:t> </w:t>
      </w:r>
      <w:r>
        <w:rPr>
          <w:sz w:val="24"/>
        </w:rPr>
        <w:t>Gandhi</w:t>
      </w:r>
      <w:r>
        <w:rPr>
          <w:spacing w:val="80"/>
          <w:sz w:val="24"/>
        </w:rPr>
        <w:t> </w:t>
      </w:r>
      <w:r>
        <w:rPr>
          <w:sz w:val="24"/>
        </w:rPr>
        <w:t>National</w:t>
      </w:r>
      <w:r>
        <w:rPr>
          <w:spacing w:val="80"/>
          <w:sz w:val="24"/>
        </w:rPr>
        <w:t> </w:t>
      </w:r>
      <w:r>
        <w:rPr>
          <w:sz w:val="24"/>
        </w:rPr>
        <w:t>Memorial</w:t>
      </w:r>
      <w:r>
        <w:rPr>
          <w:spacing w:val="80"/>
          <w:sz w:val="24"/>
        </w:rPr>
        <w:t> </w:t>
      </w:r>
      <w:r>
        <w:rPr>
          <w:sz w:val="24"/>
        </w:rPr>
        <w:t>Trust, Kasturba Gram, Distt. Indore (M.P.).</w:t>
      </w:r>
    </w:p>
    <w:p>
      <w:pPr>
        <w:pStyle w:val="BodyText"/>
        <w:spacing w:before="5"/>
      </w:pPr>
    </w:p>
    <w:p>
      <w:pPr>
        <w:pStyle w:val="ListParagraph"/>
        <w:numPr>
          <w:ilvl w:val="0"/>
          <w:numId w:val="183"/>
        </w:numPr>
        <w:tabs>
          <w:tab w:pos="518" w:val="left" w:leader="none"/>
        </w:tabs>
        <w:spacing w:line="240" w:lineRule="auto" w:before="0" w:after="0"/>
        <w:ind w:left="518" w:right="0" w:hanging="359"/>
        <w:jc w:val="left"/>
        <w:rPr>
          <w:sz w:val="24"/>
        </w:rPr>
      </w:pPr>
      <w:r>
        <w:rPr>
          <w:sz w:val="24"/>
        </w:rPr>
        <w:t>Shri</w:t>
      </w:r>
      <w:r>
        <w:rPr>
          <w:spacing w:val="-1"/>
          <w:sz w:val="24"/>
        </w:rPr>
        <w:t> </w:t>
      </w:r>
      <w:r>
        <w:rPr>
          <w:sz w:val="24"/>
        </w:rPr>
        <w:t>T.</w:t>
      </w:r>
      <w:r>
        <w:rPr>
          <w:spacing w:val="-1"/>
          <w:sz w:val="24"/>
        </w:rPr>
        <w:t> </w:t>
      </w:r>
      <w:r>
        <w:rPr>
          <w:sz w:val="24"/>
        </w:rPr>
        <w:t>Sanganna,</w:t>
      </w:r>
      <w:r>
        <w:rPr>
          <w:spacing w:val="-1"/>
          <w:sz w:val="24"/>
        </w:rPr>
        <w:t> </w:t>
      </w:r>
      <w:r>
        <w:rPr>
          <w:sz w:val="24"/>
        </w:rPr>
        <w:t>Minister</w:t>
      </w:r>
      <w:r>
        <w:rPr>
          <w:spacing w:val="-1"/>
          <w:sz w:val="24"/>
        </w:rPr>
        <w:t> </w:t>
      </w:r>
      <w:r>
        <w:rPr>
          <w:sz w:val="24"/>
        </w:rPr>
        <w:t>for</w:t>
      </w:r>
      <w:r>
        <w:rPr>
          <w:spacing w:val="-1"/>
          <w:sz w:val="24"/>
        </w:rPr>
        <w:t> </w:t>
      </w:r>
      <w:r>
        <w:rPr>
          <w:sz w:val="24"/>
        </w:rPr>
        <w:t>Rural</w:t>
      </w:r>
      <w:r>
        <w:rPr>
          <w:spacing w:val="-1"/>
          <w:sz w:val="24"/>
        </w:rPr>
        <w:t> </w:t>
      </w:r>
      <w:r>
        <w:rPr>
          <w:sz w:val="24"/>
        </w:rPr>
        <w:t>&amp;</w:t>
      </w:r>
      <w:r>
        <w:rPr>
          <w:spacing w:val="-1"/>
          <w:sz w:val="24"/>
        </w:rPr>
        <w:t> </w:t>
      </w:r>
      <w:r>
        <w:rPr>
          <w:sz w:val="24"/>
        </w:rPr>
        <w:t>Tribal</w:t>
      </w:r>
      <w:r>
        <w:rPr>
          <w:spacing w:val="-1"/>
          <w:sz w:val="24"/>
        </w:rPr>
        <w:t> </w:t>
      </w:r>
      <w:r>
        <w:rPr>
          <w:sz w:val="24"/>
        </w:rPr>
        <w:t>Welfare,</w:t>
      </w:r>
      <w:r>
        <w:rPr>
          <w:spacing w:val="-1"/>
          <w:sz w:val="24"/>
        </w:rPr>
        <w:t> </w:t>
      </w:r>
      <w:r>
        <w:rPr>
          <w:sz w:val="24"/>
        </w:rPr>
        <w:t>Orissa,</w:t>
      </w:r>
      <w:r>
        <w:rPr>
          <w:spacing w:val="-1"/>
          <w:sz w:val="24"/>
        </w:rPr>
        <w:t> </w:t>
      </w:r>
      <w:r>
        <w:rPr>
          <w:spacing w:val="-2"/>
          <w:sz w:val="24"/>
        </w:rPr>
        <w:t>Bhubaneswar.</w:t>
      </w:r>
    </w:p>
    <w:p>
      <w:pPr>
        <w:pStyle w:val="BodyText"/>
        <w:spacing w:before="3"/>
      </w:pPr>
    </w:p>
    <w:p>
      <w:pPr>
        <w:pStyle w:val="ListParagraph"/>
        <w:numPr>
          <w:ilvl w:val="0"/>
          <w:numId w:val="183"/>
        </w:numPr>
        <w:tabs>
          <w:tab w:pos="519" w:val="left" w:leader="none"/>
        </w:tabs>
        <w:spacing w:line="240" w:lineRule="auto" w:before="1" w:after="0"/>
        <w:ind w:left="519" w:right="0" w:hanging="360"/>
        <w:jc w:val="left"/>
        <w:rPr>
          <w:sz w:val="24"/>
        </w:rPr>
      </w:pPr>
      <w:r>
        <w:rPr>
          <w:sz w:val="24"/>
        </w:rPr>
        <w:t>Shri</w:t>
      </w:r>
      <w:r>
        <w:rPr>
          <w:spacing w:val="-2"/>
          <w:sz w:val="24"/>
        </w:rPr>
        <w:t> </w:t>
      </w:r>
      <w:r>
        <w:rPr>
          <w:sz w:val="24"/>
        </w:rPr>
        <w:t>S.</w:t>
      </w:r>
      <w:r>
        <w:rPr>
          <w:spacing w:val="-2"/>
          <w:sz w:val="24"/>
        </w:rPr>
        <w:t> </w:t>
      </w:r>
      <w:r>
        <w:rPr>
          <w:sz w:val="24"/>
        </w:rPr>
        <w:t>C.</w:t>
      </w:r>
      <w:r>
        <w:rPr>
          <w:spacing w:val="-2"/>
          <w:sz w:val="24"/>
        </w:rPr>
        <w:t> </w:t>
      </w:r>
      <w:r>
        <w:rPr>
          <w:sz w:val="24"/>
        </w:rPr>
        <w:t>Sen</w:t>
      </w:r>
      <w:r>
        <w:rPr>
          <w:spacing w:val="-1"/>
          <w:sz w:val="24"/>
        </w:rPr>
        <w:t> </w:t>
      </w:r>
      <w:r>
        <w:rPr>
          <w:sz w:val="24"/>
        </w:rPr>
        <w:t>Gupta,</w:t>
      </w:r>
      <w:r>
        <w:rPr>
          <w:spacing w:val="-2"/>
          <w:sz w:val="24"/>
        </w:rPr>
        <w:t> </w:t>
      </w:r>
      <w:r>
        <w:rPr>
          <w:sz w:val="24"/>
        </w:rPr>
        <w:t>joint</w:t>
      </w:r>
      <w:r>
        <w:rPr>
          <w:spacing w:val="-2"/>
          <w:sz w:val="24"/>
        </w:rPr>
        <w:t> </w:t>
      </w:r>
      <w:r>
        <w:rPr>
          <w:sz w:val="24"/>
        </w:rPr>
        <w:t>Secretary,</w:t>
      </w:r>
      <w:r>
        <w:rPr>
          <w:spacing w:val="-1"/>
          <w:sz w:val="24"/>
        </w:rPr>
        <w:t> </w:t>
      </w:r>
      <w:r>
        <w:rPr>
          <w:sz w:val="24"/>
        </w:rPr>
        <w:t>Department</w:t>
      </w:r>
      <w:r>
        <w:rPr>
          <w:spacing w:val="-3"/>
          <w:sz w:val="24"/>
        </w:rPr>
        <w:t> </w:t>
      </w:r>
      <w:r>
        <w:rPr>
          <w:sz w:val="24"/>
        </w:rPr>
        <w:t>of</w:t>
      </w:r>
      <w:r>
        <w:rPr>
          <w:spacing w:val="-3"/>
          <w:sz w:val="24"/>
        </w:rPr>
        <w:t> </w:t>
      </w:r>
      <w:r>
        <w:rPr>
          <w:sz w:val="24"/>
        </w:rPr>
        <w:t>Social</w:t>
      </w:r>
      <w:r>
        <w:rPr>
          <w:spacing w:val="-2"/>
          <w:sz w:val="24"/>
        </w:rPr>
        <w:t> </w:t>
      </w:r>
      <w:r>
        <w:rPr>
          <w:sz w:val="24"/>
        </w:rPr>
        <w:t>Security,</w:t>
      </w:r>
      <w:r>
        <w:rPr>
          <w:spacing w:val="-3"/>
          <w:sz w:val="24"/>
        </w:rPr>
        <w:t> </w:t>
      </w:r>
      <w:r>
        <w:rPr>
          <w:sz w:val="24"/>
        </w:rPr>
        <w:t>New</w:t>
      </w:r>
      <w:r>
        <w:rPr>
          <w:spacing w:val="-2"/>
          <w:sz w:val="24"/>
        </w:rPr>
        <w:t> Delhi.</w:t>
      </w:r>
    </w:p>
    <w:p>
      <w:pPr>
        <w:pStyle w:val="BodyText"/>
        <w:spacing w:before="4"/>
      </w:pPr>
    </w:p>
    <w:p>
      <w:pPr>
        <w:pStyle w:val="ListParagraph"/>
        <w:numPr>
          <w:ilvl w:val="0"/>
          <w:numId w:val="183"/>
        </w:numPr>
        <w:tabs>
          <w:tab w:pos="519" w:val="left" w:leader="none"/>
        </w:tabs>
        <w:spacing w:line="240" w:lineRule="auto" w:before="1" w:after="0"/>
        <w:ind w:left="519" w:right="0" w:hanging="360"/>
        <w:jc w:val="left"/>
        <w:rPr>
          <w:sz w:val="24"/>
        </w:rPr>
      </w:pPr>
      <w:r>
        <w:rPr>
          <w:sz w:val="24"/>
        </w:rPr>
        <w:t>Shri</w:t>
      </w:r>
      <w:r>
        <w:rPr>
          <w:spacing w:val="-1"/>
          <w:sz w:val="24"/>
        </w:rPr>
        <w:t> </w:t>
      </w:r>
      <w:r>
        <w:rPr>
          <w:sz w:val="24"/>
        </w:rPr>
        <w:t>Manikya Lal</w:t>
      </w:r>
      <w:r>
        <w:rPr>
          <w:spacing w:val="-1"/>
          <w:sz w:val="24"/>
        </w:rPr>
        <w:t> </w:t>
      </w:r>
      <w:r>
        <w:rPr>
          <w:sz w:val="24"/>
        </w:rPr>
        <w:t>Verma, M.P.,</w:t>
      </w:r>
      <w:r>
        <w:rPr>
          <w:spacing w:val="-1"/>
          <w:sz w:val="24"/>
        </w:rPr>
        <w:t> </w:t>
      </w:r>
      <w:r>
        <w:rPr>
          <w:sz w:val="24"/>
        </w:rPr>
        <w:t>156, North</w:t>
      </w:r>
      <w:r>
        <w:rPr>
          <w:spacing w:val="-1"/>
          <w:sz w:val="24"/>
        </w:rPr>
        <w:t> </w:t>
      </w:r>
      <w:r>
        <w:rPr>
          <w:sz w:val="24"/>
        </w:rPr>
        <w:t>Avenue, New </w:t>
      </w:r>
      <w:r>
        <w:rPr>
          <w:spacing w:val="-2"/>
          <w:sz w:val="24"/>
        </w:rPr>
        <w:t>Delhi.</w:t>
      </w:r>
    </w:p>
    <w:p>
      <w:pPr>
        <w:pStyle w:val="BodyText"/>
        <w:spacing w:before="2"/>
      </w:pPr>
    </w:p>
    <w:p>
      <w:pPr>
        <w:pStyle w:val="ListParagraph"/>
        <w:numPr>
          <w:ilvl w:val="0"/>
          <w:numId w:val="183"/>
        </w:numPr>
        <w:tabs>
          <w:tab w:pos="569" w:val="left" w:leader="none"/>
        </w:tabs>
        <w:spacing w:line="240" w:lineRule="auto" w:before="0" w:after="0"/>
        <w:ind w:left="159" w:right="497" w:firstLine="0"/>
        <w:jc w:val="left"/>
        <w:rPr>
          <w:sz w:val="24"/>
        </w:rPr>
      </w:pPr>
      <w:r>
        <w:rPr>
          <w:sz w:val="24"/>
        </w:rPr>
        <w:t>Shri</w:t>
      </w:r>
      <w:r>
        <w:rPr>
          <w:spacing w:val="40"/>
          <w:sz w:val="24"/>
        </w:rPr>
        <w:t> </w:t>
      </w:r>
      <w:r>
        <w:rPr>
          <w:sz w:val="24"/>
        </w:rPr>
        <w:t>Vimal</w:t>
      </w:r>
      <w:r>
        <w:rPr>
          <w:spacing w:val="40"/>
          <w:sz w:val="24"/>
        </w:rPr>
        <w:t> </w:t>
      </w:r>
      <w:r>
        <w:rPr>
          <w:sz w:val="24"/>
        </w:rPr>
        <w:t>Chandra,</w:t>
      </w:r>
      <w:r>
        <w:rPr>
          <w:spacing w:val="40"/>
          <w:sz w:val="24"/>
        </w:rPr>
        <w:t> </w:t>
      </w:r>
      <w:r>
        <w:rPr>
          <w:sz w:val="24"/>
        </w:rPr>
        <w:t>Deputy</w:t>
      </w:r>
      <w:r>
        <w:rPr>
          <w:spacing w:val="40"/>
          <w:sz w:val="24"/>
        </w:rPr>
        <w:t> </w:t>
      </w:r>
      <w:r>
        <w:rPr>
          <w:sz w:val="24"/>
        </w:rPr>
        <w:t>Commissioner</w:t>
      </w:r>
      <w:r>
        <w:rPr>
          <w:spacing w:val="40"/>
          <w:sz w:val="24"/>
        </w:rPr>
        <w:t> </w:t>
      </w:r>
      <w:r>
        <w:rPr>
          <w:sz w:val="24"/>
        </w:rPr>
        <w:t>for</w:t>
      </w:r>
      <w:r>
        <w:rPr>
          <w:spacing w:val="40"/>
          <w:sz w:val="24"/>
        </w:rPr>
        <w:t> </w:t>
      </w:r>
      <w:r>
        <w:rPr>
          <w:sz w:val="24"/>
        </w:rPr>
        <w:t>Scheduled</w:t>
      </w:r>
      <w:r>
        <w:rPr>
          <w:spacing w:val="40"/>
          <w:sz w:val="24"/>
        </w:rPr>
        <w:t> </w:t>
      </w:r>
      <w:r>
        <w:rPr>
          <w:sz w:val="24"/>
        </w:rPr>
        <w:t>Castes</w:t>
      </w:r>
      <w:r>
        <w:rPr>
          <w:spacing w:val="40"/>
          <w:sz w:val="24"/>
        </w:rPr>
        <w:t> </w:t>
      </w:r>
      <w:r>
        <w:rPr>
          <w:sz w:val="24"/>
        </w:rPr>
        <w:t>and</w:t>
      </w:r>
      <w:r>
        <w:rPr>
          <w:spacing w:val="40"/>
          <w:sz w:val="24"/>
        </w:rPr>
        <w:t> </w:t>
      </w:r>
      <w:r>
        <w:rPr>
          <w:sz w:val="24"/>
        </w:rPr>
        <w:t>Scheduled Tribes, Ministry of Home Affairs. New Delhi.</w:t>
      </w:r>
    </w:p>
    <w:p>
      <w:pPr>
        <w:pStyle w:val="BodyText"/>
        <w:spacing w:before="3"/>
      </w:pPr>
    </w:p>
    <w:p>
      <w:pPr>
        <w:pStyle w:val="ListParagraph"/>
        <w:numPr>
          <w:ilvl w:val="0"/>
          <w:numId w:val="183"/>
        </w:numPr>
        <w:tabs>
          <w:tab w:pos="533" w:val="left" w:leader="none"/>
        </w:tabs>
        <w:spacing w:line="240" w:lineRule="auto" w:before="1" w:after="0"/>
        <w:ind w:left="159" w:right="498" w:firstLine="0"/>
        <w:jc w:val="left"/>
        <w:rPr>
          <w:sz w:val="24"/>
        </w:rPr>
      </w:pPr>
      <w:r>
        <w:rPr>
          <w:sz w:val="24"/>
        </w:rPr>
        <w:t>Shri N. M. Wadiwa, M.P., Secretary, Bharatiya Adimjati Sewak Sangh, Chhindwara </w:t>
      </w:r>
      <w:r>
        <w:rPr>
          <w:spacing w:val="-2"/>
          <w:sz w:val="24"/>
        </w:rPr>
        <w:t>(M.P.).</w:t>
      </w:r>
    </w:p>
    <w:p>
      <w:pPr>
        <w:spacing w:after="0" w:line="240" w:lineRule="auto"/>
        <w:jc w:val="left"/>
        <w:rPr>
          <w:sz w:val="24"/>
        </w:rPr>
        <w:sectPr>
          <w:pgSz w:w="12240" w:h="15840"/>
          <w:pgMar w:header="0" w:footer="743" w:top="1360" w:bottom="940" w:left="1640" w:right="1300"/>
        </w:sectPr>
      </w:pPr>
    </w:p>
    <w:p>
      <w:pPr>
        <w:pStyle w:val="ListParagraph"/>
        <w:numPr>
          <w:ilvl w:val="0"/>
          <w:numId w:val="183"/>
        </w:numPr>
        <w:tabs>
          <w:tab w:pos="582" w:val="left" w:leader="none"/>
        </w:tabs>
        <w:spacing w:line="240" w:lineRule="auto" w:before="76" w:after="0"/>
        <w:ind w:left="159" w:right="497" w:firstLine="0"/>
        <w:jc w:val="left"/>
        <w:rPr>
          <w:sz w:val="24"/>
        </w:rPr>
      </w:pPr>
      <w:r>
        <w:rPr>
          <w:sz w:val="24"/>
        </w:rPr>
        <w:t>Shri</w:t>
      </w:r>
      <w:r>
        <w:rPr>
          <w:spacing w:val="40"/>
          <w:sz w:val="24"/>
        </w:rPr>
        <w:t> </w:t>
      </w:r>
      <w:r>
        <w:rPr>
          <w:sz w:val="24"/>
        </w:rPr>
        <w:t>Gurbax</w:t>
      </w:r>
      <w:r>
        <w:rPr>
          <w:spacing w:val="40"/>
          <w:sz w:val="24"/>
        </w:rPr>
        <w:t> </w:t>
      </w:r>
      <w:r>
        <w:rPr>
          <w:sz w:val="24"/>
        </w:rPr>
        <w:t>Singh</w:t>
      </w:r>
      <w:r>
        <w:rPr>
          <w:spacing w:val="40"/>
          <w:sz w:val="24"/>
        </w:rPr>
        <w:t> </w:t>
      </w:r>
      <w:r>
        <w:rPr>
          <w:sz w:val="24"/>
        </w:rPr>
        <w:t>Assistant</w:t>
      </w:r>
      <w:r>
        <w:rPr>
          <w:spacing w:val="40"/>
          <w:sz w:val="24"/>
        </w:rPr>
        <w:t> </w:t>
      </w:r>
      <w:r>
        <w:rPr>
          <w:sz w:val="24"/>
        </w:rPr>
        <w:t>Educational</w:t>
      </w:r>
      <w:r>
        <w:rPr>
          <w:spacing w:val="40"/>
          <w:sz w:val="24"/>
        </w:rPr>
        <w:t> </w:t>
      </w:r>
      <w:r>
        <w:rPr>
          <w:sz w:val="24"/>
        </w:rPr>
        <w:t>Adviser,</w:t>
      </w:r>
      <w:r>
        <w:rPr>
          <w:spacing w:val="40"/>
          <w:sz w:val="24"/>
        </w:rPr>
        <w:t> </w:t>
      </w:r>
      <w:r>
        <w:rPr>
          <w:sz w:val="24"/>
        </w:rPr>
        <w:t>Education</w:t>
      </w:r>
      <w:r>
        <w:rPr>
          <w:spacing w:val="40"/>
          <w:sz w:val="24"/>
        </w:rPr>
        <w:t> </w:t>
      </w:r>
      <w:r>
        <w:rPr>
          <w:sz w:val="24"/>
        </w:rPr>
        <w:t>Commission,</w:t>
      </w:r>
      <w:r>
        <w:rPr>
          <w:spacing w:val="40"/>
          <w:sz w:val="24"/>
        </w:rPr>
        <w:t> </w:t>
      </w:r>
      <w:r>
        <w:rPr>
          <w:sz w:val="24"/>
        </w:rPr>
        <w:t>New Delhi. Secretary</w:t>
      </w:r>
    </w:p>
    <w:p>
      <w:pPr>
        <w:pStyle w:val="BodyText"/>
        <w:spacing w:before="6"/>
      </w:pPr>
    </w:p>
    <w:p>
      <w:pPr>
        <w:pStyle w:val="Heading2"/>
        <w:spacing w:before="1"/>
        <w:ind w:left="159"/>
      </w:pPr>
      <w:r>
        <w:rPr/>
        <w:t>AIV.15.</w:t>
      </w:r>
      <w:r>
        <w:rPr>
          <w:spacing w:val="-2"/>
        </w:rPr>
        <w:t> </w:t>
      </w:r>
      <w:r>
        <w:rPr/>
        <w:t>Working</w:t>
      </w:r>
      <w:r>
        <w:rPr>
          <w:spacing w:val="-1"/>
        </w:rPr>
        <w:t> </w:t>
      </w:r>
      <w:r>
        <w:rPr/>
        <w:t>Group</w:t>
      </w:r>
      <w:r>
        <w:rPr>
          <w:spacing w:val="-2"/>
        </w:rPr>
        <w:t> </w:t>
      </w:r>
      <w:r>
        <w:rPr/>
        <w:t>on</w:t>
      </w:r>
      <w:r>
        <w:rPr>
          <w:spacing w:val="-1"/>
        </w:rPr>
        <w:t> </w:t>
      </w:r>
      <w:r>
        <w:rPr/>
        <w:t>Educational </w:t>
      </w:r>
      <w:r>
        <w:rPr>
          <w:spacing w:val="-2"/>
        </w:rPr>
        <w:t>Statistics</w:t>
      </w:r>
    </w:p>
    <w:p>
      <w:pPr>
        <w:pStyle w:val="BodyText"/>
        <w:spacing w:before="2"/>
        <w:rPr>
          <w:b/>
        </w:rPr>
      </w:pPr>
    </w:p>
    <w:p>
      <w:pPr>
        <w:pStyle w:val="ListParagraph"/>
        <w:numPr>
          <w:ilvl w:val="0"/>
          <w:numId w:val="184"/>
        </w:numPr>
        <w:tabs>
          <w:tab w:pos="398" w:val="left" w:leader="none"/>
        </w:tabs>
        <w:spacing w:line="240" w:lineRule="auto" w:before="0" w:after="0"/>
        <w:ind w:left="398" w:right="0" w:hanging="239"/>
        <w:jc w:val="left"/>
        <w:rPr>
          <w:sz w:val="24"/>
        </w:rPr>
      </w:pPr>
      <w:r>
        <w:rPr>
          <w:sz w:val="24"/>
        </w:rPr>
        <w:t>Shri</w:t>
      </w:r>
      <w:r>
        <w:rPr>
          <w:spacing w:val="-2"/>
          <w:sz w:val="24"/>
        </w:rPr>
        <w:t> </w:t>
      </w:r>
      <w:r>
        <w:rPr>
          <w:sz w:val="24"/>
        </w:rPr>
        <w:t>j.</w:t>
      </w:r>
      <w:r>
        <w:rPr>
          <w:spacing w:val="-1"/>
          <w:sz w:val="24"/>
        </w:rPr>
        <w:t> </w:t>
      </w:r>
      <w:r>
        <w:rPr>
          <w:sz w:val="24"/>
        </w:rPr>
        <w:t>P.</w:t>
      </w:r>
      <w:r>
        <w:rPr>
          <w:spacing w:val="-1"/>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z w:val="24"/>
        </w:rPr>
        <w:t>Delhi.</w:t>
      </w:r>
      <w:r>
        <w:rPr>
          <w:spacing w:val="-1"/>
          <w:sz w:val="24"/>
        </w:rPr>
        <w:t> </w:t>
      </w:r>
      <w:r>
        <w:rPr>
          <w:spacing w:val="-2"/>
          <w:sz w:val="24"/>
        </w:rPr>
        <w:t>Convener</w:t>
      </w:r>
    </w:p>
    <w:p>
      <w:pPr>
        <w:pStyle w:val="BodyText"/>
        <w:spacing w:before="3"/>
      </w:pPr>
    </w:p>
    <w:p>
      <w:pPr>
        <w:pStyle w:val="ListParagraph"/>
        <w:numPr>
          <w:ilvl w:val="0"/>
          <w:numId w:val="184"/>
        </w:numPr>
        <w:tabs>
          <w:tab w:pos="400" w:val="left" w:leader="none"/>
        </w:tabs>
        <w:spacing w:line="240" w:lineRule="auto" w:before="1" w:after="0"/>
        <w:ind w:left="159" w:right="498" w:firstLine="0"/>
        <w:jc w:val="left"/>
        <w:rPr>
          <w:sz w:val="24"/>
        </w:rPr>
      </w:pPr>
      <w:r>
        <w:rPr>
          <w:sz w:val="24"/>
        </w:rPr>
        <w:t>Dr.</w:t>
      </w:r>
      <w:r>
        <w:rPr>
          <w:spacing w:val="-2"/>
          <w:sz w:val="24"/>
        </w:rPr>
        <w:t> </w:t>
      </w:r>
      <w:r>
        <w:rPr>
          <w:sz w:val="24"/>
        </w:rPr>
        <w:t>S.</w:t>
      </w:r>
      <w:r>
        <w:rPr>
          <w:spacing w:val="-2"/>
          <w:sz w:val="24"/>
        </w:rPr>
        <w:t> </w:t>
      </w:r>
      <w:r>
        <w:rPr>
          <w:sz w:val="24"/>
        </w:rPr>
        <w:t>P.</w:t>
      </w:r>
      <w:r>
        <w:rPr>
          <w:spacing w:val="-2"/>
          <w:sz w:val="24"/>
        </w:rPr>
        <w:t> </w:t>
      </w:r>
      <w:r>
        <w:rPr>
          <w:sz w:val="24"/>
        </w:rPr>
        <w:t>Aggarwal,</w:t>
      </w:r>
      <w:r>
        <w:rPr>
          <w:spacing w:val="-2"/>
          <w:sz w:val="24"/>
        </w:rPr>
        <w:t> </w:t>
      </w:r>
      <w:r>
        <w:rPr>
          <w:sz w:val="24"/>
        </w:rPr>
        <w:t>Head</w:t>
      </w:r>
      <w:r>
        <w:rPr>
          <w:spacing w:val="-2"/>
          <w:sz w:val="24"/>
        </w:rPr>
        <w:t> </w:t>
      </w:r>
      <w:r>
        <w:rPr>
          <w:sz w:val="24"/>
        </w:rPr>
        <w:t>of</w:t>
      </w:r>
      <w:r>
        <w:rPr>
          <w:spacing w:val="-2"/>
          <w:sz w:val="24"/>
        </w:rPr>
        <w:t> </w:t>
      </w:r>
      <w:r>
        <w:rPr>
          <w:sz w:val="24"/>
        </w:rPr>
        <w:t>Division,</w:t>
      </w:r>
      <w:r>
        <w:rPr>
          <w:spacing w:val="-2"/>
          <w:sz w:val="24"/>
        </w:rPr>
        <w:t> </w:t>
      </w:r>
      <w:r>
        <w:rPr>
          <w:sz w:val="24"/>
        </w:rPr>
        <w:t>Area</w:t>
      </w:r>
      <w:r>
        <w:rPr>
          <w:spacing w:val="-3"/>
          <w:sz w:val="24"/>
        </w:rPr>
        <w:t> </w:t>
      </w:r>
      <w:r>
        <w:rPr>
          <w:sz w:val="24"/>
        </w:rPr>
        <w:t>Manpower,</w:t>
      </w:r>
      <w:r>
        <w:rPr>
          <w:spacing w:val="-3"/>
          <w:sz w:val="24"/>
        </w:rPr>
        <w:t> </w:t>
      </w:r>
      <w:r>
        <w:rPr>
          <w:sz w:val="24"/>
        </w:rPr>
        <w:t>Institute</w:t>
      </w:r>
      <w:r>
        <w:rPr>
          <w:spacing w:val="-2"/>
          <w:sz w:val="24"/>
        </w:rPr>
        <w:t> </w:t>
      </w:r>
      <w:r>
        <w:rPr>
          <w:sz w:val="24"/>
        </w:rPr>
        <w:t>of</w:t>
      </w:r>
      <w:r>
        <w:rPr>
          <w:spacing w:val="-2"/>
          <w:sz w:val="24"/>
        </w:rPr>
        <w:t> </w:t>
      </w:r>
      <w:r>
        <w:rPr>
          <w:sz w:val="24"/>
        </w:rPr>
        <w:t>Applied</w:t>
      </w:r>
      <w:r>
        <w:rPr>
          <w:spacing w:val="-2"/>
          <w:sz w:val="24"/>
        </w:rPr>
        <w:t> </w:t>
      </w:r>
      <w:r>
        <w:rPr>
          <w:sz w:val="24"/>
        </w:rPr>
        <w:t>Manpower Research, New Delhi.</w:t>
      </w:r>
    </w:p>
    <w:p>
      <w:pPr>
        <w:pStyle w:val="BodyText"/>
        <w:spacing w:before="4"/>
      </w:pPr>
    </w:p>
    <w:p>
      <w:pPr>
        <w:pStyle w:val="ListParagraph"/>
        <w:numPr>
          <w:ilvl w:val="0"/>
          <w:numId w:val="184"/>
        </w:numPr>
        <w:tabs>
          <w:tab w:pos="397" w:val="left" w:leader="none"/>
        </w:tabs>
        <w:spacing w:line="240" w:lineRule="auto" w:before="0" w:after="0"/>
        <w:ind w:left="397" w:right="0" w:hanging="238"/>
        <w:jc w:val="left"/>
        <w:rPr>
          <w:sz w:val="24"/>
        </w:rPr>
      </w:pPr>
      <w:r>
        <w:rPr>
          <w:sz w:val="24"/>
        </w:rPr>
        <w:t>Shri</w:t>
      </w:r>
      <w:r>
        <w:rPr>
          <w:spacing w:val="-4"/>
          <w:sz w:val="24"/>
        </w:rPr>
        <w:t> </w:t>
      </w:r>
      <w:r>
        <w:rPr>
          <w:sz w:val="24"/>
        </w:rPr>
        <w:t>R.</w:t>
      </w:r>
      <w:r>
        <w:rPr>
          <w:spacing w:val="-4"/>
          <w:sz w:val="24"/>
        </w:rPr>
        <w:t> </w:t>
      </w:r>
      <w:r>
        <w:rPr>
          <w:sz w:val="24"/>
        </w:rPr>
        <w:t>K.</w:t>
      </w:r>
      <w:r>
        <w:rPr>
          <w:spacing w:val="-4"/>
          <w:sz w:val="24"/>
        </w:rPr>
        <w:t> </w:t>
      </w:r>
      <w:r>
        <w:rPr>
          <w:sz w:val="24"/>
        </w:rPr>
        <w:t>Chhabra,</w:t>
      </w:r>
      <w:r>
        <w:rPr>
          <w:spacing w:val="-4"/>
          <w:sz w:val="24"/>
        </w:rPr>
        <w:t> </w:t>
      </w:r>
      <w:r>
        <w:rPr>
          <w:sz w:val="24"/>
        </w:rPr>
        <w:t>Deputy</w:t>
      </w:r>
      <w:r>
        <w:rPr>
          <w:spacing w:val="-4"/>
          <w:sz w:val="24"/>
        </w:rPr>
        <w:t> </w:t>
      </w:r>
      <w:r>
        <w:rPr>
          <w:sz w:val="24"/>
        </w:rPr>
        <w:t>Secretary,</w:t>
      </w:r>
      <w:r>
        <w:rPr>
          <w:spacing w:val="-4"/>
          <w:sz w:val="24"/>
        </w:rPr>
        <w:t> </w:t>
      </w:r>
      <w:r>
        <w:rPr>
          <w:sz w:val="24"/>
        </w:rPr>
        <w:t>University</w:t>
      </w:r>
      <w:r>
        <w:rPr>
          <w:spacing w:val="-3"/>
          <w:sz w:val="24"/>
        </w:rPr>
        <w:t> </w:t>
      </w:r>
      <w:r>
        <w:rPr>
          <w:sz w:val="24"/>
        </w:rPr>
        <w:t>Grants</w:t>
      </w:r>
      <w:r>
        <w:rPr>
          <w:spacing w:val="-3"/>
          <w:sz w:val="24"/>
        </w:rPr>
        <w:t> </w:t>
      </w:r>
      <w:r>
        <w:rPr>
          <w:sz w:val="24"/>
        </w:rPr>
        <w:t>Commission,</w:t>
      </w:r>
      <w:r>
        <w:rPr>
          <w:spacing w:val="-3"/>
          <w:sz w:val="24"/>
        </w:rPr>
        <w:t> </w:t>
      </w:r>
      <w:r>
        <w:rPr>
          <w:sz w:val="24"/>
        </w:rPr>
        <w:t>New</w:t>
      </w:r>
      <w:r>
        <w:rPr>
          <w:spacing w:val="-2"/>
          <w:sz w:val="24"/>
        </w:rPr>
        <w:t> Delhi.</w:t>
      </w:r>
    </w:p>
    <w:p>
      <w:pPr>
        <w:pStyle w:val="BodyText"/>
        <w:spacing w:before="4"/>
      </w:pPr>
    </w:p>
    <w:p>
      <w:pPr>
        <w:pStyle w:val="ListParagraph"/>
        <w:numPr>
          <w:ilvl w:val="0"/>
          <w:numId w:val="184"/>
        </w:numPr>
        <w:tabs>
          <w:tab w:pos="493" w:val="left" w:leader="none"/>
        </w:tabs>
        <w:spacing w:line="240" w:lineRule="auto" w:before="0" w:after="0"/>
        <w:ind w:left="160" w:right="499" w:firstLine="0"/>
        <w:jc w:val="left"/>
        <w:rPr>
          <w:sz w:val="24"/>
        </w:rPr>
      </w:pPr>
      <w:r>
        <w:rPr>
          <w:sz w:val="24"/>
        </w:rPr>
        <w:t>Dr.</w:t>
      </w:r>
      <w:r>
        <w:rPr>
          <w:spacing w:val="80"/>
          <w:sz w:val="24"/>
        </w:rPr>
        <w:t> </w:t>
      </w:r>
      <w:r>
        <w:rPr>
          <w:sz w:val="24"/>
        </w:rPr>
        <w:t>G.</w:t>
      </w:r>
      <w:r>
        <w:rPr>
          <w:spacing w:val="80"/>
          <w:sz w:val="24"/>
        </w:rPr>
        <w:t> </w:t>
      </w:r>
      <w:r>
        <w:rPr>
          <w:sz w:val="24"/>
        </w:rPr>
        <w:t>P.</w:t>
      </w:r>
      <w:r>
        <w:rPr>
          <w:spacing w:val="80"/>
          <w:sz w:val="24"/>
        </w:rPr>
        <w:t> </w:t>
      </w:r>
      <w:r>
        <w:rPr>
          <w:sz w:val="24"/>
        </w:rPr>
        <w:t>Khare,</w:t>
      </w:r>
      <w:r>
        <w:rPr>
          <w:spacing w:val="80"/>
          <w:sz w:val="24"/>
        </w:rPr>
        <w:t> </w:t>
      </w:r>
      <w:r>
        <w:rPr>
          <w:sz w:val="24"/>
        </w:rPr>
        <w:t>Statistician,</w:t>
      </w:r>
      <w:r>
        <w:rPr>
          <w:spacing w:val="80"/>
          <w:sz w:val="24"/>
        </w:rPr>
        <w:t> </w:t>
      </w:r>
      <w:r>
        <w:rPr>
          <w:sz w:val="24"/>
        </w:rPr>
        <w:t>Asian</w:t>
      </w:r>
      <w:r>
        <w:rPr>
          <w:spacing w:val="80"/>
          <w:sz w:val="24"/>
        </w:rPr>
        <w:t> </w:t>
      </w:r>
      <w:r>
        <w:rPr>
          <w:sz w:val="24"/>
        </w:rPr>
        <w:t>Institute</w:t>
      </w:r>
      <w:r>
        <w:rPr>
          <w:spacing w:val="80"/>
          <w:sz w:val="24"/>
        </w:rPr>
        <w:t> </w:t>
      </w:r>
      <w:r>
        <w:rPr>
          <w:sz w:val="24"/>
        </w:rPr>
        <w:t>of</w:t>
      </w:r>
      <w:r>
        <w:rPr>
          <w:spacing w:val="80"/>
          <w:sz w:val="24"/>
        </w:rPr>
        <w:t> </w:t>
      </w:r>
      <w:r>
        <w:rPr>
          <w:sz w:val="24"/>
        </w:rPr>
        <w:t>Planning</w:t>
      </w:r>
      <w:r>
        <w:rPr>
          <w:spacing w:val="80"/>
          <w:sz w:val="24"/>
        </w:rPr>
        <w:t> </w:t>
      </w:r>
      <w:r>
        <w:rPr>
          <w:sz w:val="24"/>
        </w:rPr>
        <w:t>and</w:t>
      </w:r>
      <w:r>
        <w:rPr>
          <w:spacing w:val="80"/>
          <w:sz w:val="24"/>
        </w:rPr>
        <w:t> </w:t>
      </w:r>
      <w:r>
        <w:rPr>
          <w:sz w:val="24"/>
        </w:rPr>
        <w:t>Administration, Indraprastha Estate, New Delhi.</w:t>
      </w:r>
    </w:p>
    <w:p>
      <w:pPr>
        <w:pStyle w:val="BodyText"/>
        <w:spacing w:before="4"/>
      </w:pPr>
    </w:p>
    <w:p>
      <w:pPr>
        <w:pStyle w:val="ListParagraph"/>
        <w:numPr>
          <w:ilvl w:val="0"/>
          <w:numId w:val="184"/>
        </w:numPr>
        <w:tabs>
          <w:tab w:pos="440" w:val="left" w:leader="none"/>
        </w:tabs>
        <w:spacing w:line="240" w:lineRule="auto" w:before="0" w:after="0"/>
        <w:ind w:left="160" w:right="497" w:firstLine="0"/>
        <w:jc w:val="left"/>
        <w:rPr>
          <w:sz w:val="24"/>
        </w:rPr>
      </w:pPr>
      <w:r>
        <w:rPr>
          <w:sz w:val="24"/>
        </w:rPr>
        <w:t>Shri</w:t>
      </w:r>
      <w:r>
        <w:rPr>
          <w:spacing w:val="37"/>
          <w:sz w:val="24"/>
        </w:rPr>
        <w:t> </w:t>
      </w:r>
      <w:r>
        <w:rPr>
          <w:sz w:val="24"/>
        </w:rPr>
        <w:t>D.</w:t>
      </w:r>
      <w:r>
        <w:rPr>
          <w:spacing w:val="37"/>
          <w:sz w:val="24"/>
        </w:rPr>
        <w:t> </w:t>
      </w:r>
      <w:r>
        <w:rPr>
          <w:sz w:val="24"/>
        </w:rPr>
        <w:t>Natarajan,</w:t>
      </w:r>
      <w:r>
        <w:rPr>
          <w:spacing w:val="37"/>
          <w:sz w:val="24"/>
        </w:rPr>
        <w:t> </w:t>
      </w:r>
      <w:r>
        <w:rPr>
          <w:sz w:val="24"/>
        </w:rPr>
        <w:t>Deputy</w:t>
      </w:r>
      <w:r>
        <w:rPr>
          <w:spacing w:val="37"/>
          <w:sz w:val="24"/>
        </w:rPr>
        <w:t> </w:t>
      </w:r>
      <w:r>
        <w:rPr>
          <w:sz w:val="24"/>
        </w:rPr>
        <w:t>Registrar-General,</w:t>
      </w:r>
      <w:r>
        <w:rPr>
          <w:spacing w:val="37"/>
          <w:sz w:val="24"/>
        </w:rPr>
        <w:t> </w:t>
      </w:r>
      <w:r>
        <w:rPr>
          <w:sz w:val="24"/>
        </w:rPr>
        <w:t>Office</w:t>
      </w:r>
      <w:r>
        <w:rPr>
          <w:spacing w:val="37"/>
          <w:sz w:val="24"/>
        </w:rPr>
        <w:t> </w:t>
      </w:r>
      <w:r>
        <w:rPr>
          <w:sz w:val="24"/>
        </w:rPr>
        <w:t>of</w:t>
      </w:r>
      <w:r>
        <w:rPr>
          <w:spacing w:val="37"/>
          <w:sz w:val="24"/>
        </w:rPr>
        <w:t> </w:t>
      </w:r>
      <w:r>
        <w:rPr>
          <w:sz w:val="24"/>
        </w:rPr>
        <w:t>the</w:t>
      </w:r>
      <w:r>
        <w:rPr>
          <w:spacing w:val="37"/>
          <w:sz w:val="24"/>
        </w:rPr>
        <w:t> </w:t>
      </w:r>
      <w:r>
        <w:rPr>
          <w:sz w:val="24"/>
        </w:rPr>
        <w:t>Registrar-General,</w:t>
      </w:r>
      <w:r>
        <w:rPr>
          <w:spacing w:val="36"/>
          <w:sz w:val="24"/>
        </w:rPr>
        <w:t> </w:t>
      </w:r>
      <w:r>
        <w:rPr>
          <w:sz w:val="24"/>
        </w:rPr>
        <w:t>New </w:t>
      </w:r>
      <w:r>
        <w:rPr>
          <w:spacing w:val="-2"/>
          <w:sz w:val="24"/>
        </w:rPr>
        <w:t>Delhi.</w:t>
      </w:r>
    </w:p>
    <w:p>
      <w:pPr>
        <w:pStyle w:val="BodyText"/>
        <w:spacing w:before="3"/>
      </w:pPr>
    </w:p>
    <w:p>
      <w:pPr>
        <w:pStyle w:val="ListParagraph"/>
        <w:numPr>
          <w:ilvl w:val="0"/>
          <w:numId w:val="184"/>
        </w:numPr>
        <w:tabs>
          <w:tab w:pos="506" w:val="left" w:leader="none"/>
        </w:tabs>
        <w:spacing w:line="240" w:lineRule="auto" w:before="0" w:after="0"/>
        <w:ind w:left="160" w:right="496" w:firstLine="0"/>
        <w:jc w:val="left"/>
        <w:rPr>
          <w:sz w:val="24"/>
        </w:rPr>
      </w:pPr>
      <w:r>
        <w:rPr>
          <w:sz w:val="24"/>
        </w:rPr>
        <w:t>Dr.</w:t>
      </w:r>
      <w:r>
        <w:rPr>
          <w:spacing w:val="80"/>
          <w:sz w:val="24"/>
        </w:rPr>
        <w:t> </w:t>
      </w:r>
      <w:r>
        <w:rPr>
          <w:sz w:val="24"/>
        </w:rPr>
        <w:t>H.</w:t>
      </w:r>
      <w:r>
        <w:rPr>
          <w:spacing w:val="80"/>
          <w:sz w:val="24"/>
        </w:rPr>
        <w:t> </w:t>
      </w:r>
      <w:r>
        <w:rPr>
          <w:sz w:val="24"/>
        </w:rPr>
        <w:t>Webster,</w:t>
      </w:r>
      <w:r>
        <w:rPr>
          <w:spacing w:val="80"/>
          <w:sz w:val="24"/>
        </w:rPr>
        <w:t> </w:t>
      </w:r>
      <w:r>
        <w:rPr>
          <w:sz w:val="24"/>
        </w:rPr>
        <w:t>Columbia</w:t>
      </w:r>
      <w:r>
        <w:rPr>
          <w:spacing w:val="80"/>
          <w:sz w:val="24"/>
        </w:rPr>
        <w:t> </w:t>
      </w:r>
      <w:r>
        <w:rPr>
          <w:sz w:val="24"/>
        </w:rPr>
        <w:t>University</w:t>
      </w:r>
      <w:r>
        <w:rPr>
          <w:spacing w:val="80"/>
          <w:sz w:val="24"/>
        </w:rPr>
        <w:t> </w:t>
      </w:r>
      <w:r>
        <w:rPr>
          <w:sz w:val="24"/>
        </w:rPr>
        <w:t>Teachers'</w:t>
      </w:r>
      <w:r>
        <w:rPr>
          <w:spacing w:val="80"/>
          <w:sz w:val="24"/>
        </w:rPr>
        <w:t> </w:t>
      </w:r>
      <w:r>
        <w:rPr>
          <w:sz w:val="24"/>
        </w:rPr>
        <w:t>College</w:t>
      </w:r>
      <w:r>
        <w:rPr>
          <w:spacing w:val="80"/>
          <w:sz w:val="24"/>
        </w:rPr>
        <w:t> </w:t>
      </w:r>
      <w:r>
        <w:rPr>
          <w:sz w:val="24"/>
        </w:rPr>
        <w:t>Team</w:t>
      </w:r>
      <w:r>
        <w:rPr>
          <w:spacing w:val="80"/>
          <w:sz w:val="24"/>
        </w:rPr>
        <w:t> </w:t>
      </w:r>
      <w:r>
        <w:rPr>
          <w:sz w:val="24"/>
        </w:rPr>
        <w:t>working</w:t>
      </w:r>
      <w:r>
        <w:rPr>
          <w:spacing w:val="80"/>
          <w:sz w:val="24"/>
        </w:rPr>
        <w:t> </w:t>
      </w:r>
      <w:r>
        <w:rPr>
          <w:sz w:val="24"/>
        </w:rPr>
        <w:t>with</w:t>
      </w:r>
      <w:r>
        <w:rPr>
          <w:spacing w:val="40"/>
          <w:sz w:val="24"/>
        </w:rPr>
        <w:t> </w:t>
      </w:r>
      <w:r>
        <w:rPr>
          <w:sz w:val="24"/>
        </w:rPr>
        <w:t>N.C.E.R.T., New Delhi.</w:t>
      </w:r>
    </w:p>
    <w:p>
      <w:pPr>
        <w:pStyle w:val="BodyText"/>
        <w:spacing w:before="4"/>
      </w:pPr>
    </w:p>
    <w:p>
      <w:pPr>
        <w:pStyle w:val="ListParagraph"/>
        <w:numPr>
          <w:ilvl w:val="0"/>
          <w:numId w:val="184"/>
        </w:numPr>
        <w:tabs>
          <w:tab w:pos="470" w:val="left" w:leader="none"/>
        </w:tabs>
        <w:spacing w:line="240" w:lineRule="auto" w:before="0" w:after="0"/>
        <w:ind w:left="160" w:right="498" w:firstLine="0"/>
        <w:jc w:val="both"/>
        <w:rPr>
          <w:sz w:val="24"/>
        </w:rPr>
      </w:pPr>
      <w:r>
        <w:rPr>
          <w:sz w:val="24"/>
        </w:rPr>
        <w:t>Shri Gurbax Singh, Assistant Educational Adviser, Education Commission, New Delhi. Secretary</w:t>
      </w:r>
    </w:p>
    <w:p>
      <w:pPr>
        <w:pStyle w:val="BodyText"/>
        <w:spacing w:before="7"/>
      </w:pPr>
    </w:p>
    <w:p>
      <w:pPr>
        <w:pStyle w:val="Heading2"/>
      </w:pPr>
      <w:r>
        <w:rPr/>
        <w:t>AIV.16.</w:t>
      </w:r>
      <w:r>
        <w:rPr>
          <w:spacing w:val="-2"/>
        </w:rPr>
        <w:t> </w:t>
      </w:r>
      <w:r>
        <w:rPr/>
        <w:t>Working</w:t>
      </w:r>
      <w:r>
        <w:rPr>
          <w:spacing w:val="-1"/>
        </w:rPr>
        <w:t> </w:t>
      </w:r>
      <w:r>
        <w:rPr/>
        <w:t>Group</w:t>
      </w:r>
      <w:r>
        <w:rPr>
          <w:spacing w:val="-2"/>
        </w:rPr>
        <w:t> </w:t>
      </w:r>
      <w:r>
        <w:rPr/>
        <w:t>on Pre-Primary </w:t>
      </w:r>
      <w:r>
        <w:rPr>
          <w:spacing w:val="-2"/>
        </w:rPr>
        <w:t>Education</w:t>
      </w:r>
    </w:p>
    <w:p>
      <w:pPr>
        <w:pStyle w:val="BodyText"/>
        <w:spacing w:before="3"/>
        <w:rPr>
          <w:b/>
        </w:rPr>
      </w:pPr>
    </w:p>
    <w:p>
      <w:pPr>
        <w:pStyle w:val="ListParagraph"/>
        <w:numPr>
          <w:ilvl w:val="0"/>
          <w:numId w:val="185"/>
        </w:numPr>
        <w:tabs>
          <w:tab w:pos="399" w:val="left" w:leader="none"/>
        </w:tabs>
        <w:spacing w:line="240" w:lineRule="auto" w:before="0" w:after="0"/>
        <w:ind w:left="399" w:right="0" w:hanging="239"/>
        <w:jc w:val="both"/>
        <w:rPr>
          <w:sz w:val="24"/>
        </w:rPr>
      </w:pPr>
      <w:r>
        <w:rPr>
          <w:sz w:val="24"/>
        </w:rPr>
        <w:t>Miss</w:t>
      </w:r>
      <w:r>
        <w:rPr>
          <w:spacing w:val="-2"/>
          <w:sz w:val="24"/>
        </w:rPr>
        <w:t> </w:t>
      </w:r>
      <w:r>
        <w:rPr>
          <w:sz w:val="24"/>
        </w:rPr>
        <w:t>S.</w:t>
      </w:r>
      <w:r>
        <w:rPr>
          <w:spacing w:val="-1"/>
          <w:sz w:val="24"/>
        </w:rPr>
        <w:t> </w:t>
      </w:r>
      <w:r>
        <w:rPr>
          <w:sz w:val="24"/>
        </w:rPr>
        <w:t>Panandikar,</w:t>
      </w:r>
      <w:r>
        <w:rPr>
          <w:spacing w:val="-2"/>
          <w:sz w:val="24"/>
        </w:rPr>
        <w:t> </w:t>
      </w:r>
      <w:r>
        <w:rPr>
          <w:sz w:val="24"/>
        </w:rPr>
        <w:t>Member,</w:t>
      </w:r>
      <w:r>
        <w:rPr>
          <w:spacing w:val="-1"/>
          <w:sz w:val="24"/>
        </w:rPr>
        <w:t> </w:t>
      </w:r>
      <w:r>
        <w:rPr>
          <w:sz w:val="24"/>
        </w:rPr>
        <w:t>Education Commission,</w:t>
      </w:r>
      <w:r>
        <w:rPr>
          <w:spacing w:val="-1"/>
          <w:sz w:val="24"/>
        </w:rPr>
        <w:t> </w:t>
      </w:r>
      <w:r>
        <w:rPr>
          <w:sz w:val="24"/>
        </w:rPr>
        <w:t>New Delhi. </w:t>
      </w:r>
      <w:r>
        <w:rPr>
          <w:spacing w:val="-2"/>
          <w:sz w:val="24"/>
        </w:rPr>
        <w:t>Convener</w:t>
      </w:r>
    </w:p>
    <w:p>
      <w:pPr>
        <w:pStyle w:val="BodyText"/>
        <w:spacing w:before="2"/>
      </w:pPr>
    </w:p>
    <w:p>
      <w:pPr>
        <w:pStyle w:val="ListParagraph"/>
        <w:numPr>
          <w:ilvl w:val="0"/>
          <w:numId w:val="185"/>
        </w:numPr>
        <w:tabs>
          <w:tab w:pos="433" w:val="left" w:leader="none"/>
        </w:tabs>
        <w:spacing w:line="240" w:lineRule="auto" w:before="0" w:after="0"/>
        <w:ind w:left="160" w:right="499" w:firstLine="0"/>
        <w:jc w:val="both"/>
        <w:rPr>
          <w:sz w:val="24"/>
        </w:rPr>
      </w:pPr>
      <w:r>
        <w:rPr>
          <w:sz w:val="24"/>
        </w:rPr>
        <w:t>Smt. Bilquis Ghufran, Inspecting Officer, Central Social Welfare Board, Parliament Street, Jeevan Deep Building, New Delhi.</w:t>
      </w:r>
    </w:p>
    <w:p>
      <w:pPr>
        <w:pStyle w:val="BodyText"/>
        <w:spacing w:before="5"/>
      </w:pPr>
    </w:p>
    <w:p>
      <w:pPr>
        <w:pStyle w:val="ListParagraph"/>
        <w:numPr>
          <w:ilvl w:val="0"/>
          <w:numId w:val="185"/>
        </w:numPr>
        <w:tabs>
          <w:tab w:pos="457" w:val="left" w:leader="none"/>
        </w:tabs>
        <w:spacing w:line="240" w:lineRule="auto" w:before="0" w:after="0"/>
        <w:ind w:left="160" w:right="500" w:firstLine="0"/>
        <w:jc w:val="both"/>
        <w:rPr>
          <w:sz w:val="24"/>
        </w:rPr>
      </w:pPr>
      <w:r>
        <w:rPr>
          <w:sz w:val="24"/>
        </w:rPr>
        <w:t>Kumari L. Jesudian, Principal, Balar Kalvi Nilayam, 2, Ritherdon Road, Vepery, </w:t>
      </w:r>
      <w:r>
        <w:rPr>
          <w:spacing w:val="-2"/>
          <w:sz w:val="24"/>
        </w:rPr>
        <w:t>Madras.</w:t>
      </w:r>
    </w:p>
    <w:p>
      <w:pPr>
        <w:pStyle w:val="BodyText"/>
        <w:spacing w:before="4"/>
      </w:pPr>
    </w:p>
    <w:p>
      <w:pPr>
        <w:pStyle w:val="ListParagraph"/>
        <w:numPr>
          <w:ilvl w:val="0"/>
          <w:numId w:val="185"/>
        </w:numPr>
        <w:tabs>
          <w:tab w:pos="422" w:val="left" w:leader="none"/>
        </w:tabs>
        <w:spacing w:line="240" w:lineRule="auto" w:before="0" w:after="0"/>
        <w:ind w:left="160" w:right="498" w:firstLine="0"/>
        <w:jc w:val="both"/>
        <w:rPr>
          <w:sz w:val="24"/>
        </w:rPr>
      </w:pPr>
      <w:r>
        <w:rPr>
          <w:sz w:val="24"/>
        </w:rPr>
        <w:t>Mrs. Shalini Moghe, Principal, Montessori Training Institute, Bal Adhyapan Mandir, Pagnis Bag, Indore.</w:t>
      </w:r>
    </w:p>
    <w:p>
      <w:pPr>
        <w:pStyle w:val="BodyText"/>
        <w:spacing w:before="5"/>
      </w:pPr>
    </w:p>
    <w:p>
      <w:pPr>
        <w:pStyle w:val="ListParagraph"/>
        <w:numPr>
          <w:ilvl w:val="0"/>
          <w:numId w:val="185"/>
        </w:numPr>
        <w:tabs>
          <w:tab w:pos="399" w:val="left" w:leader="none"/>
        </w:tabs>
        <w:spacing w:line="240" w:lineRule="auto" w:before="0" w:after="0"/>
        <w:ind w:left="399" w:right="0" w:hanging="239"/>
        <w:jc w:val="both"/>
        <w:rPr>
          <w:sz w:val="24"/>
        </w:rPr>
      </w:pPr>
      <w:r>
        <w:rPr>
          <w:sz w:val="24"/>
        </w:rPr>
        <w:t>Shri</w:t>
      </w:r>
      <w:r>
        <w:rPr>
          <w:spacing w:val="-2"/>
          <w:sz w:val="24"/>
        </w:rPr>
        <w:t> </w:t>
      </w:r>
      <w:r>
        <w:rPr>
          <w:sz w:val="24"/>
        </w:rPr>
        <w:t>Shesh</w:t>
      </w:r>
      <w:r>
        <w:rPr>
          <w:spacing w:val="-1"/>
          <w:sz w:val="24"/>
        </w:rPr>
        <w:t> </w:t>
      </w:r>
      <w:r>
        <w:rPr>
          <w:sz w:val="24"/>
        </w:rPr>
        <w:t>Namle,</w:t>
      </w:r>
      <w:r>
        <w:rPr>
          <w:spacing w:val="-1"/>
          <w:sz w:val="24"/>
        </w:rPr>
        <w:t> </w:t>
      </w:r>
      <w:r>
        <w:rPr>
          <w:sz w:val="24"/>
        </w:rPr>
        <w:t>Shishu</w:t>
      </w:r>
      <w:r>
        <w:rPr>
          <w:spacing w:val="-1"/>
          <w:sz w:val="24"/>
        </w:rPr>
        <w:t> </w:t>
      </w:r>
      <w:r>
        <w:rPr>
          <w:sz w:val="24"/>
        </w:rPr>
        <w:t>Vihar,</w:t>
      </w:r>
      <w:r>
        <w:rPr>
          <w:spacing w:val="-1"/>
          <w:sz w:val="24"/>
        </w:rPr>
        <w:t> </w:t>
      </w:r>
      <w:r>
        <w:rPr>
          <w:sz w:val="24"/>
        </w:rPr>
        <w:t>118,</w:t>
      </w:r>
      <w:r>
        <w:rPr>
          <w:spacing w:val="-1"/>
          <w:sz w:val="24"/>
        </w:rPr>
        <w:t> </w:t>
      </w:r>
      <w:r>
        <w:rPr>
          <w:sz w:val="24"/>
        </w:rPr>
        <w:t>Hindu</w:t>
      </w:r>
      <w:r>
        <w:rPr>
          <w:spacing w:val="-1"/>
          <w:sz w:val="24"/>
        </w:rPr>
        <w:t> </w:t>
      </w:r>
      <w:r>
        <w:rPr>
          <w:sz w:val="24"/>
        </w:rPr>
        <w:t>Colony,</w:t>
      </w:r>
      <w:r>
        <w:rPr>
          <w:spacing w:val="-1"/>
          <w:sz w:val="24"/>
        </w:rPr>
        <w:t> </w:t>
      </w:r>
      <w:r>
        <w:rPr>
          <w:sz w:val="24"/>
        </w:rPr>
        <w:t>Dadar,</w:t>
      </w:r>
      <w:r>
        <w:rPr>
          <w:spacing w:val="-1"/>
          <w:sz w:val="24"/>
        </w:rPr>
        <w:t> </w:t>
      </w:r>
      <w:r>
        <w:rPr>
          <w:spacing w:val="-2"/>
          <w:sz w:val="24"/>
        </w:rPr>
        <w:t>Bombay.</w:t>
      </w:r>
    </w:p>
    <w:p>
      <w:pPr>
        <w:pStyle w:val="BodyText"/>
        <w:spacing w:before="3"/>
      </w:pPr>
    </w:p>
    <w:p>
      <w:pPr>
        <w:pStyle w:val="ListParagraph"/>
        <w:numPr>
          <w:ilvl w:val="0"/>
          <w:numId w:val="185"/>
        </w:numPr>
        <w:tabs>
          <w:tab w:pos="483" w:val="left" w:leader="none"/>
        </w:tabs>
        <w:spacing w:line="240" w:lineRule="auto" w:before="0" w:after="0"/>
        <w:ind w:left="159" w:right="496" w:firstLine="0"/>
        <w:jc w:val="both"/>
        <w:rPr>
          <w:sz w:val="24"/>
        </w:rPr>
      </w:pPr>
      <w:r>
        <w:rPr>
          <w:sz w:val="24"/>
        </w:rPr>
        <w:t>Shri M. C. Nanavatty, Director (Social Education), Department of Community Development, Ministry of Food, Agriculture, Community Development and Co- operation, New Delhi.</w:t>
      </w:r>
    </w:p>
    <w:p>
      <w:pPr>
        <w:pStyle w:val="BodyText"/>
        <w:spacing w:before="4"/>
      </w:pPr>
    </w:p>
    <w:p>
      <w:pPr>
        <w:pStyle w:val="ListParagraph"/>
        <w:numPr>
          <w:ilvl w:val="0"/>
          <w:numId w:val="185"/>
        </w:numPr>
        <w:tabs>
          <w:tab w:pos="406" w:val="left" w:leader="none"/>
        </w:tabs>
        <w:spacing w:line="240" w:lineRule="auto" w:before="0" w:after="0"/>
        <w:ind w:left="160" w:right="497" w:firstLine="0"/>
        <w:jc w:val="both"/>
        <w:rPr>
          <w:sz w:val="24"/>
        </w:rPr>
      </w:pPr>
      <w:r>
        <w:rPr>
          <w:sz w:val="24"/>
        </w:rPr>
        <w:t>Kumari A. Pakrashi, Principal, Chittaranjan Teachers Training Centre, 6, Nafar Kundu Road, Calcutta- 26.</w:t>
      </w:r>
    </w:p>
    <w:p>
      <w:pPr>
        <w:spacing w:after="0" w:line="240" w:lineRule="auto"/>
        <w:jc w:val="both"/>
        <w:rPr>
          <w:sz w:val="24"/>
        </w:rPr>
        <w:sectPr>
          <w:pgSz w:w="12240" w:h="15840"/>
          <w:pgMar w:header="0" w:footer="743" w:top="1360" w:bottom="940" w:left="1640" w:right="1300"/>
        </w:sectPr>
      </w:pPr>
    </w:p>
    <w:p>
      <w:pPr>
        <w:pStyle w:val="ListParagraph"/>
        <w:numPr>
          <w:ilvl w:val="0"/>
          <w:numId w:val="185"/>
        </w:numPr>
        <w:tabs>
          <w:tab w:pos="508" w:val="left" w:leader="none"/>
        </w:tabs>
        <w:spacing w:line="240" w:lineRule="auto" w:before="76" w:after="0"/>
        <w:ind w:left="160" w:right="498" w:firstLine="0"/>
        <w:jc w:val="both"/>
        <w:rPr>
          <w:sz w:val="24"/>
        </w:rPr>
      </w:pPr>
      <w:r>
        <w:rPr>
          <w:sz w:val="24"/>
        </w:rPr>
        <w:t>Smt. Grace Tucker, Deputy Minister of Education, Mysore, Vidhan Saudha, </w:t>
      </w:r>
      <w:r>
        <w:rPr>
          <w:spacing w:val="-2"/>
          <w:sz w:val="24"/>
        </w:rPr>
        <w:t>Bangalore.</w:t>
      </w:r>
    </w:p>
    <w:p>
      <w:pPr>
        <w:pStyle w:val="BodyText"/>
        <w:spacing w:before="4"/>
      </w:pPr>
    </w:p>
    <w:p>
      <w:pPr>
        <w:pStyle w:val="ListParagraph"/>
        <w:numPr>
          <w:ilvl w:val="0"/>
          <w:numId w:val="185"/>
        </w:numPr>
        <w:tabs>
          <w:tab w:pos="432" w:val="left" w:leader="none"/>
        </w:tabs>
        <w:spacing w:line="240" w:lineRule="auto" w:before="0" w:after="0"/>
        <w:ind w:left="160" w:right="496" w:firstLine="0"/>
        <w:jc w:val="both"/>
        <w:rPr>
          <w:sz w:val="24"/>
        </w:rPr>
      </w:pPr>
      <w:r>
        <w:rPr>
          <w:sz w:val="24"/>
        </w:rPr>
        <w:t>Kumari P. K. Varalakshmi, Technical Officer, Indian Council for Child Welfare, 4, Rouse Avenue, New Delhi-1.</w:t>
      </w:r>
    </w:p>
    <w:p>
      <w:pPr>
        <w:pStyle w:val="BodyText"/>
        <w:spacing w:before="5"/>
      </w:pPr>
    </w:p>
    <w:p>
      <w:pPr>
        <w:pStyle w:val="ListParagraph"/>
        <w:numPr>
          <w:ilvl w:val="0"/>
          <w:numId w:val="185"/>
        </w:numPr>
        <w:tabs>
          <w:tab w:pos="534" w:val="left" w:leader="none"/>
        </w:tabs>
        <w:spacing w:line="240" w:lineRule="auto" w:before="0" w:after="0"/>
        <w:ind w:left="160" w:right="497" w:firstLine="0"/>
        <w:jc w:val="both"/>
        <w:rPr>
          <w:sz w:val="24"/>
        </w:rPr>
      </w:pPr>
      <w:r>
        <w:rPr>
          <w:sz w:val="24"/>
        </w:rPr>
        <w:t>Smt. Amrita Varma, Dean, Home Science Faculty of Education, M. S. University of Baroda, Baroda.</w:t>
      </w:r>
    </w:p>
    <w:p>
      <w:pPr>
        <w:pStyle w:val="BodyText"/>
        <w:spacing w:before="3"/>
      </w:pPr>
    </w:p>
    <w:p>
      <w:pPr>
        <w:pStyle w:val="ListParagraph"/>
        <w:numPr>
          <w:ilvl w:val="0"/>
          <w:numId w:val="185"/>
        </w:numPr>
        <w:tabs>
          <w:tab w:pos="529" w:val="left" w:leader="none"/>
        </w:tabs>
        <w:spacing w:line="240" w:lineRule="auto" w:before="1" w:after="0"/>
        <w:ind w:left="159" w:right="498" w:firstLine="0"/>
        <w:jc w:val="both"/>
        <w:rPr>
          <w:sz w:val="24"/>
        </w:rPr>
      </w:pPr>
      <w:r>
        <w:rPr>
          <w:sz w:val="24"/>
        </w:rPr>
        <w:t>Dr. (Smt.) R. Muralidharan, Head, Department of Child Study Unit (N.C.E.R.T.), H- 2/6, Model Town, Delhi- 9. Secretary</w:t>
      </w:r>
    </w:p>
    <w:p>
      <w:pPr>
        <w:pStyle w:val="BodyText"/>
        <w:spacing w:before="6"/>
      </w:pPr>
    </w:p>
    <w:p>
      <w:pPr>
        <w:pStyle w:val="Heading2"/>
        <w:ind w:left="159"/>
      </w:pPr>
      <w:r>
        <w:rPr/>
        <w:t>AIV.17.</w:t>
      </w:r>
      <w:r>
        <w:rPr>
          <w:spacing w:val="-2"/>
        </w:rPr>
        <w:t> </w:t>
      </w:r>
      <w:r>
        <w:rPr/>
        <w:t>Working</w:t>
      </w:r>
      <w:r>
        <w:rPr>
          <w:spacing w:val="-1"/>
        </w:rPr>
        <w:t> </w:t>
      </w:r>
      <w:r>
        <w:rPr/>
        <w:t>Group</w:t>
      </w:r>
      <w:r>
        <w:rPr>
          <w:spacing w:val="-1"/>
        </w:rPr>
        <w:t> </w:t>
      </w:r>
      <w:r>
        <w:rPr/>
        <w:t>on</w:t>
      </w:r>
      <w:r>
        <w:rPr>
          <w:spacing w:val="-2"/>
        </w:rPr>
        <w:t> </w:t>
      </w:r>
      <w:r>
        <w:rPr/>
        <w:t>School</w:t>
      </w:r>
      <w:r>
        <w:rPr>
          <w:spacing w:val="-1"/>
        </w:rPr>
        <w:t> </w:t>
      </w:r>
      <w:r>
        <w:rPr/>
        <w:t>Community</w:t>
      </w:r>
      <w:r>
        <w:rPr>
          <w:spacing w:val="-1"/>
        </w:rPr>
        <w:t> </w:t>
      </w:r>
      <w:r>
        <w:rPr>
          <w:spacing w:val="-2"/>
        </w:rPr>
        <w:t>Relations</w:t>
      </w:r>
    </w:p>
    <w:p>
      <w:pPr>
        <w:pStyle w:val="BodyText"/>
        <w:spacing w:before="2"/>
        <w:rPr>
          <w:b/>
        </w:rPr>
      </w:pPr>
    </w:p>
    <w:p>
      <w:pPr>
        <w:pStyle w:val="ListParagraph"/>
        <w:numPr>
          <w:ilvl w:val="0"/>
          <w:numId w:val="186"/>
        </w:numPr>
        <w:tabs>
          <w:tab w:pos="399" w:val="left" w:leader="none"/>
        </w:tabs>
        <w:spacing w:line="240" w:lineRule="auto" w:before="0" w:after="0"/>
        <w:ind w:left="399" w:right="0" w:hanging="240"/>
        <w:jc w:val="both"/>
        <w:rPr>
          <w:sz w:val="24"/>
        </w:rPr>
      </w:pPr>
      <w:r>
        <w:rPr>
          <w:sz w:val="24"/>
        </w:rPr>
        <w:t>Shri</w:t>
      </w:r>
      <w:r>
        <w:rPr>
          <w:spacing w:val="-1"/>
          <w:sz w:val="24"/>
        </w:rPr>
        <w:t> </w:t>
      </w:r>
      <w:r>
        <w:rPr>
          <w:sz w:val="24"/>
        </w:rPr>
        <w:t>L. R. Desai, Vice-Chancellor,</w:t>
      </w:r>
      <w:r>
        <w:rPr>
          <w:spacing w:val="-1"/>
          <w:sz w:val="24"/>
        </w:rPr>
        <w:t> </w:t>
      </w:r>
      <w:r>
        <w:rPr>
          <w:sz w:val="24"/>
        </w:rPr>
        <w:t>Gujarat University, Ahmedabad. </w:t>
      </w:r>
      <w:r>
        <w:rPr>
          <w:spacing w:val="-2"/>
          <w:sz w:val="24"/>
        </w:rPr>
        <w:t>Convener</w:t>
      </w:r>
    </w:p>
    <w:p>
      <w:pPr>
        <w:pStyle w:val="BodyText"/>
        <w:spacing w:before="4"/>
      </w:pPr>
    </w:p>
    <w:p>
      <w:pPr>
        <w:pStyle w:val="ListParagraph"/>
        <w:numPr>
          <w:ilvl w:val="0"/>
          <w:numId w:val="186"/>
        </w:numPr>
        <w:tabs>
          <w:tab w:pos="449" w:val="left" w:leader="none"/>
        </w:tabs>
        <w:spacing w:line="240" w:lineRule="auto" w:before="0" w:after="0"/>
        <w:ind w:left="159" w:right="496" w:firstLine="0"/>
        <w:jc w:val="both"/>
        <w:rPr>
          <w:sz w:val="24"/>
        </w:rPr>
      </w:pPr>
      <w:r>
        <w:rPr>
          <w:sz w:val="24"/>
        </w:rPr>
        <w:t>Prof. Hulbe, Rural Life Development and Research Project, Ahmednagar College, </w:t>
      </w:r>
      <w:r>
        <w:rPr>
          <w:spacing w:val="-2"/>
          <w:sz w:val="24"/>
        </w:rPr>
        <w:t>Ahmednagar.</w:t>
      </w:r>
    </w:p>
    <w:p>
      <w:pPr>
        <w:pStyle w:val="BodyText"/>
        <w:spacing w:before="4"/>
      </w:pPr>
    </w:p>
    <w:p>
      <w:pPr>
        <w:pStyle w:val="ListParagraph"/>
        <w:numPr>
          <w:ilvl w:val="0"/>
          <w:numId w:val="186"/>
        </w:numPr>
        <w:tabs>
          <w:tab w:pos="399" w:val="left" w:leader="none"/>
        </w:tabs>
        <w:spacing w:line="240" w:lineRule="auto" w:before="1" w:after="0"/>
        <w:ind w:left="399" w:right="0" w:hanging="240"/>
        <w:jc w:val="both"/>
        <w:rPr>
          <w:sz w:val="24"/>
        </w:rPr>
      </w:pPr>
      <w:r>
        <w:rPr>
          <w:sz w:val="24"/>
        </w:rPr>
        <w:t>Dr.</w:t>
      </w:r>
      <w:r>
        <w:rPr>
          <w:spacing w:val="-1"/>
          <w:sz w:val="24"/>
        </w:rPr>
        <w:t> </w:t>
      </w:r>
      <w:r>
        <w:rPr>
          <w:sz w:val="24"/>
        </w:rPr>
        <w:t>V. S.</w:t>
      </w:r>
      <w:r>
        <w:rPr>
          <w:spacing w:val="-1"/>
          <w:sz w:val="24"/>
        </w:rPr>
        <w:t> </w:t>
      </w:r>
      <w:r>
        <w:rPr>
          <w:sz w:val="24"/>
        </w:rPr>
        <w:t>Jha, Member, Education</w:t>
      </w:r>
      <w:r>
        <w:rPr>
          <w:spacing w:val="-1"/>
          <w:sz w:val="24"/>
        </w:rPr>
        <w:t> </w:t>
      </w:r>
      <w:r>
        <w:rPr>
          <w:sz w:val="24"/>
        </w:rPr>
        <w:t>Commission, New </w:t>
      </w:r>
      <w:r>
        <w:rPr>
          <w:spacing w:val="-2"/>
          <w:sz w:val="24"/>
        </w:rPr>
        <w:t>Delhi.</w:t>
      </w:r>
    </w:p>
    <w:p>
      <w:pPr>
        <w:pStyle w:val="BodyText"/>
        <w:spacing w:before="3"/>
      </w:pPr>
    </w:p>
    <w:p>
      <w:pPr>
        <w:pStyle w:val="ListParagraph"/>
        <w:numPr>
          <w:ilvl w:val="0"/>
          <w:numId w:val="186"/>
        </w:numPr>
        <w:tabs>
          <w:tab w:pos="399" w:val="left" w:leader="none"/>
        </w:tabs>
        <w:spacing w:line="240" w:lineRule="auto" w:before="0" w:after="0"/>
        <w:ind w:left="399" w:right="0" w:hanging="240"/>
        <w:jc w:val="both"/>
        <w:rPr>
          <w:sz w:val="24"/>
        </w:rPr>
      </w:pPr>
      <w:r>
        <w:rPr>
          <w:sz w:val="24"/>
        </w:rPr>
        <w:t>Shri</w:t>
      </w:r>
      <w:r>
        <w:rPr>
          <w:spacing w:val="-1"/>
          <w:sz w:val="24"/>
        </w:rPr>
        <w:t> </w:t>
      </w:r>
      <w:r>
        <w:rPr>
          <w:sz w:val="24"/>
        </w:rPr>
        <w:t>H.</w:t>
      </w:r>
      <w:r>
        <w:rPr>
          <w:spacing w:val="-1"/>
          <w:sz w:val="24"/>
        </w:rPr>
        <w:t> </w:t>
      </w:r>
      <w:r>
        <w:rPr>
          <w:sz w:val="24"/>
        </w:rPr>
        <w:t>B. Majumder,</w:t>
      </w:r>
      <w:r>
        <w:rPr>
          <w:spacing w:val="-1"/>
          <w:sz w:val="24"/>
        </w:rPr>
        <w:t> </w:t>
      </w:r>
      <w:r>
        <w:rPr>
          <w:sz w:val="24"/>
        </w:rPr>
        <w:t>Director,</w:t>
      </w:r>
      <w:r>
        <w:rPr>
          <w:spacing w:val="-1"/>
          <w:sz w:val="24"/>
        </w:rPr>
        <w:t> </w:t>
      </w:r>
      <w:r>
        <w:rPr>
          <w:sz w:val="24"/>
        </w:rPr>
        <w:t>National</w:t>
      </w:r>
      <w:r>
        <w:rPr>
          <w:spacing w:val="-1"/>
          <w:sz w:val="24"/>
        </w:rPr>
        <w:t> </w:t>
      </w:r>
      <w:r>
        <w:rPr>
          <w:sz w:val="24"/>
        </w:rPr>
        <w:t>Institute</w:t>
      </w:r>
      <w:r>
        <w:rPr>
          <w:spacing w:val="-2"/>
          <w:sz w:val="24"/>
        </w:rPr>
        <w:t> </w:t>
      </w:r>
      <w:r>
        <w:rPr>
          <w:sz w:val="24"/>
        </w:rPr>
        <w:t>of</w:t>
      </w:r>
      <w:r>
        <w:rPr>
          <w:spacing w:val="-2"/>
          <w:sz w:val="24"/>
        </w:rPr>
        <w:t> </w:t>
      </w:r>
      <w:r>
        <w:rPr>
          <w:sz w:val="24"/>
        </w:rPr>
        <w:t>Basic</w:t>
      </w:r>
      <w:r>
        <w:rPr>
          <w:spacing w:val="-1"/>
          <w:sz w:val="24"/>
        </w:rPr>
        <w:t> </w:t>
      </w:r>
      <w:r>
        <w:rPr>
          <w:sz w:val="24"/>
        </w:rPr>
        <w:t>Education,</w:t>
      </w:r>
      <w:r>
        <w:rPr>
          <w:spacing w:val="-2"/>
          <w:sz w:val="24"/>
        </w:rPr>
        <w:t> </w:t>
      </w:r>
      <w:r>
        <w:rPr>
          <w:sz w:val="24"/>
        </w:rPr>
        <w:t>New</w:t>
      </w:r>
      <w:r>
        <w:rPr>
          <w:spacing w:val="-1"/>
          <w:sz w:val="24"/>
        </w:rPr>
        <w:t> </w:t>
      </w:r>
      <w:r>
        <w:rPr>
          <w:spacing w:val="-2"/>
          <w:sz w:val="24"/>
        </w:rPr>
        <w:t>Delhi.</w:t>
      </w:r>
    </w:p>
    <w:p>
      <w:pPr>
        <w:pStyle w:val="BodyText"/>
        <w:spacing w:before="5"/>
      </w:pPr>
    </w:p>
    <w:p>
      <w:pPr>
        <w:pStyle w:val="ListParagraph"/>
        <w:numPr>
          <w:ilvl w:val="0"/>
          <w:numId w:val="186"/>
        </w:numPr>
        <w:tabs>
          <w:tab w:pos="399" w:val="left" w:leader="none"/>
        </w:tabs>
        <w:spacing w:line="240" w:lineRule="auto" w:before="0" w:after="0"/>
        <w:ind w:left="399" w:right="0" w:hanging="240"/>
        <w:jc w:val="both"/>
        <w:rPr>
          <w:sz w:val="24"/>
        </w:rPr>
      </w:pPr>
      <w:r>
        <w:rPr>
          <w:sz w:val="24"/>
        </w:rPr>
        <w:t>Shri</w:t>
      </w:r>
      <w:r>
        <w:rPr>
          <w:spacing w:val="-5"/>
          <w:sz w:val="24"/>
        </w:rPr>
        <w:t> </w:t>
      </w:r>
      <w:r>
        <w:rPr>
          <w:sz w:val="24"/>
        </w:rPr>
        <w:t>P.</w:t>
      </w:r>
      <w:r>
        <w:rPr>
          <w:spacing w:val="-3"/>
          <w:sz w:val="24"/>
        </w:rPr>
        <w:t> </w:t>
      </w:r>
      <w:r>
        <w:rPr>
          <w:sz w:val="24"/>
        </w:rPr>
        <w:t>N.</w:t>
      </w:r>
      <w:r>
        <w:rPr>
          <w:spacing w:val="-3"/>
          <w:sz w:val="24"/>
        </w:rPr>
        <w:t> </w:t>
      </w:r>
      <w:r>
        <w:rPr>
          <w:sz w:val="24"/>
        </w:rPr>
        <w:t>Mathur,</w:t>
      </w:r>
      <w:r>
        <w:rPr>
          <w:spacing w:val="-3"/>
          <w:sz w:val="24"/>
        </w:rPr>
        <w:t> </w:t>
      </w:r>
      <w:r>
        <w:rPr>
          <w:sz w:val="24"/>
        </w:rPr>
        <w:t>Banasthali</w:t>
      </w:r>
      <w:r>
        <w:rPr>
          <w:spacing w:val="-4"/>
          <w:sz w:val="24"/>
        </w:rPr>
        <w:t> </w:t>
      </w:r>
      <w:r>
        <w:rPr>
          <w:sz w:val="24"/>
        </w:rPr>
        <w:t>Vidyapeeth,</w:t>
      </w:r>
      <w:r>
        <w:rPr>
          <w:spacing w:val="-4"/>
          <w:sz w:val="24"/>
        </w:rPr>
        <w:t> </w:t>
      </w:r>
      <w:r>
        <w:rPr>
          <w:sz w:val="24"/>
        </w:rPr>
        <w:t>Banasthali,</w:t>
      </w:r>
      <w:r>
        <w:rPr>
          <w:spacing w:val="-3"/>
          <w:sz w:val="24"/>
        </w:rPr>
        <w:t> </w:t>
      </w:r>
      <w:r>
        <w:rPr>
          <w:spacing w:val="-2"/>
          <w:sz w:val="24"/>
        </w:rPr>
        <w:t>Jaipur.</w:t>
      </w:r>
    </w:p>
    <w:p>
      <w:pPr>
        <w:pStyle w:val="BodyText"/>
        <w:spacing w:before="4"/>
      </w:pPr>
    </w:p>
    <w:p>
      <w:pPr>
        <w:pStyle w:val="ListParagraph"/>
        <w:numPr>
          <w:ilvl w:val="0"/>
          <w:numId w:val="186"/>
        </w:numPr>
        <w:tabs>
          <w:tab w:pos="398" w:val="left" w:leader="none"/>
        </w:tabs>
        <w:spacing w:line="240" w:lineRule="auto" w:before="0" w:after="0"/>
        <w:ind w:left="398" w:right="0" w:hanging="239"/>
        <w:jc w:val="both"/>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86"/>
        </w:numPr>
        <w:tabs>
          <w:tab w:pos="483" w:val="left" w:leader="none"/>
        </w:tabs>
        <w:spacing w:line="240" w:lineRule="auto" w:before="0" w:after="0"/>
        <w:ind w:left="159" w:right="496" w:firstLine="0"/>
        <w:jc w:val="both"/>
        <w:rPr>
          <w:sz w:val="24"/>
        </w:rPr>
      </w:pPr>
      <w:r>
        <w:rPr>
          <w:sz w:val="24"/>
        </w:rPr>
        <w:t>Shri M. C. Nanavatty, Director (Social Education), Department of Community Development, Ministry of Food, Agriculture, Community Development and Co- operation, New Delhi.</w:t>
      </w:r>
    </w:p>
    <w:p>
      <w:pPr>
        <w:pStyle w:val="BodyText"/>
        <w:spacing w:before="6"/>
      </w:pPr>
    </w:p>
    <w:p>
      <w:pPr>
        <w:pStyle w:val="ListParagraph"/>
        <w:numPr>
          <w:ilvl w:val="0"/>
          <w:numId w:val="186"/>
        </w:numPr>
        <w:tabs>
          <w:tab w:pos="399" w:val="left" w:leader="none"/>
        </w:tabs>
        <w:spacing w:line="240" w:lineRule="auto" w:before="0" w:after="0"/>
        <w:ind w:left="399" w:right="0" w:hanging="240"/>
        <w:jc w:val="both"/>
        <w:rPr>
          <w:sz w:val="24"/>
        </w:rPr>
      </w:pPr>
      <w:r>
        <w:rPr>
          <w:sz w:val="24"/>
        </w:rPr>
        <w:t>Shri</w:t>
      </w:r>
      <w:r>
        <w:rPr>
          <w:spacing w:val="-3"/>
          <w:sz w:val="24"/>
        </w:rPr>
        <w:t> </w:t>
      </w:r>
      <w:r>
        <w:rPr>
          <w:sz w:val="24"/>
        </w:rPr>
        <w:t>H.</w:t>
      </w:r>
      <w:r>
        <w:rPr>
          <w:spacing w:val="-2"/>
          <w:sz w:val="24"/>
        </w:rPr>
        <w:t> </w:t>
      </w:r>
      <w:r>
        <w:rPr>
          <w:sz w:val="24"/>
        </w:rPr>
        <w:t>Radhakrishna,</w:t>
      </w:r>
      <w:r>
        <w:rPr>
          <w:spacing w:val="-2"/>
          <w:sz w:val="24"/>
        </w:rPr>
        <w:t> </w:t>
      </w:r>
      <w:r>
        <w:rPr>
          <w:sz w:val="24"/>
        </w:rPr>
        <w:t>Sarva</w:t>
      </w:r>
      <w:r>
        <w:rPr>
          <w:spacing w:val="-3"/>
          <w:sz w:val="24"/>
        </w:rPr>
        <w:t> </w:t>
      </w:r>
      <w:r>
        <w:rPr>
          <w:sz w:val="24"/>
        </w:rPr>
        <w:t>Seva</w:t>
      </w:r>
      <w:r>
        <w:rPr>
          <w:spacing w:val="-3"/>
          <w:sz w:val="24"/>
        </w:rPr>
        <w:t> </w:t>
      </w:r>
      <w:r>
        <w:rPr>
          <w:sz w:val="24"/>
        </w:rPr>
        <w:t>Sangh,</w:t>
      </w:r>
      <w:r>
        <w:rPr>
          <w:spacing w:val="-3"/>
          <w:sz w:val="24"/>
        </w:rPr>
        <w:t> </w:t>
      </w:r>
      <w:r>
        <w:rPr>
          <w:sz w:val="24"/>
        </w:rPr>
        <w:t>Rajghat,</w:t>
      </w:r>
      <w:r>
        <w:rPr>
          <w:spacing w:val="-3"/>
          <w:sz w:val="24"/>
        </w:rPr>
        <w:t> </w:t>
      </w:r>
      <w:r>
        <w:rPr>
          <w:spacing w:val="-2"/>
          <w:sz w:val="24"/>
        </w:rPr>
        <w:t>Varanasi.</w:t>
      </w:r>
    </w:p>
    <w:p>
      <w:pPr>
        <w:pStyle w:val="BodyText"/>
        <w:spacing w:before="4"/>
      </w:pPr>
    </w:p>
    <w:p>
      <w:pPr>
        <w:pStyle w:val="ListParagraph"/>
        <w:numPr>
          <w:ilvl w:val="0"/>
          <w:numId w:val="186"/>
        </w:numPr>
        <w:tabs>
          <w:tab w:pos="399" w:val="left" w:leader="none"/>
        </w:tabs>
        <w:spacing w:line="240" w:lineRule="auto" w:before="0" w:after="0"/>
        <w:ind w:left="399" w:right="0" w:hanging="240"/>
        <w:jc w:val="both"/>
        <w:rPr>
          <w:sz w:val="24"/>
        </w:rPr>
      </w:pPr>
      <w:r>
        <w:rPr>
          <w:sz w:val="24"/>
        </w:rPr>
        <w:t>Dr.</w:t>
      </w:r>
      <w:r>
        <w:rPr>
          <w:spacing w:val="-1"/>
          <w:sz w:val="24"/>
        </w:rPr>
        <w:t> </w:t>
      </w:r>
      <w:r>
        <w:rPr>
          <w:sz w:val="24"/>
        </w:rPr>
        <w:t>K. G. Saiyidain, Member,</w:t>
      </w:r>
      <w:r>
        <w:rPr>
          <w:spacing w:val="-2"/>
          <w:sz w:val="24"/>
        </w:rPr>
        <w:t> </w:t>
      </w:r>
      <w:r>
        <w:rPr>
          <w:sz w:val="24"/>
        </w:rPr>
        <w:t>Education Commission, New </w:t>
      </w:r>
      <w:r>
        <w:rPr>
          <w:spacing w:val="-2"/>
          <w:sz w:val="24"/>
        </w:rPr>
        <w:t>Delhi.</w:t>
      </w:r>
    </w:p>
    <w:p>
      <w:pPr>
        <w:pStyle w:val="BodyText"/>
        <w:spacing w:before="3"/>
      </w:pPr>
    </w:p>
    <w:p>
      <w:pPr>
        <w:pStyle w:val="ListParagraph"/>
        <w:numPr>
          <w:ilvl w:val="0"/>
          <w:numId w:val="186"/>
        </w:numPr>
        <w:tabs>
          <w:tab w:pos="519" w:val="left" w:leader="none"/>
        </w:tabs>
        <w:spacing w:line="240" w:lineRule="auto" w:before="1" w:after="0"/>
        <w:ind w:left="519" w:right="0" w:hanging="360"/>
        <w:jc w:val="both"/>
        <w:rPr>
          <w:sz w:val="24"/>
        </w:rPr>
      </w:pPr>
      <w:r>
        <w:rPr>
          <w:sz w:val="24"/>
        </w:rPr>
        <w:t>Dr. R. K. Singh, Director, Rural</w:t>
      </w:r>
      <w:r>
        <w:rPr>
          <w:spacing w:val="-2"/>
          <w:sz w:val="24"/>
        </w:rPr>
        <w:t> </w:t>
      </w:r>
      <w:r>
        <w:rPr>
          <w:sz w:val="24"/>
        </w:rPr>
        <w:t>Higher Institute, Bichpuri, </w:t>
      </w:r>
      <w:r>
        <w:rPr>
          <w:spacing w:val="-2"/>
          <w:sz w:val="24"/>
        </w:rPr>
        <w:t>Agra.</w:t>
      </w:r>
    </w:p>
    <w:p>
      <w:pPr>
        <w:pStyle w:val="BodyText"/>
        <w:spacing w:before="3"/>
      </w:pPr>
    </w:p>
    <w:p>
      <w:pPr>
        <w:pStyle w:val="ListParagraph"/>
        <w:numPr>
          <w:ilvl w:val="0"/>
          <w:numId w:val="186"/>
        </w:numPr>
        <w:tabs>
          <w:tab w:pos="579" w:val="left" w:leader="none"/>
        </w:tabs>
        <w:spacing w:line="240" w:lineRule="auto" w:before="0" w:after="0"/>
        <w:ind w:left="159" w:right="500" w:firstLine="0"/>
        <w:jc w:val="both"/>
        <w:rPr>
          <w:sz w:val="24"/>
        </w:rPr>
      </w:pPr>
      <w:r>
        <w:rPr>
          <w:sz w:val="24"/>
        </w:rPr>
        <w:t>Shri M. P. Balakrishnan, Research Officer, Education Commission, New Delhi. </w:t>
      </w:r>
      <w:r>
        <w:rPr>
          <w:spacing w:val="-2"/>
          <w:sz w:val="24"/>
        </w:rPr>
        <w:t>Secretary</w:t>
      </w:r>
    </w:p>
    <w:p>
      <w:pPr>
        <w:pStyle w:val="BodyText"/>
        <w:spacing w:before="6"/>
      </w:pPr>
    </w:p>
    <w:p>
      <w:pPr>
        <w:pStyle w:val="Heading2"/>
        <w:ind w:left="159"/>
      </w:pPr>
      <w:r>
        <w:rPr/>
        <w:t>AIV.18.</w:t>
      </w:r>
      <w:r>
        <w:rPr>
          <w:spacing w:val="-2"/>
        </w:rPr>
        <w:t> </w:t>
      </w:r>
      <w:r>
        <w:rPr/>
        <w:t>Working</w:t>
      </w:r>
      <w:r>
        <w:rPr>
          <w:spacing w:val="-1"/>
        </w:rPr>
        <w:t> </w:t>
      </w:r>
      <w:r>
        <w:rPr/>
        <w:t>Group</w:t>
      </w:r>
      <w:r>
        <w:rPr>
          <w:spacing w:val="-2"/>
        </w:rPr>
        <w:t> </w:t>
      </w:r>
      <w:r>
        <w:rPr/>
        <w:t>on</w:t>
      </w:r>
      <w:r>
        <w:rPr>
          <w:spacing w:val="-1"/>
        </w:rPr>
        <w:t> </w:t>
      </w:r>
      <w:r>
        <w:rPr/>
        <w:t>School</w:t>
      </w:r>
      <w:r>
        <w:rPr>
          <w:spacing w:val="-1"/>
        </w:rPr>
        <w:t> </w:t>
      </w:r>
      <w:r>
        <w:rPr>
          <w:spacing w:val="-2"/>
        </w:rPr>
        <w:t>Curriculum</w:t>
      </w:r>
    </w:p>
    <w:p>
      <w:pPr>
        <w:pStyle w:val="BodyText"/>
        <w:spacing w:before="3"/>
        <w:rPr>
          <w:b/>
        </w:rPr>
      </w:pPr>
    </w:p>
    <w:p>
      <w:pPr>
        <w:pStyle w:val="ListParagraph"/>
        <w:numPr>
          <w:ilvl w:val="0"/>
          <w:numId w:val="187"/>
        </w:numPr>
        <w:tabs>
          <w:tab w:pos="398" w:val="left" w:leader="none"/>
        </w:tabs>
        <w:spacing w:line="240" w:lineRule="auto" w:before="0" w:after="0"/>
        <w:ind w:left="398" w:right="0" w:hanging="239"/>
        <w:jc w:val="both"/>
        <w:rPr>
          <w:sz w:val="24"/>
        </w:rPr>
      </w:pPr>
      <w:r>
        <w:rPr>
          <w:sz w:val="24"/>
        </w:rPr>
        <w:t>Miss</w:t>
      </w:r>
      <w:r>
        <w:rPr>
          <w:spacing w:val="-2"/>
          <w:sz w:val="24"/>
        </w:rPr>
        <w:t> </w:t>
      </w:r>
      <w:r>
        <w:rPr>
          <w:sz w:val="24"/>
        </w:rPr>
        <w:t>S.</w:t>
      </w:r>
      <w:r>
        <w:rPr>
          <w:spacing w:val="-1"/>
          <w:sz w:val="24"/>
        </w:rPr>
        <w:t> </w:t>
      </w:r>
      <w:r>
        <w:rPr>
          <w:sz w:val="24"/>
        </w:rPr>
        <w:t>Panandikar,</w:t>
      </w:r>
      <w:r>
        <w:rPr>
          <w:spacing w:val="-2"/>
          <w:sz w:val="24"/>
        </w:rPr>
        <w:t> </w:t>
      </w:r>
      <w:r>
        <w:rPr>
          <w:sz w:val="24"/>
        </w:rPr>
        <w:t>Member,</w:t>
      </w:r>
      <w:r>
        <w:rPr>
          <w:spacing w:val="-1"/>
          <w:sz w:val="24"/>
        </w:rPr>
        <w:t> </w:t>
      </w:r>
      <w:r>
        <w:rPr>
          <w:sz w:val="24"/>
        </w:rPr>
        <w:t>Education Commission,</w:t>
      </w:r>
      <w:r>
        <w:rPr>
          <w:spacing w:val="-1"/>
          <w:sz w:val="24"/>
        </w:rPr>
        <w:t> </w:t>
      </w:r>
      <w:r>
        <w:rPr>
          <w:sz w:val="24"/>
        </w:rPr>
        <w:t>New Delhi. </w:t>
      </w:r>
      <w:r>
        <w:rPr>
          <w:spacing w:val="-2"/>
          <w:sz w:val="24"/>
        </w:rPr>
        <w:t>Convener</w:t>
      </w:r>
    </w:p>
    <w:p>
      <w:pPr>
        <w:pStyle w:val="BodyText"/>
        <w:spacing w:before="3"/>
      </w:pPr>
    </w:p>
    <w:p>
      <w:pPr>
        <w:pStyle w:val="ListParagraph"/>
        <w:numPr>
          <w:ilvl w:val="0"/>
          <w:numId w:val="187"/>
        </w:numPr>
        <w:tabs>
          <w:tab w:pos="398" w:val="left" w:leader="none"/>
        </w:tabs>
        <w:spacing w:line="240" w:lineRule="auto" w:before="0" w:after="0"/>
        <w:ind w:left="398" w:right="0" w:hanging="239"/>
        <w:jc w:val="both"/>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spacing w:after="0" w:line="240" w:lineRule="auto"/>
        <w:jc w:val="both"/>
        <w:rPr>
          <w:sz w:val="24"/>
        </w:rPr>
        <w:sectPr>
          <w:pgSz w:w="12240" w:h="15840"/>
          <w:pgMar w:header="0" w:footer="743" w:top="1360" w:bottom="940" w:left="1640" w:right="1300"/>
        </w:sectPr>
      </w:pPr>
    </w:p>
    <w:p>
      <w:pPr>
        <w:pStyle w:val="ListParagraph"/>
        <w:numPr>
          <w:ilvl w:val="0"/>
          <w:numId w:val="187"/>
        </w:numPr>
        <w:tabs>
          <w:tab w:pos="400" w:val="left" w:leader="none"/>
        </w:tabs>
        <w:spacing w:line="240" w:lineRule="auto" w:before="78" w:after="0"/>
        <w:ind w:left="400" w:right="0" w:hanging="240"/>
        <w:jc w:val="left"/>
        <w:rPr>
          <w:sz w:val="24"/>
        </w:rPr>
      </w:pPr>
      <w:r>
        <w:rPr>
          <w:sz w:val="24"/>
        </w:rPr>
        <w:t>Shri</w:t>
      </w:r>
      <w:r>
        <w:rPr>
          <w:spacing w:val="-1"/>
          <w:sz w:val="24"/>
        </w:rPr>
        <w:t> </w:t>
      </w:r>
      <w:r>
        <w:rPr>
          <w:sz w:val="24"/>
        </w:rPr>
        <w:t>A. R. Dawood, Member,</w:t>
      </w:r>
      <w:r>
        <w:rPr>
          <w:spacing w:val="-1"/>
          <w:sz w:val="24"/>
        </w:rPr>
        <w:t> </w:t>
      </w:r>
      <w:r>
        <w:rPr>
          <w:sz w:val="24"/>
        </w:rPr>
        <w:t>Education</w:t>
      </w:r>
      <w:r>
        <w:rPr>
          <w:spacing w:val="-1"/>
          <w:sz w:val="24"/>
        </w:rPr>
        <w:t> </w:t>
      </w:r>
      <w:r>
        <w:rPr>
          <w:sz w:val="24"/>
        </w:rPr>
        <w:t>Commission,</w:t>
      </w:r>
      <w:r>
        <w:rPr>
          <w:spacing w:val="-1"/>
          <w:sz w:val="24"/>
        </w:rPr>
        <w:t> </w:t>
      </w:r>
      <w:r>
        <w:rPr>
          <w:sz w:val="24"/>
        </w:rPr>
        <w:t>New</w:t>
      </w:r>
      <w:r>
        <w:rPr>
          <w:spacing w:val="-1"/>
          <w:sz w:val="24"/>
        </w:rPr>
        <w:t> </w:t>
      </w:r>
      <w:r>
        <w:rPr>
          <w:spacing w:val="-2"/>
          <w:sz w:val="24"/>
        </w:rPr>
        <w:t>Delhi.</w:t>
      </w:r>
    </w:p>
    <w:p>
      <w:pPr>
        <w:pStyle w:val="BodyText"/>
        <w:spacing w:before="2"/>
      </w:pPr>
    </w:p>
    <w:p>
      <w:pPr>
        <w:pStyle w:val="ListParagraph"/>
        <w:numPr>
          <w:ilvl w:val="0"/>
          <w:numId w:val="187"/>
        </w:numPr>
        <w:tabs>
          <w:tab w:pos="415" w:val="left" w:leader="none"/>
        </w:tabs>
        <w:spacing w:line="240" w:lineRule="auto" w:before="0" w:after="0"/>
        <w:ind w:left="160" w:right="498" w:firstLine="0"/>
        <w:jc w:val="left"/>
        <w:rPr>
          <w:sz w:val="24"/>
        </w:rPr>
      </w:pPr>
      <w:r>
        <w:rPr>
          <w:sz w:val="24"/>
        </w:rPr>
        <w:t>Shri L. S. Chandrakant, joint Director, National Council of Educational Research and Training, New Delhi.</w:t>
      </w:r>
    </w:p>
    <w:p>
      <w:pPr>
        <w:pStyle w:val="BodyText"/>
        <w:spacing w:before="5"/>
      </w:pPr>
    </w:p>
    <w:p>
      <w:pPr>
        <w:pStyle w:val="ListParagraph"/>
        <w:numPr>
          <w:ilvl w:val="0"/>
          <w:numId w:val="187"/>
        </w:numPr>
        <w:tabs>
          <w:tab w:pos="431" w:val="left" w:leader="none"/>
        </w:tabs>
        <w:spacing w:line="240" w:lineRule="auto" w:before="0" w:after="0"/>
        <w:ind w:left="160" w:right="496" w:firstLine="0"/>
        <w:jc w:val="left"/>
        <w:rPr>
          <w:sz w:val="24"/>
        </w:rPr>
      </w:pPr>
      <w:r>
        <w:rPr>
          <w:sz w:val="24"/>
        </w:rPr>
        <w:t>Dr.</w:t>
      </w:r>
      <w:r>
        <w:rPr>
          <w:spacing w:val="27"/>
          <w:sz w:val="24"/>
        </w:rPr>
        <w:t> </w:t>
      </w:r>
      <w:r>
        <w:rPr>
          <w:sz w:val="24"/>
        </w:rPr>
        <w:t>A.</w:t>
      </w:r>
      <w:r>
        <w:rPr>
          <w:spacing w:val="27"/>
          <w:sz w:val="24"/>
        </w:rPr>
        <w:t> </w:t>
      </w:r>
      <w:r>
        <w:rPr>
          <w:sz w:val="24"/>
        </w:rPr>
        <w:t>J.</w:t>
      </w:r>
      <w:r>
        <w:rPr>
          <w:spacing w:val="27"/>
          <w:sz w:val="24"/>
        </w:rPr>
        <w:t> </w:t>
      </w:r>
      <w:r>
        <w:rPr>
          <w:sz w:val="24"/>
        </w:rPr>
        <w:t>Perrelli,</w:t>
      </w:r>
      <w:r>
        <w:rPr>
          <w:spacing w:val="27"/>
          <w:sz w:val="24"/>
        </w:rPr>
        <w:t> </w:t>
      </w:r>
      <w:r>
        <w:rPr>
          <w:sz w:val="24"/>
        </w:rPr>
        <w:t>Specialist</w:t>
      </w:r>
      <w:r>
        <w:rPr>
          <w:spacing w:val="27"/>
          <w:sz w:val="24"/>
        </w:rPr>
        <w:t> </w:t>
      </w:r>
      <w:r>
        <w:rPr>
          <w:sz w:val="24"/>
        </w:rPr>
        <w:t>in</w:t>
      </w:r>
      <w:r>
        <w:rPr>
          <w:spacing w:val="27"/>
          <w:sz w:val="24"/>
        </w:rPr>
        <w:t> </w:t>
      </w:r>
      <w:r>
        <w:rPr>
          <w:sz w:val="24"/>
        </w:rPr>
        <w:t>Social</w:t>
      </w:r>
      <w:r>
        <w:rPr>
          <w:spacing w:val="27"/>
          <w:sz w:val="24"/>
        </w:rPr>
        <w:t> </w:t>
      </w:r>
      <w:r>
        <w:rPr>
          <w:sz w:val="24"/>
        </w:rPr>
        <w:t>Studies</w:t>
      </w:r>
      <w:r>
        <w:rPr>
          <w:spacing w:val="27"/>
          <w:sz w:val="24"/>
        </w:rPr>
        <w:t> </w:t>
      </w:r>
      <w:r>
        <w:rPr>
          <w:sz w:val="24"/>
        </w:rPr>
        <w:t>and</w:t>
      </w:r>
      <w:r>
        <w:rPr>
          <w:spacing w:val="27"/>
          <w:sz w:val="24"/>
        </w:rPr>
        <w:t> </w:t>
      </w:r>
      <w:r>
        <w:rPr>
          <w:sz w:val="24"/>
        </w:rPr>
        <w:t>Curriculum,</w:t>
      </w:r>
      <w:r>
        <w:rPr>
          <w:spacing w:val="27"/>
          <w:sz w:val="24"/>
        </w:rPr>
        <w:t> </w:t>
      </w:r>
      <w:r>
        <w:rPr>
          <w:sz w:val="24"/>
        </w:rPr>
        <w:t>Columbia</w:t>
      </w:r>
      <w:r>
        <w:rPr>
          <w:spacing w:val="27"/>
          <w:sz w:val="24"/>
        </w:rPr>
        <w:t> </w:t>
      </w:r>
      <w:r>
        <w:rPr>
          <w:sz w:val="24"/>
        </w:rPr>
        <w:t>University Teachers College Team in India, N.C.E.R.T., New Delhi.</w:t>
      </w:r>
    </w:p>
    <w:p>
      <w:pPr>
        <w:pStyle w:val="BodyText"/>
        <w:spacing w:before="3"/>
      </w:pPr>
    </w:p>
    <w:p>
      <w:pPr>
        <w:pStyle w:val="ListParagraph"/>
        <w:numPr>
          <w:ilvl w:val="0"/>
          <w:numId w:val="187"/>
        </w:numPr>
        <w:tabs>
          <w:tab w:pos="486" w:val="left" w:leader="none"/>
        </w:tabs>
        <w:spacing w:line="240" w:lineRule="auto" w:before="1" w:after="0"/>
        <w:ind w:left="160" w:right="498" w:firstLine="0"/>
        <w:jc w:val="left"/>
        <w:rPr>
          <w:sz w:val="24"/>
        </w:rPr>
      </w:pPr>
      <w:r>
        <w:rPr>
          <w:sz w:val="24"/>
        </w:rPr>
        <w:t>Prof.</w:t>
      </w:r>
      <w:r>
        <w:rPr>
          <w:spacing w:val="80"/>
          <w:sz w:val="24"/>
        </w:rPr>
        <w:t> </w:t>
      </w:r>
      <w:r>
        <w:rPr>
          <w:sz w:val="24"/>
        </w:rPr>
        <w:t>B.</w:t>
      </w:r>
      <w:r>
        <w:rPr>
          <w:spacing w:val="80"/>
          <w:sz w:val="24"/>
        </w:rPr>
        <w:t> </w:t>
      </w:r>
      <w:r>
        <w:rPr>
          <w:sz w:val="24"/>
        </w:rPr>
        <w:t>Ghosh,</w:t>
      </w:r>
      <w:r>
        <w:rPr>
          <w:spacing w:val="80"/>
          <w:sz w:val="24"/>
        </w:rPr>
        <w:t> </w:t>
      </w:r>
      <w:r>
        <w:rPr>
          <w:sz w:val="24"/>
        </w:rPr>
        <w:t>Director,</w:t>
      </w:r>
      <w:r>
        <w:rPr>
          <w:spacing w:val="80"/>
          <w:sz w:val="24"/>
        </w:rPr>
        <w:t> </w:t>
      </w:r>
      <w:r>
        <w:rPr>
          <w:sz w:val="24"/>
        </w:rPr>
        <w:t>Department</w:t>
      </w:r>
      <w:r>
        <w:rPr>
          <w:spacing w:val="80"/>
          <w:sz w:val="24"/>
        </w:rPr>
        <w:t> </w:t>
      </w:r>
      <w:r>
        <w:rPr>
          <w:sz w:val="24"/>
        </w:rPr>
        <w:t>of</w:t>
      </w:r>
      <w:r>
        <w:rPr>
          <w:spacing w:val="80"/>
          <w:sz w:val="24"/>
        </w:rPr>
        <w:t> </w:t>
      </w:r>
      <w:r>
        <w:rPr>
          <w:sz w:val="24"/>
        </w:rPr>
        <w:t>Curriculum,</w:t>
      </w:r>
      <w:r>
        <w:rPr>
          <w:spacing w:val="80"/>
          <w:sz w:val="24"/>
        </w:rPr>
        <w:t> </w:t>
      </w:r>
      <w:r>
        <w:rPr>
          <w:sz w:val="24"/>
        </w:rPr>
        <w:t>Methods</w:t>
      </w:r>
      <w:r>
        <w:rPr>
          <w:spacing w:val="80"/>
          <w:sz w:val="24"/>
        </w:rPr>
        <w:t> </w:t>
      </w:r>
      <w:r>
        <w:rPr>
          <w:sz w:val="24"/>
        </w:rPr>
        <w:t>and</w:t>
      </w:r>
      <w:r>
        <w:rPr>
          <w:spacing w:val="80"/>
          <w:sz w:val="24"/>
        </w:rPr>
        <w:t> </w:t>
      </w:r>
      <w:r>
        <w:rPr>
          <w:sz w:val="24"/>
        </w:rPr>
        <w:t>Textbooks, N.C.E.R.T., New Delhi. Secretary</w:t>
      </w:r>
    </w:p>
    <w:p>
      <w:pPr>
        <w:pStyle w:val="BodyText"/>
        <w:spacing w:before="6"/>
      </w:pPr>
    </w:p>
    <w:p>
      <w:pPr>
        <w:pStyle w:val="Heading2"/>
      </w:pPr>
      <w:r>
        <w:rPr/>
        <w:t>AIV.19.</w:t>
      </w:r>
      <w:r>
        <w:rPr>
          <w:spacing w:val="-2"/>
        </w:rPr>
        <w:t> </w:t>
      </w:r>
      <w:r>
        <w:rPr/>
        <w:t>Working</w:t>
      </w:r>
      <w:r>
        <w:rPr>
          <w:spacing w:val="-1"/>
        </w:rPr>
        <w:t> </w:t>
      </w:r>
      <w:r>
        <w:rPr/>
        <w:t>Group</w:t>
      </w:r>
      <w:r>
        <w:rPr>
          <w:spacing w:val="-2"/>
        </w:rPr>
        <w:t> </w:t>
      </w:r>
      <w:r>
        <w:rPr/>
        <w:t>on</w:t>
      </w:r>
      <w:r>
        <w:rPr>
          <w:spacing w:val="-1"/>
        </w:rPr>
        <w:t> </w:t>
      </w:r>
      <w:r>
        <w:rPr/>
        <w:t>Women's</w:t>
      </w:r>
      <w:r>
        <w:rPr>
          <w:spacing w:val="-1"/>
        </w:rPr>
        <w:t> </w:t>
      </w:r>
      <w:r>
        <w:rPr>
          <w:spacing w:val="-2"/>
        </w:rPr>
        <w:t>Education</w:t>
      </w:r>
    </w:p>
    <w:p>
      <w:pPr>
        <w:pStyle w:val="BodyText"/>
        <w:spacing w:before="2"/>
        <w:rPr>
          <w:b/>
        </w:rPr>
      </w:pPr>
    </w:p>
    <w:p>
      <w:pPr>
        <w:pStyle w:val="ListParagraph"/>
        <w:numPr>
          <w:ilvl w:val="0"/>
          <w:numId w:val="188"/>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D.</w:t>
      </w:r>
      <w:r>
        <w:rPr>
          <w:spacing w:val="-1"/>
          <w:sz w:val="24"/>
        </w:rPr>
        <w:t> </w:t>
      </w:r>
      <w:r>
        <w:rPr>
          <w:sz w:val="24"/>
        </w:rPr>
        <w:t>S. Kothari,</w:t>
      </w:r>
      <w:r>
        <w:rPr>
          <w:spacing w:val="-1"/>
          <w:sz w:val="24"/>
        </w:rPr>
        <w:t> </w:t>
      </w:r>
      <w:r>
        <w:rPr>
          <w:sz w:val="24"/>
        </w:rPr>
        <w:t>Chairman, Education</w:t>
      </w:r>
      <w:r>
        <w:rPr>
          <w:spacing w:val="-1"/>
          <w:sz w:val="24"/>
        </w:rPr>
        <w:t> </w:t>
      </w:r>
      <w:r>
        <w:rPr>
          <w:sz w:val="24"/>
        </w:rPr>
        <w:t>Commission, New</w:t>
      </w:r>
      <w:r>
        <w:rPr>
          <w:spacing w:val="-1"/>
          <w:sz w:val="24"/>
        </w:rPr>
        <w:t> </w:t>
      </w:r>
      <w:r>
        <w:rPr>
          <w:sz w:val="24"/>
        </w:rPr>
        <w:t>Delhi. </w:t>
      </w:r>
      <w:r>
        <w:rPr>
          <w:spacing w:val="-2"/>
          <w:sz w:val="24"/>
        </w:rPr>
        <w:t>Convener</w:t>
      </w:r>
    </w:p>
    <w:p>
      <w:pPr>
        <w:pStyle w:val="BodyText"/>
        <w:spacing w:before="5"/>
      </w:pPr>
    </w:p>
    <w:p>
      <w:pPr>
        <w:pStyle w:val="ListParagraph"/>
        <w:numPr>
          <w:ilvl w:val="0"/>
          <w:numId w:val="188"/>
        </w:numPr>
        <w:tabs>
          <w:tab w:pos="399" w:val="left" w:leader="none"/>
        </w:tabs>
        <w:spacing w:line="240" w:lineRule="auto" w:before="0" w:after="0"/>
        <w:ind w:left="399" w:right="0" w:hanging="240"/>
        <w:jc w:val="left"/>
        <w:rPr>
          <w:sz w:val="24"/>
        </w:rPr>
      </w:pPr>
      <w:r>
        <w:rPr>
          <w:sz w:val="24"/>
        </w:rPr>
        <w:t>Smt.</w:t>
      </w:r>
      <w:r>
        <w:rPr>
          <w:spacing w:val="-1"/>
          <w:sz w:val="24"/>
        </w:rPr>
        <w:t> </w:t>
      </w:r>
      <w:r>
        <w:rPr>
          <w:sz w:val="24"/>
        </w:rPr>
        <w:t>Durgabai</w:t>
      </w:r>
      <w:r>
        <w:rPr>
          <w:spacing w:val="-1"/>
          <w:sz w:val="24"/>
        </w:rPr>
        <w:t> </w:t>
      </w:r>
      <w:r>
        <w:rPr>
          <w:sz w:val="24"/>
        </w:rPr>
        <w:t>Deshmukh, Vice-Chancellor's</w:t>
      </w:r>
      <w:r>
        <w:rPr>
          <w:spacing w:val="-1"/>
          <w:sz w:val="24"/>
        </w:rPr>
        <w:t> </w:t>
      </w:r>
      <w:r>
        <w:rPr>
          <w:sz w:val="24"/>
        </w:rPr>
        <w:t>Residence,</w:t>
      </w:r>
      <w:r>
        <w:rPr>
          <w:spacing w:val="-2"/>
          <w:sz w:val="24"/>
        </w:rPr>
        <w:t> </w:t>
      </w:r>
      <w:r>
        <w:rPr>
          <w:sz w:val="24"/>
        </w:rPr>
        <w:t>University</w:t>
      </w:r>
      <w:r>
        <w:rPr>
          <w:spacing w:val="-1"/>
          <w:sz w:val="24"/>
        </w:rPr>
        <w:t> </w:t>
      </w:r>
      <w:r>
        <w:rPr>
          <w:sz w:val="24"/>
        </w:rPr>
        <w:t>of</w:t>
      </w:r>
      <w:r>
        <w:rPr>
          <w:spacing w:val="-2"/>
          <w:sz w:val="24"/>
        </w:rPr>
        <w:t> </w:t>
      </w:r>
      <w:r>
        <w:rPr>
          <w:sz w:val="24"/>
        </w:rPr>
        <w:t>Delhi,</w:t>
      </w:r>
      <w:r>
        <w:rPr>
          <w:spacing w:val="-1"/>
          <w:sz w:val="24"/>
        </w:rPr>
        <w:t> </w:t>
      </w:r>
      <w:r>
        <w:rPr>
          <w:spacing w:val="-2"/>
          <w:sz w:val="24"/>
        </w:rPr>
        <w:t>Delhi.</w:t>
      </w:r>
    </w:p>
    <w:p>
      <w:pPr>
        <w:pStyle w:val="BodyText"/>
        <w:spacing w:before="3"/>
      </w:pPr>
    </w:p>
    <w:p>
      <w:pPr>
        <w:pStyle w:val="ListParagraph"/>
        <w:numPr>
          <w:ilvl w:val="0"/>
          <w:numId w:val="188"/>
        </w:numPr>
        <w:tabs>
          <w:tab w:pos="400" w:val="left" w:leader="none"/>
        </w:tabs>
        <w:spacing w:line="240" w:lineRule="auto" w:before="1" w:after="0"/>
        <w:ind w:left="400" w:right="0" w:hanging="240"/>
        <w:jc w:val="left"/>
        <w:rPr>
          <w:sz w:val="24"/>
        </w:rPr>
      </w:pPr>
      <w:r>
        <w:rPr>
          <w:sz w:val="24"/>
        </w:rPr>
        <w:t>Smt.</w:t>
      </w:r>
      <w:r>
        <w:rPr>
          <w:spacing w:val="-1"/>
          <w:sz w:val="24"/>
        </w:rPr>
        <w:t> </w:t>
      </w:r>
      <w:r>
        <w:rPr>
          <w:sz w:val="24"/>
        </w:rPr>
        <w:t>Rajammal Devadas,</w:t>
      </w:r>
      <w:r>
        <w:rPr>
          <w:spacing w:val="-1"/>
          <w:sz w:val="24"/>
        </w:rPr>
        <w:t> </w:t>
      </w:r>
      <w:r>
        <w:rPr>
          <w:sz w:val="24"/>
        </w:rPr>
        <w:t>Principal, Home</w:t>
      </w:r>
      <w:r>
        <w:rPr>
          <w:spacing w:val="-1"/>
          <w:sz w:val="24"/>
        </w:rPr>
        <w:t> </w:t>
      </w:r>
      <w:r>
        <w:rPr>
          <w:sz w:val="24"/>
        </w:rPr>
        <w:t>Science College, </w:t>
      </w:r>
      <w:r>
        <w:rPr>
          <w:spacing w:val="-2"/>
          <w:sz w:val="24"/>
        </w:rPr>
        <w:t>Coimbatore.</w:t>
      </w:r>
    </w:p>
    <w:p>
      <w:pPr>
        <w:pStyle w:val="BodyText"/>
        <w:spacing w:before="3"/>
      </w:pPr>
    </w:p>
    <w:p>
      <w:pPr>
        <w:pStyle w:val="ListParagraph"/>
        <w:numPr>
          <w:ilvl w:val="0"/>
          <w:numId w:val="188"/>
        </w:numPr>
        <w:tabs>
          <w:tab w:pos="400" w:val="left" w:leader="none"/>
        </w:tabs>
        <w:spacing w:line="240" w:lineRule="auto" w:before="0" w:after="0"/>
        <w:ind w:left="400" w:right="0" w:hanging="240"/>
        <w:jc w:val="left"/>
        <w:rPr>
          <w:sz w:val="24"/>
        </w:rPr>
      </w:pPr>
      <w:r>
        <w:rPr>
          <w:sz w:val="24"/>
        </w:rPr>
        <w:t>Shri</w:t>
      </w:r>
      <w:r>
        <w:rPr>
          <w:spacing w:val="-5"/>
          <w:sz w:val="24"/>
        </w:rPr>
        <w:t> </w:t>
      </w:r>
      <w:r>
        <w:rPr>
          <w:sz w:val="24"/>
        </w:rPr>
        <w:t>P.</w:t>
      </w:r>
      <w:r>
        <w:rPr>
          <w:spacing w:val="-3"/>
          <w:sz w:val="24"/>
        </w:rPr>
        <w:t> </w:t>
      </w:r>
      <w:r>
        <w:rPr>
          <w:sz w:val="24"/>
        </w:rPr>
        <w:t>N.</w:t>
      </w:r>
      <w:r>
        <w:rPr>
          <w:spacing w:val="-3"/>
          <w:sz w:val="24"/>
        </w:rPr>
        <w:t> </w:t>
      </w:r>
      <w:r>
        <w:rPr>
          <w:sz w:val="24"/>
        </w:rPr>
        <w:t>Mathur,</w:t>
      </w:r>
      <w:r>
        <w:rPr>
          <w:spacing w:val="-3"/>
          <w:sz w:val="24"/>
        </w:rPr>
        <w:t> </w:t>
      </w:r>
      <w:r>
        <w:rPr>
          <w:sz w:val="24"/>
        </w:rPr>
        <w:t>Banasthali</w:t>
      </w:r>
      <w:r>
        <w:rPr>
          <w:spacing w:val="-4"/>
          <w:sz w:val="24"/>
        </w:rPr>
        <w:t> </w:t>
      </w:r>
      <w:r>
        <w:rPr>
          <w:sz w:val="24"/>
        </w:rPr>
        <w:t>Vidyapeeth,</w:t>
      </w:r>
      <w:r>
        <w:rPr>
          <w:spacing w:val="-4"/>
          <w:sz w:val="24"/>
        </w:rPr>
        <w:t> </w:t>
      </w:r>
      <w:r>
        <w:rPr>
          <w:sz w:val="24"/>
        </w:rPr>
        <w:t>Banasthali,</w:t>
      </w:r>
      <w:r>
        <w:rPr>
          <w:spacing w:val="-3"/>
          <w:sz w:val="24"/>
        </w:rPr>
        <w:t> </w:t>
      </w:r>
      <w:r>
        <w:rPr>
          <w:spacing w:val="-2"/>
          <w:sz w:val="24"/>
        </w:rPr>
        <w:t>Jaipur.</w:t>
      </w:r>
    </w:p>
    <w:p>
      <w:pPr>
        <w:pStyle w:val="BodyText"/>
        <w:spacing w:before="5"/>
      </w:pPr>
    </w:p>
    <w:p>
      <w:pPr>
        <w:pStyle w:val="ListParagraph"/>
        <w:numPr>
          <w:ilvl w:val="0"/>
          <w:numId w:val="188"/>
        </w:numPr>
        <w:tabs>
          <w:tab w:pos="399" w:val="left" w:leader="none"/>
        </w:tabs>
        <w:spacing w:line="240" w:lineRule="auto" w:before="0" w:after="0"/>
        <w:ind w:left="399" w:right="0" w:hanging="239"/>
        <w:jc w:val="left"/>
        <w:rPr>
          <w:sz w:val="24"/>
        </w:rPr>
      </w:pPr>
      <w:r>
        <w:rPr>
          <w:sz w:val="24"/>
        </w:rPr>
        <w:t>Shri</w:t>
      </w:r>
      <w:r>
        <w:rPr>
          <w:spacing w:val="-2"/>
          <w:sz w:val="24"/>
        </w:rPr>
        <w:t> </w:t>
      </w:r>
      <w:r>
        <w:rPr>
          <w:sz w:val="24"/>
        </w:rPr>
        <w:t>J.</w:t>
      </w:r>
      <w:r>
        <w:rPr>
          <w:spacing w:val="-1"/>
          <w:sz w:val="24"/>
        </w:rPr>
        <w:t> </w:t>
      </w:r>
      <w:r>
        <w:rPr>
          <w:sz w:val="24"/>
        </w:rPr>
        <w:t>P.</w:t>
      </w:r>
      <w:r>
        <w:rPr>
          <w:spacing w:val="-2"/>
          <w:sz w:val="24"/>
        </w:rPr>
        <w:t> </w:t>
      </w:r>
      <w:r>
        <w:rPr>
          <w:sz w:val="24"/>
        </w:rPr>
        <w:t>Naik,</w:t>
      </w:r>
      <w:r>
        <w:rPr>
          <w:spacing w:val="-1"/>
          <w:sz w:val="24"/>
        </w:rPr>
        <w:t> </w:t>
      </w:r>
      <w:r>
        <w:rPr>
          <w:sz w:val="24"/>
        </w:rPr>
        <w:t>Member-Secretary,</w:t>
      </w:r>
      <w:r>
        <w:rPr>
          <w:spacing w:val="-2"/>
          <w:sz w:val="24"/>
        </w:rPr>
        <w:t> </w:t>
      </w:r>
      <w:r>
        <w:rPr>
          <w:sz w:val="24"/>
        </w:rPr>
        <w:t>Education</w:t>
      </w:r>
      <w:r>
        <w:rPr>
          <w:spacing w:val="-1"/>
          <w:sz w:val="24"/>
        </w:rPr>
        <w:t> </w:t>
      </w:r>
      <w:r>
        <w:rPr>
          <w:sz w:val="24"/>
        </w:rPr>
        <w:t>Commission,</w:t>
      </w:r>
      <w:r>
        <w:rPr>
          <w:spacing w:val="-2"/>
          <w:sz w:val="24"/>
        </w:rPr>
        <w:t> </w:t>
      </w:r>
      <w:r>
        <w:rPr>
          <w:sz w:val="24"/>
        </w:rPr>
        <w:t>New</w:t>
      </w:r>
      <w:r>
        <w:rPr>
          <w:spacing w:val="-1"/>
          <w:sz w:val="24"/>
        </w:rPr>
        <w:t> </w:t>
      </w:r>
      <w:r>
        <w:rPr>
          <w:spacing w:val="-2"/>
          <w:sz w:val="24"/>
        </w:rPr>
        <w:t>Delhi.</w:t>
      </w:r>
    </w:p>
    <w:p>
      <w:pPr>
        <w:pStyle w:val="BodyText"/>
        <w:spacing w:before="4"/>
      </w:pPr>
    </w:p>
    <w:p>
      <w:pPr>
        <w:pStyle w:val="ListParagraph"/>
        <w:numPr>
          <w:ilvl w:val="0"/>
          <w:numId w:val="188"/>
        </w:numPr>
        <w:tabs>
          <w:tab w:pos="399" w:val="left" w:leader="none"/>
        </w:tabs>
        <w:spacing w:line="240" w:lineRule="auto" w:before="0" w:after="0"/>
        <w:ind w:left="399" w:right="0" w:hanging="239"/>
        <w:jc w:val="left"/>
        <w:rPr>
          <w:sz w:val="24"/>
        </w:rPr>
      </w:pPr>
      <w:r>
        <w:rPr>
          <w:sz w:val="24"/>
        </w:rPr>
        <w:t>Miss</w:t>
      </w:r>
      <w:r>
        <w:rPr>
          <w:spacing w:val="-6"/>
          <w:sz w:val="24"/>
        </w:rPr>
        <w:t> </w:t>
      </w:r>
      <w:r>
        <w:rPr>
          <w:sz w:val="24"/>
        </w:rPr>
        <w:t>S.</w:t>
      </w:r>
      <w:r>
        <w:rPr>
          <w:spacing w:val="-4"/>
          <w:sz w:val="24"/>
        </w:rPr>
        <w:t> </w:t>
      </w:r>
      <w:r>
        <w:rPr>
          <w:sz w:val="24"/>
        </w:rPr>
        <w:t>Panandikar,</w:t>
      </w:r>
      <w:r>
        <w:rPr>
          <w:spacing w:val="-4"/>
          <w:sz w:val="24"/>
        </w:rPr>
        <w:t> </w:t>
      </w:r>
      <w:r>
        <w:rPr>
          <w:sz w:val="24"/>
        </w:rPr>
        <w:t>Member,</w:t>
      </w:r>
      <w:r>
        <w:rPr>
          <w:spacing w:val="-4"/>
          <w:sz w:val="24"/>
        </w:rPr>
        <w:t> </w:t>
      </w:r>
      <w:r>
        <w:rPr>
          <w:sz w:val="24"/>
        </w:rPr>
        <w:t>Education</w:t>
      </w:r>
      <w:r>
        <w:rPr>
          <w:spacing w:val="-4"/>
          <w:sz w:val="24"/>
        </w:rPr>
        <w:t> </w:t>
      </w:r>
      <w:r>
        <w:rPr>
          <w:sz w:val="24"/>
        </w:rPr>
        <w:t>Commission,</w:t>
      </w:r>
      <w:r>
        <w:rPr>
          <w:spacing w:val="-4"/>
          <w:sz w:val="24"/>
        </w:rPr>
        <w:t> </w:t>
      </w:r>
      <w:r>
        <w:rPr>
          <w:sz w:val="24"/>
        </w:rPr>
        <w:t>New</w:t>
      </w:r>
      <w:r>
        <w:rPr>
          <w:spacing w:val="-3"/>
          <w:sz w:val="24"/>
        </w:rPr>
        <w:t> </w:t>
      </w:r>
      <w:r>
        <w:rPr>
          <w:spacing w:val="-2"/>
          <w:sz w:val="24"/>
        </w:rPr>
        <w:t>Delhi.</w:t>
      </w:r>
    </w:p>
    <w:p>
      <w:pPr>
        <w:pStyle w:val="BodyText"/>
        <w:spacing w:before="3"/>
      </w:pPr>
    </w:p>
    <w:p>
      <w:pPr>
        <w:pStyle w:val="ListParagraph"/>
        <w:numPr>
          <w:ilvl w:val="0"/>
          <w:numId w:val="188"/>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K. G. Saiyidain, Member,</w:t>
      </w:r>
      <w:r>
        <w:rPr>
          <w:spacing w:val="-2"/>
          <w:sz w:val="24"/>
        </w:rPr>
        <w:t> </w:t>
      </w:r>
      <w:r>
        <w:rPr>
          <w:sz w:val="24"/>
        </w:rPr>
        <w:t>Education Commission, New </w:t>
      </w:r>
      <w:r>
        <w:rPr>
          <w:spacing w:val="-2"/>
          <w:sz w:val="24"/>
        </w:rPr>
        <w:t>Delhi.</w:t>
      </w:r>
    </w:p>
    <w:p>
      <w:pPr>
        <w:pStyle w:val="BodyText"/>
        <w:spacing w:before="4"/>
      </w:pPr>
    </w:p>
    <w:p>
      <w:pPr>
        <w:pStyle w:val="ListParagraph"/>
        <w:numPr>
          <w:ilvl w:val="0"/>
          <w:numId w:val="188"/>
        </w:numPr>
        <w:tabs>
          <w:tab w:pos="413" w:val="left" w:leader="none"/>
        </w:tabs>
        <w:spacing w:line="240" w:lineRule="auto" w:before="0" w:after="0"/>
        <w:ind w:left="160" w:right="497" w:firstLine="0"/>
        <w:jc w:val="left"/>
        <w:rPr>
          <w:sz w:val="24"/>
        </w:rPr>
      </w:pPr>
      <w:r>
        <w:rPr>
          <w:sz w:val="24"/>
        </w:rPr>
        <w:t>Smt. Raksha Saran, Chairman, National Council for Women's Education, 6, Bhagwan Das Road, New Delhi.</w:t>
      </w:r>
    </w:p>
    <w:p>
      <w:pPr>
        <w:pStyle w:val="BodyText"/>
        <w:spacing w:before="5"/>
      </w:pPr>
    </w:p>
    <w:p>
      <w:pPr>
        <w:pStyle w:val="ListParagraph"/>
        <w:numPr>
          <w:ilvl w:val="0"/>
          <w:numId w:val="188"/>
        </w:numPr>
        <w:tabs>
          <w:tab w:pos="400" w:val="left" w:leader="none"/>
        </w:tabs>
        <w:spacing w:line="240" w:lineRule="auto" w:before="0" w:after="0"/>
        <w:ind w:left="400" w:right="0" w:hanging="240"/>
        <w:jc w:val="left"/>
        <w:rPr>
          <w:sz w:val="24"/>
        </w:rPr>
      </w:pPr>
      <w:r>
        <w:rPr>
          <w:sz w:val="24"/>
        </w:rPr>
        <w:t>Dr.</w:t>
      </w:r>
      <w:r>
        <w:rPr>
          <w:spacing w:val="-1"/>
          <w:sz w:val="24"/>
        </w:rPr>
        <w:t> </w:t>
      </w:r>
      <w:r>
        <w:rPr>
          <w:sz w:val="24"/>
        </w:rPr>
        <w:t>Premlila</w:t>
      </w:r>
      <w:r>
        <w:rPr>
          <w:spacing w:val="-1"/>
          <w:sz w:val="24"/>
        </w:rPr>
        <w:t> </w:t>
      </w:r>
      <w:r>
        <w:rPr>
          <w:sz w:val="24"/>
        </w:rPr>
        <w:t>V.</w:t>
      </w:r>
      <w:r>
        <w:rPr>
          <w:spacing w:val="-1"/>
          <w:sz w:val="24"/>
        </w:rPr>
        <w:t> </w:t>
      </w:r>
      <w:r>
        <w:rPr>
          <w:sz w:val="24"/>
        </w:rPr>
        <w:t>Thackersey,</w:t>
      </w:r>
      <w:r>
        <w:rPr>
          <w:spacing w:val="-1"/>
          <w:sz w:val="24"/>
        </w:rPr>
        <w:t> </w:t>
      </w:r>
      <w:r>
        <w:rPr>
          <w:sz w:val="24"/>
        </w:rPr>
        <w:t>Vice-Chancellor,</w:t>
      </w:r>
      <w:r>
        <w:rPr>
          <w:spacing w:val="-3"/>
          <w:sz w:val="24"/>
        </w:rPr>
        <w:t> </w:t>
      </w:r>
      <w:r>
        <w:rPr>
          <w:sz w:val="24"/>
        </w:rPr>
        <w:t>S.N.D.T.</w:t>
      </w:r>
      <w:r>
        <w:rPr>
          <w:spacing w:val="-1"/>
          <w:sz w:val="24"/>
        </w:rPr>
        <w:t> </w:t>
      </w:r>
      <w:r>
        <w:rPr>
          <w:sz w:val="24"/>
        </w:rPr>
        <w:t>Women's</w:t>
      </w:r>
      <w:r>
        <w:rPr>
          <w:spacing w:val="-1"/>
          <w:sz w:val="24"/>
        </w:rPr>
        <w:t> </w:t>
      </w:r>
      <w:r>
        <w:rPr>
          <w:sz w:val="24"/>
        </w:rPr>
        <w:t>University, </w:t>
      </w:r>
      <w:r>
        <w:rPr>
          <w:spacing w:val="-2"/>
          <w:sz w:val="24"/>
        </w:rPr>
        <w:t>Bombay.</w:t>
      </w:r>
    </w:p>
    <w:p>
      <w:pPr>
        <w:pStyle w:val="BodyText"/>
        <w:spacing w:before="2"/>
      </w:pPr>
    </w:p>
    <w:p>
      <w:pPr>
        <w:pStyle w:val="ListParagraph"/>
        <w:numPr>
          <w:ilvl w:val="0"/>
          <w:numId w:val="188"/>
        </w:numPr>
        <w:tabs>
          <w:tab w:pos="551" w:val="left" w:leader="none"/>
        </w:tabs>
        <w:spacing w:line="240" w:lineRule="auto" w:before="0" w:after="0"/>
        <w:ind w:left="159" w:right="499" w:firstLine="0"/>
        <w:jc w:val="left"/>
        <w:rPr>
          <w:sz w:val="24"/>
        </w:rPr>
      </w:pPr>
      <w:r>
        <w:rPr>
          <w:sz w:val="24"/>
        </w:rPr>
        <w:t>Miss S. Rajan, Assistant Educational Adviser, Education Commission, New Delhi.</w:t>
      </w:r>
      <w:r>
        <w:rPr>
          <w:spacing w:val="40"/>
          <w:sz w:val="24"/>
        </w:rPr>
        <w:t> </w:t>
      </w:r>
      <w:r>
        <w:rPr>
          <w:spacing w:val="-2"/>
          <w:sz w:val="24"/>
        </w:rPr>
        <w:t>Secretary</w:t>
      </w:r>
    </w:p>
    <w:sectPr>
      <w:pgSz w:w="12240" w:h="15840"/>
      <w:pgMar w:header="0" w:footer="743" w:top="1360" w:bottom="940" w:left="16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urier New">
    <w:altName w:val="Courier New"/>
    <w:charset w:val="1"/>
    <w:family w:val="modern"/>
    <w:pitch w:val="default"/>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7360">
              <wp:simplePos x="0" y="0"/>
              <wp:positionH relativeFrom="page">
                <wp:posOffset>3657589</wp:posOffset>
              </wp:positionH>
              <wp:positionV relativeFrom="page">
                <wp:posOffset>9446744</wp:posOffset>
              </wp:positionV>
              <wp:extent cx="469900" cy="1701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69900" cy="170180"/>
                      </a:xfrm>
                      <a:prstGeom prst="rect">
                        <a:avLst/>
                      </a:prstGeom>
                    </wps:spPr>
                    <wps:txbx>
                      <w:txbxContent>
                        <w:p>
                          <w:pPr>
                            <w:spacing w:before="20"/>
                            <w:ind w:left="60" w:right="0" w:firstLine="0"/>
                            <w:jc w:val="left"/>
                            <w:rPr>
                              <w:rFonts w:ascii="Courier New"/>
                              <w:sz w:val="20"/>
                            </w:rPr>
                          </w:pPr>
                          <w:r>
                            <w:rPr>
                              <w:rFonts w:ascii="Courier New"/>
                              <w:spacing w:val="-2"/>
                              <w:sz w:val="20"/>
                            </w:rPr>
                            <w:fldChar w:fldCharType="begin"/>
                          </w:r>
                          <w:r>
                            <w:rPr>
                              <w:rFonts w:ascii="Courier New"/>
                              <w:spacing w:val="-2"/>
                              <w:sz w:val="20"/>
                            </w:rPr>
                            <w:instrText> PAGE  \* roman </w:instrText>
                          </w:r>
                          <w:r>
                            <w:rPr>
                              <w:rFonts w:ascii="Courier New"/>
                              <w:spacing w:val="-2"/>
                              <w:sz w:val="20"/>
                            </w:rPr>
                            <w:fldChar w:fldCharType="separate"/>
                          </w:r>
                          <w:r>
                            <w:rPr>
                              <w:rFonts w:ascii="Courier New"/>
                              <w:spacing w:val="-2"/>
                              <w:sz w:val="20"/>
                            </w:rPr>
                            <w:t>xviii</w:t>
                          </w:r>
                          <w:r>
                            <w:rPr>
                              <w:rFonts w:ascii="Courier New"/>
                              <w:spacing w:val="-2"/>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7.999207pt;margin-top:743.838135pt;width:37pt;height:13.4pt;mso-position-horizontal-relative:page;mso-position-vertical-relative:page;z-index:-22469120" type="#_x0000_t202" id="docshape1" filled="false" stroked="false">
              <v:textbox inset="0,0,0,0">
                <w:txbxContent>
                  <w:p>
                    <w:pPr>
                      <w:spacing w:before="20"/>
                      <w:ind w:left="60" w:right="0" w:firstLine="0"/>
                      <w:jc w:val="left"/>
                      <w:rPr>
                        <w:rFonts w:ascii="Courier New"/>
                        <w:sz w:val="20"/>
                      </w:rPr>
                    </w:pPr>
                    <w:r>
                      <w:rPr>
                        <w:rFonts w:ascii="Courier New"/>
                        <w:spacing w:val="-2"/>
                        <w:sz w:val="20"/>
                      </w:rPr>
                      <w:fldChar w:fldCharType="begin"/>
                    </w:r>
                    <w:r>
                      <w:rPr>
                        <w:rFonts w:ascii="Courier New"/>
                        <w:spacing w:val="-2"/>
                        <w:sz w:val="20"/>
                      </w:rPr>
                      <w:instrText> PAGE  \* roman </w:instrText>
                    </w:r>
                    <w:r>
                      <w:rPr>
                        <w:rFonts w:ascii="Courier New"/>
                        <w:spacing w:val="-2"/>
                        <w:sz w:val="20"/>
                      </w:rPr>
                      <w:fldChar w:fldCharType="separate"/>
                    </w:r>
                    <w:r>
                      <w:rPr>
                        <w:rFonts w:ascii="Courier New"/>
                        <w:spacing w:val="-2"/>
                        <w:sz w:val="20"/>
                      </w:rPr>
                      <w:t>xviii</w:t>
                    </w:r>
                    <w:r>
                      <w:rPr>
                        <w:rFonts w:ascii="Courier New"/>
                        <w:spacing w:val="-2"/>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0847872">
              <wp:simplePos x="0" y="0"/>
              <wp:positionH relativeFrom="page">
                <wp:posOffset>3733789</wp:posOffset>
              </wp:positionH>
              <wp:positionV relativeFrom="page">
                <wp:posOffset>9446744</wp:posOffset>
              </wp:positionV>
              <wp:extent cx="317500" cy="17018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17500" cy="170180"/>
                      </a:xfrm>
                      <a:prstGeom prst="rect">
                        <a:avLst/>
                      </a:prstGeom>
                    </wps:spPr>
                    <wps:txbx>
                      <w:txbxContent>
                        <w:p>
                          <w:pPr>
                            <w:spacing w:before="20"/>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100</w:t>
                          </w:r>
                          <w:r>
                            <w:rPr>
                              <w:rFonts w:ascii="Courier New"/>
                              <w:spacing w:val="-5"/>
                              <w:sz w:val="20"/>
                            </w:rPr>
                            <w:fldChar w:fldCharType="end"/>
                          </w:r>
                        </w:p>
                      </w:txbxContent>
                    </wps:txbx>
                    <wps:bodyPr wrap="square" lIns="0" tIns="0" rIns="0" bIns="0" rtlCol="0">
                      <a:noAutofit/>
                    </wps:bodyPr>
                  </wps:wsp>
                </a:graphicData>
              </a:graphic>
            </wp:anchor>
          </w:drawing>
        </mc:Choice>
        <mc:Fallback>
          <w:pict>
            <v:shape style="position:absolute;margin-left:293.999176pt;margin-top:743.838135pt;width:25pt;height:13.4pt;mso-position-horizontal-relative:page;mso-position-vertical-relative:page;z-index:-22468608" type="#_x0000_t202" id="docshape2" filled="false" stroked="false">
              <v:textbox inset="0,0,0,0">
                <w:txbxContent>
                  <w:p>
                    <w:pPr>
                      <w:spacing w:before="20"/>
                      <w:ind w:left="60" w:right="0" w:firstLine="0"/>
                      <w:jc w:val="left"/>
                      <w:rPr>
                        <w:rFonts w:ascii="Courier New"/>
                        <w:sz w:val="20"/>
                      </w:rPr>
                    </w:pPr>
                    <w:r>
                      <w:rPr>
                        <w:rFonts w:ascii="Courier New"/>
                        <w:spacing w:val="-5"/>
                        <w:sz w:val="20"/>
                      </w:rPr>
                      <w:fldChar w:fldCharType="begin"/>
                    </w:r>
                    <w:r>
                      <w:rPr>
                        <w:rFonts w:ascii="Courier New"/>
                        <w:spacing w:val="-5"/>
                        <w:sz w:val="20"/>
                      </w:rPr>
                      <w:instrText> PAGE </w:instrText>
                    </w:r>
                    <w:r>
                      <w:rPr>
                        <w:rFonts w:ascii="Courier New"/>
                        <w:spacing w:val="-5"/>
                        <w:sz w:val="20"/>
                      </w:rPr>
                      <w:fldChar w:fldCharType="separate"/>
                    </w:r>
                    <w:r>
                      <w:rPr>
                        <w:rFonts w:ascii="Courier New"/>
                        <w:spacing w:val="-5"/>
                        <w:sz w:val="20"/>
                      </w:rPr>
                      <w:t>100</w:t>
                    </w:r>
                    <w:r>
                      <w:rPr>
                        <w:rFonts w:ascii="Courier New"/>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7">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86">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85">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84">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83">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82">
    <w:multiLevelType w:val="hybridMultilevel"/>
    <w:lvl w:ilvl="0">
      <w:start w:val="1"/>
      <w:numFmt w:val="decimal"/>
      <w:lvlText w:val="%1."/>
      <w:lvlJc w:val="left"/>
      <w:pPr>
        <w:ind w:left="160"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00"/>
      </w:pPr>
      <w:rPr>
        <w:rFonts w:hint="default"/>
        <w:lang w:val="en-US" w:eastAsia="en-US" w:bidi="ar-SA"/>
      </w:rPr>
    </w:lvl>
    <w:lvl w:ilvl="2">
      <w:start w:val="0"/>
      <w:numFmt w:val="bullet"/>
      <w:lvlText w:val="•"/>
      <w:lvlJc w:val="left"/>
      <w:pPr>
        <w:ind w:left="1988" w:hanging="300"/>
      </w:pPr>
      <w:rPr>
        <w:rFonts w:hint="default"/>
        <w:lang w:val="en-US" w:eastAsia="en-US" w:bidi="ar-SA"/>
      </w:rPr>
    </w:lvl>
    <w:lvl w:ilvl="3">
      <w:start w:val="0"/>
      <w:numFmt w:val="bullet"/>
      <w:lvlText w:val="•"/>
      <w:lvlJc w:val="left"/>
      <w:pPr>
        <w:ind w:left="2902" w:hanging="300"/>
      </w:pPr>
      <w:rPr>
        <w:rFonts w:hint="default"/>
        <w:lang w:val="en-US" w:eastAsia="en-US" w:bidi="ar-SA"/>
      </w:rPr>
    </w:lvl>
    <w:lvl w:ilvl="4">
      <w:start w:val="0"/>
      <w:numFmt w:val="bullet"/>
      <w:lvlText w:val="•"/>
      <w:lvlJc w:val="left"/>
      <w:pPr>
        <w:ind w:left="3816" w:hanging="300"/>
      </w:pPr>
      <w:rPr>
        <w:rFonts w:hint="default"/>
        <w:lang w:val="en-US" w:eastAsia="en-US" w:bidi="ar-SA"/>
      </w:rPr>
    </w:lvl>
    <w:lvl w:ilvl="5">
      <w:start w:val="0"/>
      <w:numFmt w:val="bullet"/>
      <w:lvlText w:val="•"/>
      <w:lvlJc w:val="left"/>
      <w:pPr>
        <w:ind w:left="4730" w:hanging="300"/>
      </w:pPr>
      <w:rPr>
        <w:rFonts w:hint="default"/>
        <w:lang w:val="en-US" w:eastAsia="en-US" w:bidi="ar-SA"/>
      </w:rPr>
    </w:lvl>
    <w:lvl w:ilvl="6">
      <w:start w:val="0"/>
      <w:numFmt w:val="bullet"/>
      <w:lvlText w:val="•"/>
      <w:lvlJc w:val="left"/>
      <w:pPr>
        <w:ind w:left="5644" w:hanging="300"/>
      </w:pPr>
      <w:rPr>
        <w:rFonts w:hint="default"/>
        <w:lang w:val="en-US" w:eastAsia="en-US" w:bidi="ar-SA"/>
      </w:rPr>
    </w:lvl>
    <w:lvl w:ilvl="7">
      <w:start w:val="0"/>
      <w:numFmt w:val="bullet"/>
      <w:lvlText w:val="•"/>
      <w:lvlJc w:val="left"/>
      <w:pPr>
        <w:ind w:left="6558" w:hanging="300"/>
      </w:pPr>
      <w:rPr>
        <w:rFonts w:hint="default"/>
        <w:lang w:val="en-US" w:eastAsia="en-US" w:bidi="ar-SA"/>
      </w:rPr>
    </w:lvl>
    <w:lvl w:ilvl="8">
      <w:start w:val="0"/>
      <w:numFmt w:val="bullet"/>
      <w:lvlText w:val="•"/>
      <w:lvlJc w:val="left"/>
      <w:pPr>
        <w:ind w:left="7472" w:hanging="300"/>
      </w:pPr>
      <w:rPr>
        <w:rFonts w:hint="default"/>
        <w:lang w:val="en-US" w:eastAsia="en-US" w:bidi="ar-SA"/>
      </w:rPr>
    </w:lvl>
  </w:abstractNum>
  <w:abstractNum w:abstractNumId="181">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80">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79">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78">
    <w:multiLevelType w:val="hybridMultilevel"/>
    <w:lvl w:ilvl="0">
      <w:start w:val="1"/>
      <w:numFmt w:val="decimal"/>
      <w:lvlText w:val="%1."/>
      <w:lvlJc w:val="left"/>
      <w:pPr>
        <w:ind w:left="160"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45"/>
      </w:pPr>
      <w:rPr>
        <w:rFonts w:hint="default"/>
        <w:lang w:val="en-US" w:eastAsia="en-US" w:bidi="ar-SA"/>
      </w:rPr>
    </w:lvl>
    <w:lvl w:ilvl="2">
      <w:start w:val="0"/>
      <w:numFmt w:val="bullet"/>
      <w:lvlText w:val="•"/>
      <w:lvlJc w:val="left"/>
      <w:pPr>
        <w:ind w:left="1988" w:hanging="245"/>
      </w:pPr>
      <w:rPr>
        <w:rFonts w:hint="default"/>
        <w:lang w:val="en-US" w:eastAsia="en-US" w:bidi="ar-SA"/>
      </w:rPr>
    </w:lvl>
    <w:lvl w:ilvl="3">
      <w:start w:val="0"/>
      <w:numFmt w:val="bullet"/>
      <w:lvlText w:val="•"/>
      <w:lvlJc w:val="left"/>
      <w:pPr>
        <w:ind w:left="2902" w:hanging="245"/>
      </w:pPr>
      <w:rPr>
        <w:rFonts w:hint="default"/>
        <w:lang w:val="en-US" w:eastAsia="en-US" w:bidi="ar-SA"/>
      </w:rPr>
    </w:lvl>
    <w:lvl w:ilvl="4">
      <w:start w:val="0"/>
      <w:numFmt w:val="bullet"/>
      <w:lvlText w:val="•"/>
      <w:lvlJc w:val="left"/>
      <w:pPr>
        <w:ind w:left="3816" w:hanging="245"/>
      </w:pPr>
      <w:rPr>
        <w:rFonts w:hint="default"/>
        <w:lang w:val="en-US" w:eastAsia="en-US" w:bidi="ar-SA"/>
      </w:rPr>
    </w:lvl>
    <w:lvl w:ilvl="5">
      <w:start w:val="0"/>
      <w:numFmt w:val="bullet"/>
      <w:lvlText w:val="•"/>
      <w:lvlJc w:val="left"/>
      <w:pPr>
        <w:ind w:left="4730" w:hanging="245"/>
      </w:pPr>
      <w:rPr>
        <w:rFonts w:hint="default"/>
        <w:lang w:val="en-US" w:eastAsia="en-US" w:bidi="ar-SA"/>
      </w:rPr>
    </w:lvl>
    <w:lvl w:ilvl="6">
      <w:start w:val="0"/>
      <w:numFmt w:val="bullet"/>
      <w:lvlText w:val="•"/>
      <w:lvlJc w:val="left"/>
      <w:pPr>
        <w:ind w:left="5644" w:hanging="245"/>
      </w:pPr>
      <w:rPr>
        <w:rFonts w:hint="default"/>
        <w:lang w:val="en-US" w:eastAsia="en-US" w:bidi="ar-SA"/>
      </w:rPr>
    </w:lvl>
    <w:lvl w:ilvl="7">
      <w:start w:val="0"/>
      <w:numFmt w:val="bullet"/>
      <w:lvlText w:val="•"/>
      <w:lvlJc w:val="left"/>
      <w:pPr>
        <w:ind w:left="6558" w:hanging="245"/>
      </w:pPr>
      <w:rPr>
        <w:rFonts w:hint="default"/>
        <w:lang w:val="en-US" w:eastAsia="en-US" w:bidi="ar-SA"/>
      </w:rPr>
    </w:lvl>
    <w:lvl w:ilvl="8">
      <w:start w:val="0"/>
      <w:numFmt w:val="bullet"/>
      <w:lvlText w:val="•"/>
      <w:lvlJc w:val="left"/>
      <w:pPr>
        <w:ind w:left="7472" w:hanging="245"/>
      </w:pPr>
      <w:rPr>
        <w:rFonts w:hint="default"/>
        <w:lang w:val="en-US" w:eastAsia="en-US" w:bidi="ar-SA"/>
      </w:rPr>
    </w:lvl>
  </w:abstractNum>
  <w:abstractNum w:abstractNumId="177">
    <w:multiLevelType w:val="hybridMultilevel"/>
    <w:lvl w:ilvl="0">
      <w:start w:val="1"/>
      <w:numFmt w:val="decimal"/>
      <w:lvlText w:val="%1."/>
      <w:lvlJc w:val="left"/>
      <w:pPr>
        <w:ind w:left="160" w:hanging="30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06"/>
      </w:pPr>
      <w:rPr>
        <w:rFonts w:hint="default"/>
        <w:lang w:val="en-US" w:eastAsia="en-US" w:bidi="ar-SA"/>
      </w:rPr>
    </w:lvl>
    <w:lvl w:ilvl="2">
      <w:start w:val="0"/>
      <w:numFmt w:val="bullet"/>
      <w:lvlText w:val="•"/>
      <w:lvlJc w:val="left"/>
      <w:pPr>
        <w:ind w:left="1988" w:hanging="306"/>
      </w:pPr>
      <w:rPr>
        <w:rFonts w:hint="default"/>
        <w:lang w:val="en-US" w:eastAsia="en-US" w:bidi="ar-SA"/>
      </w:rPr>
    </w:lvl>
    <w:lvl w:ilvl="3">
      <w:start w:val="0"/>
      <w:numFmt w:val="bullet"/>
      <w:lvlText w:val="•"/>
      <w:lvlJc w:val="left"/>
      <w:pPr>
        <w:ind w:left="2902" w:hanging="306"/>
      </w:pPr>
      <w:rPr>
        <w:rFonts w:hint="default"/>
        <w:lang w:val="en-US" w:eastAsia="en-US" w:bidi="ar-SA"/>
      </w:rPr>
    </w:lvl>
    <w:lvl w:ilvl="4">
      <w:start w:val="0"/>
      <w:numFmt w:val="bullet"/>
      <w:lvlText w:val="•"/>
      <w:lvlJc w:val="left"/>
      <w:pPr>
        <w:ind w:left="3816" w:hanging="306"/>
      </w:pPr>
      <w:rPr>
        <w:rFonts w:hint="default"/>
        <w:lang w:val="en-US" w:eastAsia="en-US" w:bidi="ar-SA"/>
      </w:rPr>
    </w:lvl>
    <w:lvl w:ilvl="5">
      <w:start w:val="0"/>
      <w:numFmt w:val="bullet"/>
      <w:lvlText w:val="•"/>
      <w:lvlJc w:val="left"/>
      <w:pPr>
        <w:ind w:left="4730" w:hanging="306"/>
      </w:pPr>
      <w:rPr>
        <w:rFonts w:hint="default"/>
        <w:lang w:val="en-US" w:eastAsia="en-US" w:bidi="ar-SA"/>
      </w:rPr>
    </w:lvl>
    <w:lvl w:ilvl="6">
      <w:start w:val="0"/>
      <w:numFmt w:val="bullet"/>
      <w:lvlText w:val="•"/>
      <w:lvlJc w:val="left"/>
      <w:pPr>
        <w:ind w:left="5644" w:hanging="306"/>
      </w:pPr>
      <w:rPr>
        <w:rFonts w:hint="default"/>
        <w:lang w:val="en-US" w:eastAsia="en-US" w:bidi="ar-SA"/>
      </w:rPr>
    </w:lvl>
    <w:lvl w:ilvl="7">
      <w:start w:val="0"/>
      <w:numFmt w:val="bullet"/>
      <w:lvlText w:val="•"/>
      <w:lvlJc w:val="left"/>
      <w:pPr>
        <w:ind w:left="6558" w:hanging="306"/>
      </w:pPr>
      <w:rPr>
        <w:rFonts w:hint="default"/>
        <w:lang w:val="en-US" w:eastAsia="en-US" w:bidi="ar-SA"/>
      </w:rPr>
    </w:lvl>
    <w:lvl w:ilvl="8">
      <w:start w:val="0"/>
      <w:numFmt w:val="bullet"/>
      <w:lvlText w:val="•"/>
      <w:lvlJc w:val="left"/>
      <w:pPr>
        <w:ind w:left="7472" w:hanging="306"/>
      </w:pPr>
      <w:rPr>
        <w:rFonts w:hint="default"/>
        <w:lang w:val="en-US" w:eastAsia="en-US" w:bidi="ar-SA"/>
      </w:rPr>
    </w:lvl>
  </w:abstractNum>
  <w:abstractNum w:abstractNumId="176">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75">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74">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73">
    <w:multiLevelType w:val="hybridMultilevel"/>
    <w:lvl w:ilvl="0">
      <w:start w:val="1"/>
      <w:numFmt w:val="decimal"/>
      <w:lvlText w:val="%1."/>
      <w:lvlJc w:val="left"/>
      <w:pPr>
        <w:ind w:left="160" w:hanging="27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74"/>
      </w:pPr>
      <w:rPr>
        <w:rFonts w:hint="default"/>
        <w:lang w:val="en-US" w:eastAsia="en-US" w:bidi="ar-SA"/>
      </w:rPr>
    </w:lvl>
    <w:lvl w:ilvl="2">
      <w:start w:val="0"/>
      <w:numFmt w:val="bullet"/>
      <w:lvlText w:val="•"/>
      <w:lvlJc w:val="left"/>
      <w:pPr>
        <w:ind w:left="1988" w:hanging="274"/>
      </w:pPr>
      <w:rPr>
        <w:rFonts w:hint="default"/>
        <w:lang w:val="en-US" w:eastAsia="en-US" w:bidi="ar-SA"/>
      </w:rPr>
    </w:lvl>
    <w:lvl w:ilvl="3">
      <w:start w:val="0"/>
      <w:numFmt w:val="bullet"/>
      <w:lvlText w:val="•"/>
      <w:lvlJc w:val="left"/>
      <w:pPr>
        <w:ind w:left="2902" w:hanging="274"/>
      </w:pPr>
      <w:rPr>
        <w:rFonts w:hint="default"/>
        <w:lang w:val="en-US" w:eastAsia="en-US" w:bidi="ar-SA"/>
      </w:rPr>
    </w:lvl>
    <w:lvl w:ilvl="4">
      <w:start w:val="0"/>
      <w:numFmt w:val="bullet"/>
      <w:lvlText w:val="•"/>
      <w:lvlJc w:val="left"/>
      <w:pPr>
        <w:ind w:left="3816" w:hanging="274"/>
      </w:pPr>
      <w:rPr>
        <w:rFonts w:hint="default"/>
        <w:lang w:val="en-US" w:eastAsia="en-US" w:bidi="ar-SA"/>
      </w:rPr>
    </w:lvl>
    <w:lvl w:ilvl="5">
      <w:start w:val="0"/>
      <w:numFmt w:val="bullet"/>
      <w:lvlText w:val="•"/>
      <w:lvlJc w:val="left"/>
      <w:pPr>
        <w:ind w:left="4730" w:hanging="274"/>
      </w:pPr>
      <w:rPr>
        <w:rFonts w:hint="default"/>
        <w:lang w:val="en-US" w:eastAsia="en-US" w:bidi="ar-SA"/>
      </w:rPr>
    </w:lvl>
    <w:lvl w:ilvl="6">
      <w:start w:val="0"/>
      <w:numFmt w:val="bullet"/>
      <w:lvlText w:val="•"/>
      <w:lvlJc w:val="left"/>
      <w:pPr>
        <w:ind w:left="5644" w:hanging="274"/>
      </w:pPr>
      <w:rPr>
        <w:rFonts w:hint="default"/>
        <w:lang w:val="en-US" w:eastAsia="en-US" w:bidi="ar-SA"/>
      </w:rPr>
    </w:lvl>
    <w:lvl w:ilvl="7">
      <w:start w:val="0"/>
      <w:numFmt w:val="bullet"/>
      <w:lvlText w:val="•"/>
      <w:lvlJc w:val="left"/>
      <w:pPr>
        <w:ind w:left="6558" w:hanging="274"/>
      </w:pPr>
      <w:rPr>
        <w:rFonts w:hint="default"/>
        <w:lang w:val="en-US" w:eastAsia="en-US" w:bidi="ar-SA"/>
      </w:rPr>
    </w:lvl>
    <w:lvl w:ilvl="8">
      <w:start w:val="0"/>
      <w:numFmt w:val="bullet"/>
      <w:lvlText w:val="•"/>
      <w:lvlJc w:val="left"/>
      <w:pPr>
        <w:ind w:left="7472" w:hanging="274"/>
      </w:pPr>
      <w:rPr>
        <w:rFonts w:hint="default"/>
        <w:lang w:val="en-US" w:eastAsia="en-US" w:bidi="ar-SA"/>
      </w:rPr>
    </w:lvl>
  </w:abstractNum>
  <w:abstractNum w:abstractNumId="172">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71">
    <w:multiLevelType w:val="hybridMultilevel"/>
    <w:lvl w:ilvl="0">
      <w:start w:val="1"/>
      <w:numFmt w:val="decimal"/>
      <w:lvlText w:val="%1."/>
      <w:lvlJc w:val="left"/>
      <w:pPr>
        <w:ind w:left="160" w:hanging="2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48"/>
      </w:pPr>
      <w:rPr>
        <w:rFonts w:hint="default"/>
        <w:lang w:val="en-US" w:eastAsia="en-US" w:bidi="ar-SA"/>
      </w:rPr>
    </w:lvl>
    <w:lvl w:ilvl="2">
      <w:start w:val="0"/>
      <w:numFmt w:val="bullet"/>
      <w:lvlText w:val="•"/>
      <w:lvlJc w:val="left"/>
      <w:pPr>
        <w:ind w:left="1988" w:hanging="248"/>
      </w:pPr>
      <w:rPr>
        <w:rFonts w:hint="default"/>
        <w:lang w:val="en-US" w:eastAsia="en-US" w:bidi="ar-SA"/>
      </w:rPr>
    </w:lvl>
    <w:lvl w:ilvl="3">
      <w:start w:val="0"/>
      <w:numFmt w:val="bullet"/>
      <w:lvlText w:val="•"/>
      <w:lvlJc w:val="left"/>
      <w:pPr>
        <w:ind w:left="2902" w:hanging="248"/>
      </w:pPr>
      <w:rPr>
        <w:rFonts w:hint="default"/>
        <w:lang w:val="en-US" w:eastAsia="en-US" w:bidi="ar-SA"/>
      </w:rPr>
    </w:lvl>
    <w:lvl w:ilvl="4">
      <w:start w:val="0"/>
      <w:numFmt w:val="bullet"/>
      <w:lvlText w:val="•"/>
      <w:lvlJc w:val="left"/>
      <w:pPr>
        <w:ind w:left="3816" w:hanging="248"/>
      </w:pPr>
      <w:rPr>
        <w:rFonts w:hint="default"/>
        <w:lang w:val="en-US" w:eastAsia="en-US" w:bidi="ar-SA"/>
      </w:rPr>
    </w:lvl>
    <w:lvl w:ilvl="5">
      <w:start w:val="0"/>
      <w:numFmt w:val="bullet"/>
      <w:lvlText w:val="•"/>
      <w:lvlJc w:val="left"/>
      <w:pPr>
        <w:ind w:left="4730" w:hanging="248"/>
      </w:pPr>
      <w:rPr>
        <w:rFonts w:hint="default"/>
        <w:lang w:val="en-US" w:eastAsia="en-US" w:bidi="ar-SA"/>
      </w:rPr>
    </w:lvl>
    <w:lvl w:ilvl="6">
      <w:start w:val="0"/>
      <w:numFmt w:val="bullet"/>
      <w:lvlText w:val="•"/>
      <w:lvlJc w:val="left"/>
      <w:pPr>
        <w:ind w:left="5644" w:hanging="248"/>
      </w:pPr>
      <w:rPr>
        <w:rFonts w:hint="default"/>
        <w:lang w:val="en-US" w:eastAsia="en-US" w:bidi="ar-SA"/>
      </w:rPr>
    </w:lvl>
    <w:lvl w:ilvl="7">
      <w:start w:val="0"/>
      <w:numFmt w:val="bullet"/>
      <w:lvlText w:val="•"/>
      <w:lvlJc w:val="left"/>
      <w:pPr>
        <w:ind w:left="6558" w:hanging="248"/>
      </w:pPr>
      <w:rPr>
        <w:rFonts w:hint="default"/>
        <w:lang w:val="en-US" w:eastAsia="en-US" w:bidi="ar-SA"/>
      </w:rPr>
    </w:lvl>
    <w:lvl w:ilvl="8">
      <w:start w:val="0"/>
      <w:numFmt w:val="bullet"/>
      <w:lvlText w:val="•"/>
      <w:lvlJc w:val="left"/>
      <w:pPr>
        <w:ind w:left="7472" w:hanging="248"/>
      </w:pPr>
      <w:rPr>
        <w:rFonts w:hint="default"/>
        <w:lang w:val="en-US" w:eastAsia="en-US" w:bidi="ar-SA"/>
      </w:rPr>
    </w:lvl>
  </w:abstractNum>
  <w:abstractNum w:abstractNumId="170">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69">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68">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67">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66">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65">
    <w:multiLevelType w:val="hybridMultilevel"/>
    <w:lvl w:ilvl="0">
      <w:start w:val="2"/>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64">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63">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62">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61">
    <w:multiLevelType w:val="hybridMultilevel"/>
    <w:lvl w:ilvl="0">
      <w:start w:val="1"/>
      <w:numFmt w:val="decimal"/>
      <w:lvlText w:val="%1."/>
      <w:lvlJc w:val="left"/>
      <w:pPr>
        <w:ind w:left="160" w:hanging="2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67"/>
      </w:pPr>
      <w:rPr>
        <w:rFonts w:hint="default"/>
        <w:lang w:val="en-US" w:eastAsia="en-US" w:bidi="ar-SA"/>
      </w:rPr>
    </w:lvl>
    <w:lvl w:ilvl="2">
      <w:start w:val="0"/>
      <w:numFmt w:val="bullet"/>
      <w:lvlText w:val="•"/>
      <w:lvlJc w:val="left"/>
      <w:pPr>
        <w:ind w:left="1988" w:hanging="267"/>
      </w:pPr>
      <w:rPr>
        <w:rFonts w:hint="default"/>
        <w:lang w:val="en-US" w:eastAsia="en-US" w:bidi="ar-SA"/>
      </w:rPr>
    </w:lvl>
    <w:lvl w:ilvl="3">
      <w:start w:val="0"/>
      <w:numFmt w:val="bullet"/>
      <w:lvlText w:val="•"/>
      <w:lvlJc w:val="left"/>
      <w:pPr>
        <w:ind w:left="2902" w:hanging="267"/>
      </w:pPr>
      <w:rPr>
        <w:rFonts w:hint="default"/>
        <w:lang w:val="en-US" w:eastAsia="en-US" w:bidi="ar-SA"/>
      </w:rPr>
    </w:lvl>
    <w:lvl w:ilvl="4">
      <w:start w:val="0"/>
      <w:numFmt w:val="bullet"/>
      <w:lvlText w:val="•"/>
      <w:lvlJc w:val="left"/>
      <w:pPr>
        <w:ind w:left="3816" w:hanging="267"/>
      </w:pPr>
      <w:rPr>
        <w:rFonts w:hint="default"/>
        <w:lang w:val="en-US" w:eastAsia="en-US" w:bidi="ar-SA"/>
      </w:rPr>
    </w:lvl>
    <w:lvl w:ilvl="5">
      <w:start w:val="0"/>
      <w:numFmt w:val="bullet"/>
      <w:lvlText w:val="•"/>
      <w:lvlJc w:val="left"/>
      <w:pPr>
        <w:ind w:left="4730" w:hanging="267"/>
      </w:pPr>
      <w:rPr>
        <w:rFonts w:hint="default"/>
        <w:lang w:val="en-US" w:eastAsia="en-US" w:bidi="ar-SA"/>
      </w:rPr>
    </w:lvl>
    <w:lvl w:ilvl="6">
      <w:start w:val="0"/>
      <w:numFmt w:val="bullet"/>
      <w:lvlText w:val="•"/>
      <w:lvlJc w:val="left"/>
      <w:pPr>
        <w:ind w:left="5644" w:hanging="267"/>
      </w:pPr>
      <w:rPr>
        <w:rFonts w:hint="default"/>
        <w:lang w:val="en-US" w:eastAsia="en-US" w:bidi="ar-SA"/>
      </w:rPr>
    </w:lvl>
    <w:lvl w:ilvl="7">
      <w:start w:val="0"/>
      <w:numFmt w:val="bullet"/>
      <w:lvlText w:val="•"/>
      <w:lvlJc w:val="left"/>
      <w:pPr>
        <w:ind w:left="6558" w:hanging="267"/>
      </w:pPr>
      <w:rPr>
        <w:rFonts w:hint="default"/>
        <w:lang w:val="en-US" w:eastAsia="en-US" w:bidi="ar-SA"/>
      </w:rPr>
    </w:lvl>
    <w:lvl w:ilvl="8">
      <w:start w:val="0"/>
      <w:numFmt w:val="bullet"/>
      <w:lvlText w:val="•"/>
      <w:lvlJc w:val="left"/>
      <w:pPr>
        <w:ind w:left="7472" w:hanging="267"/>
      </w:pPr>
      <w:rPr>
        <w:rFonts w:hint="default"/>
        <w:lang w:val="en-US" w:eastAsia="en-US" w:bidi="ar-SA"/>
      </w:rPr>
    </w:lvl>
  </w:abstractNum>
  <w:abstractNum w:abstractNumId="160">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59">
    <w:multiLevelType w:val="hybridMultilevel"/>
    <w:lvl w:ilvl="0">
      <w:start w:val="1"/>
      <w:numFmt w:val="decimal"/>
      <w:lvlText w:val="%1."/>
      <w:lvlJc w:val="left"/>
      <w:pPr>
        <w:ind w:left="160" w:hanging="27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70"/>
      </w:pPr>
      <w:rPr>
        <w:rFonts w:hint="default"/>
        <w:lang w:val="en-US" w:eastAsia="en-US" w:bidi="ar-SA"/>
      </w:rPr>
    </w:lvl>
    <w:lvl w:ilvl="2">
      <w:start w:val="0"/>
      <w:numFmt w:val="bullet"/>
      <w:lvlText w:val="•"/>
      <w:lvlJc w:val="left"/>
      <w:pPr>
        <w:ind w:left="1988" w:hanging="270"/>
      </w:pPr>
      <w:rPr>
        <w:rFonts w:hint="default"/>
        <w:lang w:val="en-US" w:eastAsia="en-US" w:bidi="ar-SA"/>
      </w:rPr>
    </w:lvl>
    <w:lvl w:ilvl="3">
      <w:start w:val="0"/>
      <w:numFmt w:val="bullet"/>
      <w:lvlText w:val="•"/>
      <w:lvlJc w:val="left"/>
      <w:pPr>
        <w:ind w:left="2902" w:hanging="270"/>
      </w:pPr>
      <w:rPr>
        <w:rFonts w:hint="default"/>
        <w:lang w:val="en-US" w:eastAsia="en-US" w:bidi="ar-SA"/>
      </w:rPr>
    </w:lvl>
    <w:lvl w:ilvl="4">
      <w:start w:val="0"/>
      <w:numFmt w:val="bullet"/>
      <w:lvlText w:val="•"/>
      <w:lvlJc w:val="left"/>
      <w:pPr>
        <w:ind w:left="3816" w:hanging="270"/>
      </w:pPr>
      <w:rPr>
        <w:rFonts w:hint="default"/>
        <w:lang w:val="en-US" w:eastAsia="en-US" w:bidi="ar-SA"/>
      </w:rPr>
    </w:lvl>
    <w:lvl w:ilvl="5">
      <w:start w:val="0"/>
      <w:numFmt w:val="bullet"/>
      <w:lvlText w:val="•"/>
      <w:lvlJc w:val="left"/>
      <w:pPr>
        <w:ind w:left="4730" w:hanging="270"/>
      </w:pPr>
      <w:rPr>
        <w:rFonts w:hint="default"/>
        <w:lang w:val="en-US" w:eastAsia="en-US" w:bidi="ar-SA"/>
      </w:rPr>
    </w:lvl>
    <w:lvl w:ilvl="6">
      <w:start w:val="0"/>
      <w:numFmt w:val="bullet"/>
      <w:lvlText w:val="•"/>
      <w:lvlJc w:val="left"/>
      <w:pPr>
        <w:ind w:left="5644" w:hanging="270"/>
      </w:pPr>
      <w:rPr>
        <w:rFonts w:hint="default"/>
        <w:lang w:val="en-US" w:eastAsia="en-US" w:bidi="ar-SA"/>
      </w:rPr>
    </w:lvl>
    <w:lvl w:ilvl="7">
      <w:start w:val="0"/>
      <w:numFmt w:val="bullet"/>
      <w:lvlText w:val="•"/>
      <w:lvlJc w:val="left"/>
      <w:pPr>
        <w:ind w:left="6558" w:hanging="270"/>
      </w:pPr>
      <w:rPr>
        <w:rFonts w:hint="default"/>
        <w:lang w:val="en-US" w:eastAsia="en-US" w:bidi="ar-SA"/>
      </w:rPr>
    </w:lvl>
    <w:lvl w:ilvl="8">
      <w:start w:val="0"/>
      <w:numFmt w:val="bullet"/>
      <w:lvlText w:val="•"/>
      <w:lvlJc w:val="left"/>
      <w:pPr>
        <w:ind w:left="7472" w:hanging="270"/>
      </w:pPr>
      <w:rPr>
        <w:rFonts w:hint="default"/>
        <w:lang w:val="en-US" w:eastAsia="en-US" w:bidi="ar-SA"/>
      </w:rPr>
    </w:lvl>
  </w:abstractNum>
  <w:abstractNum w:abstractNumId="158">
    <w:multiLevelType w:val="hybridMultilevel"/>
    <w:lvl w:ilvl="0">
      <w:start w:val="1"/>
      <w:numFmt w:val="decimal"/>
      <w:lvlText w:val="%1."/>
      <w:lvlJc w:val="left"/>
      <w:pPr>
        <w:ind w:left="160" w:hanging="2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45"/>
      </w:pPr>
      <w:rPr>
        <w:rFonts w:hint="default"/>
        <w:lang w:val="en-US" w:eastAsia="en-US" w:bidi="ar-SA"/>
      </w:rPr>
    </w:lvl>
    <w:lvl w:ilvl="2">
      <w:start w:val="0"/>
      <w:numFmt w:val="bullet"/>
      <w:lvlText w:val="•"/>
      <w:lvlJc w:val="left"/>
      <w:pPr>
        <w:ind w:left="1988" w:hanging="245"/>
      </w:pPr>
      <w:rPr>
        <w:rFonts w:hint="default"/>
        <w:lang w:val="en-US" w:eastAsia="en-US" w:bidi="ar-SA"/>
      </w:rPr>
    </w:lvl>
    <w:lvl w:ilvl="3">
      <w:start w:val="0"/>
      <w:numFmt w:val="bullet"/>
      <w:lvlText w:val="•"/>
      <w:lvlJc w:val="left"/>
      <w:pPr>
        <w:ind w:left="2902" w:hanging="245"/>
      </w:pPr>
      <w:rPr>
        <w:rFonts w:hint="default"/>
        <w:lang w:val="en-US" w:eastAsia="en-US" w:bidi="ar-SA"/>
      </w:rPr>
    </w:lvl>
    <w:lvl w:ilvl="4">
      <w:start w:val="0"/>
      <w:numFmt w:val="bullet"/>
      <w:lvlText w:val="•"/>
      <w:lvlJc w:val="left"/>
      <w:pPr>
        <w:ind w:left="3816" w:hanging="245"/>
      </w:pPr>
      <w:rPr>
        <w:rFonts w:hint="default"/>
        <w:lang w:val="en-US" w:eastAsia="en-US" w:bidi="ar-SA"/>
      </w:rPr>
    </w:lvl>
    <w:lvl w:ilvl="5">
      <w:start w:val="0"/>
      <w:numFmt w:val="bullet"/>
      <w:lvlText w:val="•"/>
      <w:lvlJc w:val="left"/>
      <w:pPr>
        <w:ind w:left="4730" w:hanging="245"/>
      </w:pPr>
      <w:rPr>
        <w:rFonts w:hint="default"/>
        <w:lang w:val="en-US" w:eastAsia="en-US" w:bidi="ar-SA"/>
      </w:rPr>
    </w:lvl>
    <w:lvl w:ilvl="6">
      <w:start w:val="0"/>
      <w:numFmt w:val="bullet"/>
      <w:lvlText w:val="•"/>
      <w:lvlJc w:val="left"/>
      <w:pPr>
        <w:ind w:left="5644" w:hanging="245"/>
      </w:pPr>
      <w:rPr>
        <w:rFonts w:hint="default"/>
        <w:lang w:val="en-US" w:eastAsia="en-US" w:bidi="ar-SA"/>
      </w:rPr>
    </w:lvl>
    <w:lvl w:ilvl="7">
      <w:start w:val="0"/>
      <w:numFmt w:val="bullet"/>
      <w:lvlText w:val="•"/>
      <w:lvlJc w:val="left"/>
      <w:pPr>
        <w:ind w:left="6558" w:hanging="245"/>
      </w:pPr>
      <w:rPr>
        <w:rFonts w:hint="default"/>
        <w:lang w:val="en-US" w:eastAsia="en-US" w:bidi="ar-SA"/>
      </w:rPr>
    </w:lvl>
    <w:lvl w:ilvl="8">
      <w:start w:val="0"/>
      <w:numFmt w:val="bullet"/>
      <w:lvlText w:val="•"/>
      <w:lvlJc w:val="left"/>
      <w:pPr>
        <w:ind w:left="7472" w:hanging="245"/>
      </w:pPr>
      <w:rPr>
        <w:rFonts w:hint="default"/>
        <w:lang w:val="en-US" w:eastAsia="en-US" w:bidi="ar-SA"/>
      </w:rPr>
    </w:lvl>
  </w:abstractNum>
  <w:abstractNum w:abstractNumId="157">
    <w:multiLevelType w:val="hybridMultilevel"/>
    <w:lvl w:ilvl="0">
      <w:start w:val="1"/>
      <w:numFmt w:val="decimal"/>
      <w:lvlText w:val="%1."/>
      <w:lvlJc w:val="left"/>
      <w:pPr>
        <w:ind w:left="160" w:hanging="29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291"/>
      </w:pPr>
      <w:rPr>
        <w:rFonts w:hint="default"/>
        <w:lang w:val="en-US" w:eastAsia="en-US" w:bidi="ar-SA"/>
      </w:rPr>
    </w:lvl>
    <w:lvl w:ilvl="2">
      <w:start w:val="0"/>
      <w:numFmt w:val="bullet"/>
      <w:lvlText w:val="•"/>
      <w:lvlJc w:val="left"/>
      <w:pPr>
        <w:ind w:left="1988" w:hanging="291"/>
      </w:pPr>
      <w:rPr>
        <w:rFonts w:hint="default"/>
        <w:lang w:val="en-US" w:eastAsia="en-US" w:bidi="ar-SA"/>
      </w:rPr>
    </w:lvl>
    <w:lvl w:ilvl="3">
      <w:start w:val="0"/>
      <w:numFmt w:val="bullet"/>
      <w:lvlText w:val="•"/>
      <w:lvlJc w:val="left"/>
      <w:pPr>
        <w:ind w:left="2902" w:hanging="291"/>
      </w:pPr>
      <w:rPr>
        <w:rFonts w:hint="default"/>
        <w:lang w:val="en-US" w:eastAsia="en-US" w:bidi="ar-SA"/>
      </w:rPr>
    </w:lvl>
    <w:lvl w:ilvl="4">
      <w:start w:val="0"/>
      <w:numFmt w:val="bullet"/>
      <w:lvlText w:val="•"/>
      <w:lvlJc w:val="left"/>
      <w:pPr>
        <w:ind w:left="3816" w:hanging="291"/>
      </w:pPr>
      <w:rPr>
        <w:rFonts w:hint="default"/>
        <w:lang w:val="en-US" w:eastAsia="en-US" w:bidi="ar-SA"/>
      </w:rPr>
    </w:lvl>
    <w:lvl w:ilvl="5">
      <w:start w:val="0"/>
      <w:numFmt w:val="bullet"/>
      <w:lvlText w:val="•"/>
      <w:lvlJc w:val="left"/>
      <w:pPr>
        <w:ind w:left="4730" w:hanging="291"/>
      </w:pPr>
      <w:rPr>
        <w:rFonts w:hint="default"/>
        <w:lang w:val="en-US" w:eastAsia="en-US" w:bidi="ar-SA"/>
      </w:rPr>
    </w:lvl>
    <w:lvl w:ilvl="6">
      <w:start w:val="0"/>
      <w:numFmt w:val="bullet"/>
      <w:lvlText w:val="•"/>
      <w:lvlJc w:val="left"/>
      <w:pPr>
        <w:ind w:left="5644" w:hanging="291"/>
      </w:pPr>
      <w:rPr>
        <w:rFonts w:hint="default"/>
        <w:lang w:val="en-US" w:eastAsia="en-US" w:bidi="ar-SA"/>
      </w:rPr>
    </w:lvl>
    <w:lvl w:ilvl="7">
      <w:start w:val="0"/>
      <w:numFmt w:val="bullet"/>
      <w:lvlText w:val="•"/>
      <w:lvlJc w:val="left"/>
      <w:pPr>
        <w:ind w:left="6558" w:hanging="291"/>
      </w:pPr>
      <w:rPr>
        <w:rFonts w:hint="default"/>
        <w:lang w:val="en-US" w:eastAsia="en-US" w:bidi="ar-SA"/>
      </w:rPr>
    </w:lvl>
    <w:lvl w:ilvl="8">
      <w:start w:val="0"/>
      <w:numFmt w:val="bullet"/>
      <w:lvlText w:val="•"/>
      <w:lvlJc w:val="left"/>
      <w:pPr>
        <w:ind w:left="7472" w:hanging="291"/>
      </w:pPr>
      <w:rPr>
        <w:rFonts w:hint="default"/>
        <w:lang w:val="en-US" w:eastAsia="en-US" w:bidi="ar-SA"/>
      </w:rPr>
    </w:lvl>
  </w:abstractNum>
  <w:abstractNum w:abstractNumId="156">
    <w:multiLevelType w:val="hybridMultilevel"/>
    <w:lvl w:ilvl="0">
      <w:start w:val="1"/>
      <w:numFmt w:val="decimal"/>
      <w:lvlText w:val="%1."/>
      <w:lvlJc w:val="left"/>
      <w:pPr>
        <w:ind w:left="160" w:hanging="2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63"/>
      </w:pPr>
      <w:rPr>
        <w:rFonts w:hint="default"/>
        <w:lang w:val="en-US" w:eastAsia="en-US" w:bidi="ar-SA"/>
      </w:rPr>
    </w:lvl>
    <w:lvl w:ilvl="2">
      <w:start w:val="0"/>
      <w:numFmt w:val="bullet"/>
      <w:lvlText w:val="•"/>
      <w:lvlJc w:val="left"/>
      <w:pPr>
        <w:ind w:left="1988" w:hanging="263"/>
      </w:pPr>
      <w:rPr>
        <w:rFonts w:hint="default"/>
        <w:lang w:val="en-US" w:eastAsia="en-US" w:bidi="ar-SA"/>
      </w:rPr>
    </w:lvl>
    <w:lvl w:ilvl="3">
      <w:start w:val="0"/>
      <w:numFmt w:val="bullet"/>
      <w:lvlText w:val="•"/>
      <w:lvlJc w:val="left"/>
      <w:pPr>
        <w:ind w:left="2902" w:hanging="263"/>
      </w:pPr>
      <w:rPr>
        <w:rFonts w:hint="default"/>
        <w:lang w:val="en-US" w:eastAsia="en-US" w:bidi="ar-SA"/>
      </w:rPr>
    </w:lvl>
    <w:lvl w:ilvl="4">
      <w:start w:val="0"/>
      <w:numFmt w:val="bullet"/>
      <w:lvlText w:val="•"/>
      <w:lvlJc w:val="left"/>
      <w:pPr>
        <w:ind w:left="3816" w:hanging="263"/>
      </w:pPr>
      <w:rPr>
        <w:rFonts w:hint="default"/>
        <w:lang w:val="en-US" w:eastAsia="en-US" w:bidi="ar-SA"/>
      </w:rPr>
    </w:lvl>
    <w:lvl w:ilvl="5">
      <w:start w:val="0"/>
      <w:numFmt w:val="bullet"/>
      <w:lvlText w:val="•"/>
      <w:lvlJc w:val="left"/>
      <w:pPr>
        <w:ind w:left="4730" w:hanging="263"/>
      </w:pPr>
      <w:rPr>
        <w:rFonts w:hint="default"/>
        <w:lang w:val="en-US" w:eastAsia="en-US" w:bidi="ar-SA"/>
      </w:rPr>
    </w:lvl>
    <w:lvl w:ilvl="6">
      <w:start w:val="0"/>
      <w:numFmt w:val="bullet"/>
      <w:lvlText w:val="•"/>
      <w:lvlJc w:val="left"/>
      <w:pPr>
        <w:ind w:left="5644" w:hanging="263"/>
      </w:pPr>
      <w:rPr>
        <w:rFonts w:hint="default"/>
        <w:lang w:val="en-US" w:eastAsia="en-US" w:bidi="ar-SA"/>
      </w:rPr>
    </w:lvl>
    <w:lvl w:ilvl="7">
      <w:start w:val="0"/>
      <w:numFmt w:val="bullet"/>
      <w:lvlText w:val="•"/>
      <w:lvlJc w:val="left"/>
      <w:pPr>
        <w:ind w:left="6558" w:hanging="263"/>
      </w:pPr>
      <w:rPr>
        <w:rFonts w:hint="default"/>
        <w:lang w:val="en-US" w:eastAsia="en-US" w:bidi="ar-SA"/>
      </w:rPr>
    </w:lvl>
    <w:lvl w:ilvl="8">
      <w:start w:val="0"/>
      <w:numFmt w:val="bullet"/>
      <w:lvlText w:val="•"/>
      <w:lvlJc w:val="left"/>
      <w:pPr>
        <w:ind w:left="7472" w:hanging="263"/>
      </w:pPr>
      <w:rPr>
        <w:rFonts w:hint="default"/>
        <w:lang w:val="en-US" w:eastAsia="en-US" w:bidi="ar-SA"/>
      </w:rPr>
    </w:lvl>
  </w:abstractNum>
  <w:abstractNum w:abstractNumId="155">
    <w:multiLevelType w:val="hybridMultilevel"/>
    <w:lvl w:ilvl="0">
      <w:start w:val="1"/>
      <w:numFmt w:val="decimal"/>
      <w:lvlText w:val="%1."/>
      <w:lvlJc w:val="left"/>
      <w:pPr>
        <w:ind w:left="160" w:hanging="34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4"/>
      </w:pPr>
      <w:rPr>
        <w:rFonts w:hint="default"/>
        <w:lang w:val="en-US" w:eastAsia="en-US" w:bidi="ar-SA"/>
      </w:rPr>
    </w:lvl>
    <w:lvl w:ilvl="2">
      <w:start w:val="0"/>
      <w:numFmt w:val="bullet"/>
      <w:lvlText w:val="•"/>
      <w:lvlJc w:val="left"/>
      <w:pPr>
        <w:ind w:left="1988" w:hanging="344"/>
      </w:pPr>
      <w:rPr>
        <w:rFonts w:hint="default"/>
        <w:lang w:val="en-US" w:eastAsia="en-US" w:bidi="ar-SA"/>
      </w:rPr>
    </w:lvl>
    <w:lvl w:ilvl="3">
      <w:start w:val="0"/>
      <w:numFmt w:val="bullet"/>
      <w:lvlText w:val="•"/>
      <w:lvlJc w:val="left"/>
      <w:pPr>
        <w:ind w:left="2902" w:hanging="344"/>
      </w:pPr>
      <w:rPr>
        <w:rFonts w:hint="default"/>
        <w:lang w:val="en-US" w:eastAsia="en-US" w:bidi="ar-SA"/>
      </w:rPr>
    </w:lvl>
    <w:lvl w:ilvl="4">
      <w:start w:val="0"/>
      <w:numFmt w:val="bullet"/>
      <w:lvlText w:val="•"/>
      <w:lvlJc w:val="left"/>
      <w:pPr>
        <w:ind w:left="3816" w:hanging="344"/>
      </w:pPr>
      <w:rPr>
        <w:rFonts w:hint="default"/>
        <w:lang w:val="en-US" w:eastAsia="en-US" w:bidi="ar-SA"/>
      </w:rPr>
    </w:lvl>
    <w:lvl w:ilvl="5">
      <w:start w:val="0"/>
      <w:numFmt w:val="bullet"/>
      <w:lvlText w:val="•"/>
      <w:lvlJc w:val="left"/>
      <w:pPr>
        <w:ind w:left="4730" w:hanging="344"/>
      </w:pPr>
      <w:rPr>
        <w:rFonts w:hint="default"/>
        <w:lang w:val="en-US" w:eastAsia="en-US" w:bidi="ar-SA"/>
      </w:rPr>
    </w:lvl>
    <w:lvl w:ilvl="6">
      <w:start w:val="0"/>
      <w:numFmt w:val="bullet"/>
      <w:lvlText w:val="•"/>
      <w:lvlJc w:val="left"/>
      <w:pPr>
        <w:ind w:left="5644" w:hanging="344"/>
      </w:pPr>
      <w:rPr>
        <w:rFonts w:hint="default"/>
        <w:lang w:val="en-US" w:eastAsia="en-US" w:bidi="ar-SA"/>
      </w:rPr>
    </w:lvl>
    <w:lvl w:ilvl="7">
      <w:start w:val="0"/>
      <w:numFmt w:val="bullet"/>
      <w:lvlText w:val="•"/>
      <w:lvlJc w:val="left"/>
      <w:pPr>
        <w:ind w:left="6558" w:hanging="344"/>
      </w:pPr>
      <w:rPr>
        <w:rFonts w:hint="default"/>
        <w:lang w:val="en-US" w:eastAsia="en-US" w:bidi="ar-SA"/>
      </w:rPr>
    </w:lvl>
    <w:lvl w:ilvl="8">
      <w:start w:val="0"/>
      <w:numFmt w:val="bullet"/>
      <w:lvlText w:val="•"/>
      <w:lvlJc w:val="left"/>
      <w:pPr>
        <w:ind w:left="7472" w:hanging="344"/>
      </w:pPr>
      <w:rPr>
        <w:rFonts w:hint="default"/>
        <w:lang w:val="en-US" w:eastAsia="en-US" w:bidi="ar-SA"/>
      </w:rPr>
    </w:lvl>
  </w:abstractNum>
  <w:abstractNum w:abstractNumId="154">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53">
    <w:multiLevelType w:val="hybridMultilevel"/>
    <w:lvl w:ilvl="0">
      <w:start w:val="1"/>
      <w:numFmt w:val="decimal"/>
      <w:lvlText w:val="%1."/>
      <w:lvlJc w:val="left"/>
      <w:pPr>
        <w:ind w:left="400"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52">
    <w:multiLevelType w:val="hybridMultilevel"/>
    <w:lvl w:ilvl="0">
      <w:start w:val="1"/>
      <w:numFmt w:val="decimal"/>
      <w:lvlText w:val="%1."/>
      <w:lvlJc w:val="left"/>
      <w:pPr>
        <w:ind w:left="160" w:hanging="3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2"/>
      </w:pPr>
      <w:rPr>
        <w:rFonts w:hint="default"/>
        <w:lang w:val="en-US" w:eastAsia="en-US" w:bidi="ar-SA"/>
      </w:rPr>
    </w:lvl>
    <w:lvl w:ilvl="2">
      <w:start w:val="0"/>
      <w:numFmt w:val="bullet"/>
      <w:lvlText w:val="•"/>
      <w:lvlJc w:val="left"/>
      <w:pPr>
        <w:ind w:left="1988" w:hanging="352"/>
      </w:pPr>
      <w:rPr>
        <w:rFonts w:hint="default"/>
        <w:lang w:val="en-US" w:eastAsia="en-US" w:bidi="ar-SA"/>
      </w:rPr>
    </w:lvl>
    <w:lvl w:ilvl="3">
      <w:start w:val="0"/>
      <w:numFmt w:val="bullet"/>
      <w:lvlText w:val="•"/>
      <w:lvlJc w:val="left"/>
      <w:pPr>
        <w:ind w:left="2902" w:hanging="352"/>
      </w:pPr>
      <w:rPr>
        <w:rFonts w:hint="default"/>
        <w:lang w:val="en-US" w:eastAsia="en-US" w:bidi="ar-SA"/>
      </w:rPr>
    </w:lvl>
    <w:lvl w:ilvl="4">
      <w:start w:val="0"/>
      <w:numFmt w:val="bullet"/>
      <w:lvlText w:val="•"/>
      <w:lvlJc w:val="left"/>
      <w:pPr>
        <w:ind w:left="3816" w:hanging="352"/>
      </w:pPr>
      <w:rPr>
        <w:rFonts w:hint="default"/>
        <w:lang w:val="en-US" w:eastAsia="en-US" w:bidi="ar-SA"/>
      </w:rPr>
    </w:lvl>
    <w:lvl w:ilvl="5">
      <w:start w:val="0"/>
      <w:numFmt w:val="bullet"/>
      <w:lvlText w:val="•"/>
      <w:lvlJc w:val="left"/>
      <w:pPr>
        <w:ind w:left="4730" w:hanging="352"/>
      </w:pPr>
      <w:rPr>
        <w:rFonts w:hint="default"/>
        <w:lang w:val="en-US" w:eastAsia="en-US" w:bidi="ar-SA"/>
      </w:rPr>
    </w:lvl>
    <w:lvl w:ilvl="6">
      <w:start w:val="0"/>
      <w:numFmt w:val="bullet"/>
      <w:lvlText w:val="•"/>
      <w:lvlJc w:val="left"/>
      <w:pPr>
        <w:ind w:left="5644" w:hanging="352"/>
      </w:pPr>
      <w:rPr>
        <w:rFonts w:hint="default"/>
        <w:lang w:val="en-US" w:eastAsia="en-US" w:bidi="ar-SA"/>
      </w:rPr>
    </w:lvl>
    <w:lvl w:ilvl="7">
      <w:start w:val="0"/>
      <w:numFmt w:val="bullet"/>
      <w:lvlText w:val="•"/>
      <w:lvlJc w:val="left"/>
      <w:pPr>
        <w:ind w:left="6558" w:hanging="352"/>
      </w:pPr>
      <w:rPr>
        <w:rFonts w:hint="default"/>
        <w:lang w:val="en-US" w:eastAsia="en-US" w:bidi="ar-SA"/>
      </w:rPr>
    </w:lvl>
    <w:lvl w:ilvl="8">
      <w:start w:val="0"/>
      <w:numFmt w:val="bullet"/>
      <w:lvlText w:val="•"/>
      <w:lvlJc w:val="left"/>
      <w:pPr>
        <w:ind w:left="7472" w:hanging="352"/>
      </w:pPr>
      <w:rPr>
        <w:rFonts w:hint="default"/>
        <w:lang w:val="en-US" w:eastAsia="en-US" w:bidi="ar-SA"/>
      </w:rPr>
    </w:lvl>
  </w:abstractNum>
  <w:abstractNum w:abstractNumId="151">
    <w:multiLevelType w:val="hybridMultilevel"/>
    <w:lvl w:ilvl="0">
      <w:start w:val="1"/>
      <w:numFmt w:val="decimal"/>
      <w:lvlText w:val="%1."/>
      <w:lvlJc w:val="left"/>
      <w:pPr>
        <w:ind w:left="160" w:hanging="24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43"/>
      </w:pPr>
      <w:rPr>
        <w:rFonts w:hint="default"/>
        <w:lang w:val="en-US" w:eastAsia="en-US" w:bidi="ar-SA"/>
      </w:rPr>
    </w:lvl>
    <w:lvl w:ilvl="2">
      <w:start w:val="0"/>
      <w:numFmt w:val="bullet"/>
      <w:lvlText w:val="•"/>
      <w:lvlJc w:val="left"/>
      <w:pPr>
        <w:ind w:left="1988" w:hanging="243"/>
      </w:pPr>
      <w:rPr>
        <w:rFonts w:hint="default"/>
        <w:lang w:val="en-US" w:eastAsia="en-US" w:bidi="ar-SA"/>
      </w:rPr>
    </w:lvl>
    <w:lvl w:ilvl="3">
      <w:start w:val="0"/>
      <w:numFmt w:val="bullet"/>
      <w:lvlText w:val="•"/>
      <w:lvlJc w:val="left"/>
      <w:pPr>
        <w:ind w:left="2902" w:hanging="243"/>
      </w:pPr>
      <w:rPr>
        <w:rFonts w:hint="default"/>
        <w:lang w:val="en-US" w:eastAsia="en-US" w:bidi="ar-SA"/>
      </w:rPr>
    </w:lvl>
    <w:lvl w:ilvl="4">
      <w:start w:val="0"/>
      <w:numFmt w:val="bullet"/>
      <w:lvlText w:val="•"/>
      <w:lvlJc w:val="left"/>
      <w:pPr>
        <w:ind w:left="3816" w:hanging="243"/>
      </w:pPr>
      <w:rPr>
        <w:rFonts w:hint="default"/>
        <w:lang w:val="en-US" w:eastAsia="en-US" w:bidi="ar-SA"/>
      </w:rPr>
    </w:lvl>
    <w:lvl w:ilvl="5">
      <w:start w:val="0"/>
      <w:numFmt w:val="bullet"/>
      <w:lvlText w:val="•"/>
      <w:lvlJc w:val="left"/>
      <w:pPr>
        <w:ind w:left="4730" w:hanging="243"/>
      </w:pPr>
      <w:rPr>
        <w:rFonts w:hint="default"/>
        <w:lang w:val="en-US" w:eastAsia="en-US" w:bidi="ar-SA"/>
      </w:rPr>
    </w:lvl>
    <w:lvl w:ilvl="6">
      <w:start w:val="0"/>
      <w:numFmt w:val="bullet"/>
      <w:lvlText w:val="•"/>
      <w:lvlJc w:val="left"/>
      <w:pPr>
        <w:ind w:left="5644" w:hanging="243"/>
      </w:pPr>
      <w:rPr>
        <w:rFonts w:hint="default"/>
        <w:lang w:val="en-US" w:eastAsia="en-US" w:bidi="ar-SA"/>
      </w:rPr>
    </w:lvl>
    <w:lvl w:ilvl="7">
      <w:start w:val="0"/>
      <w:numFmt w:val="bullet"/>
      <w:lvlText w:val="•"/>
      <w:lvlJc w:val="left"/>
      <w:pPr>
        <w:ind w:left="6558" w:hanging="243"/>
      </w:pPr>
      <w:rPr>
        <w:rFonts w:hint="default"/>
        <w:lang w:val="en-US" w:eastAsia="en-US" w:bidi="ar-SA"/>
      </w:rPr>
    </w:lvl>
    <w:lvl w:ilvl="8">
      <w:start w:val="0"/>
      <w:numFmt w:val="bullet"/>
      <w:lvlText w:val="•"/>
      <w:lvlJc w:val="left"/>
      <w:pPr>
        <w:ind w:left="7472" w:hanging="243"/>
      </w:pPr>
      <w:rPr>
        <w:rFonts w:hint="default"/>
        <w:lang w:val="en-US" w:eastAsia="en-US" w:bidi="ar-SA"/>
      </w:rPr>
    </w:lvl>
  </w:abstractNum>
  <w:abstractNum w:abstractNumId="150">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49">
    <w:multiLevelType w:val="hybridMultilevel"/>
    <w:lvl w:ilvl="0">
      <w:start w:val="1"/>
      <w:numFmt w:val="decimal"/>
      <w:lvlText w:val="%1."/>
      <w:lvlJc w:val="left"/>
      <w:pPr>
        <w:ind w:left="160" w:hanging="26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264"/>
      </w:pPr>
      <w:rPr>
        <w:rFonts w:hint="default"/>
        <w:lang w:val="en-US" w:eastAsia="en-US" w:bidi="ar-SA"/>
      </w:rPr>
    </w:lvl>
    <w:lvl w:ilvl="2">
      <w:start w:val="0"/>
      <w:numFmt w:val="bullet"/>
      <w:lvlText w:val="•"/>
      <w:lvlJc w:val="left"/>
      <w:pPr>
        <w:ind w:left="1988" w:hanging="264"/>
      </w:pPr>
      <w:rPr>
        <w:rFonts w:hint="default"/>
        <w:lang w:val="en-US" w:eastAsia="en-US" w:bidi="ar-SA"/>
      </w:rPr>
    </w:lvl>
    <w:lvl w:ilvl="3">
      <w:start w:val="0"/>
      <w:numFmt w:val="bullet"/>
      <w:lvlText w:val="•"/>
      <w:lvlJc w:val="left"/>
      <w:pPr>
        <w:ind w:left="2902" w:hanging="264"/>
      </w:pPr>
      <w:rPr>
        <w:rFonts w:hint="default"/>
        <w:lang w:val="en-US" w:eastAsia="en-US" w:bidi="ar-SA"/>
      </w:rPr>
    </w:lvl>
    <w:lvl w:ilvl="4">
      <w:start w:val="0"/>
      <w:numFmt w:val="bullet"/>
      <w:lvlText w:val="•"/>
      <w:lvlJc w:val="left"/>
      <w:pPr>
        <w:ind w:left="3816" w:hanging="264"/>
      </w:pPr>
      <w:rPr>
        <w:rFonts w:hint="default"/>
        <w:lang w:val="en-US" w:eastAsia="en-US" w:bidi="ar-SA"/>
      </w:rPr>
    </w:lvl>
    <w:lvl w:ilvl="5">
      <w:start w:val="0"/>
      <w:numFmt w:val="bullet"/>
      <w:lvlText w:val="•"/>
      <w:lvlJc w:val="left"/>
      <w:pPr>
        <w:ind w:left="4730" w:hanging="264"/>
      </w:pPr>
      <w:rPr>
        <w:rFonts w:hint="default"/>
        <w:lang w:val="en-US" w:eastAsia="en-US" w:bidi="ar-SA"/>
      </w:rPr>
    </w:lvl>
    <w:lvl w:ilvl="6">
      <w:start w:val="0"/>
      <w:numFmt w:val="bullet"/>
      <w:lvlText w:val="•"/>
      <w:lvlJc w:val="left"/>
      <w:pPr>
        <w:ind w:left="5644" w:hanging="264"/>
      </w:pPr>
      <w:rPr>
        <w:rFonts w:hint="default"/>
        <w:lang w:val="en-US" w:eastAsia="en-US" w:bidi="ar-SA"/>
      </w:rPr>
    </w:lvl>
    <w:lvl w:ilvl="7">
      <w:start w:val="0"/>
      <w:numFmt w:val="bullet"/>
      <w:lvlText w:val="•"/>
      <w:lvlJc w:val="left"/>
      <w:pPr>
        <w:ind w:left="6558" w:hanging="264"/>
      </w:pPr>
      <w:rPr>
        <w:rFonts w:hint="default"/>
        <w:lang w:val="en-US" w:eastAsia="en-US" w:bidi="ar-SA"/>
      </w:rPr>
    </w:lvl>
    <w:lvl w:ilvl="8">
      <w:start w:val="0"/>
      <w:numFmt w:val="bullet"/>
      <w:lvlText w:val="•"/>
      <w:lvlJc w:val="left"/>
      <w:pPr>
        <w:ind w:left="7472" w:hanging="264"/>
      </w:pPr>
      <w:rPr>
        <w:rFonts w:hint="default"/>
        <w:lang w:val="en-US" w:eastAsia="en-US" w:bidi="ar-SA"/>
      </w:rPr>
    </w:lvl>
  </w:abstractNum>
  <w:abstractNum w:abstractNumId="148">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47">
    <w:multiLevelType w:val="hybridMultilevel"/>
    <w:lvl w:ilvl="0">
      <w:start w:val="1"/>
      <w:numFmt w:val="decimal"/>
      <w:lvlText w:val="%1."/>
      <w:lvlJc w:val="left"/>
      <w:pPr>
        <w:ind w:left="160" w:hanging="27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75"/>
      </w:pPr>
      <w:rPr>
        <w:rFonts w:hint="default"/>
        <w:lang w:val="en-US" w:eastAsia="en-US" w:bidi="ar-SA"/>
      </w:rPr>
    </w:lvl>
    <w:lvl w:ilvl="2">
      <w:start w:val="0"/>
      <w:numFmt w:val="bullet"/>
      <w:lvlText w:val="•"/>
      <w:lvlJc w:val="left"/>
      <w:pPr>
        <w:ind w:left="1988" w:hanging="275"/>
      </w:pPr>
      <w:rPr>
        <w:rFonts w:hint="default"/>
        <w:lang w:val="en-US" w:eastAsia="en-US" w:bidi="ar-SA"/>
      </w:rPr>
    </w:lvl>
    <w:lvl w:ilvl="3">
      <w:start w:val="0"/>
      <w:numFmt w:val="bullet"/>
      <w:lvlText w:val="•"/>
      <w:lvlJc w:val="left"/>
      <w:pPr>
        <w:ind w:left="2902" w:hanging="275"/>
      </w:pPr>
      <w:rPr>
        <w:rFonts w:hint="default"/>
        <w:lang w:val="en-US" w:eastAsia="en-US" w:bidi="ar-SA"/>
      </w:rPr>
    </w:lvl>
    <w:lvl w:ilvl="4">
      <w:start w:val="0"/>
      <w:numFmt w:val="bullet"/>
      <w:lvlText w:val="•"/>
      <w:lvlJc w:val="left"/>
      <w:pPr>
        <w:ind w:left="3816" w:hanging="275"/>
      </w:pPr>
      <w:rPr>
        <w:rFonts w:hint="default"/>
        <w:lang w:val="en-US" w:eastAsia="en-US" w:bidi="ar-SA"/>
      </w:rPr>
    </w:lvl>
    <w:lvl w:ilvl="5">
      <w:start w:val="0"/>
      <w:numFmt w:val="bullet"/>
      <w:lvlText w:val="•"/>
      <w:lvlJc w:val="left"/>
      <w:pPr>
        <w:ind w:left="4730" w:hanging="275"/>
      </w:pPr>
      <w:rPr>
        <w:rFonts w:hint="default"/>
        <w:lang w:val="en-US" w:eastAsia="en-US" w:bidi="ar-SA"/>
      </w:rPr>
    </w:lvl>
    <w:lvl w:ilvl="6">
      <w:start w:val="0"/>
      <w:numFmt w:val="bullet"/>
      <w:lvlText w:val="•"/>
      <w:lvlJc w:val="left"/>
      <w:pPr>
        <w:ind w:left="5644" w:hanging="275"/>
      </w:pPr>
      <w:rPr>
        <w:rFonts w:hint="default"/>
        <w:lang w:val="en-US" w:eastAsia="en-US" w:bidi="ar-SA"/>
      </w:rPr>
    </w:lvl>
    <w:lvl w:ilvl="7">
      <w:start w:val="0"/>
      <w:numFmt w:val="bullet"/>
      <w:lvlText w:val="•"/>
      <w:lvlJc w:val="left"/>
      <w:pPr>
        <w:ind w:left="6558" w:hanging="275"/>
      </w:pPr>
      <w:rPr>
        <w:rFonts w:hint="default"/>
        <w:lang w:val="en-US" w:eastAsia="en-US" w:bidi="ar-SA"/>
      </w:rPr>
    </w:lvl>
    <w:lvl w:ilvl="8">
      <w:start w:val="0"/>
      <w:numFmt w:val="bullet"/>
      <w:lvlText w:val="•"/>
      <w:lvlJc w:val="left"/>
      <w:pPr>
        <w:ind w:left="7472" w:hanging="275"/>
      </w:pPr>
      <w:rPr>
        <w:rFonts w:hint="default"/>
        <w:lang w:val="en-US" w:eastAsia="en-US" w:bidi="ar-SA"/>
      </w:rPr>
    </w:lvl>
  </w:abstractNum>
  <w:abstractNum w:abstractNumId="146">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45">
    <w:multiLevelType w:val="hybridMultilevel"/>
    <w:lvl w:ilvl="0">
      <w:start w:val="1"/>
      <w:numFmt w:val="decimal"/>
      <w:lvlText w:val="%1."/>
      <w:lvlJc w:val="left"/>
      <w:pPr>
        <w:ind w:left="160" w:hanging="27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77"/>
      </w:pPr>
      <w:rPr>
        <w:rFonts w:hint="default"/>
        <w:lang w:val="en-US" w:eastAsia="en-US" w:bidi="ar-SA"/>
      </w:rPr>
    </w:lvl>
    <w:lvl w:ilvl="2">
      <w:start w:val="0"/>
      <w:numFmt w:val="bullet"/>
      <w:lvlText w:val="•"/>
      <w:lvlJc w:val="left"/>
      <w:pPr>
        <w:ind w:left="1988" w:hanging="277"/>
      </w:pPr>
      <w:rPr>
        <w:rFonts w:hint="default"/>
        <w:lang w:val="en-US" w:eastAsia="en-US" w:bidi="ar-SA"/>
      </w:rPr>
    </w:lvl>
    <w:lvl w:ilvl="3">
      <w:start w:val="0"/>
      <w:numFmt w:val="bullet"/>
      <w:lvlText w:val="•"/>
      <w:lvlJc w:val="left"/>
      <w:pPr>
        <w:ind w:left="2902" w:hanging="277"/>
      </w:pPr>
      <w:rPr>
        <w:rFonts w:hint="default"/>
        <w:lang w:val="en-US" w:eastAsia="en-US" w:bidi="ar-SA"/>
      </w:rPr>
    </w:lvl>
    <w:lvl w:ilvl="4">
      <w:start w:val="0"/>
      <w:numFmt w:val="bullet"/>
      <w:lvlText w:val="•"/>
      <w:lvlJc w:val="left"/>
      <w:pPr>
        <w:ind w:left="3816" w:hanging="277"/>
      </w:pPr>
      <w:rPr>
        <w:rFonts w:hint="default"/>
        <w:lang w:val="en-US" w:eastAsia="en-US" w:bidi="ar-SA"/>
      </w:rPr>
    </w:lvl>
    <w:lvl w:ilvl="5">
      <w:start w:val="0"/>
      <w:numFmt w:val="bullet"/>
      <w:lvlText w:val="•"/>
      <w:lvlJc w:val="left"/>
      <w:pPr>
        <w:ind w:left="4730" w:hanging="277"/>
      </w:pPr>
      <w:rPr>
        <w:rFonts w:hint="default"/>
        <w:lang w:val="en-US" w:eastAsia="en-US" w:bidi="ar-SA"/>
      </w:rPr>
    </w:lvl>
    <w:lvl w:ilvl="6">
      <w:start w:val="0"/>
      <w:numFmt w:val="bullet"/>
      <w:lvlText w:val="•"/>
      <w:lvlJc w:val="left"/>
      <w:pPr>
        <w:ind w:left="5644" w:hanging="277"/>
      </w:pPr>
      <w:rPr>
        <w:rFonts w:hint="default"/>
        <w:lang w:val="en-US" w:eastAsia="en-US" w:bidi="ar-SA"/>
      </w:rPr>
    </w:lvl>
    <w:lvl w:ilvl="7">
      <w:start w:val="0"/>
      <w:numFmt w:val="bullet"/>
      <w:lvlText w:val="•"/>
      <w:lvlJc w:val="left"/>
      <w:pPr>
        <w:ind w:left="6558" w:hanging="277"/>
      </w:pPr>
      <w:rPr>
        <w:rFonts w:hint="default"/>
        <w:lang w:val="en-US" w:eastAsia="en-US" w:bidi="ar-SA"/>
      </w:rPr>
    </w:lvl>
    <w:lvl w:ilvl="8">
      <w:start w:val="0"/>
      <w:numFmt w:val="bullet"/>
      <w:lvlText w:val="•"/>
      <w:lvlJc w:val="left"/>
      <w:pPr>
        <w:ind w:left="7472" w:hanging="277"/>
      </w:pPr>
      <w:rPr>
        <w:rFonts w:hint="default"/>
        <w:lang w:val="en-US" w:eastAsia="en-US" w:bidi="ar-SA"/>
      </w:rPr>
    </w:lvl>
  </w:abstractNum>
  <w:abstractNum w:abstractNumId="144">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43">
    <w:multiLevelType w:val="hybridMultilevel"/>
    <w:lvl w:ilvl="0">
      <w:start w:val="1"/>
      <w:numFmt w:val="lowerRoman"/>
      <w:lvlText w:val="(%1)"/>
      <w:lvlJc w:val="left"/>
      <w:pPr>
        <w:ind w:left="160" w:hanging="35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9"/>
      </w:pPr>
      <w:rPr>
        <w:rFonts w:hint="default"/>
        <w:lang w:val="en-US" w:eastAsia="en-US" w:bidi="ar-SA"/>
      </w:rPr>
    </w:lvl>
    <w:lvl w:ilvl="2">
      <w:start w:val="0"/>
      <w:numFmt w:val="bullet"/>
      <w:lvlText w:val="•"/>
      <w:lvlJc w:val="left"/>
      <w:pPr>
        <w:ind w:left="1988" w:hanging="359"/>
      </w:pPr>
      <w:rPr>
        <w:rFonts w:hint="default"/>
        <w:lang w:val="en-US" w:eastAsia="en-US" w:bidi="ar-SA"/>
      </w:rPr>
    </w:lvl>
    <w:lvl w:ilvl="3">
      <w:start w:val="0"/>
      <w:numFmt w:val="bullet"/>
      <w:lvlText w:val="•"/>
      <w:lvlJc w:val="left"/>
      <w:pPr>
        <w:ind w:left="2902" w:hanging="359"/>
      </w:pPr>
      <w:rPr>
        <w:rFonts w:hint="default"/>
        <w:lang w:val="en-US" w:eastAsia="en-US" w:bidi="ar-SA"/>
      </w:rPr>
    </w:lvl>
    <w:lvl w:ilvl="4">
      <w:start w:val="0"/>
      <w:numFmt w:val="bullet"/>
      <w:lvlText w:val="•"/>
      <w:lvlJc w:val="left"/>
      <w:pPr>
        <w:ind w:left="3816" w:hanging="359"/>
      </w:pPr>
      <w:rPr>
        <w:rFonts w:hint="default"/>
        <w:lang w:val="en-US" w:eastAsia="en-US" w:bidi="ar-SA"/>
      </w:rPr>
    </w:lvl>
    <w:lvl w:ilvl="5">
      <w:start w:val="0"/>
      <w:numFmt w:val="bullet"/>
      <w:lvlText w:val="•"/>
      <w:lvlJc w:val="left"/>
      <w:pPr>
        <w:ind w:left="4730" w:hanging="359"/>
      </w:pPr>
      <w:rPr>
        <w:rFonts w:hint="default"/>
        <w:lang w:val="en-US" w:eastAsia="en-US" w:bidi="ar-SA"/>
      </w:rPr>
    </w:lvl>
    <w:lvl w:ilvl="6">
      <w:start w:val="0"/>
      <w:numFmt w:val="bullet"/>
      <w:lvlText w:val="•"/>
      <w:lvlJc w:val="left"/>
      <w:pPr>
        <w:ind w:left="5644" w:hanging="359"/>
      </w:pPr>
      <w:rPr>
        <w:rFonts w:hint="default"/>
        <w:lang w:val="en-US" w:eastAsia="en-US" w:bidi="ar-SA"/>
      </w:rPr>
    </w:lvl>
    <w:lvl w:ilvl="7">
      <w:start w:val="0"/>
      <w:numFmt w:val="bullet"/>
      <w:lvlText w:val="•"/>
      <w:lvlJc w:val="left"/>
      <w:pPr>
        <w:ind w:left="6558" w:hanging="359"/>
      </w:pPr>
      <w:rPr>
        <w:rFonts w:hint="default"/>
        <w:lang w:val="en-US" w:eastAsia="en-US" w:bidi="ar-SA"/>
      </w:rPr>
    </w:lvl>
    <w:lvl w:ilvl="8">
      <w:start w:val="0"/>
      <w:numFmt w:val="bullet"/>
      <w:lvlText w:val="•"/>
      <w:lvlJc w:val="left"/>
      <w:pPr>
        <w:ind w:left="7472" w:hanging="359"/>
      </w:pPr>
      <w:rPr>
        <w:rFonts w:hint="default"/>
        <w:lang w:val="en-US" w:eastAsia="en-US" w:bidi="ar-SA"/>
      </w:rPr>
    </w:lvl>
  </w:abstractNum>
  <w:abstractNum w:abstractNumId="142">
    <w:multiLevelType w:val="hybridMultilevel"/>
    <w:lvl w:ilvl="0">
      <w:start w:val="1"/>
      <w:numFmt w:val="lowerRoman"/>
      <w:lvlText w:val="(%1)"/>
      <w:lvlJc w:val="left"/>
      <w:pPr>
        <w:ind w:left="446" w:hanging="2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26" w:hanging="287"/>
      </w:pPr>
      <w:rPr>
        <w:rFonts w:hint="default"/>
        <w:lang w:val="en-US" w:eastAsia="en-US" w:bidi="ar-SA"/>
      </w:rPr>
    </w:lvl>
    <w:lvl w:ilvl="2">
      <w:start w:val="0"/>
      <w:numFmt w:val="bullet"/>
      <w:lvlText w:val="•"/>
      <w:lvlJc w:val="left"/>
      <w:pPr>
        <w:ind w:left="2212" w:hanging="287"/>
      </w:pPr>
      <w:rPr>
        <w:rFonts w:hint="default"/>
        <w:lang w:val="en-US" w:eastAsia="en-US" w:bidi="ar-SA"/>
      </w:rPr>
    </w:lvl>
    <w:lvl w:ilvl="3">
      <w:start w:val="0"/>
      <w:numFmt w:val="bullet"/>
      <w:lvlText w:val="•"/>
      <w:lvlJc w:val="left"/>
      <w:pPr>
        <w:ind w:left="3098" w:hanging="287"/>
      </w:pPr>
      <w:rPr>
        <w:rFonts w:hint="default"/>
        <w:lang w:val="en-US" w:eastAsia="en-US" w:bidi="ar-SA"/>
      </w:rPr>
    </w:lvl>
    <w:lvl w:ilvl="4">
      <w:start w:val="0"/>
      <w:numFmt w:val="bullet"/>
      <w:lvlText w:val="•"/>
      <w:lvlJc w:val="left"/>
      <w:pPr>
        <w:ind w:left="3984" w:hanging="287"/>
      </w:pPr>
      <w:rPr>
        <w:rFonts w:hint="default"/>
        <w:lang w:val="en-US" w:eastAsia="en-US" w:bidi="ar-SA"/>
      </w:rPr>
    </w:lvl>
    <w:lvl w:ilvl="5">
      <w:start w:val="0"/>
      <w:numFmt w:val="bullet"/>
      <w:lvlText w:val="•"/>
      <w:lvlJc w:val="left"/>
      <w:pPr>
        <w:ind w:left="4870" w:hanging="287"/>
      </w:pPr>
      <w:rPr>
        <w:rFonts w:hint="default"/>
        <w:lang w:val="en-US" w:eastAsia="en-US" w:bidi="ar-SA"/>
      </w:rPr>
    </w:lvl>
    <w:lvl w:ilvl="6">
      <w:start w:val="0"/>
      <w:numFmt w:val="bullet"/>
      <w:lvlText w:val="•"/>
      <w:lvlJc w:val="left"/>
      <w:pPr>
        <w:ind w:left="5756" w:hanging="287"/>
      </w:pPr>
      <w:rPr>
        <w:rFonts w:hint="default"/>
        <w:lang w:val="en-US" w:eastAsia="en-US" w:bidi="ar-SA"/>
      </w:rPr>
    </w:lvl>
    <w:lvl w:ilvl="7">
      <w:start w:val="0"/>
      <w:numFmt w:val="bullet"/>
      <w:lvlText w:val="•"/>
      <w:lvlJc w:val="left"/>
      <w:pPr>
        <w:ind w:left="6642" w:hanging="287"/>
      </w:pPr>
      <w:rPr>
        <w:rFonts w:hint="default"/>
        <w:lang w:val="en-US" w:eastAsia="en-US" w:bidi="ar-SA"/>
      </w:rPr>
    </w:lvl>
    <w:lvl w:ilvl="8">
      <w:start w:val="0"/>
      <w:numFmt w:val="bullet"/>
      <w:lvlText w:val="•"/>
      <w:lvlJc w:val="left"/>
      <w:pPr>
        <w:ind w:left="7528" w:hanging="287"/>
      </w:pPr>
      <w:rPr>
        <w:rFonts w:hint="default"/>
        <w:lang w:val="en-US" w:eastAsia="en-US" w:bidi="ar-SA"/>
      </w:rPr>
    </w:lvl>
  </w:abstractNum>
  <w:abstractNum w:abstractNumId="141">
    <w:multiLevelType w:val="hybridMultilevel"/>
    <w:lvl w:ilvl="0">
      <w:start w:val="1"/>
      <w:numFmt w:val="lowerRoman"/>
      <w:lvlText w:val="(%1)"/>
      <w:lvlJc w:val="left"/>
      <w:pPr>
        <w:ind w:left="160" w:hanging="29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97"/>
      </w:pPr>
      <w:rPr>
        <w:rFonts w:hint="default"/>
        <w:lang w:val="en-US" w:eastAsia="en-US" w:bidi="ar-SA"/>
      </w:rPr>
    </w:lvl>
    <w:lvl w:ilvl="2">
      <w:start w:val="0"/>
      <w:numFmt w:val="bullet"/>
      <w:lvlText w:val="•"/>
      <w:lvlJc w:val="left"/>
      <w:pPr>
        <w:ind w:left="1988" w:hanging="297"/>
      </w:pPr>
      <w:rPr>
        <w:rFonts w:hint="default"/>
        <w:lang w:val="en-US" w:eastAsia="en-US" w:bidi="ar-SA"/>
      </w:rPr>
    </w:lvl>
    <w:lvl w:ilvl="3">
      <w:start w:val="0"/>
      <w:numFmt w:val="bullet"/>
      <w:lvlText w:val="•"/>
      <w:lvlJc w:val="left"/>
      <w:pPr>
        <w:ind w:left="2902" w:hanging="297"/>
      </w:pPr>
      <w:rPr>
        <w:rFonts w:hint="default"/>
        <w:lang w:val="en-US" w:eastAsia="en-US" w:bidi="ar-SA"/>
      </w:rPr>
    </w:lvl>
    <w:lvl w:ilvl="4">
      <w:start w:val="0"/>
      <w:numFmt w:val="bullet"/>
      <w:lvlText w:val="•"/>
      <w:lvlJc w:val="left"/>
      <w:pPr>
        <w:ind w:left="3816" w:hanging="297"/>
      </w:pPr>
      <w:rPr>
        <w:rFonts w:hint="default"/>
        <w:lang w:val="en-US" w:eastAsia="en-US" w:bidi="ar-SA"/>
      </w:rPr>
    </w:lvl>
    <w:lvl w:ilvl="5">
      <w:start w:val="0"/>
      <w:numFmt w:val="bullet"/>
      <w:lvlText w:val="•"/>
      <w:lvlJc w:val="left"/>
      <w:pPr>
        <w:ind w:left="4730" w:hanging="297"/>
      </w:pPr>
      <w:rPr>
        <w:rFonts w:hint="default"/>
        <w:lang w:val="en-US" w:eastAsia="en-US" w:bidi="ar-SA"/>
      </w:rPr>
    </w:lvl>
    <w:lvl w:ilvl="6">
      <w:start w:val="0"/>
      <w:numFmt w:val="bullet"/>
      <w:lvlText w:val="•"/>
      <w:lvlJc w:val="left"/>
      <w:pPr>
        <w:ind w:left="5644" w:hanging="297"/>
      </w:pPr>
      <w:rPr>
        <w:rFonts w:hint="default"/>
        <w:lang w:val="en-US" w:eastAsia="en-US" w:bidi="ar-SA"/>
      </w:rPr>
    </w:lvl>
    <w:lvl w:ilvl="7">
      <w:start w:val="0"/>
      <w:numFmt w:val="bullet"/>
      <w:lvlText w:val="•"/>
      <w:lvlJc w:val="left"/>
      <w:pPr>
        <w:ind w:left="6558" w:hanging="297"/>
      </w:pPr>
      <w:rPr>
        <w:rFonts w:hint="default"/>
        <w:lang w:val="en-US" w:eastAsia="en-US" w:bidi="ar-SA"/>
      </w:rPr>
    </w:lvl>
    <w:lvl w:ilvl="8">
      <w:start w:val="0"/>
      <w:numFmt w:val="bullet"/>
      <w:lvlText w:val="•"/>
      <w:lvlJc w:val="left"/>
      <w:pPr>
        <w:ind w:left="7472" w:hanging="297"/>
      </w:pPr>
      <w:rPr>
        <w:rFonts w:hint="default"/>
        <w:lang w:val="en-US" w:eastAsia="en-US" w:bidi="ar-SA"/>
      </w:rPr>
    </w:lvl>
  </w:abstractNum>
  <w:abstractNum w:abstractNumId="140">
    <w:multiLevelType w:val="hybridMultilevel"/>
    <w:lvl w:ilvl="0">
      <w:start w:val="1"/>
      <w:numFmt w:val="lowerRoman"/>
      <w:lvlText w:val="(%1)"/>
      <w:lvlJc w:val="left"/>
      <w:pPr>
        <w:ind w:left="160" w:hanging="28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289"/>
      </w:pPr>
      <w:rPr>
        <w:rFonts w:hint="default"/>
        <w:lang w:val="en-US" w:eastAsia="en-US" w:bidi="ar-SA"/>
      </w:rPr>
    </w:lvl>
    <w:lvl w:ilvl="2">
      <w:start w:val="0"/>
      <w:numFmt w:val="bullet"/>
      <w:lvlText w:val="•"/>
      <w:lvlJc w:val="left"/>
      <w:pPr>
        <w:ind w:left="1988" w:hanging="289"/>
      </w:pPr>
      <w:rPr>
        <w:rFonts w:hint="default"/>
        <w:lang w:val="en-US" w:eastAsia="en-US" w:bidi="ar-SA"/>
      </w:rPr>
    </w:lvl>
    <w:lvl w:ilvl="3">
      <w:start w:val="0"/>
      <w:numFmt w:val="bullet"/>
      <w:lvlText w:val="•"/>
      <w:lvlJc w:val="left"/>
      <w:pPr>
        <w:ind w:left="2902" w:hanging="289"/>
      </w:pPr>
      <w:rPr>
        <w:rFonts w:hint="default"/>
        <w:lang w:val="en-US" w:eastAsia="en-US" w:bidi="ar-SA"/>
      </w:rPr>
    </w:lvl>
    <w:lvl w:ilvl="4">
      <w:start w:val="0"/>
      <w:numFmt w:val="bullet"/>
      <w:lvlText w:val="•"/>
      <w:lvlJc w:val="left"/>
      <w:pPr>
        <w:ind w:left="3816" w:hanging="289"/>
      </w:pPr>
      <w:rPr>
        <w:rFonts w:hint="default"/>
        <w:lang w:val="en-US" w:eastAsia="en-US" w:bidi="ar-SA"/>
      </w:rPr>
    </w:lvl>
    <w:lvl w:ilvl="5">
      <w:start w:val="0"/>
      <w:numFmt w:val="bullet"/>
      <w:lvlText w:val="•"/>
      <w:lvlJc w:val="left"/>
      <w:pPr>
        <w:ind w:left="4730" w:hanging="289"/>
      </w:pPr>
      <w:rPr>
        <w:rFonts w:hint="default"/>
        <w:lang w:val="en-US" w:eastAsia="en-US" w:bidi="ar-SA"/>
      </w:rPr>
    </w:lvl>
    <w:lvl w:ilvl="6">
      <w:start w:val="0"/>
      <w:numFmt w:val="bullet"/>
      <w:lvlText w:val="•"/>
      <w:lvlJc w:val="left"/>
      <w:pPr>
        <w:ind w:left="5644" w:hanging="289"/>
      </w:pPr>
      <w:rPr>
        <w:rFonts w:hint="default"/>
        <w:lang w:val="en-US" w:eastAsia="en-US" w:bidi="ar-SA"/>
      </w:rPr>
    </w:lvl>
    <w:lvl w:ilvl="7">
      <w:start w:val="0"/>
      <w:numFmt w:val="bullet"/>
      <w:lvlText w:val="•"/>
      <w:lvlJc w:val="left"/>
      <w:pPr>
        <w:ind w:left="6558" w:hanging="289"/>
      </w:pPr>
      <w:rPr>
        <w:rFonts w:hint="default"/>
        <w:lang w:val="en-US" w:eastAsia="en-US" w:bidi="ar-SA"/>
      </w:rPr>
    </w:lvl>
    <w:lvl w:ilvl="8">
      <w:start w:val="0"/>
      <w:numFmt w:val="bullet"/>
      <w:lvlText w:val="•"/>
      <w:lvlJc w:val="left"/>
      <w:pPr>
        <w:ind w:left="7472" w:hanging="289"/>
      </w:pPr>
      <w:rPr>
        <w:rFonts w:hint="default"/>
        <w:lang w:val="en-US" w:eastAsia="en-US" w:bidi="ar-SA"/>
      </w:rPr>
    </w:lvl>
  </w:abstractNum>
  <w:abstractNum w:abstractNumId="139">
    <w:multiLevelType w:val="hybridMultilevel"/>
    <w:lvl w:ilvl="0">
      <w:start w:val="1"/>
      <w:numFmt w:val="lowerRoman"/>
      <w:lvlText w:val="(%1)"/>
      <w:lvlJc w:val="left"/>
      <w:pPr>
        <w:ind w:left="446" w:hanging="2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500"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160" w:hanging="32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600" w:hanging="324"/>
      </w:pPr>
      <w:rPr>
        <w:rFonts w:hint="default"/>
        <w:lang w:val="en-US" w:eastAsia="en-US" w:bidi="ar-SA"/>
      </w:rPr>
    </w:lvl>
    <w:lvl w:ilvl="4">
      <w:start w:val="0"/>
      <w:numFmt w:val="bullet"/>
      <w:lvlText w:val="•"/>
      <w:lvlJc w:val="left"/>
      <w:pPr>
        <w:ind w:left="2700" w:hanging="324"/>
      </w:pPr>
      <w:rPr>
        <w:rFonts w:hint="default"/>
        <w:lang w:val="en-US" w:eastAsia="en-US" w:bidi="ar-SA"/>
      </w:rPr>
    </w:lvl>
    <w:lvl w:ilvl="5">
      <w:start w:val="0"/>
      <w:numFmt w:val="bullet"/>
      <w:lvlText w:val="•"/>
      <w:lvlJc w:val="left"/>
      <w:pPr>
        <w:ind w:left="3800" w:hanging="324"/>
      </w:pPr>
      <w:rPr>
        <w:rFonts w:hint="default"/>
        <w:lang w:val="en-US" w:eastAsia="en-US" w:bidi="ar-SA"/>
      </w:rPr>
    </w:lvl>
    <w:lvl w:ilvl="6">
      <w:start w:val="0"/>
      <w:numFmt w:val="bullet"/>
      <w:lvlText w:val="•"/>
      <w:lvlJc w:val="left"/>
      <w:pPr>
        <w:ind w:left="4900" w:hanging="324"/>
      </w:pPr>
      <w:rPr>
        <w:rFonts w:hint="default"/>
        <w:lang w:val="en-US" w:eastAsia="en-US" w:bidi="ar-SA"/>
      </w:rPr>
    </w:lvl>
    <w:lvl w:ilvl="7">
      <w:start w:val="0"/>
      <w:numFmt w:val="bullet"/>
      <w:lvlText w:val="•"/>
      <w:lvlJc w:val="left"/>
      <w:pPr>
        <w:ind w:left="6000" w:hanging="324"/>
      </w:pPr>
      <w:rPr>
        <w:rFonts w:hint="default"/>
        <w:lang w:val="en-US" w:eastAsia="en-US" w:bidi="ar-SA"/>
      </w:rPr>
    </w:lvl>
    <w:lvl w:ilvl="8">
      <w:start w:val="0"/>
      <w:numFmt w:val="bullet"/>
      <w:lvlText w:val="•"/>
      <w:lvlJc w:val="left"/>
      <w:pPr>
        <w:ind w:left="7100" w:hanging="324"/>
      </w:pPr>
      <w:rPr>
        <w:rFonts w:hint="default"/>
        <w:lang w:val="en-US" w:eastAsia="en-US" w:bidi="ar-SA"/>
      </w:rPr>
    </w:lvl>
  </w:abstractNum>
  <w:abstractNum w:abstractNumId="138">
    <w:multiLevelType w:val="hybridMultilevel"/>
    <w:lvl w:ilvl="0">
      <w:start w:val="2"/>
      <w:numFmt w:val="decimal"/>
      <w:lvlText w:val="(%1)"/>
      <w:lvlJc w:val="left"/>
      <w:pPr>
        <w:ind w:left="160" w:hanging="35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0"/>
      </w:pPr>
      <w:rPr>
        <w:rFonts w:hint="default"/>
        <w:lang w:val="en-US" w:eastAsia="en-US" w:bidi="ar-SA"/>
      </w:rPr>
    </w:lvl>
    <w:lvl w:ilvl="2">
      <w:start w:val="0"/>
      <w:numFmt w:val="bullet"/>
      <w:lvlText w:val="•"/>
      <w:lvlJc w:val="left"/>
      <w:pPr>
        <w:ind w:left="1988" w:hanging="350"/>
      </w:pPr>
      <w:rPr>
        <w:rFonts w:hint="default"/>
        <w:lang w:val="en-US" w:eastAsia="en-US" w:bidi="ar-SA"/>
      </w:rPr>
    </w:lvl>
    <w:lvl w:ilvl="3">
      <w:start w:val="0"/>
      <w:numFmt w:val="bullet"/>
      <w:lvlText w:val="•"/>
      <w:lvlJc w:val="left"/>
      <w:pPr>
        <w:ind w:left="2902" w:hanging="350"/>
      </w:pPr>
      <w:rPr>
        <w:rFonts w:hint="default"/>
        <w:lang w:val="en-US" w:eastAsia="en-US" w:bidi="ar-SA"/>
      </w:rPr>
    </w:lvl>
    <w:lvl w:ilvl="4">
      <w:start w:val="0"/>
      <w:numFmt w:val="bullet"/>
      <w:lvlText w:val="•"/>
      <w:lvlJc w:val="left"/>
      <w:pPr>
        <w:ind w:left="3816" w:hanging="350"/>
      </w:pPr>
      <w:rPr>
        <w:rFonts w:hint="default"/>
        <w:lang w:val="en-US" w:eastAsia="en-US" w:bidi="ar-SA"/>
      </w:rPr>
    </w:lvl>
    <w:lvl w:ilvl="5">
      <w:start w:val="0"/>
      <w:numFmt w:val="bullet"/>
      <w:lvlText w:val="•"/>
      <w:lvlJc w:val="left"/>
      <w:pPr>
        <w:ind w:left="4730" w:hanging="350"/>
      </w:pPr>
      <w:rPr>
        <w:rFonts w:hint="default"/>
        <w:lang w:val="en-US" w:eastAsia="en-US" w:bidi="ar-SA"/>
      </w:rPr>
    </w:lvl>
    <w:lvl w:ilvl="6">
      <w:start w:val="0"/>
      <w:numFmt w:val="bullet"/>
      <w:lvlText w:val="•"/>
      <w:lvlJc w:val="left"/>
      <w:pPr>
        <w:ind w:left="5644" w:hanging="350"/>
      </w:pPr>
      <w:rPr>
        <w:rFonts w:hint="default"/>
        <w:lang w:val="en-US" w:eastAsia="en-US" w:bidi="ar-SA"/>
      </w:rPr>
    </w:lvl>
    <w:lvl w:ilvl="7">
      <w:start w:val="0"/>
      <w:numFmt w:val="bullet"/>
      <w:lvlText w:val="•"/>
      <w:lvlJc w:val="left"/>
      <w:pPr>
        <w:ind w:left="6558" w:hanging="350"/>
      </w:pPr>
      <w:rPr>
        <w:rFonts w:hint="default"/>
        <w:lang w:val="en-US" w:eastAsia="en-US" w:bidi="ar-SA"/>
      </w:rPr>
    </w:lvl>
    <w:lvl w:ilvl="8">
      <w:start w:val="0"/>
      <w:numFmt w:val="bullet"/>
      <w:lvlText w:val="•"/>
      <w:lvlJc w:val="left"/>
      <w:pPr>
        <w:ind w:left="7472" w:hanging="350"/>
      </w:pPr>
      <w:rPr>
        <w:rFonts w:hint="default"/>
        <w:lang w:val="en-US" w:eastAsia="en-US" w:bidi="ar-SA"/>
      </w:rPr>
    </w:lvl>
  </w:abstractNum>
  <w:abstractNum w:abstractNumId="137">
    <w:multiLevelType w:val="hybridMultilevel"/>
    <w:lvl w:ilvl="0">
      <w:start w:val="1"/>
      <w:numFmt w:val="decimal"/>
      <w:lvlText w:val="(%1)"/>
      <w:lvlJc w:val="left"/>
      <w:pPr>
        <w:ind w:left="160" w:hanging="3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2"/>
      </w:pPr>
      <w:rPr>
        <w:rFonts w:hint="default"/>
        <w:lang w:val="en-US" w:eastAsia="en-US" w:bidi="ar-SA"/>
      </w:rPr>
    </w:lvl>
    <w:lvl w:ilvl="2">
      <w:start w:val="0"/>
      <w:numFmt w:val="bullet"/>
      <w:lvlText w:val="•"/>
      <w:lvlJc w:val="left"/>
      <w:pPr>
        <w:ind w:left="1988" w:hanging="342"/>
      </w:pPr>
      <w:rPr>
        <w:rFonts w:hint="default"/>
        <w:lang w:val="en-US" w:eastAsia="en-US" w:bidi="ar-SA"/>
      </w:rPr>
    </w:lvl>
    <w:lvl w:ilvl="3">
      <w:start w:val="0"/>
      <w:numFmt w:val="bullet"/>
      <w:lvlText w:val="•"/>
      <w:lvlJc w:val="left"/>
      <w:pPr>
        <w:ind w:left="2902" w:hanging="342"/>
      </w:pPr>
      <w:rPr>
        <w:rFonts w:hint="default"/>
        <w:lang w:val="en-US" w:eastAsia="en-US" w:bidi="ar-SA"/>
      </w:rPr>
    </w:lvl>
    <w:lvl w:ilvl="4">
      <w:start w:val="0"/>
      <w:numFmt w:val="bullet"/>
      <w:lvlText w:val="•"/>
      <w:lvlJc w:val="left"/>
      <w:pPr>
        <w:ind w:left="3816" w:hanging="342"/>
      </w:pPr>
      <w:rPr>
        <w:rFonts w:hint="default"/>
        <w:lang w:val="en-US" w:eastAsia="en-US" w:bidi="ar-SA"/>
      </w:rPr>
    </w:lvl>
    <w:lvl w:ilvl="5">
      <w:start w:val="0"/>
      <w:numFmt w:val="bullet"/>
      <w:lvlText w:val="•"/>
      <w:lvlJc w:val="left"/>
      <w:pPr>
        <w:ind w:left="4730" w:hanging="342"/>
      </w:pPr>
      <w:rPr>
        <w:rFonts w:hint="default"/>
        <w:lang w:val="en-US" w:eastAsia="en-US" w:bidi="ar-SA"/>
      </w:rPr>
    </w:lvl>
    <w:lvl w:ilvl="6">
      <w:start w:val="0"/>
      <w:numFmt w:val="bullet"/>
      <w:lvlText w:val="•"/>
      <w:lvlJc w:val="left"/>
      <w:pPr>
        <w:ind w:left="5644" w:hanging="342"/>
      </w:pPr>
      <w:rPr>
        <w:rFonts w:hint="default"/>
        <w:lang w:val="en-US" w:eastAsia="en-US" w:bidi="ar-SA"/>
      </w:rPr>
    </w:lvl>
    <w:lvl w:ilvl="7">
      <w:start w:val="0"/>
      <w:numFmt w:val="bullet"/>
      <w:lvlText w:val="•"/>
      <w:lvlJc w:val="left"/>
      <w:pPr>
        <w:ind w:left="6558" w:hanging="342"/>
      </w:pPr>
      <w:rPr>
        <w:rFonts w:hint="default"/>
        <w:lang w:val="en-US" w:eastAsia="en-US" w:bidi="ar-SA"/>
      </w:rPr>
    </w:lvl>
    <w:lvl w:ilvl="8">
      <w:start w:val="0"/>
      <w:numFmt w:val="bullet"/>
      <w:lvlText w:val="•"/>
      <w:lvlJc w:val="left"/>
      <w:pPr>
        <w:ind w:left="7472" w:hanging="342"/>
      </w:pPr>
      <w:rPr>
        <w:rFonts w:hint="default"/>
        <w:lang w:val="en-US" w:eastAsia="en-US" w:bidi="ar-SA"/>
      </w:rPr>
    </w:lvl>
  </w:abstractNum>
  <w:abstractNum w:abstractNumId="136">
    <w:multiLevelType w:val="hybridMultilevel"/>
    <w:lvl w:ilvl="0">
      <w:start w:val="4"/>
      <w:numFmt w:val="decimal"/>
      <w:lvlText w:val="(%1)"/>
      <w:lvlJc w:val="left"/>
      <w:pPr>
        <w:ind w:left="160" w:hanging="34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6"/>
      </w:pPr>
      <w:rPr>
        <w:rFonts w:hint="default"/>
        <w:lang w:val="en-US" w:eastAsia="en-US" w:bidi="ar-SA"/>
      </w:rPr>
    </w:lvl>
    <w:lvl w:ilvl="2">
      <w:start w:val="0"/>
      <w:numFmt w:val="bullet"/>
      <w:lvlText w:val="•"/>
      <w:lvlJc w:val="left"/>
      <w:pPr>
        <w:ind w:left="1988" w:hanging="346"/>
      </w:pPr>
      <w:rPr>
        <w:rFonts w:hint="default"/>
        <w:lang w:val="en-US" w:eastAsia="en-US" w:bidi="ar-SA"/>
      </w:rPr>
    </w:lvl>
    <w:lvl w:ilvl="3">
      <w:start w:val="0"/>
      <w:numFmt w:val="bullet"/>
      <w:lvlText w:val="•"/>
      <w:lvlJc w:val="left"/>
      <w:pPr>
        <w:ind w:left="2902" w:hanging="346"/>
      </w:pPr>
      <w:rPr>
        <w:rFonts w:hint="default"/>
        <w:lang w:val="en-US" w:eastAsia="en-US" w:bidi="ar-SA"/>
      </w:rPr>
    </w:lvl>
    <w:lvl w:ilvl="4">
      <w:start w:val="0"/>
      <w:numFmt w:val="bullet"/>
      <w:lvlText w:val="•"/>
      <w:lvlJc w:val="left"/>
      <w:pPr>
        <w:ind w:left="3816" w:hanging="346"/>
      </w:pPr>
      <w:rPr>
        <w:rFonts w:hint="default"/>
        <w:lang w:val="en-US" w:eastAsia="en-US" w:bidi="ar-SA"/>
      </w:rPr>
    </w:lvl>
    <w:lvl w:ilvl="5">
      <w:start w:val="0"/>
      <w:numFmt w:val="bullet"/>
      <w:lvlText w:val="•"/>
      <w:lvlJc w:val="left"/>
      <w:pPr>
        <w:ind w:left="4730" w:hanging="346"/>
      </w:pPr>
      <w:rPr>
        <w:rFonts w:hint="default"/>
        <w:lang w:val="en-US" w:eastAsia="en-US" w:bidi="ar-SA"/>
      </w:rPr>
    </w:lvl>
    <w:lvl w:ilvl="6">
      <w:start w:val="0"/>
      <w:numFmt w:val="bullet"/>
      <w:lvlText w:val="•"/>
      <w:lvlJc w:val="left"/>
      <w:pPr>
        <w:ind w:left="5644" w:hanging="346"/>
      </w:pPr>
      <w:rPr>
        <w:rFonts w:hint="default"/>
        <w:lang w:val="en-US" w:eastAsia="en-US" w:bidi="ar-SA"/>
      </w:rPr>
    </w:lvl>
    <w:lvl w:ilvl="7">
      <w:start w:val="0"/>
      <w:numFmt w:val="bullet"/>
      <w:lvlText w:val="•"/>
      <w:lvlJc w:val="left"/>
      <w:pPr>
        <w:ind w:left="6558" w:hanging="346"/>
      </w:pPr>
      <w:rPr>
        <w:rFonts w:hint="default"/>
        <w:lang w:val="en-US" w:eastAsia="en-US" w:bidi="ar-SA"/>
      </w:rPr>
    </w:lvl>
    <w:lvl w:ilvl="8">
      <w:start w:val="0"/>
      <w:numFmt w:val="bullet"/>
      <w:lvlText w:val="•"/>
      <w:lvlJc w:val="left"/>
      <w:pPr>
        <w:ind w:left="7472" w:hanging="346"/>
      </w:pPr>
      <w:rPr>
        <w:rFonts w:hint="default"/>
        <w:lang w:val="en-US" w:eastAsia="en-US" w:bidi="ar-SA"/>
      </w:rPr>
    </w:lvl>
  </w:abstractNum>
  <w:abstractNum w:abstractNumId="135">
    <w:multiLevelType w:val="hybridMultilevel"/>
    <w:lvl w:ilvl="0">
      <w:start w:val="1"/>
      <w:numFmt w:val="decimal"/>
      <w:lvlText w:val="(%1)"/>
      <w:lvlJc w:val="left"/>
      <w:pPr>
        <w:ind w:left="160" w:hanging="41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13"/>
      </w:pPr>
      <w:rPr>
        <w:rFonts w:hint="default"/>
        <w:lang w:val="en-US" w:eastAsia="en-US" w:bidi="ar-SA"/>
      </w:rPr>
    </w:lvl>
    <w:lvl w:ilvl="2">
      <w:start w:val="0"/>
      <w:numFmt w:val="bullet"/>
      <w:lvlText w:val="•"/>
      <w:lvlJc w:val="left"/>
      <w:pPr>
        <w:ind w:left="1988" w:hanging="413"/>
      </w:pPr>
      <w:rPr>
        <w:rFonts w:hint="default"/>
        <w:lang w:val="en-US" w:eastAsia="en-US" w:bidi="ar-SA"/>
      </w:rPr>
    </w:lvl>
    <w:lvl w:ilvl="3">
      <w:start w:val="0"/>
      <w:numFmt w:val="bullet"/>
      <w:lvlText w:val="•"/>
      <w:lvlJc w:val="left"/>
      <w:pPr>
        <w:ind w:left="2902" w:hanging="413"/>
      </w:pPr>
      <w:rPr>
        <w:rFonts w:hint="default"/>
        <w:lang w:val="en-US" w:eastAsia="en-US" w:bidi="ar-SA"/>
      </w:rPr>
    </w:lvl>
    <w:lvl w:ilvl="4">
      <w:start w:val="0"/>
      <w:numFmt w:val="bullet"/>
      <w:lvlText w:val="•"/>
      <w:lvlJc w:val="left"/>
      <w:pPr>
        <w:ind w:left="3816" w:hanging="413"/>
      </w:pPr>
      <w:rPr>
        <w:rFonts w:hint="default"/>
        <w:lang w:val="en-US" w:eastAsia="en-US" w:bidi="ar-SA"/>
      </w:rPr>
    </w:lvl>
    <w:lvl w:ilvl="5">
      <w:start w:val="0"/>
      <w:numFmt w:val="bullet"/>
      <w:lvlText w:val="•"/>
      <w:lvlJc w:val="left"/>
      <w:pPr>
        <w:ind w:left="4730" w:hanging="413"/>
      </w:pPr>
      <w:rPr>
        <w:rFonts w:hint="default"/>
        <w:lang w:val="en-US" w:eastAsia="en-US" w:bidi="ar-SA"/>
      </w:rPr>
    </w:lvl>
    <w:lvl w:ilvl="6">
      <w:start w:val="0"/>
      <w:numFmt w:val="bullet"/>
      <w:lvlText w:val="•"/>
      <w:lvlJc w:val="left"/>
      <w:pPr>
        <w:ind w:left="5644" w:hanging="413"/>
      </w:pPr>
      <w:rPr>
        <w:rFonts w:hint="default"/>
        <w:lang w:val="en-US" w:eastAsia="en-US" w:bidi="ar-SA"/>
      </w:rPr>
    </w:lvl>
    <w:lvl w:ilvl="7">
      <w:start w:val="0"/>
      <w:numFmt w:val="bullet"/>
      <w:lvlText w:val="•"/>
      <w:lvlJc w:val="left"/>
      <w:pPr>
        <w:ind w:left="6558" w:hanging="413"/>
      </w:pPr>
      <w:rPr>
        <w:rFonts w:hint="default"/>
        <w:lang w:val="en-US" w:eastAsia="en-US" w:bidi="ar-SA"/>
      </w:rPr>
    </w:lvl>
    <w:lvl w:ilvl="8">
      <w:start w:val="0"/>
      <w:numFmt w:val="bullet"/>
      <w:lvlText w:val="•"/>
      <w:lvlJc w:val="left"/>
      <w:pPr>
        <w:ind w:left="7472" w:hanging="413"/>
      </w:pPr>
      <w:rPr>
        <w:rFonts w:hint="default"/>
        <w:lang w:val="en-US" w:eastAsia="en-US" w:bidi="ar-SA"/>
      </w:rPr>
    </w:lvl>
  </w:abstractNum>
  <w:abstractNum w:abstractNumId="134">
    <w:multiLevelType w:val="hybridMultilevel"/>
    <w:lvl w:ilvl="0">
      <w:start w:val="1"/>
      <w:numFmt w:val="decimal"/>
      <w:lvlText w:val="%1"/>
      <w:lvlJc w:val="left"/>
      <w:pPr>
        <w:ind w:left="160" w:hanging="182"/>
        <w:jc w:val="left"/>
      </w:pPr>
      <w:rPr>
        <w:rFonts w:hint="default"/>
        <w:spacing w:val="0"/>
        <w:w w:val="100"/>
        <w:lang w:val="en-US" w:eastAsia="en-US" w:bidi="ar-SA"/>
      </w:rPr>
    </w:lvl>
    <w:lvl w:ilvl="1">
      <w:start w:val="1"/>
      <w:numFmt w:val="decimal"/>
      <w:lvlText w:val="(%2)"/>
      <w:lvlJc w:val="left"/>
      <w:pPr>
        <w:ind w:left="160" w:hanging="349"/>
        <w:jc w:val="left"/>
      </w:pPr>
      <w:rPr>
        <w:rFonts w:hint="default"/>
        <w:spacing w:val="0"/>
        <w:w w:val="100"/>
        <w:lang w:val="en-US" w:eastAsia="en-US" w:bidi="ar-SA"/>
      </w:rPr>
    </w:lvl>
    <w:lvl w:ilvl="2">
      <w:start w:val="1"/>
      <w:numFmt w:val="lowerLetter"/>
      <w:lvlText w:val="(%3)"/>
      <w:lvlJc w:val="left"/>
      <w:pPr>
        <w:ind w:left="160" w:hanging="34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440" w:hanging="349"/>
      </w:pPr>
      <w:rPr>
        <w:rFonts w:hint="default"/>
        <w:lang w:val="en-US" w:eastAsia="en-US" w:bidi="ar-SA"/>
      </w:rPr>
    </w:lvl>
    <w:lvl w:ilvl="4">
      <w:start w:val="0"/>
      <w:numFmt w:val="bullet"/>
      <w:lvlText w:val="•"/>
      <w:lvlJc w:val="left"/>
      <w:pPr>
        <w:ind w:left="3420" w:hanging="349"/>
      </w:pPr>
      <w:rPr>
        <w:rFonts w:hint="default"/>
        <w:lang w:val="en-US" w:eastAsia="en-US" w:bidi="ar-SA"/>
      </w:rPr>
    </w:lvl>
    <w:lvl w:ilvl="5">
      <w:start w:val="0"/>
      <w:numFmt w:val="bullet"/>
      <w:lvlText w:val="•"/>
      <w:lvlJc w:val="left"/>
      <w:pPr>
        <w:ind w:left="4400" w:hanging="349"/>
      </w:pPr>
      <w:rPr>
        <w:rFonts w:hint="default"/>
        <w:lang w:val="en-US" w:eastAsia="en-US" w:bidi="ar-SA"/>
      </w:rPr>
    </w:lvl>
    <w:lvl w:ilvl="6">
      <w:start w:val="0"/>
      <w:numFmt w:val="bullet"/>
      <w:lvlText w:val="•"/>
      <w:lvlJc w:val="left"/>
      <w:pPr>
        <w:ind w:left="5380" w:hanging="349"/>
      </w:pPr>
      <w:rPr>
        <w:rFonts w:hint="default"/>
        <w:lang w:val="en-US" w:eastAsia="en-US" w:bidi="ar-SA"/>
      </w:rPr>
    </w:lvl>
    <w:lvl w:ilvl="7">
      <w:start w:val="0"/>
      <w:numFmt w:val="bullet"/>
      <w:lvlText w:val="•"/>
      <w:lvlJc w:val="left"/>
      <w:pPr>
        <w:ind w:left="6360" w:hanging="349"/>
      </w:pPr>
      <w:rPr>
        <w:rFonts w:hint="default"/>
        <w:lang w:val="en-US" w:eastAsia="en-US" w:bidi="ar-SA"/>
      </w:rPr>
    </w:lvl>
    <w:lvl w:ilvl="8">
      <w:start w:val="0"/>
      <w:numFmt w:val="bullet"/>
      <w:lvlText w:val="•"/>
      <w:lvlJc w:val="left"/>
      <w:pPr>
        <w:ind w:left="7340" w:hanging="349"/>
      </w:pPr>
      <w:rPr>
        <w:rFonts w:hint="default"/>
        <w:lang w:val="en-US" w:eastAsia="en-US" w:bidi="ar-SA"/>
      </w:rPr>
    </w:lvl>
  </w:abstractNum>
  <w:abstractNum w:abstractNumId="133">
    <w:multiLevelType w:val="hybridMultilevel"/>
    <w:lvl w:ilvl="0">
      <w:start w:val="6"/>
      <w:numFmt w:val="decimal"/>
      <w:lvlText w:val="%1"/>
      <w:lvlJc w:val="left"/>
      <w:pPr>
        <w:ind w:left="160" w:hanging="495"/>
        <w:jc w:val="left"/>
      </w:pPr>
      <w:rPr>
        <w:rFonts w:hint="default"/>
        <w:lang w:val="en-US" w:eastAsia="en-US" w:bidi="ar-SA"/>
      </w:rPr>
    </w:lvl>
    <w:lvl w:ilvl="1">
      <w:start w:val="72"/>
      <w:numFmt w:val="decimal"/>
      <w:lvlText w:val="%1.%2"/>
      <w:lvlJc w:val="left"/>
      <w:pPr>
        <w:ind w:left="160" w:hanging="49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495"/>
      </w:pPr>
      <w:rPr>
        <w:rFonts w:hint="default"/>
        <w:lang w:val="en-US" w:eastAsia="en-US" w:bidi="ar-SA"/>
      </w:rPr>
    </w:lvl>
    <w:lvl w:ilvl="3">
      <w:start w:val="0"/>
      <w:numFmt w:val="bullet"/>
      <w:lvlText w:val="•"/>
      <w:lvlJc w:val="left"/>
      <w:pPr>
        <w:ind w:left="2902" w:hanging="495"/>
      </w:pPr>
      <w:rPr>
        <w:rFonts w:hint="default"/>
        <w:lang w:val="en-US" w:eastAsia="en-US" w:bidi="ar-SA"/>
      </w:rPr>
    </w:lvl>
    <w:lvl w:ilvl="4">
      <w:start w:val="0"/>
      <w:numFmt w:val="bullet"/>
      <w:lvlText w:val="•"/>
      <w:lvlJc w:val="left"/>
      <w:pPr>
        <w:ind w:left="3816" w:hanging="495"/>
      </w:pPr>
      <w:rPr>
        <w:rFonts w:hint="default"/>
        <w:lang w:val="en-US" w:eastAsia="en-US" w:bidi="ar-SA"/>
      </w:rPr>
    </w:lvl>
    <w:lvl w:ilvl="5">
      <w:start w:val="0"/>
      <w:numFmt w:val="bullet"/>
      <w:lvlText w:val="•"/>
      <w:lvlJc w:val="left"/>
      <w:pPr>
        <w:ind w:left="4730" w:hanging="495"/>
      </w:pPr>
      <w:rPr>
        <w:rFonts w:hint="default"/>
        <w:lang w:val="en-US" w:eastAsia="en-US" w:bidi="ar-SA"/>
      </w:rPr>
    </w:lvl>
    <w:lvl w:ilvl="6">
      <w:start w:val="0"/>
      <w:numFmt w:val="bullet"/>
      <w:lvlText w:val="•"/>
      <w:lvlJc w:val="left"/>
      <w:pPr>
        <w:ind w:left="5644" w:hanging="495"/>
      </w:pPr>
      <w:rPr>
        <w:rFonts w:hint="default"/>
        <w:lang w:val="en-US" w:eastAsia="en-US" w:bidi="ar-SA"/>
      </w:rPr>
    </w:lvl>
    <w:lvl w:ilvl="7">
      <w:start w:val="0"/>
      <w:numFmt w:val="bullet"/>
      <w:lvlText w:val="•"/>
      <w:lvlJc w:val="left"/>
      <w:pPr>
        <w:ind w:left="6558" w:hanging="495"/>
      </w:pPr>
      <w:rPr>
        <w:rFonts w:hint="default"/>
        <w:lang w:val="en-US" w:eastAsia="en-US" w:bidi="ar-SA"/>
      </w:rPr>
    </w:lvl>
    <w:lvl w:ilvl="8">
      <w:start w:val="0"/>
      <w:numFmt w:val="bullet"/>
      <w:lvlText w:val="•"/>
      <w:lvlJc w:val="left"/>
      <w:pPr>
        <w:ind w:left="7472" w:hanging="495"/>
      </w:pPr>
      <w:rPr>
        <w:rFonts w:hint="default"/>
        <w:lang w:val="en-US" w:eastAsia="en-US" w:bidi="ar-SA"/>
      </w:rPr>
    </w:lvl>
  </w:abstractNum>
  <w:abstractNum w:abstractNumId="132">
    <w:multiLevelType w:val="hybridMultilevel"/>
    <w:lvl w:ilvl="0">
      <w:start w:val="1"/>
      <w:numFmt w:val="decimal"/>
      <w:lvlText w:val="(%1)"/>
      <w:lvlJc w:val="left"/>
      <w:pPr>
        <w:ind w:left="160" w:hanging="3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70"/>
      </w:pPr>
      <w:rPr>
        <w:rFonts w:hint="default"/>
        <w:lang w:val="en-US" w:eastAsia="en-US" w:bidi="ar-SA"/>
      </w:rPr>
    </w:lvl>
    <w:lvl w:ilvl="2">
      <w:start w:val="0"/>
      <w:numFmt w:val="bullet"/>
      <w:lvlText w:val="•"/>
      <w:lvlJc w:val="left"/>
      <w:pPr>
        <w:ind w:left="1988" w:hanging="370"/>
      </w:pPr>
      <w:rPr>
        <w:rFonts w:hint="default"/>
        <w:lang w:val="en-US" w:eastAsia="en-US" w:bidi="ar-SA"/>
      </w:rPr>
    </w:lvl>
    <w:lvl w:ilvl="3">
      <w:start w:val="0"/>
      <w:numFmt w:val="bullet"/>
      <w:lvlText w:val="•"/>
      <w:lvlJc w:val="left"/>
      <w:pPr>
        <w:ind w:left="2902" w:hanging="370"/>
      </w:pPr>
      <w:rPr>
        <w:rFonts w:hint="default"/>
        <w:lang w:val="en-US" w:eastAsia="en-US" w:bidi="ar-SA"/>
      </w:rPr>
    </w:lvl>
    <w:lvl w:ilvl="4">
      <w:start w:val="0"/>
      <w:numFmt w:val="bullet"/>
      <w:lvlText w:val="•"/>
      <w:lvlJc w:val="left"/>
      <w:pPr>
        <w:ind w:left="3816" w:hanging="370"/>
      </w:pPr>
      <w:rPr>
        <w:rFonts w:hint="default"/>
        <w:lang w:val="en-US" w:eastAsia="en-US" w:bidi="ar-SA"/>
      </w:rPr>
    </w:lvl>
    <w:lvl w:ilvl="5">
      <w:start w:val="0"/>
      <w:numFmt w:val="bullet"/>
      <w:lvlText w:val="•"/>
      <w:lvlJc w:val="left"/>
      <w:pPr>
        <w:ind w:left="4730" w:hanging="370"/>
      </w:pPr>
      <w:rPr>
        <w:rFonts w:hint="default"/>
        <w:lang w:val="en-US" w:eastAsia="en-US" w:bidi="ar-SA"/>
      </w:rPr>
    </w:lvl>
    <w:lvl w:ilvl="6">
      <w:start w:val="0"/>
      <w:numFmt w:val="bullet"/>
      <w:lvlText w:val="•"/>
      <w:lvlJc w:val="left"/>
      <w:pPr>
        <w:ind w:left="5644" w:hanging="370"/>
      </w:pPr>
      <w:rPr>
        <w:rFonts w:hint="default"/>
        <w:lang w:val="en-US" w:eastAsia="en-US" w:bidi="ar-SA"/>
      </w:rPr>
    </w:lvl>
    <w:lvl w:ilvl="7">
      <w:start w:val="0"/>
      <w:numFmt w:val="bullet"/>
      <w:lvlText w:val="•"/>
      <w:lvlJc w:val="left"/>
      <w:pPr>
        <w:ind w:left="6558" w:hanging="370"/>
      </w:pPr>
      <w:rPr>
        <w:rFonts w:hint="default"/>
        <w:lang w:val="en-US" w:eastAsia="en-US" w:bidi="ar-SA"/>
      </w:rPr>
    </w:lvl>
    <w:lvl w:ilvl="8">
      <w:start w:val="0"/>
      <w:numFmt w:val="bullet"/>
      <w:lvlText w:val="•"/>
      <w:lvlJc w:val="left"/>
      <w:pPr>
        <w:ind w:left="7472" w:hanging="370"/>
      </w:pPr>
      <w:rPr>
        <w:rFonts w:hint="default"/>
        <w:lang w:val="en-US" w:eastAsia="en-US" w:bidi="ar-SA"/>
      </w:rPr>
    </w:lvl>
  </w:abstractNum>
  <w:abstractNum w:abstractNumId="131">
    <w:multiLevelType w:val="hybridMultilevel"/>
    <w:lvl w:ilvl="0">
      <w:start w:val="1"/>
      <w:numFmt w:val="decimal"/>
      <w:lvlText w:val="(%1)"/>
      <w:lvlJc w:val="left"/>
      <w:pPr>
        <w:ind w:left="160" w:hanging="38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2"/>
      </w:pPr>
      <w:rPr>
        <w:rFonts w:hint="default"/>
        <w:lang w:val="en-US" w:eastAsia="en-US" w:bidi="ar-SA"/>
      </w:rPr>
    </w:lvl>
    <w:lvl w:ilvl="2">
      <w:start w:val="0"/>
      <w:numFmt w:val="bullet"/>
      <w:lvlText w:val="•"/>
      <w:lvlJc w:val="left"/>
      <w:pPr>
        <w:ind w:left="1988" w:hanging="382"/>
      </w:pPr>
      <w:rPr>
        <w:rFonts w:hint="default"/>
        <w:lang w:val="en-US" w:eastAsia="en-US" w:bidi="ar-SA"/>
      </w:rPr>
    </w:lvl>
    <w:lvl w:ilvl="3">
      <w:start w:val="0"/>
      <w:numFmt w:val="bullet"/>
      <w:lvlText w:val="•"/>
      <w:lvlJc w:val="left"/>
      <w:pPr>
        <w:ind w:left="2902" w:hanging="382"/>
      </w:pPr>
      <w:rPr>
        <w:rFonts w:hint="default"/>
        <w:lang w:val="en-US" w:eastAsia="en-US" w:bidi="ar-SA"/>
      </w:rPr>
    </w:lvl>
    <w:lvl w:ilvl="4">
      <w:start w:val="0"/>
      <w:numFmt w:val="bullet"/>
      <w:lvlText w:val="•"/>
      <w:lvlJc w:val="left"/>
      <w:pPr>
        <w:ind w:left="3816" w:hanging="382"/>
      </w:pPr>
      <w:rPr>
        <w:rFonts w:hint="default"/>
        <w:lang w:val="en-US" w:eastAsia="en-US" w:bidi="ar-SA"/>
      </w:rPr>
    </w:lvl>
    <w:lvl w:ilvl="5">
      <w:start w:val="0"/>
      <w:numFmt w:val="bullet"/>
      <w:lvlText w:val="•"/>
      <w:lvlJc w:val="left"/>
      <w:pPr>
        <w:ind w:left="4730" w:hanging="382"/>
      </w:pPr>
      <w:rPr>
        <w:rFonts w:hint="default"/>
        <w:lang w:val="en-US" w:eastAsia="en-US" w:bidi="ar-SA"/>
      </w:rPr>
    </w:lvl>
    <w:lvl w:ilvl="6">
      <w:start w:val="0"/>
      <w:numFmt w:val="bullet"/>
      <w:lvlText w:val="•"/>
      <w:lvlJc w:val="left"/>
      <w:pPr>
        <w:ind w:left="5644" w:hanging="382"/>
      </w:pPr>
      <w:rPr>
        <w:rFonts w:hint="default"/>
        <w:lang w:val="en-US" w:eastAsia="en-US" w:bidi="ar-SA"/>
      </w:rPr>
    </w:lvl>
    <w:lvl w:ilvl="7">
      <w:start w:val="0"/>
      <w:numFmt w:val="bullet"/>
      <w:lvlText w:val="•"/>
      <w:lvlJc w:val="left"/>
      <w:pPr>
        <w:ind w:left="6558" w:hanging="382"/>
      </w:pPr>
      <w:rPr>
        <w:rFonts w:hint="default"/>
        <w:lang w:val="en-US" w:eastAsia="en-US" w:bidi="ar-SA"/>
      </w:rPr>
    </w:lvl>
    <w:lvl w:ilvl="8">
      <w:start w:val="0"/>
      <w:numFmt w:val="bullet"/>
      <w:lvlText w:val="•"/>
      <w:lvlJc w:val="left"/>
      <w:pPr>
        <w:ind w:left="7472" w:hanging="382"/>
      </w:pPr>
      <w:rPr>
        <w:rFonts w:hint="default"/>
        <w:lang w:val="en-US" w:eastAsia="en-US" w:bidi="ar-SA"/>
      </w:rPr>
    </w:lvl>
  </w:abstractNum>
  <w:abstractNum w:abstractNumId="130">
    <w:multiLevelType w:val="hybridMultilevel"/>
    <w:lvl w:ilvl="0">
      <w:start w:val="1"/>
      <w:numFmt w:val="decimal"/>
      <w:lvlText w:val="(%1)"/>
      <w:lvlJc w:val="left"/>
      <w:pPr>
        <w:ind w:left="160" w:hanging="3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2"/>
      </w:pPr>
      <w:rPr>
        <w:rFonts w:hint="default"/>
        <w:lang w:val="en-US" w:eastAsia="en-US" w:bidi="ar-SA"/>
      </w:rPr>
    </w:lvl>
    <w:lvl w:ilvl="2">
      <w:start w:val="0"/>
      <w:numFmt w:val="bullet"/>
      <w:lvlText w:val="•"/>
      <w:lvlJc w:val="left"/>
      <w:pPr>
        <w:ind w:left="1988" w:hanging="342"/>
      </w:pPr>
      <w:rPr>
        <w:rFonts w:hint="default"/>
        <w:lang w:val="en-US" w:eastAsia="en-US" w:bidi="ar-SA"/>
      </w:rPr>
    </w:lvl>
    <w:lvl w:ilvl="3">
      <w:start w:val="0"/>
      <w:numFmt w:val="bullet"/>
      <w:lvlText w:val="•"/>
      <w:lvlJc w:val="left"/>
      <w:pPr>
        <w:ind w:left="2902" w:hanging="342"/>
      </w:pPr>
      <w:rPr>
        <w:rFonts w:hint="default"/>
        <w:lang w:val="en-US" w:eastAsia="en-US" w:bidi="ar-SA"/>
      </w:rPr>
    </w:lvl>
    <w:lvl w:ilvl="4">
      <w:start w:val="0"/>
      <w:numFmt w:val="bullet"/>
      <w:lvlText w:val="•"/>
      <w:lvlJc w:val="left"/>
      <w:pPr>
        <w:ind w:left="3816" w:hanging="342"/>
      </w:pPr>
      <w:rPr>
        <w:rFonts w:hint="default"/>
        <w:lang w:val="en-US" w:eastAsia="en-US" w:bidi="ar-SA"/>
      </w:rPr>
    </w:lvl>
    <w:lvl w:ilvl="5">
      <w:start w:val="0"/>
      <w:numFmt w:val="bullet"/>
      <w:lvlText w:val="•"/>
      <w:lvlJc w:val="left"/>
      <w:pPr>
        <w:ind w:left="4730" w:hanging="342"/>
      </w:pPr>
      <w:rPr>
        <w:rFonts w:hint="default"/>
        <w:lang w:val="en-US" w:eastAsia="en-US" w:bidi="ar-SA"/>
      </w:rPr>
    </w:lvl>
    <w:lvl w:ilvl="6">
      <w:start w:val="0"/>
      <w:numFmt w:val="bullet"/>
      <w:lvlText w:val="•"/>
      <w:lvlJc w:val="left"/>
      <w:pPr>
        <w:ind w:left="5644" w:hanging="342"/>
      </w:pPr>
      <w:rPr>
        <w:rFonts w:hint="default"/>
        <w:lang w:val="en-US" w:eastAsia="en-US" w:bidi="ar-SA"/>
      </w:rPr>
    </w:lvl>
    <w:lvl w:ilvl="7">
      <w:start w:val="0"/>
      <w:numFmt w:val="bullet"/>
      <w:lvlText w:val="•"/>
      <w:lvlJc w:val="left"/>
      <w:pPr>
        <w:ind w:left="6558" w:hanging="342"/>
      </w:pPr>
      <w:rPr>
        <w:rFonts w:hint="default"/>
        <w:lang w:val="en-US" w:eastAsia="en-US" w:bidi="ar-SA"/>
      </w:rPr>
    </w:lvl>
    <w:lvl w:ilvl="8">
      <w:start w:val="0"/>
      <w:numFmt w:val="bullet"/>
      <w:lvlText w:val="•"/>
      <w:lvlJc w:val="left"/>
      <w:pPr>
        <w:ind w:left="7472" w:hanging="342"/>
      </w:pPr>
      <w:rPr>
        <w:rFonts w:hint="default"/>
        <w:lang w:val="en-US" w:eastAsia="en-US" w:bidi="ar-SA"/>
      </w:rPr>
    </w:lvl>
  </w:abstractNum>
  <w:abstractNum w:abstractNumId="129">
    <w:multiLevelType w:val="hybridMultilevel"/>
    <w:lvl w:ilvl="0">
      <w:start w:val="1"/>
      <w:numFmt w:val="decimal"/>
      <w:lvlText w:val="(%1)"/>
      <w:lvlJc w:val="left"/>
      <w:pPr>
        <w:ind w:left="160" w:hanging="35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57"/>
      </w:pPr>
      <w:rPr>
        <w:rFonts w:hint="default"/>
        <w:lang w:val="en-US" w:eastAsia="en-US" w:bidi="ar-SA"/>
      </w:rPr>
    </w:lvl>
    <w:lvl w:ilvl="2">
      <w:start w:val="0"/>
      <w:numFmt w:val="bullet"/>
      <w:lvlText w:val="•"/>
      <w:lvlJc w:val="left"/>
      <w:pPr>
        <w:ind w:left="1988" w:hanging="357"/>
      </w:pPr>
      <w:rPr>
        <w:rFonts w:hint="default"/>
        <w:lang w:val="en-US" w:eastAsia="en-US" w:bidi="ar-SA"/>
      </w:rPr>
    </w:lvl>
    <w:lvl w:ilvl="3">
      <w:start w:val="0"/>
      <w:numFmt w:val="bullet"/>
      <w:lvlText w:val="•"/>
      <w:lvlJc w:val="left"/>
      <w:pPr>
        <w:ind w:left="2902" w:hanging="357"/>
      </w:pPr>
      <w:rPr>
        <w:rFonts w:hint="default"/>
        <w:lang w:val="en-US" w:eastAsia="en-US" w:bidi="ar-SA"/>
      </w:rPr>
    </w:lvl>
    <w:lvl w:ilvl="4">
      <w:start w:val="0"/>
      <w:numFmt w:val="bullet"/>
      <w:lvlText w:val="•"/>
      <w:lvlJc w:val="left"/>
      <w:pPr>
        <w:ind w:left="3816" w:hanging="357"/>
      </w:pPr>
      <w:rPr>
        <w:rFonts w:hint="default"/>
        <w:lang w:val="en-US" w:eastAsia="en-US" w:bidi="ar-SA"/>
      </w:rPr>
    </w:lvl>
    <w:lvl w:ilvl="5">
      <w:start w:val="0"/>
      <w:numFmt w:val="bullet"/>
      <w:lvlText w:val="•"/>
      <w:lvlJc w:val="left"/>
      <w:pPr>
        <w:ind w:left="4730" w:hanging="357"/>
      </w:pPr>
      <w:rPr>
        <w:rFonts w:hint="default"/>
        <w:lang w:val="en-US" w:eastAsia="en-US" w:bidi="ar-SA"/>
      </w:rPr>
    </w:lvl>
    <w:lvl w:ilvl="6">
      <w:start w:val="0"/>
      <w:numFmt w:val="bullet"/>
      <w:lvlText w:val="•"/>
      <w:lvlJc w:val="left"/>
      <w:pPr>
        <w:ind w:left="5644" w:hanging="357"/>
      </w:pPr>
      <w:rPr>
        <w:rFonts w:hint="default"/>
        <w:lang w:val="en-US" w:eastAsia="en-US" w:bidi="ar-SA"/>
      </w:rPr>
    </w:lvl>
    <w:lvl w:ilvl="7">
      <w:start w:val="0"/>
      <w:numFmt w:val="bullet"/>
      <w:lvlText w:val="•"/>
      <w:lvlJc w:val="left"/>
      <w:pPr>
        <w:ind w:left="6558" w:hanging="357"/>
      </w:pPr>
      <w:rPr>
        <w:rFonts w:hint="default"/>
        <w:lang w:val="en-US" w:eastAsia="en-US" w:bidi="ar-SA"/>
      </w:rPr>
    </w:lvl>
    <w:lvl w:ilvl="8">
      <w:start w:val="0"/>
      <w:numFmt w:val="bullet"/>
      <w:lvlText w:val="•"/>
      <w:lvlJc w:val="left"/>
      <w:pPr>
        <w:ind w:left="7472" w:hanging="357"/>
      </w:pPr>
      <w:rPr>
        <w:rFonts w:hint="default"/>
        <w:lang w:val="en-US" w:eastAsia="en-US" w:bidi="ar-SA"/>
      </w:rPr>
    </w:lvl>
  </w:abstractNum>
  <w:abstractNum w:abstractNumId="128">
    <w:multiLevelType w:val="hybridMultilevel"/>
    <w:lvl w:ilvl="0">
      <w:start w:val="1"/>
      <w:numFmt w:val="decimal"/>
      <w:lvlText w:val="(%1)"/>
      <w:lvlJc w:val="left"/>
      <w:pPr>
        <w:ind w:left="160" w:hanging="3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5"/>
      </w:pPr>
      <w:rPr>
        <w:rFonts w:hint="default"/>
        <w:lang w:val="en-US" w:eastAsia="en-US" w:bidi="ar-SA"/>
      </w:rPr>
    </w:lvl>
    <w:lvl w:ilvl="2">
      <w:start w:val="0"/>
      <w:numFmt w:val="bullet"/>
      <w:lvlText w:val="•"/>
      <w:lvlJc w:val="left"/>
      <w:pPr>
        <w:ind w:left="1988" w:hanging="345"/>
      </w:pPr>
      <w:rPr>
        <w:rFonts w:hint="default"/>
        <w:lang w:val="en-US" w:eastAsia="en-US" w:bidi="ar-SA"/>
      </w:rPr>
    </w:lvl>
    <w:lvl w:ilvl="3">
      <w:start w:val="0"/>
      <w:numFmt w:val="bullet"/>
      <w:lvlText w:val="•"/>
      <w:lvlJc w:val="left"/>
      <w:pPr>
        <w:ind w:left="2902" w:hanging="345"/>
      </w:pPr>
      <w:rPr>
        <w:rFonts w:hint="default"/>
        <w:lang w:val="en-US" w:eastAsia="en-US" w:bidi="ar-SA"/>
      </w:rPr>
    </w:lvl>
    <w:lvl w:ilvl="4">
      <w:start w:val="0"/>
      <w:numFmt w:val="bullet"/>
      <w:lvlText w:val="•"/>
      <w:lvlJc w:val="left"/>
      <w:pPr>
        <w:ind w:left="3816" w:hanging="345"/>
      </w:pPr>
      <w:rPr>
        <w:rFonts w:hint="default"/>
        <w:lang w:val="en-US" w:eastAsia="en-US" w:bidi="ar-SA"/>
      </w:rPr>
    </w:lvl>
    <w:lvl w:ilvl="5">
      <w:start w:val="0"/>
      <w:numFmt w:val="bullet"/>
      <w:lvlText w:val="•"/>
      <w:lvlJc w:val="left"/>
      <w:pPr>
        <w:ind w:left="4730" w:hanging="345"/>
      </w:pPr>
      <w:rPr>
        <w:rFonts w:hint="default"/>
        <w:lang w:val="en-US" w:eastAsia="en-US" w:bidi="ar-SA"/>
      </w:rPr>
    </w:lvl>
    <w:lvl w:ilvl="6">
      <w:start w:val="0"/>
      <w:numFmt w:val="bullet"/>
      <w:lvlText w:val="•"/>
      <w:lvlJc w:val="left"/>
      <w:pPr>
        <w:ind w:left="5644" w:hanging="345"/>
      </w:pPr>
      <w:rPr>
        <w:rFonts w:hint="default"/>
        <w:lang w:val="en-US" w:eastAsia="en-US" w:bidi="ar-SA"/>
      </w:rPr>
    </w:lvl>
    <w:lvl w:ilvl="7">
      <w:start w:val="0"/>
      <w:numFmt w:val="bullet"/>
      <w:lvlText w:val="•"/>
      <w:lvlJc w:val="left"/>
      <w:pPr>
        <w:ind w:left="6558" w:hanging="345"/>
      </w:pPr>
      <w:rPr>
        <w:rFonts w:hint="default"/>
        <w:lang w:val="en-US" w:eastAsia="en-US" w:bidi="ar-SA"/>
      </w:rPr>
    </w:lvl>
    <w:lvl w:ilvl="8">
      <w:start w:val="0"/>
      <w:numFmt w:val="bullet"/>
      <w:lvlText w:val="•"/>
      <w:lvlJc w:val="left"/>
      <w:pPr>
        <w:ind w:left="7472" w:hanging="345"/>
      </w:pPr>
      <w:rPr>
        <w:rFonts w:hint="default"/>
        <w:lang w:val="en-US" w:eastAsia="en-US" w:bidi="ar-SA"/>
      </w:rPr>
    </w:lvl>
  </w:abstractNum>
  <w:abstractNum w:abstractNumId="127">
    <w:multiLevelType w:val="hybridMultilevel"/>
    <w:lvl w:ilvl="0">
      <w:start w:val="6"/>
      <w:numFmt w:val="decimal"/>
      <w:lvlText w:val="%1"/>
      <w:lvlJc w:val="left"/>
      <w:pPr>
        <w:ind w:left="160" w:hanging="516"/>
        <w:jc w:val="left"/>
      </w:pPr>
      <w:rPr>
        <w:rFonts w:hint="default"/>
        <w:lang w:val="en-US" w:eastAsia="en-US" w:bidi="ar-SA"/>
      </w:rPr>
    </w:lvl>
    <w:lvl w:ilvl="1">
      <w:start w:val="52"/>
      <w:numFmt w:val="decimal"/>
      <w:lvlText w:val="%1.%2"/>
      <w:lvlJc w:val="left"/>
      <w:pPr>
        <w:ind w:left="160" w:hanging="516"/>
        <w:jc w:val="left"/>
      </w:pPr>
      <w:rPr>
        <w:rFonts w:hint="default"/>
        <w:spacing w:val="-1"/>
        <w:w w:val="100"/>
        <w:lang w:val="en-US" w:eastAsia="en-US" w:bidi="ar-SA"/>
      </w:rPr>
    </w:lvl>
    <w:lvl w:ilvl="2">
      <w:start w:val="0"/>
      <w:numFmt w:val="bullet"/>
      <w:lvlText w:val="•"/>
      <w:lvlJc w:val="left"/>
      <w:pPr>
        <w:ind w:left="1988" w:hanging="516"/>
      </w:pPr>
      <w:rPr>
        <w:rFonts w:hint="default"/>
        <w:lang w:val="en-US" w:eastAsia="en-US" w:bidi="ar-SA"/>
      </w:rPr>
    </w:lvl>
    <w:lvl w:ilvl="3">
      <w:start w:val="0"/>
      <w:numFmt w:val="bullet"/>
      <w:lvlText w:val="•"/>
      <w:lvlJc w:val="left"/>
      <w:pPr>
        <w:ind w:left="2902" w:hanging="516"/>
      </w:pPr>
      <w:rPr>
        <w:rFonts w:hint="default"/>
        <w:lang w:val="en-US" w:eastAsia="en-US" w:bidi="ar-SA"/>
      </w:rPr>
    </w:lvl>
    <w:lvl w:ilvl="4">
      <w:start w:val="0"/>
      <w:numFmt w:val="bullet"/>
      <w:lvlText w:val="•"/>
      <w:lvlJc w:val="left"/>
      <w:pPr>
        <w:ind w:left="3816" w:hanging="516"/>
      </w:pPr>
      <w:rPr>
        <w:rFonts w:hint="default"/>
        <w:lang w:val="en-US" w:eastAsia="en-US" w:bidi="ar-SA"/>
      </w:rPr>
    </w:lvl>
    <w:lvl w:ilvl="5">
      <w:start w:val="0"/>
      <w:numFmt w:val="bullet"/>
      <w:lvlText w:val="•"/>
      <w:lvlJc w:val="left"/>
      <w:pPr>
        <w:ind w:left="4730" w:hanging="516"/>
      </w:pPr>
      <w:rPr>
        <w:rFonts w:hint="default"/>
        <w:lang w:val="en-US" w:eastAsia="en-US" w:bidi="ar-SA"/>
      </w:rPr>
    </w:lvl>
    <w:lvl w:ilvl="6">
      <w:start w:val="0"/>
      <w:numFmt w:val="bullet"/>
      <w:lvlText w:val="•"/>
      <w:lvlJc w:val="left"/>
      <w:pPr>
        <w:ind w:left="5644" w:hanging="516"/>
      </w:pPr>
      <w:rPr>
        <w:rFonts w:hint="default"/>
        <w:lang w:val="en-US" w:eastAsia="en-US" w:bidi="ar-SA"/>
      </w:rPr>
    </w:lvl>
    <w:lvl w:ilvl="7">
      <w:start w:val="0"/>
      <w:numFmt w:val="bullet"/>
      <w:lvlText w:val="•"/>
      <w:lvlJc w:val="left"/>
      <w:pPr>
        <w:ind w:left="6558" w:hanging="516"/>
      </w:pPr>
      <w:rPr>
        <w:rFonts w:hint="default"/>
        <w:lang w:val="en-US" w:eastAsia="en-US" w:bidi="ar-SA"/>
      </w:rPr>
    </w:lvl>
    <w:lvl w:ilvl="8">
      <w:start w:val="0"/>
      <w:numFmt w:val="bullet"/>
      <w:lvlText w:val="•"/>
      <w:lvlJc w:val="left"/>
      <w:pPr>
        <w:ind w:left="7472" w:hanging="516"/>
      </w:pPr>
      <w:rPr>
        <w:rFonts w:hint="default"/>
        <w:lang w:val="en-US" w:eastAsia="en-US" w:bidi="ar-SA"/>
      </w:rPr>
    </w:lvl>
  </w:abstractNum>
  <w:abstractNum w:abstractNumId="126">
    <w:multiLevelType w:val="hybridMultilevel"/>
    <w:lvl w:ilvl="0">
      <w:start w:val="1"/>
      <w:numFmt w:val="decimal"/>
      <w:lvlText w:val="%1."/>
      <w:lvlJc w:val="left"/>
      <w:pPr>
        <w:ind w:left="399" w:hanging="2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290" w:hanging="240"/>
      </w:pPr>
      <w:rPr>
        <w:rFonts w:hint="default"/>
        <w:lang w:val="en-US" w:eastAsia="en-US" w:bidi="ar-SA"/>
      </w:rPr>
    </w:lvl>
    <w:lvl w:ilvl="2">
      <w:start w:val="0"/>
      <w:numFmt w:val="bullet"/>
      <w:lvlText w:val="•"/>
      <w:lvlJc w:val="left"/>
      <w:pPr>
        <w:ind w:left="2180" w:hanging="240"/>
      </w:pPr>
      <w:rPr>
        <w:rFonts w:hint="default"/>
        <w:lang w:val="en-US" w:eastAsia="en-US" w:bidi="ar-SA"/>
      </w:rPr>
    </w:lvl>
    <w:lvl w:ilvl="3">
      <w:start w:val="0"/>
      <w:numFmt w:val="bullet"/>
      <w:lvlText w:val="•"/>
      <w:lvlJc w:val="left"/>
      <w:pPr>
        <w:ind w:left="3070" w:hanging="240"/>
      </w:pPr>
      <w:rPr>
        <w:rFonts w:hint="default"/>
        <w:lang w:val="en-US" w:eastAsia="en-US" w:bidi="ar-SA"/>
      </w:rPr>
    </w:lvl>
    <w:lvl w:ilvl="4">
      <w:start w:val="0"/>
      <w:numFmt w:val="bullet"/>
      <w:lvlText w:val="•"/>
      <w:lvlJc w:val="left"/>
      <w:pPr>
        <w:ind w:left="3960" w:hanging="240"/>
      </w:pPr>
      <w:rPr>
        <w:rFonts w:hint="default"/>
        <w:lang w:val="en-US" w:eastAsia="en-US" w:bidi="ar-SA"/>
      </w:rPr>
    </w:lvl>
    <w:lvl w:ilvl="5">
      <w:start w:val="0"/>
      <w:numFmt w:val="bullet"/>
      <w:lvlText w:val="•"/>
      <w:lvlJc w:val="left"/>
      <w:pPr>
        <w:ind w:left="4850" w:hanging="240"/>
      </w:pPr>
      <w:rPr>
        <w:rFonts w:hint="default"/>
        <w:lang w:val="en-US" w:eastAsia="en-US" w:bidi="ar-SA"/>
      </w:rPr>
    </w:lvl>
    <w:lvl w:ilvl="6">
      <w:start w:val="0"/>
      <w:numFmt w:val="bullet"/>
      <w:lvlText w:val="•"/>
      <w:lvlJc w:val="left"/>
      <w:pPr>
        <w:ind w:left="5740" w:hanging="240"/>
      </w:pPr>
      <w:rPr>
        <w:rFonts w:hint="default"/>
        <w:lang w:val="en-US" w:eastAsia="en-US" w:bidi="ar-SA"/>
      </w:rPr>
    </w:lvl>
    <w:lvl w:ilvl="7">
      <w:start w:val="0"/>
      <w:numFmt w:val="bullet"/>
      <w:lvlText w:val="•"/>
      <w:lvlJc w:val="left"/>
      <w:pPr>
        <w:ind w:left="6630" w:hanging="240"/>
      </w:pPr>
      <w:rPr>
        <w:rFonts w:hint="default"/>
        <w:lang w:val="en-US" w:eastAsia="en-US" w:bidi="ar-SA"/>
      </w:rPr>
    </w:lvl>
    <w:lvl w:ilvl="8">
      <w:start w:val="0"/>
      <w:numFmt w:val="bullet"/>
      <w:lvlText w:val="•"/>
      <w:lvlJc w:val="left"/>
      <w:pPr>
        <w:ind w:left="7520" w:hanging="240"/>
      </w:pPr>
      <w:rPr>
        <w:rFonts w:hint="default"/>
        <w:lang w:val="en-US" w:eastAsia="en-US" w:bidi="ar-SA"/>
      </w:rPr>
    </w:lvl>
  </w:abstractNum>
  <w:abstractNum w:abstractNumId="125">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24">
    <w:multiLevelType w:val="hybridMultilevel"/>
    <w:lvl w:ilvl="0">
      <w:start w:val="1"/>
      <w:numFmt w:val="decimal"/>
      <w:lvlText w:val="%1."/>
      <w:lvlJc w:val="left"/>
      <w:pPr>
        <w:ind w:left="460" w:hanging="3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44" w:hanging="300"/>
      </w:pPr>
      <w:rPr>
        <w:rFonts w:hint="default"/>
        <w:lang w:val="en-US" w:eastAsia="en-US" w:bidi="ar-SA"/>
      </w:rPr>
    </w:lvl>
    <w:lvl w:ilvl="2">
      <w:start w:val="0"/>
      <w:numFmt w:val="bullet"/>
      <w:lvlText w:val="•"/>
      <w:lvlJc w:val="left"/>
      <w:pPr>
        <w:ind w:left="2228" w:hanging="300"/>
      </w:pPr>
      <w:rPr>
        <w:rFonts w:hint="default"/>
        <w:lang w:val="en-US" w:eastAsia="en-US" w:bidi="ar-SA"/>
      </w:rPr>
    </w:lvl>
    <w:lvl w:ilvl="3">
      <w:start w:val="0"/>
      <w:numFmt w:val="bullet"/>
      <w:lvlText w:val="•"/>
      <w:lvlJc w:val="left"/>
      <w:pPr>
        <w:ind w:left="3112" w:hanging="300"/>
      </w:pPr>
      <w:rPr>
        <w:rFonts w:hint="default"/>
        <w:lang w:val="en-US" w:eastAsia="en-US" w:bidi="ar-SA"/>
      </w:rPr>
    </w:lvl>
    <w:lvl w:ilvl="4">
      <w:start w:val="0"/>
      <w:numFmt w:val="bullet"/>
      <w:lvlText w:val="•"/>
      <w:lvlJc w:val="left"/>
      <w:pPr>
        <w:ind w:left="3996" w:hanging="300"/>
      </w:pPr>
      <w:rPr>
        <w:rFonts w:hint="default"/>
        <w:lang w:val="en-US" w:eastAsia="en-US" w:bidi="ar-SA"/>
      </w:rPr>
    </w:lvl>
    <w:lvl w:ilvl="5">
      <w:start w:val="0"/>
      <w:numFmt w:val="bullet"/>
      <w:lvlText w:val="•"/>
      <w:lvlJc w:val="left"/>
      <w:pPr>
        <w:ind w:left="4880" w:hanging="300"/>
      </w:pPr>
      <w:rPr>
        <w:rFonts w:hint="default"/>
        <w:lang w:val="en-US" w:eastAsia="en-US" w:bidi="ar-SA"/>
      </w:rPr>
    </w:lvl>
    <w:lvl w:ilvl="6">
      <w:start w:val="0"/>
      <w:numFmt w:val="bullet"/>
      <w:lvlText w:val="•"/>
      <w:lvlJc w:val="left"/>
      <w:pPr>
        <w:ind w:left="5764" w:hanging="300"/>
      </w:pPr>
      <w:rPr>
        <w:rFonts w:hint="default"/>
        <w:lang w:val="en-US" w:eastAsia="en-US" w:bidi="ar-SA"/>
      </w:rPr>
    </w:lvl>
    <w:lvl w:ilvl="7">
      <w:start w:val="0"/>
      <w:numFmt w:val="bullet"/>
      <w:lvlText w:val="•"/>
      <w:lvlJc w:val="left"/>
      <w:pPr>
        <w:ind w:left="6648" w:hanging="300"/>
      </w:pPr>
      <w:rPr>
        <w:rFonts w:hint="default"/>
        <w:lang w:val="en-US" w:eastAsia="en-US" w:bidi="ar-SA"/>
      </w:rPr>
    </w:lvl>
    <w:lvl w:ilvl="8">
      <w:start w:val="0"/>
      <w:numFmt w:val="bullet"/>
      <w:lvlText w:val="•"/>
      <w:lvlJc w:val="left"/>
      <w:pPr>
        <w:ind w:left="7532" w:hanging="300"/>
      </w:pPr>
      <w:rPr>
        <w:rFonts w:hint="default"/>
        <w:lang w:val="en-US" w:eastAsia="en-US" w:bidi="ar-SA"/>
      </w:rPr>
    </w:lvl>
  </w:abstractNum>
  <w:abstractNum w:abstractNumId="123">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90" w:hanging="241"/>
      </w:pPr>
      <w:rPr>
        <w:rFonts w:hint="default"/>
        <w:lang w:val="en-US" w:eastAsia="en-US" w:bidi="ar-SA"/>
      </w:rPr>
    </w:lvl>
    <w:lvl w:ilvl="2">
      <w:start w:val="0"/>
      <w:numFmt w:val="bullet"/>
      <w:lvlText w:val="•"/>
      <w:lvlJc w:val="left"/>
      <w:pPr>
        <w:ind w:left="2180" w:hanging="241"/>
      </w:pPr>
      <w:rPr>
        <w:rFonts w:hint="default"/>
        <w:lang w:val="en-US" w:eastAsia="en-US" w:bidi="ar-SA"/>
      </w:rPr>
    </w:lvl>
    <w:lvl w:ilvl="3">
      <w:start w:val="0"/>
      <w:numFmt w:val="bullet"/>
      <w:lvlText w:val="•"/>
      <w:lvlJc w:val="left"/>
      <w:pPr>
        <w:ind w:left="3070" w:hanging="241"/>
      </w:pPr>
      <w:rPr>
        <w:rFonts w:hint="default"/>
        <w:lang w:val="en-US" w:eastAsia="en-US" w:bidi="ar-SA"/>
      </w:rPr>
    </w:lvl>
    <w:lvl w:ilvl="4">
      <w:start w:val="0"/>
      <w:numFmt w:val="bullet"/>
      <w:lvlText w:val="•"/>
      <w:lvlJc w:val="left"/>
      <w:pPr>
        <w:ind w:left="3960" w:hanging="241"/>
      </w:pPr>
      <w:rPr>
        <w:rFonts w:hint="default"/>
        <w:lang w:val="en-US" w:eastAsia="en-US" w:bidi="ar-SA"/>
      </w:rPr>
    </w:lvl>
    <w:lvl w:ilvl="5">
      <w:start w:val="0"/>
      <w:numFmt w:val="bullet"/>
      <w:lvlText w:val="•"/>
      <w:lvlJc w:val="left"/>
      <w:pPr>
        <w:ind w:left="4850" w:hanging="241"/>
      </w:pPr>
      <w:rPr>
        <w:rFonts w:hint="default"/>
        <w:lang w:val="en-US" w:eastAsia="en-US" w:bidi="ar-SA"/>
      </w:rPr>
    </w:lvl>
    <w:lvl w:ilvl="6">
      <w:start w:val="0"/>
      <w:numFmt w:val="bullet"/>
      <w:lvlText w:val="•"/>
      <w:lvlJc w:val="left"/>
      <w:pPr>
        <w:ind w:left="5740" w:hanging="241"/>
      </w:pPr>
      <w:rPr>
        <w:rFonts w:hint="default"/>
        <w:lang w:val="en-US" w:eastAsia="en-US" w:bidi="ar-SA"/>
      </w:rPr>
    </w:lvl>
    <w:lvl w:ilvl="7">
      <w:start w:val="0"/>
      <w:numFmt w:val="bullet"/>
      <w:lvlText w:val="•"/>
      <w:lvlJc w:val="left"/>
      <w:pPr>
        <w:ind w:left="6630" w:hanging="241"/>
      </w:pPr>
      <w:rPr>
        <w:rFonts w:hint="default"/>
        <w:lang w:val="en-US" w:eastAsia="en-US" w:bidi="ar-SA"/>
      </w:rPr>
    </w:lvl>
    <w:lvl w:ilvl="8">
      <w:start w:val="0"/>
      <w:numFmt w:val="bullet"/>
      <w:lvlText w:val="•"/>
      <w:lvlJc w:val="left"/>
      <w:pPr>
        <w:ind w:left="7520" w:hanging="241"/>
      </w:pPr>
      <w:rPr>
        <w:rFonts w:hint="default"/>
        <w:lang w:val="en-US" w:eastAsia="en-US" w:bidi="ar-SA"/>
      </w:rPr>
    </w:lvl>
  </w:abstractNum>
  <w:abstractNum w:abstractNumId="122">
    <w:multiLevelType w:val="hybridMultilevel"/>
    <w:lvl w:ilvl="0">
      <w:start w:val="1"/>
      <w:numFmt w:val="decimal"/>
      <w:lvlText w:val="(%1)"/>
      <w:lvlJc w:val="left"/>
      <w:pPr>
        <w:ind w:left="160" w:hanging="37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74"/>
      </w:pPr>
      <w:rPr>
        <w:rFonts w:hint="default"/>
        <w:lang w:val="en-US" w:eastAsia="en-US" w:bidi="ar-SA"/>
      </w:rPr>
    </w:lvl>
    <w:lvl w:ilvl="2">
      <w:start w:val="0"/>
      <w:numFmt w:val="bullet"/>
      <w:lvlText w:val="•"/>
      <w:lvlJc w:val="left"/>
      <w:pPr>
        <w:ind w:left="1988" w:hanging="374"/>
      </w:pPr>
      <w:rPr>
        <w:rFonts w:hint="default"/>
        <w:lang w:val="en-US" w:eastAsia="en-US" w:bidi="ar-SA"/>
      </w:rPr>
    </w:lvl>
    <w:lvl w:ilvl="3">
      <w:start w:val="0"/>
      <w:numFmt w:val="bullet"/>
      <w:lvlText w:val="•"/>
      <w:lvlJc w:val="left"/>
      <w:pPr>
        <w:ind w:left="2902" w:hanging="374"/>
      </w:pPr>
      <w:rPr>
        <w:rFonts w:hint="default"/>
        <w:lang w:val="en-US" w:eastAsia="en-US" w:bidi="ar-SA"/>
      </w:rPr>
    </w:lvl>
    <w:lvl w:ilvl="4">
      <w:start w:val="0"/>
      <w:numFmt w:val="bullet"/>
      <w:lvlText w:val="•"/>
      <w:lvlJc w:val="left"/>
      <w:pPr>
        <w:ind w:left="3816" w:hanging="374"/>
      </w:pPr>
      <w:rPr>
        <w:rFonts w:hint="default"/>
        <w:lang w:val="en-US" w:eastAsia="en-US" w:bidi="ar-SA"/>
      </w:rPr>
    </w:lvl>
    <w:lvl w:ilvl="5">
      <w:start w:val="0"/>
      <w:numFmt w:val="bullet"/>
      <w:lvlText w:val="•"/>
      <w:lvlJc w:val="left"/>
      <w:pPr>
        <w:ind w:left="4730" w:hanging="374"/>
      </w:pPr>
      <w:rPr>
        <w:rFonts w:hint="default"/>
        <w:lang w:val="en-US" w:eastAsia="en-US" w:bidi="ar-SA"/>
      </w:rPr>
    </w:lvl>
    <w:lvl w:ilvl="6">
      <w:start w:val="0"/>
      <w:numFmt w:val="bullet"/>
      <w:lvlText w:val="•"/>
      <w:lvlJc w:val="left"/>
      <w:pPr>
        <w:ind w:left="5644" w:hanging="374"/>
      </w:pPr>
      <w:rPr>
        <w:rFonts w:hint="default"/>
        <w:lang w:val="en-US" w:eastAsia="en-US" w:bidi="ar-SA"/>
      </w:rPr>
    </w:lvl>
    <w:lvl w:ilvl="7">
      <w:start w:val="0"/>
      <w:numFmt w:val="bullet"/>
      <w:lvlText w:val="•"/>
      <w:lvlJc w:val="left"/>
      <w:pPr>
        <w:ind w:left="6558" w:hanging="374"/>
      </w:pPr>
      <w:rPr>
        <w:rFonts w:hint="default"/>
        <w:lang w:val="en-US" w:eastAsia="en-US" w:bidi="ar-SA"/>
      </w:rPr>
    </w:lvl>
    <w:lvl w:ilvl="8">
      <w:start w:val="0"/>
      <w:numFmt w:val="bullet"/>
      <w:lvlText w:val="•"/>
      <w:lvlJc w:val="left"/>
      <w:pPr>
        <w:ind w:left="7472" w:hanging="374"/>
      </w:pPr>
      <w:rPr>
        <w:rFonts w:hint="default"/>
        <w:lang w:val="en-US" w:eastAsia="en-US" w:bidi="ar-SA"/>
      </w:rPr>
    </w:lvl>
  </w:abstractNum>
  <w:abstractNum w:abstractNumId="121">
    <w:multiLevelType w:val="hybridMultilevel"/>
    <w:lvl w:ilvl="0">
      <w:start w:val="1"/>
      <w:numFmt w:val="decimal"/>
      <w:lvlText w:val="(%1)"/>
      <w:lvlJc w:val="left"/>
      <w:pPr>
        <w:ind w:left="160" w:hanging="38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8"/>
      </w:pPr>
      <w:rPr>
        <w:rFonts w:hint="default"/>
        <w:lang w:val="en-US" w:eastAsia="en-US" w:bidi="ar-SA"/>
      </w:rPr>
    </w:lvl>
    <w:lvl w:ilvl="2">
      <w:start w:val="0"/>
      <w:numFmt w:val="bullet"/>
      <w:lvlText w:val="•"/>
      <w:lvlJc w:val="left"/>
      <w:pPr>
        <w:ind w:left="1988" w:hanging="388"/>
      </w:pPr>
      <w:rPr>
        <w:rFonts w:hint="default"/>
        <w:lang w:val="en-US" w:eastAsia="en-US" w:bidi="ar-SA"/>
      </w:rPr>
    </w:lvl>
    <w:lvl w:ilvl="3">
      <w:start w:val="0"/>
      <w:numFmt w:val="bullet"/>
      <w:lvlText w:val="•"/>
      <w:lvlJc w:val="left"/>
      <w:pPr>
        <w:ind w:left="2902" w:hanging="388"/>
      </w:pPr>
      <w:rPr>
        <w:rFonts w:hint="default"/>
        <w:lang w:val="en-US" w:eastAsia="en-US" w:bidi="ar-SA"/>
      </w:rPr>
    </w:lvl>
    <w:lvl w:ilvl="4">
      <w:start w:val="0"/>
      <w:numFmt w:val="bullet"/>
      <w:lvlText w:val="•"/>
      <w:lvlJc w:val="left"/>
      <w:pPr>
        <w:ind w:left="3816" w:hanging="388"/>
      </w:pPr>
      <w:rPr>
        <w:rFonts w:hint="default"/>
        <w:lang w:val="en-US" w:eastAsia="en-US" w:bidi="ar-SA"/>
      </w:rPr>
    </w:lvl>
    <w:lvl w:ilvl="5">
      <w:start w:val="0"/>
      <w:numFmt w:val="bullet"/>
      <w:lvlText w:val="•"/>
      <w:lvlJc w:val="left"/>
      <w:pPr>
        <w:ind w:left="4730" w:hanging="388"/>
      </w:pPr>
      <w:rPr>
        <w:rFonts w:hint="default"/>
        <w:lang w:val="en-US" w:eastAsia="en-US" w:bidi="ar-SA"/>
      </w:rPr>
    </w:lvl>
    <w:lvl w:ilvl="6">
      <w:start w:val="0"/>
      <w:numFmt w:val="bullet"/>
      <w:lvlText w:val="•"/>
      <w:lvlJc w:val="left"/>
      <w:pPr>
        <w:ind w:left="5644" w:hanging="388"/>
      </w:pPr>
      <w:rPr>
        <w:rFonts w:hint="default"/>
        <w:lang w:val="en-US" w:eastAsia="en-US" w:bidi="ar-SA"/>
      </w:rPr>
    </w:lvl>
    <w:lvl w:ilvl="7">
      <w:start w:val="0"/>
      <w:numFmt w:val="bullet"/>
      <w:lvlText w:val="•"/>
      <w:lvlJc w:val="left"/>
      <w:pPr>
        <w:ind w:left="6558" w:hanging="388"/>
      </w:pPr>
      <w:rPr>
        <w:rFonts w:hint="default"/>
        <w:lang w:val="en-US" w:eastAsia="en-US" w:bidi="ar-SA"/>
      </w:rPr>
    </w:lvl>
    <w:lvl w:ilvl="8">
      <w:start w:val="0"/>
      <w:numFmt w:val="bullet"/>
      <w:lvlText w:val="•"/>
      <w:lvlJc w:val="left"/>
      <w:pPr>
        <w:ind w:left="7472" w:hanging="388"/>
      </w:pPr>
      <w:rPr>
        <w:rFonts w:hint="default"/>
        <w:lang w:val="en-US" w:eastAsia="en-US" w:bidi="ar-SA"/>
      </w:rPr>
    </w:lvl>
  </w:abstractNum>
  <w:abstractNum w:abstractNumId="120">
    <w:multiLevelType w:val="hybridMultilevel"/>
    <w:lvl w:ilvl="0">
      <w:start w:val="1"/>
      <w:numFmt w:val="decimal"/>
      <w:lvlText w:val="(%1)"/>
      <w:lvlJc w:val="left"/>
      <w:pPr>
        <w:ind w:left="160" w:hanging="362"/>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1074" w:hanging="362"/>
      </w:pPr>
      <w:rPr>
        <w:rFonts w:hint="default"/>
        <w:lang w:val="en-US" w:eastAsia="en-US" w:bidi="ar-SA"/>
      </w:rPr>
    </w:lvl>
    <w:lvl w:ilvl="2">
      <w:start w:val="0"/>
      <w:numFmt w:val="bullet"/>
      <w:lvlText w:val="•"/>
      <w:lvlJc w:val="left"/>
      <w:pPr>
        <w:ind w:left="1988" w:hanging="362"/>
      </w:pPr>
      <w:rPr>
        <w:rFonts w:hint="default"/>
        <w:lang w:val="en-US" w:eastAsia="en-US" w:bidi="ar-SA"/>
      </w:rPr>
    </w:lvl>
    <w:lvl w:ilvl="3">
      <w:start w:val="0"/>
      <w:numFmt w:val="bullet"/>
      <w:lvlText w:val="•"/>
      <w:lvlJc w:val="left"/>
      <w:pPr>
        <w:ind w:left="2902" w:hanging="362"/>
      </w:pPr>
      <w:rPr>
        <w:rFonts w:hint="default"/>
        <w:lang w:val="en-US" w:eastAsia="en-US" w:bidi="ar-SA"/>
      </w:rPr>
    </w:lvl>
    <w:lvl w:ilvl="4">
      <w:start w:val="0"/>
      <w:numFmt w:val="bullet"/>
      <w:lvlText w:val="•"/>
      <w:lvlJc w:val="left"/>
      <w:pPr>
        <w:ind w:left="3816" w:hanging="362"/>
      </w:pPr>
      <w:rPr>
        <w:rFonts w:hint="default"/>
        <w:lang w:val="en-US" w:eastAsia="en-US" w:bidi="ar-SA"/>
      </w:rPr>
    </w:lvl>
    <w:lvl w:ilvl="5">
      <w:start w:val="0"/>
      <w:numFmt w:val="bullet"/>
      <w:lvlText w:val="•"/>
      <w:lvlJc w:val="left"/>
      <w:pPr>
        <w:ind w:left="4730" w:hanging="362"/>
      </w:pPr>
      <w:rPr>
        <w:rFonts w:hint="default"/>
        <w:lang w:val="en-US" w:eastAsia="en-US" w:bidi="ar-SA"/>
      </w:rPr>
    </w:lvl>
    <w:lvl w:ilvl="6">
      <w:start w:val="0"/>
      <w:numFmt w:val="bullet"/>
      <w:lvlText w:val="•"/>
      <w:lvlJc w:val="left"/>
      <w:pPr>
        <w:ind w:left="5644" w:hanging="362"/>
      </w:pPr>
      <w:rPr>
        <w:rFonts w:hint="default"/>
        <w:lang w:val="en-US" w:eastAsia="en-US" w:bidi="ar-SA"/>
      </w:rPr>
    </w:lvl>
    <w:lvl w:ilvl="7">
      <w:start w:val="0"/>
      <w:numFmt w:val="bullet"/>
      <w:lvlText w:val="•"/>
      <w:lvlJc w:val="left"/>
      <w:pPr>
        <w:ind w:left="6558" w:hanging="362"/>
      </w:pPr>
      <w:rPr>
        <w:rFonts w:hint="default"/>
        <w:lang w:val="en-US" w:eastAsia="en-US" w:bidi="ar-SA"/>
      </w:rPr>
    </w:lvl>
    <w:lvl w:ilvl="8">
      <w:start w:val="0"/>
      <w:numFmt w:val="bullet"/>
      <w:lvlText w:val="•"/>
      <w:lvlJc w:val="left"/>
      <w:pPr>
        <w:ind w:left="7472" w:hanging="362"/>
      </w:pPr>
      <w:rPr>
        <w:rFonts w:hint="default"/>
        <w:lang w:val="en-US" w:eastAsia="en-US" w:bidi="ar-SA"/>
      </w:rPr>
    </w:lvl>
  </w:abstractNum>
  <w:abstractNum w:abstractNumId="119">
    <w:multiLevelType w:val="hybridMultilevel"/>
    <w:lvl w:ilvl="0">
      <w:start w:val="1"/>
      <w:numFmt w:val="decimal"/>
      <w:lvlText w:val="(%1)"/>
      <w:lvlJc w:val="left"/>
      <w:pPr>
        <w:ind w:left="160" w:hanging="35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56"/>
      </w:pPr>
      <w:rPr>
        <w:rFonts w:hint="default"/>
        <w:lang w:val="en-US" w:eastAsia="en-US" w:bidi="ar-SA"/>
      </w:rPr>
    </w:lvl>
    <w:lvl w:ilvl="2">
      <w:start w:val="0"/>
      <w:numFmt w:val="bullet"/>
      <w:lvlText w:val="•"/>
      <w:lvlJc w:val="left"/>
      <w:pPr>
        <w:ind w:left="1988" w:hanging="356"/>
      </w:pPr>
      <w:rPr>
        <w:rFonts w:hint="default"/>
        <w:lang w:val="en-US" w:eastAsia="en-US" w:bidi="ar-SA"/>
      </w:rPr>
    </w:lvl>
    <w:lvl w:ilvl="3">
      <w:start w:val="0"/>
      <w:numFmt w:val="bullet"/>
      <w:lvlText w:val="•"/>
      <w:lvlJc w:val="left"/>
      <w:pPr>
        <w:ind w:left="2902" w:hanging="356"/>
      </w:pPr>
      <w:rPr>
        <w:rFonts w:hint="default"/>
        <w:lang w:val="en-US" w:eastAsia="en-US" w:bidi="ar-SA"/>
      </w:rPr>
    </w:lvl>
    <w:lvl w:ilvl="4">
      <w:start w:val="0"/>
      <w:numFmt w:val="bullet"/>
      <w:lvlText w:val="•"/>
      <w:lvlJc w:val="left"/>
      <w:pPr>
        <w:ind w:left="3816" w:hanging="356"/>
      </w:pPr>
      <w:rPr>
        <w:rFonts w:hint="default"/>
        <w:lang w:val="en-US" w:eastAsia="en-US" w:bidi="ar-SA"/>
      </w:rPr>
    </w:lvl>
    <w:lvl w:ilvl="5">
      <w:start w:val="0"/>
      <w:numFmt w:val="bullet"/>
      <w:lvlText w:val="•"/>
      <w:lvlJc w:val="left"/>
      <w:pPr>
        <w:ind w:left="4730" w:hanging="356"/>
      </w:pPr>
      <w:rPr>
        <w:rFonts w:hint="default"/>
        <w:lang w:val="en-US" w:eastAsia="en-US" w:bidi="ar-SA"/>
      </w:rPr>
    </w:lvl>
    <w:lvl w:ilvl="6">
      <w:start w:val="0"/>
      <w:numFmt w:val="bullet"/>
      <w:lvlText w:val="•"/>
      <w:lvlJc w:val="left"/>
      <w:pPr>
        <w:ind w:left="5644" w:hanging="356"/>
      </w:pPr>
      <w:rPr>
        <w:rFonts w:hint="default"/>
        <w:lang w:val="en-US" w:eastAsia="en-US" w:bidi="ar-SA"/>
      </w:rPr>
    </w:lvl>
    <w:lvl w:ilvl="7">
      <w:start w:val="0"/>
      <w:numFmt w:val="bullet"/>
      <w:lvlText w:val="•"/>
      <w:lvlJc w:val="left"/>
      <w:pPr>
        <w:ind w:left="6558" w:hanging="356"/>
      </w:pPr>
      <w:rPr>
        <w:rFonts w:hint="default"/>
        <w:lang w:val="en-US" w:eastAsia="en-US" w:bidi="ar-SA"/>
      </w:rPr>
    </w:lvl>
    <w:lvl w:ilvl="8">
      <w:start w:val="0"/>
      <w:numFmt w:val="bullet"/>
      <w:lvlText w:val="•"/>
      <w:lvlJc w:val="left"/>
      <w:pPr>
        <w:ind w:left="7472" w:hanging="356"/>
      </w:pPr>
      <w:rPr>
        <w:rFonts w:hint="default"/>
        <w:lang w:val="en-US" w:eastAsia="en-US" w:bidi="ar-SA"/>
      </w:rPr>
    </w:lvl>
  </w:abstractNum>
  <w:abstractNum w:abstractNumId="118">
    <w:multiLevelType w:val="hybridMultilevel"/>
    <w:lvl w:ilvl="0">
      <w:start w:val="6"/>
      <w:numFmt w:val="decimal"/>
      <w:lvlText w:val="%1"/>
      <w:lvlJc w:val="left"/>
      <w:pPr>
        <w:ind w:left="160" w:hanging="509"/>
        <w:jc w:val="left"/>
      </w:pPr>
      <w:rPr>
        <w:rFonts w:hint="default"/>
        <w:lang w:val="en-US" w:eastAsia="en-US" w:bidi="ar-SA"/>
      </w:rPr>
    </w:lvl>
    <w:lvl w:ilvl="1">
      <w:start w:val="42"/>
      <w:numFmt w:val="decimal"/>
      <w:lvlText w:val="%1.%2"/>
      <w:lvlJc w:val="left"/>
      <w:pPr>
        <w:ind w:left="160" w:hanging="509"/>
        <w:jc w:val="left"/>
      </w:pPr>
      <w:rPr>
        <w:rFonts w:hint="default"/>
        <w:spacing w:val="0"/>
        <w:w w:val="100"/>
        <w:lang w:val="en-US" w:eastAsia="en-US" w:bidi="ar-SA"/>
      </w:rPr>
    </w:lvl>
    <w:lvl w:ilvl="2">
      <w:start w:val="0"/>
      <w:numFmt w:val="bullet"/>
      <w:lvlText w:val="•"/>
      <w:lvlJc w:val="left"/>
      <w:pPr>
        <w:ind w:left="1988" w:hanging="509"/>
      </w:pPr>
      <w:rPr>
        <w:rFonts w:hint="default"/>
        <w:lang w:val="en-US" w:eastAsia="en-US" w:bidi="ar-SA"/>
      </w:rPr>
    </w:lvl>
    <w:lvl w:ilvl="3">
      <w:start w:val="0"/>
      <w:numFmt w:val="bullet"/>
      <w:lvlText w:val="•"/>
      <w:lvlJc w:val="left"/>
      <w:pPr>
        <w:ind w:left="2902" w:hanging="509"/>
      </w:pPr>
      <w:rPr>
        <w:rFonts w:hint="default"/>
        <w:lang w:val="en-US" w:eastAsia="en-US" w:bidi="ar-SA"/>
      </w:rPr>
    </w:lvl>
    <w:lvl w:ilvl="4">
      <w:start w:val="0"/>
      <w:numFmt w:val="bullet"/>
      <w:lvlText w:val="•"/>
      <w:lvlJc w:val="left"/>
      <w:pPr>
        <w:ind w:left="3816" w:hanging="509"/>
      </w:pPr>
      <w:rPr>
        <w:rFonts w:hint="default"/>
        <w:lang w:val="en-US" w:eastAsia="en-US" w:bidi="ar-SA"/>
      </w:rPr>
    </w:lvl>
    <w:lvl w:ilvl="5">
      <w:start w:val="0"/>
      <w:numFmt w:val="bullet"/>
      <w:lvlText w:val="•"/>
      <w:lvlJc w:val="left"/>
      <w:pPr>
        <w:ind w:left="4730" w:hanging="509"/>
      </w:pPr>
      <w:rPr>
        <w:rFonts w:hint="default"/>
        <w:lang w:val="en-US" w:eastAsia="en-US" w:bidi="ar-SA"/>
      </w:rPr>
    </w:lvl>
    <w:lvl w:ilvl="6">
      <w:start w:val="0"/>
      <w:numFmt w:val="bullet"/>
      <w:lvlText w:val="•"/>
      <w:lvlJc w:val="left"/>
      <w:pPr>
        <w:ind w:left="5644" w:hanging="509"/>
      </w:pPr>
      <w:rPr>
        <w:rFonts w:hint="default"/>
        <w:lang w:val="en-US" w:eastAsia="en-US" w:bidi="ar-SA"/>
      </w:rPr>
    </w:lvl>
    <w:lvl w:ilvl="7">
      <w:start w:val="0"/>
      <w:numFmt w:val="bullet"/>
      <w:lvlText w:val="•"/>
      <w:lvlJc w:val="left"/>
      <w:pPr>
        <w:ind w:left="6558" w:hanging="509"/>
      </w:pPr>
      <w:rPr>
        <w:rFonts w:hint="default"/>
        <w:lang w:val="en-US" w:eastAsia="en-US" w:bidi="ar-SA"/>
      </w:rPr>
    </w:lvl>
    <w:lvl w:ilvl="8">
      <w:start w:val="0"/>
      <w:numFmt w:val="bullet"/>
      <w:lvlText w:val="•"/>
      <w:lvlJc w:val="left"/>
      <w:pPr>
        <w:ind w:left="7472" w:hanging="509"/>
      </w:pPr>
      <w:rPr>
        <w:rFonts w:hint="default"/>
        <w:lang w:val="en-US" w:eastAsia="en-US" w:bidi="ar-SA"/>
      </w:rPr>
    </w:lvl>
  </w:abstractNum>
  <w:abstractNum w:abstractNumId="117">
    <w:multiLevelType w:val="hybridMultilevel"/>
    <w:lvl w:ilvl="0">
      <w:start w:val="1"/>
      <w:numFmt w:val="decimal"/>
      <w:lvlText w:val="(%1)"/>
      <w:lvlJc w:val="left"/>
      <w:pPr>
        <w:ind w:left="160" w:hanging="36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8"/>
      </w:pPr>
      <w:rPr>
        <w:rFonts w:hint="default"/>
        <w:lang w:val="en-US" w:eastAsia="en-US" w:bidi="ar-SA"/>
      </w:rPr>
    </w:lvl>
    <w:lvl w:ilvl="2">
      <w:start w:val="0"/>
      <w:numFmt w:val="bullet"/>
      <w:lvlText w:val="•"/>
      <w:lvlJc w:val="left"/>
      <w:pPr>
        <w:ind w:left="1988" w:hanging="368"/>
      </w:pPr>
      <w:rPr>
        <w:rFonts w:hint="default"/>
        <w:lang w:val="en-US" w:eastAsia="en-US" w:bidi="ar-SA"/>
      </w:rPr>
    </w:lvl>
    <w:lvl w:ilvl="3">
      <w:start w:val="0"/>
      <w:numFmt w:val="bullet"/>
      <w:lvlText w:val="•"/>
      <w:lvlJc w:val="left"/>
      <w:pPr>
        <w:ind w:left="2902" w:hanging="368"/>
      </w:pPr>
      <w:rPr>
        <w:rFonts w:hint="default"/>
        <w:lang w:val="en-US" w:eastAsia="en-US" w:bidi="ar-SA"/>
      </w:rPr>
    </w:lvl>
    <w:lvl w:ilvl="4">
      <w:start w:val="0"/>
      <w:numFmt w:val="bullet"/>
      <w:lvlText w:val="•"/>
      <w:lvlJc w:val="left"/>
      <w:pPr>
        <w:ind w:left="3816" w:hanging="368"/>
      </w:pPr>
      <w:rPr>
        <w:rFonts w:hint="default"/>
        <w:lang w:val="en-US" w:eastAsia="en-US" w:bidi="ar-SA"/>
      </w:rPr>
    </w:lvl>
    <w:lvl w:ilvl="5">
      <w:start w:val="0"/>
      <w:numFmt w:val="bullet"/>
      <w:lvlText w:val="•"/>
      <w:lvlJc w:val="left"/>
      <w:pPr>
        <w:ind w:left="4730" w:hanging="368"/>
      </w:pPr>
      <w:rPr>
        <w:rFonts w:hint="default"/>
        <w:lang w:val="en-US" w:eastAsia="en-US" w:bidi="ar-SA"/>
      </w:rPr>
    </w:lvl>
    <w:lvl w:ilvl="6">
      <w:start w:val="0"/>
      <w:numFmt w:val="bullet"/>
      <w:lvlText w:val="•"/>
      <w:lvlJc w:val="left"/>
      <w:pPr>
        <w:ind w:left="5644" w:hanging="368"/>
      </w:pPr>
      <w:rPr>
        <w:rFonts w:hint="default"/>
        <w:lang w:val="en-US" w:eastAsia="en-US" w:bidi="ar-SA"/>
      </w:rPr>
    </w:lvl>
    <w:lvl w:ilvl="7">
      <w:start w:val="0"/>
      <w:numFmt w:val="bullet"/>
      <w:lvlText w:val="•"/>
      <w:lvlJc w:val="left"/>
      <w:pPr>
        <w:ind w:left="6558" w:hanging="368"/>
      </w:pPr>
      <w:rPr>
        <w:rFonts w:hint="default"/>
        <w:lang w:val="en-US" w:eastAsia="en-US" w:bidi="ar-SA"/>
      </w:rPr>
    </w:lvl>
    <w:lvl w:ilvl="8">
      <w:start w:val="0"/>
      <w:numFmt w:val="bullet"/>
      <w:lvlText w:val="•"/>
      <w:lvlJc w:val="left"/>
      <w:pPr>
        <w:ind w:left="7472" w:hanging="368"/>
      </w:pPr>
      <w:rPr>
        <w:rFonts w:hint="default"/>
        <w:lang w:val="en-US" w:eastAsia="en-US" w:bidi="ar-SA"/>
      </w:rPr>
    </w:lvl>
  </w:abstractNum>
  <w:abstractNum w:abstractNumId="116">
    <w:multiLevelType w:val="hybridMultilevel"/>
    <w:lvl w:ilvl="0">
      <w:start w:val="1"/>
      <w:numFmt w:val="decimal"/>
      <w:lvlText w:val="(%1)"/>
      <w:lvlJc w:val="left"/>
      <w:pPr>
        <w:ind w:left="160" w:hanging="34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47"/>
      </w:pPr>
      <w:rPr>
        <w:rFonts w:hint="default"/>
        <w:lang w:val="en-US" w:eastAsia="en-US" w:bidi="ar-SA"/>
      </w:rPr>
    </w:lvl>
    <w:lvl w:ilvl="2">
      <w:start w:val="0"/>
      <w:numFmt w:val="bullet"/>
      <w:lvlText w:val="•"/>
      <w:lvlJc w:val="left"/>
      <w:pPr>
        <w:ind w:left="1988" w:hanging="347"/>
      </w:pPr>
      <w:rPr>
        <w:rFonts w:hint="default"/>
        <w:lang w:val="en-US" w:eastAsia="en-US" w:bidi="ar-SA"/>
      </w:rPr>
    </w:lvl>
    <w:lvl w:ilvl="3">
      <w:start w:val="0"/>
      <w:numFmt w:val="bullet"/>
      <w:lvlText w:val="•"/>
      <w:lvlJc w:val="left"/>
      <w:pPr>
        <w:ind w:left="2902" w:hanging="347"/>
      </w:pPr>
      <w:rPr>
        <w:rFonts w:hint="default"/>
        <w:lang w:val="en-US" w:eastAsia="en-US" w:bidi="ar-SA"/>
      </w:rPr>
    </w:lvl>
    <w:lvl w:ilvl="4">
      <w:start w:val="0"/>
      <w:numFmt w:val="bullet"/>
      <w:lvlText w:val="•"/>
      <w:lvlJc w:val="left"/>
      <w:pPr>
        <w:ind w:left="3816" w:hanging="347"/>
      </w:pPr>
      <w:rPr>
        <w:rFonts w:hint="default"/>
        <w:lang w:val="en-US" w:eastAsia="en-US" w:bidi="ar-SA"/>
      </w:rPr>
    </w:lvl>
    <w:lvl w:ilvl="5">
      <w:start w:val="0"/>
      <w:numFmt w:val="bullet"/>
      <w:lvlText w:val="•"/>
      <w:lvlJc w:val="left"/>
      <w:pPr>
        <w:ind w:left="4730" w:hanging="347"/>
      </w:pPr>
      <w:rPr>
        <w:rFonts w:hint="default"/>
        <w:lang w:val="en-US" w:eastAsia="en-US" w:bidi="ar-SA"/>
      </w:rPr>
    </w:lvl>
    <w:lvl w:ilvl="6">
      <w:start w:val="0"/>
      <w:numFmt w:val="bullet"/>
      <w:lvlText w:val="•"/>
      <w:lvlJc w:val="left"/>
      <w:pPr>
        <w:ind w:left="5644" w:hanging="347"/>
      </w:pPr>
      <w:rPr>
        <w:rFonts w:hint="default"/>
        <w:lang w:val="en-US" w:eastAsia="en-US" w:bidi="ar-SA"/>
      </w:rPr>
    </w:lvl>
    <w:lvl w:ilvl="7">
      <w:start w:val="0"/>
      <w:numFmt w:val="bullet"/>
      <w:lvlText w:val="•"/>
      <w:lvlJc w:val="left"/>
      <w:pPr>
        <w:ind w:left="6558" w:hanging="347"/>
      </w:pPr>
      <w:rPr>
        <w:rFonts w:hint="default"/>
        <w:lang w:val="en-US" w:eastAsia="en-US" w:bidi="ar-SA"/>
      </w:rPr>
    </w:lvl>
    <w:lvl w:ilvl="8">
      <w:start w:val="0"/>
      <w:numFmt w:val="bullet"/>
      <w:lvlText w:val="•"/>
      <w:lvlJc w:val="left"/>
      <w:pPr>
        <w:ind w:left="7472" w:hanging="347"/>
      </w:pPr>
      <w:rPr>
        <w:rFonts w:hint="default"/>
        <w:lang w:val="en-US" w:eastAsia="en-US" w:bidi="ar-SA"/>
      </w:rPr>
    </w:lvl>
  </w:abstractNum>
  <w:abstractNum w:abstractNumId="115">
    <w:multiLevelType w:val="hybridMultilevel"/>
    <w:lvl w:ilvl="0">
      <w:start w:val="1"/>
      <w:numFmt w:val="decimal"/>
      <w:lvlText w:val="(%1)"/>
      <w:lvlJc w:val="left"/>
      <w:pPr>
        <w:ind w:left="160" w:hanging="352"/>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2"/>
      </w:pPr>
      <w:rPr>
        <w:rFonts w:hint="default"/>
        <w:lang w:val="en-US" w:eastAsia="en-US" w:bidi="ar-SA"/>
      </w:rPr>
    </w:lvl>
    <w:lvl w:ilvl="2">
      <w:start w:val="0"/>
      <w:numFmt w:val="bullet"/>
      <w:lvlText w:val="•"/>
      <w:lvlJc w:val="left"/>
      <w:pPr>
        <w:ind w:left="1988" w:hanging="352"/>
      </w:pPr>
      <w:rPr>
        <w:rFonts w:hint="default"/>
        <w:lang w:val="en-US" w:eastAsia="en-US" w:bidi="ar-SA"/>
      </w:rPr>
    </w:lvl>
    <w:lvl w:ilvl="3">
      <w:start w:val="0"/>
      <w:numFmt w:val="bullet"/>
      <w:lvlText w:val="•"/>
      <w:lvlJc w:val="left"/>
      <w:pPr>
        <w:ind w:left="2902" w:hanging="352"/>
      </w:pPr>
      <w:rPr>
        <w:rFonts w:hint="default"/>
        <w:lang w:val="en-US" w:eastAsia="en-US" w:bidi="ar-SA"/>
      </w:rPr>
    </w:lvl>
    <w:lvl w:ilvl="4">
      <w:start w:val="0"/>
      <w:numFmt w:val="bullet"/>
      <w:lvlText w:val="•"/>
      <w:lvlJc w:val="left"/>
      <w:pPr>
        <w:ind w:left="3816" w:hanging="352"/>
      </w:pPr>
      <w:rPr>
        <w:rFonts w:hint="default"/>
        <w:lang w:val="en-US" w:eastAsia="en-US" w:bidi="ar-SA"/>
      </w:rPr>
    </w:lvl>
    <w:lvl w:ilvl="5">
      <w:start w:val="0"/>
      <w:numFmt w:val="bullet"/>
      <w:lvlText w:val="•"/>
      <w:lvlJc w:val="left"/>
      <w:pPr>
        <w:ind w:left="4730" w:hanging="352"/>
      </w:pPr>
      <w:rPr>
        <w:rFonts w:hint="default"/>
        <w:lang w:val="en-US" w:eastAsia="en-US" w:bidi="ar-SA"/>
      </w:rPr>
    </w:lvl>
    <w:lvl w:ilvl="6">
      <w:start w:val="0"/>
      <w:numFmt w:val="bullet"/>
      <w:lvlText w:val="•"/>
      <w:lvlJc w:val="left"/>
      <w:pPr>
        <w:ind w:left="5644" w:hanging="352"/>
      </w:pPr>
      <w:rPr>
        <w:rFonts w:hint="default"/>
        <w:lang w:val="en-US" w:eastAsia="en-US" w:bidi="ar-SA"/>
      </w:rPr>
    </w:lvl>
    <w:lvl w:ilvl="7">
      <w:start w:val="0"/>
      <w:numFmt w:val="bullet"/>
      <w:lvlText w:val="•"/>
      <w:lvlJc w:val="left"/>
      <w:pPr>
        <w:ind w:left="6558" w:hanging="352"/>
      </w:pPr>
      <w:rPr>
        <w:rFonts w:hint="default"/>
        <w:lang w:val="en-US" w:eastAsia="en-US" w:bidi="ar-SA"/>
      </w:rPr>
    </w:lvl>
    <w:lvl w:ilvl="8">
      <w:start w:val="0"/>
      <w:numFmt w:val="bullet"/>
      <w:lvlText w:val="•"/>
      <w:lvlJc w:val="left"/>
      <w:pPr>
        <w:ind w:left="7472" w:hanging="352"/>
      </w:pPr>
      <w:rPr>
        <w:rFonts w:hint="default"/>
        <w:lang w:val="en-US" w:eastAsia="en-US" w:bidi="ar-SA"/>
      </w:rPr>
    </w:lvl>
  </w:abstractNum>
  <w:abstractNum w:abstractNumId="114">
    <w:multiLevelType w:val="hybridMultilevel"/>
    <w:lvl w:ilvl="0">
      <w:start w:val="6"/>
      <w:numFmt w:val="decimal"/>
      <w:lvlText w:val="%1"/>
      <w:lvlJc w:val="left"/>
      <w:pPr>
        <w:ind w:left="160" w:hanging="498"/>
        <w:jc w:val="left"/>
      </w:pPr>
      <w:rPr>
        <w:rFonts w:hint="default"/>
        <w:lang w:val="en-US" w:eastAsia="en-US" w:bidi="ar-SA"/>
      </w:rPr>
    </w:lvl>
    <w:lvl w:ilvl="1">
      <w:start w:val="34"/>
      <w:numFmt w:val="decimal"/>
      <w:lvlText w:val="%1.%2"/>
      <w:lvlJc w:val="left"/>
      <w:pPr>
        <w:ind w:left="160" w:hanging="498"/>
        <w:jc w:val="left"/>
      </w:pPr>
      <w:rPr>
        <w:rFonts w:hint="default"/>
        <w:spacing w:val="-1"/>
        <w:w w:val="100"/>
        <w:lang w:val="en-US" w:eastAsia="en-US" w:bidi="ar-SA"/>
      </w:rPr>
    </w:lvl>
    <w:lvl w:ilvl="2">
      <w:start w:val="0"/>
      <w:numFmt w:val="bullet"/>
      <w:lvlText w:val="-"/>
      <w:lvlJc w:val="left"/>
      <w:pPr>
        <w:ind w:left="160" w:hanging="155"/>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155"/>
      </w:pPr>
      <w:rPr>
        <w:rFonts w:hint="default"/>
        <w:lang w:val="en-US" w:eastAsia="en-US" w:bidi="ar-SA"/>
      </w:rPr>
    </w:lvl>
    <w:lvl w:ilvl="4">
      <w:start w:val="0"/>
      <w:numFmt w:val="bullet"/>
      <w:lvlText w:val="•"/>
      <w:lvlJc w:val="left"/>
      <w:pPr>
        <w:ind w:left="3816" w:hanging="155"/>
      </w:pPr>
      <w:rPr>
        <w:rFonts w:hint="default"/>
        <w:lang w:val="en-US" w:eastAsia="en-US" w:bidi="ar-SA"/>
      </w:rPr>
    </w:lvl>
    <w:lvl w:ilvl="5">
      <w:start w:val="0"/>
      <w:numFmt w:val="bullet"/>
      <w:lvlText w:val="•"/>
      <w:lvlJc w:val="left"/>
      <w:pPr>
        <w:ind w:left="4730" w:hanging="155"/>
      </w:pPr>
      <w:rPr>
        <w:rFonts w:hint="default"/>
        <w:lang w:val="en-US" w:eastAsia="en-US" w:bidi="ar-SA"/>
      </w:rPr>
    </w:lvl>
    <w:lvl w:ilvl="6">
      <w:start w:val="0"/>
      <w:numFmt w:val="bullet"/>
      <w:lvlText w:val="•"/>
      <w:lvlJc w:val="left"/>
      <w:pPr>
        <w:ind w:left="5644" w:hanging="155"/>
      </w:pPr>
      <w:rPr>
        <w:rFonts w:hint="default"/>
        <w:lang w:val="en-US" w:eastAsia="en-US" w:bidi="ar-SA"/>
      </w:rPr>
    </w:lvl>
    <w:lvl w:ilvl="7">
      <w:start w:val="0"/>
      <w:numFmt w:val="bullet"/>
      <w:lvlText w:val="•"/>
      <w:lvlJc w:val="left"/>
      <w:pPr>
        <w:ind w:left="6558" w:hanging="155"/>
      </w:pPr>
      <w:rPr>
        <w:rFonts w:hint="default"/>
        <w:lang w:val="en-US" w:eastAsia="en-US" w:bidi="ar-SA"/>
      </w:rPr>
    </w:lvl>
    <w:lvl w:ilvl="8">
      <w:start w:val="0"/>
      <w:numFmt w:val="bullet"/>
      <w:lvlText w:val="•"/>
      <w:lvlJc w:val="left"/>
      <w:pPr>
        <w:ind w:left="7472" w:hanging="155"/>
      </w:pPr>
      <w:rPr>
        <w:rFonts w:hint="default"/>
        <w:lang w:val="en-US" w:eastAsia="en-US" w:bidi="ar-SA"/>
      </w:rPr>
    </w:lvl>
  </w:abstractNum>
  <w:abstractNum w:abstractNumId="113">
    <w:multiLevelType w:val="hybridMultilevel"/>
    <w:lvl w:ilvl="0">
      <w:start w:val="1"/>
      <w:numFmt w:val="decimal"/>
      <w:lvlText w:val="(%1)"/>
      <w:lvlJc w:val="left"/>
      <w:pPr>
        <w:ind w:left="160" w:hanging="37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6"/>
      </w:pPr>
      <w:rPr>
        <w:rFonts w:hint="default"/>
        <w:lang w:val="en-US" w:eastAsia="en-US" w:bidi="ar-SA"/>
      </w:rPr>
    </w:lvl>
    <w:lvl w:ilvl="2">
      <w:start w:val="0"/>
      <w:numFmt w:val="bullet"/>
      <w:lvlText w:val="•"/>
      <w:lvlJc w:val="left"/>
      <w:pPr>
        <w:ind w:left="1988" w:hanging="376"/>
      </w:pPr>
      <w:rPr>
        <w:rFonts w:hint="default"/>
        <w:lang w:val="en-US" w:eastAsia="en-US" w:bidi="ar-SA"/>
      </w:rPr>
    </w:lvl>
    <w:lvl w:ilvl="3">
      <w:start w:val="0"/>
      <w:numFmt w:val="bullet"/>
      <w:lvlText w:val="•"/>
      <w:lvlJc w:val="left"/>
      <w:pPr>
        <w:ind w:left="2902" w:hanging="376"/>
      </w:pPr>
      <w:rPr>
        <w:rFonts w:hint="default"/>
        <w:lang w:val="en-US" w:eastAsia="en-US" w:bidi="ar-SA"/>
      </w:rPr>
    </w:lvl>
    <w:lvl w:ilvl="4">
      <w:start w:val="0"/>
      <w:numFmt w:val="bullet"/>
      <w:lvlText w:val="•"/>
      <w:lvlJc w:val="left"/>
      <w:pPr>
        <w:ind w:left="3816" w:hanging="376"/>
      </w:pPr>
      <w:rPr>
        <w:rFonts w:hint="default"/>
        <w:lang w:val="en-US" w:eastAsia="en-US" w:bidi="ar-SA"/>
      </w:rPr>
    </w:lvl>
    <w:lvl w:ilvl="5">
      <w:start w:val="0"/>
      <w:numFmt w:val="bullet"/>
      <w:lvlText w:val="•"/>
      <w:lvlJc w:val="left"/>
      <w:pPr>
        <w:ind w:left="4730" w:hanging="376"/>
      </w:pPr>
      <w:rPr>
        <w:rFonts w:hint="default"/>
        <w:lang w:val="en-US" w:eastAsia="en-US" w:bidi="ar-SA"/>
      </w:rPr>
    </w:lvl>
    <w:lvl w:ilvl="6">
      <w:start w:val="0"/>
      <w:numFmt w:val="bullet"/>
      <w:lvlText w:val="•"/>
      <w:lvlJc w:val="left"/>
      <w:pPr>
        <w:ind w:left="5644" w:hanging="376"/>
      </w:pPr>
      <w:rPr>
        <w:rFonts w:hint="default"/>
        <w:lang w:val="en-US" w:eastAsia="en-US" w:bidi="ar-SA"/>
      </w:rPr>
    </w:lvl>
    <w:lvl w:ilvl="7">
      <w:start w:val="0"/>
      <w:numFmt w:val="bullet"/>
      <w:lvlText w:val="•"/>
      <w:lvlJc w:val="left"/>
      <w:pPr>
        <w:ind w:left="6558" w:hanging="376"/>
      </w:pPr>
      <w:rPr>
        <w:rFonts w:hint="default"/>
        <w:lang w:val="en-US" w:eastAsia="en-US" w:bidi="ar-SA"/>
      </w:rPr>
    </w:lvl>
    <w:lvl w:ilvl="8">
      <w:start w:val="0"/>
      <w:numFmt w:val="bullet"/>
      <w:lvlText w:val="•"/>
      <w:lvlJc w:val="left"/>
      <w:pPr>
        <w:ind w:left="7472" w:hanging="376"/>
      </w:pPr>
      <w:rPr>
        <w:rFonts w:hint="default"/>
        <w:lang w:val="en-US" w:eastAsia="en-US" w:bidi="ar-SA"/>
      </w:rPr>
    </w:lvl>
  </w:abstractNum>
  <w:abstractNum w:abstractNumId="112">
    <w:multiLevelType w:val="hybridMultilevel"/>
    <w:lvl w:ilvl="0">
      <w:start w:val="1"/>
      <w:numFmt w:val="decimal"/>
      <w:lvlText w:val="(%1)"/>
      <w:lvlJc w:val="left"/>
      <w:pPr>
        <w:ind w:left="160" w:hanging="35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59"/>
      </w:pPr>
      <w:rPr>
        <w:rFonts w:hint="default"/>
        <w:lang w:val="en-US" w:eastAsia="en-US" w:bidi="ar-SA"/>
      </w:rPr>
    </w:lvl>
    <w:lvl w:ilvl="2">
      <w:start w:val="0"/>
      <w:numFmt w:val="bullet"/>
      <w:lvlText w:val="•"/>
      <w:lvlJc w:val="left"/>
      <w:pPr>
        <w:ind w:left="1988" w:hanging="359"/>
      </w:pPr>
      <w:rPr>
        <w:rFonts w:hint="default"/>
        <w:lang w:val="en-US" w:eastAsia="en-US" w:bidi="ar-SA"/>
      </w:rPr>
    </w:lvl>
    <w:lvl w:ilvl="3">
      <w:start w:val="0"/>
      <w:numFmt w:val="bullet"/>
      <w:lvlText w:val="•"/>
      <w:lvlJc w:val="left"/>
      <w:pPr>
        <w:ind w:left="2902" w:hanging="359"/>
      </w:pPr>
      <w:rPr>
        <w:rFonts w:hint="default"/>
        <w:lang w:val="en-US" w:eastAsia="en-US" w:bidi="ar-SA"/>
      </w:rPr>
    </w:lvl>
    <w:lvl w:ilvl="4">
      <w:start w:val="0"/>
      <w:numFmt w:val="bullet"/>
      <w:lvlText w:val="•"/>
      <w:lvlJc w:val="left"/>
      <w:pPr>
        <w:ind w:left="3816" w:hanging="359"/>
      </w:pPr>
      <w:rPr>
        <w:rFonts w:hint="default"/>
        <w:lang w:val="en-US" w:eastAsia="en-US" w:bidi="ar-SA"/>
      </w:rPr>
    </w:lvl>
    <w:lvl w:ilvl="5">
      <w:start w:val="0"/>
      <w:numFmt w:val="bullet"/>
      <w:lvlText w:val="•"/>
      <w:lvlJc w:val="left"/>
      <w:pPr>
        <w:ind w:left="4730" w:hanging="359"/>
      </w:pPr>
      <w:rPr>
        <w:rFonts w:hint="default"/>
        <w:lang w:val="en-US" w:eastAsia="en-US" w:bidi="ar-SA"/>
      </w:rPr>
    </w:lvl>
    <w:lvl w:ilvl="6">
      <w:start w:val="0"/>
      <w:numFmt w:val="bullet"/>
      <w:lvlText w:val="•"/>
      <w:lvlJc w:val="left"/>
      <w:pPr>
        <w:ind w:left="5644" w:hanging="359"/>
      </w:pPr>
      <w:rPr>
        <w:rFonts w:hint="default"/>
        <w:lang w:val="en-US" w:eastAsia="en-US" w:bidi="ar-SA"/>
      </w:rPr>
    </w:lvl>
    <w:lvl w:ilvl="7">
      <w:start w:val="0"/>
      <w:numFmt w:val="bullet"/>
      <w:lvlText w:val="•"/>
      <w:lvlJc w:val="left"/>
      <w:pPr>
        <w:ind w:left="6558" w:hanging="359"/>
      </w:pPr>
      <w:rPr>
        <w:rFonts w:hint="default"/>
        <w:lang w:val="en-US" w:eastAsia="en-US" w:bidi="ar-SA"/>
      </w:rPr>
    </w:lvl>
    <w:lvl w:ilvl="8">
      <w:start w:val="0"/>
      <w:numFmt w:val="bullet"/>
      <w:lvlText w:val="•"/>
      <w:lvlJc w:val="left"/>
      <w:pPr>
        <w:ind w:left="7472" w:hanging="359"/>
      </w:pPr>
      <w:rPr>
        <w:rFonts w:hint="default"/>
        <w:lang w:val="en-US" w:eastAsia="en-US" w:bidi="ar-SA"/>
      </w:rPr>
    </w:lvl>
  </w:abstractNum>
  <w:abstractNum w:abstractNumId="111">
    <w:multiLevelType w:val="hybridMultilevel"/>
    <w:lvl w:ilvl="0">
      <w:start w:val="1"/>
      <w:numFmt w:val="decimal"/>
      <w:lvlText w:val="(%1)"/>
      <w:lvlJc w:val="left"/>
      <w:pPr>
        <w:ind w:left="160" w:hanging="35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59"/>
      </w:pPr>
      <w:rPr>
        <w:rFonts w:hint="default"/>
        <w:lang w:val="en-US" w:eastAsia="en-US" w:bidi="ar-SA"/>
      </w:rPr>
    </w:lvl>
    <w:lvl w:ilvl="2">
      <w:start w:val="0"/>
      <w:numFmt w:val="bullet"/>
      <w:lvlText w:val="•"/>
      <w:lvlJc w:val="left"/>
      <w:pPr>
        <w:ind w:left="1988" w:hanging="359"/>
      </w:pPr>
      <w:rPr>
        <w:rFonts w:hint="default"/>
        <w:lang w:val="en-US" w:eastAsia="en-US" w:bidi="ar-SA"/>
      </w:rPr>
    </w:lvl>
    <w:lvl w:ilvl="3">
      <w:start w:val="0"/>
      <w:numFmt w:val="bullet"/>
      <w:lvlText w:val="•"/>
      <w:lvlJc w:val="left"/>
      <w:pPr>
        <w:ind w:left="2902" w:hanging="359"/>
      </w:pPr>
      <w:rPr>
        <w:rFonts w:hint="default"/>
        <w:lang w:val="en-US" w:eastAsia="en-US" w:bidi="ar-SA"/>
      </w:rPr>
    </w:lvl>
    <w:lvl w:ilvl="4">
      <w:start w:val="0"/>
      <w:numFmt w:val="bullet"/>
      <w:lvlText w:val="•"/>
      <w:lvlJc w:val="left"/>
      <w:pPr>
        <w:ind w:left="3816" w:hanging="359"/>
      </w:pPr>
      <w:rPr>
        <w:rFonts w:hint="default"/>
        <w:lang w:val="en-US" w:eastAsia="en-US" w:bidi="ar-SA"/>
      </w:rPr>
    </w:lvl>
    <w:lvl w:ilvl="5">
      <w:start w:val="0"/>
      <w:numFmt w:val="bullet"/>
      <w:lvlText w:val="•"/>
      <w:lvlJc w:val="left"/>
      <w:pPr>
        <w:ind w:left="4730" w:hanging="359"/>
      </w:pPr>
      <w:rPr>
        <w:rFonts w:hint="default"/>
        <w:lang w:val="en-US" w:eastAsia="en-US" w:bidi="ar-SA"/>
      </w:rPr>
    </w:lvl>
    <w:lvl w:ilvl="6">
      <w:start w:val="0"/>
      <w:numFmt w:val="bullet"/>
      <w:lvlText w:val="•"/>
      <w:lvlJc w:val="left"/>
      <w:pPr>
        <w:ind w:left="5644" w:hanging="359"/>
      </w:pPr>
      <w:rPr>
        <w:rFonts w:hint="default"/>
        <w:lang w:val="en-US" w:eastAsia="en-US" w:bidi="ar-SA"/>
      </w:rPr>
    </w:lvl>
    <w:lvl w:ilvl="7">
      <w:start w:val="0"/>
      <w:numFmt w:val="bullet"/>
      <w:lvlText w:val="•"/>
      <w:lvlJc w:val="left"/>
      <w:pPr>
        <w:ind w:left="6558" w:hanging="359"/>
      </w:pPr>
      <w:rPr>
        <w:rFonts w:hint="default"/>
        <w:lang w:val="en-US" w:eastAsia="en-US" w:bidi="ar-SA"/>
      </w:rPr>
    </w:lvl>
    <w:lvl w:ilvl="8">
      <w:start w:val="0"/>
      <w:numFmt w:val="bullet"/>
      <w:lvlText w:val="•"/>
      <w:lvlJc w:val="left"/>
      <w:pPr>
        <w:ind w:left="7472" w:hanging="359"/>
      </w:pPr>
      <w:rPr>
        <w:rFonts w:hint="default"/>
        <w:lang w:val="en-US" w:eastAsia="en-US" w:bidi="ar-SA"/>
      </w:rPr>
    </w:lvl>
  </w:abstractNum>
  <w:abstractNum w:abstractNumId="110">
    <w:multiLevelType w:val="hybridMultilevel"/>
    <w:lvl w:ilvl="0">
      <w:start w:val="1"/>
      <w:numFmt w:val="decimal"/>
      <w:lvlText w:val="(%1)"/>
      <w:lvlJc w:val="left"/>
      <w:pPr>
        <w:ind w:left="499" w:hanging="3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0" w:hanging="145"/>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477" w:hanging="145"/>
      </w:pPr>
      <w:rPr>
        <w:rFonts w:hint="default"/>
        <w:lang w:val="en-US" w:eastAsia="en-US" w:bidi="ar-SA"/>
      </w:rPr>
    </w:lvl>
    <w:lvl w:ilvl="3">
      <w:start w:val="0"/>
      <w:numFmt w:val="bullet"/>
      <w:lvlText w:val="•"/>
      <w:lvlJc w:val="left"/>
      <w:pPr>
        <w:ind w:left="2455" w:hanging="145"/>
      </w:pPr>
      <w:rPr>
        <w:rFonts w:hint="default"/>
        <w:lang w:val="en-US" w:eastAsia="en-US" w:bidi="ar-SA"/>
      </w:rPr>
    </w:lvl>
    <w:lvl w:ilvl="4">
      <w:start w:val="0"/>
      <w:numFmt w:val="bullet"/>
      <w:lvlText w:val="•"/>
      <w:lvlJc w:val="left"/>
      <w:pPr>
        <w:ind w:left="3433" w:hanging="145"/>
      </w:pPr>
      <w:rPr>
        <w:rFonts w:hint="default"/>
        <w:lang w:val="en-US" w:eastAsia="en-US" w:bidi="ar-SA"/>
      </w:rPr>
    </w:lvl>
    <w:lvl w:ilvl="5">
      <w:start w:val="0"/>
      <w:numFmt w:val="bullet"/>
      <w:lvlText w:val="•"/>
      <w:lvlJc w:val="left"/>
      <w:pPr>
        <w:ind w:left="4411" w:hanging="145"/>
      </w:pPr>
      <w:rPr>
        <w:rFonts w:hint="default"/>
        <w:lang w:val="en-US" w:eastAsia="en-US" w:bidi="ar-SA"/>
      </w:rPr>
    </w:lvl>
    <w:lvl w:ilvl="6">
      <w:start w:val="0"/>
      <w:numFmt w:val="bullet"/>
      <w:lvlText w:val="•"/>
      <w:lvlJc w:val="left"/>
      <w:pPr>
        <w:ind w:left="5388" w:hanging="145"/>
      </w:pPr>
      <w:rPr>
        <w:rFonts w:hint="default"/>
        <w:lang w:val="en-US" w:eastAsia="en-US" w:bidi="ar-SA"/>
      </w:rPr>
    </w:lvl>
    <w:lvl w:ilvl="7">
      <w:start w:val="0"/>
      <w:numFmt w:val="bullet"/>
      <w:lvlText w:val="•"/>
      <w:lvlJc w:val="left"/>
      <w:pPr>
        <w:ind w:left="6366" w:hanging="145"/>
      </w:pPr>
      <w:rPr>
        <w:rFonts w:hint="default"/>
        <w:lang w:val="en-US" w:eastAsia="en-US" w:bidi="ar-SA"/>
      </w:rPr>
    </w:lvl>
    <w:lvl w:ilvl="8">
      <w:start w:val="0"/>
      <w:numFmt w:val="bullet"/>
      <w:lvlText w:val="•"/>
      <w:lvlJc w:val="left"/>
      <w:pPr>
        <w:ind w:left="7344" w:hanging="145"/>
      </w:pPr>
      <w:rPr>
        <w:rFonts w:hint="default"/>
        <w:lang w:val="en-US" w:eastAsia="en-US" w:bidi="ar-SA"/>
      </w:rPr>
    </w:lvl>
  </w:abstractNum>
  <w:abstractNum w:abstractNumId="109">
    <w:multiLevelType w:val="hybridMultilevel"/>
    <w:lvl w:ilvl="0">
      <w:start w:val="1"/>
      <w:numFmt w:val="decimal"/>
      <w:lvlText w:val="(%1)"/>
      <w:lvlJc w:val="left"/>
      <w:pPr>
        <w:ind w:left="160" w:hanging="39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96"/>
      </w:pPr>
      <w:rPr>
        <w:rFonts w:hint="default"/>
        <w:lang w:val="en-US" w:eastAsia="en-US" w:bidi="ar-SA"/>
      </w:rPr>
    </w:lvl>
    <w:lvl w:ilvl="2">
      <w:start w:val="0"/>
      <w:numFmt w:val="bullet"/>
      <w:lvlText w:val="•"/>
      <w:lvlJc w:val="left"/>
      <w:pPr>
        <w:ind w:left="1988" w:hanging="396"/>
      </w:pPr>
      <w:rPr>
        <w:rFonts w:hint="default"/>
        <w:lang w:val="en-US" w:eastAsia="en-US" w:bidi="ar-SA"/>
      </w:rPr>
    </w:lvl>
    <w:lvl w:ilvl="3">
      <w:start w:val="0"/>
      <w:numFmt w:val="bullet"/>
      <w:lvlText w:val="•"/>
      <w:lvlJc w:val="left"/>
      <w:pPr>
        <w:ind w:left="2902" w:hanging="396"/>
      </w:pPr>
      <w:rPr>
        <w:rFonts w:hint="default"/>
        <w:lang w:val="en-US" w:eastAsia="en-US" w:bidi="ar-SA"/>
      </w:rPr>
    </w:lvl>
    <w:lvl w:ilvl="4">
      <w:start w:val="0"/>
      <w:numFmt w:val="bullet"/>
      <w:lvlText w:val="•"/>
      <w:lvlJc w:val="left"/>
      <w:pPr>
        <w:ind w:left="3816" w:hanging="396"/>
      </w:pPr>
      <w:rPr>
        <w:rFonts w:hint="default"/>
        <w:lang w:val="en-US" w:eastAsia="en-US" w:bidi="ar-SA"/>
      </w:rPr>
    </w:lvl>
    <w:lvl w:ilvl="5">
      <w:start w:val="0"/>
      <w:numFmt w:val="bullet"/>
      <w:lvlText w:val="•"/>
      <w:lvlJc w:val="left"/>
      <w:pPr>
        <w:ind w:left="4730" w:hanging="396"/>
      </w:pPr>
      <w:rPr>
        <w:rFonts w:hint="default"/>
        <w:lang w:val="en-US" w:eastAsia="en-US" w:bidi="ar-SA"/>
      </w:rPr>
    </w:lvl>
    <w:lvl w:ilvl="6">
      <w:start w:val="0"/>
      <w:numFmt w:val="bullet"/>
      <w:lvlText w:val="•"/>
      <w:lvlJc w:val="left"/>
      <w:pPr>
        <w:ind w:left="5644" w:hanging="396"/>
      </w:pPr>
      <w:rPr>
        <w:rFonts w:hint="default"/>
        <w:lang w:val="en-US" w:eastAsia="en-US" w:bidi="ar-SA"/>
      </w:rPr>
    </w:lvl>
    <w:lvl w:ilvl="7">
      <w:start w:val="0"/>
      <w:numFmt w:val="bullet"/>
      <w:lvlText w:val="•"/>
      <w:lvlJc w:val="left"/>
      <w:pPr>
        <w:ind w:left="6558" w:hanging="396"/>
      </w:pPr>
      <w:rPr>
        <w:rFonts w:hint="default"/>
        <w:lang w:val="en-US" w:eastAsia="en-US" w:bidi="ar-SA"/>
      </w:rPr>
    </w:lvl>
    <w:lvl w:ilvl="8">
      <w:start w:val="0"/>
      <w:numFmt w:val="bullet"/>
      <w:lvlText w:val="•"/>
      <w:lvlJc w:val="left"/>
      <w:pPr>
        <w:ind w:left="7472" w:hanging="396"/>
      </w:pPr>
      <w:rPr>
        <w:rFonts w:hint="default"/>
        <w:lang w:val="en-US" w:eastAsia="en-US" w:bidi="ar-SA"/>
      </w:rPr>
    </w:lvl>
  </w:abstractNum>
  <w:abstractNum w:abstractNumId="108">
    <w:multiLevelType w:val="hybridMultilevel"/>
    <w:lvl w:ilvl="0">
      <w:start w:val="1"/>
      <w:numFmt w:val="decimal"/>
      <w:lvlText w:val="(%1)"/>
      <w:lvlJc w:val="left"/>
      <w:pPr>
        <w:ind w:left="160" w:hanging="35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7"/>
      </w:pPr>
      <w:rPr>
        <w:rFonts w:hint="default"/>
        <w:lang w:val="en-US" w:eastAsia="en-US" w:bidi="ar-SA"/>
      </w:rPr>
    </w:lvl>
    <w:lvl w:ilvl="2">
      <w:start w:val="0"/>
      <w:numFmt w:val="bullet"/>
      <w:lvlText w:val="•"/>
      <w:lvlJc w:val="left"/>
      <w:pPr>
        <w:ind w:left="1988" w:hanging="357"/>
      </w:pPr>
      <w:rPr>
        <w:rFonts w:hint="default"/>
        <w:lang w:val="en-US" w:eastAsia="en-US" w:bidi="ar-SA"/>
      </w:rPr>
    </w:lvl>
    <w:lvl w:ilvl="3">
      <w:start w:val="0"/>
      <w:numFmt w:val="bullet"/>
      <w:lvlText w:val="•"/>
      <w:lvlJc w:val="left"/>
      <w:pPr>
        <w:ind w:left="2902" w:hanging="357"/>
      </w:pPr>
      <w:rPr>
        <w:rFonts w:hint="default"/>
        <w:lang w:val="en-US" w:eastAsia="en-US" w:bidi="ar-SA"/>
      </w:rPr>
    </w:lvl>
    <w:lvl w:ilvl="4">
      <w:start w:val="0"/>
      <w:numFmt w:val="bullet"/>
      <w:lvlText w:val="•"/>
      <w:lvlJc w:val="left"/>
      <w:pPr>
        <w:ind w:left="3816" w:hanging="357"/>
      </w:pPr>
      <w:rPr>
        <w:rFonts w:hint="default"/>
        <w:lang w:val="en-US" w:eastAsia="en-US" w:bidi="ar-SA"/>
      </w:rPr>
    </w:lvl>
    <w:lvl w:ilvl="5">
      <w:start w:val="0"/>
      <w:numFmt w:val="bullet"/>
      <w:lvlText w:val="•"/>
      <w:lvlJc w:val="left"/>
      <w:pPr>
        <w:ind w:left="4730" w:hanging="357"/>
      </w:pPr>
      <w:rPr>
        <w:rFonts w:hint="default"/>
        <w:lang w:val="en-US" w:eastAsia="en-US" w:bidi="ar-SA"/>
      </w:rPr>
    </w:lvl>
    <w:lvl w:ilvl="6">
      <w:start w:val="0"/>
      <w:numFmt w:val="bullet"/>
      <w:lvlText w:val="•"/>
      <w:lvlJc w:val="left"/>
      <w:pPr>
        <w:ind w:left="5644" w:hanging="357"/>
      </w:pPr>
      <w:rPr>
        <w:rFonts w:hint="default"/>
        <w:lang w:val="en-US" w:eastAsia="en-US" w:bidi="ar-SA"/>
      </w:rPr>
    </w:lvl>
    <w:lvl w:ilvl="7">
      <w:start w:val="0"/>
      <w:numFmt w:val="bullet"/>
      <w:lvlText w:val="•"/>
      <w:lvlJc w:val="left"/>
      <w:pPr>
        <w:ind w:left="6558" w:hanging="357"/>
      </w:pPr>
      <w:rPr>
        <w:rFonts w:hint="default"/>
        <w:lang w:val="en-US" w:eastAsia="en-US" w:bidi="ar-SA"/>
      </w:rPr>
    </w:lvl>
    <w:lvl w:ilvl="8">
      <w:start w:val="0"/>
      <w:numFmt w:val="bullet"/>
      <w:lvlText w:val="•"/>
      <w:lvlJc w:val="left"/>
      <w:pPr>
        <w:ind w:left="7472" w:hanging="357"/>
      </w:pPr>
      <w:rPr>
        <w:rFonts w:hint="default"/>
        <w:lang w:val="en-US" w:eastAsia="en-US" w:bidi="ar-SA"/>
      </w:rPr>
    </w:lvl>
  </w:abstractNum>
  <w:abstractNum w:abstractNumId="107">
    <w:multiLevelType w:val="hybridMultilevel"/>
    <w:lvl w:ilvl="0">
      <w:start w:val="0"/>
      <w:numFmt w:val="bullet"/>
      <w:lvlText w:val="-"/>
      <w:lvlJc w:val="left"/>
      <w:pPr>
        <w:ind w:left="160" w:hanging="145"/>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45"/>
      </w:pPr>
      <w:rPr>
        <w:rFonts w:hint="default"/>
        <w:lang w:val="en-US" w:eastAsia="en-US" w:bidi="ar-SA"/>
      </w:rPr>
    </w:lvl>
    <w:lvl w:ilvl="2">
      <w:start w:val="0"/>
      <w:numFmt w:val="bullet"/>
      <w:lvlText w:val="•"/>
      <w:lvlJc w:val="left"/>
      <w:pPr>
        <w:ind w:left="1988" w:hanging="145"/>
      </w:pPr>
      <w:rPr>
        <w:rFonts w:hint="default"/>
        <w:lang w:val="en-US" w:eastAsia="en-US" w:bidi="ar-SA"/>
      </w:rPr>
    </w:lvl>
    <w:lvl w:ilvl="3">
      <w:start w:val="0"/>
      <w:numFmt w:val="bullet"/>
      <w:lvlText w:val="•"/>
      <w:lvlJc w:val="left"/>
      <w:pPr>
        <w:ind w:left="2902" w:hanging="145"/>
      </w:pPr>
      <w:rPr>
        <w:rFonts w:hint="default"/>
        <w:lang w:val="en-US" w:eastAsia="en-US" w:bidi="ar-SA"/>
      </w:rPr>
    </w:lvl>
    <w:lvl w:ilvl="4">
      <w:start w:val="0"/>
      <w:numFmt w:val="bullet"/>
      <w:lvlText w:val="•"/>
      <w:lvlJc w:val="left"/>
      <w:pPr>
        <w:ind w:left="3816" w:hanging="145"/>
      </w:pPr>
      <w:rPr>
        <w:rFonts w:hint="default"/>
        <w:lang w:val="en-US" w:eastAsia="en-US" w:bidi="ar-SA"/>
      </w:rPr>
    </w:lvl>
    <w:lvl w:ilvl="5">
      <w:start w:val="0"/>
      <w:numFmt w:val="bullet"/>
      <w:lvlText w:val="•"/>
      <w:lvlJc w:val="left"/>
      <w:pPr>
        <w:ind w:left="4730" w:hanging="145"/>
      </w:pPr>
      <w:rPr>
        <w:rFonts w:hint="default"/>
        <w:lang w:val="en-US" w:eastAsia="en-US" w:bidi="ar-SA"/>
      </w:rPr>
    </w:lvl>
    <w:lvl w:ilvl="6">
      <w:start w:val="0"/>
      <w:numFmt w:val="bullet"/>
      <w:lvlText w:val="•"/>
      <w:lvlJc w:val="left"/>
      <w:pPr>
        <w:ind w:left="5644" w:hanging="145"/>
      </w:pPr>
      <w:rPr>
        <w:rFonts w:hint="default"/>
        <w:lang w:val="en-US" w:eastAsia="en-US" w:bidi="ar-SA"/>
      </w:rPr>
    </w:lvl>
    <w:lvl w:ilvl="7">
      <w:start w:val="0"/>
      <w:numFmt w:val="bullet"/>
      <w:lvlText w:val="•"/>
      <w:lvlJc w:val="left"/>
      <w:pPr>
        <w:ind w:left="6558" w:hanging="145"/>
      </w:pPr>
      <w:rPr>
        <w:rFonts w:hint="default"/>
        <w:lang w:val="en-US" w:eastAsia="en-US" w:bidi="ar-SA"/>
      </w:rPr>
    </w:lvl>
    <w:lvl w:ilvl="8">
      <w:start w:val="0"/>
      <w:numFmt w:val="bullet"/>
      <w:lvlText w:val="•"/>
      <w:lvlJc w:val="left"/>
      <w:pPr>
        <w:ind w:left="7472" w:hanging="145"/>
      </w:pPr>
      <w:rPr>
        <w:rFonts w:hint="default"/>
        <w:lang w:val="en-US" w:eastAsia="en-US" w:bidi="ar-SA"/>
      </w:rPr>
    </w:lvl>
  </w:abstractNum>
  <w:abstractNum w:abstractNumId="106">
    <w:multiLevelType w:val="hybridMultilevel"/>
    <w:lvl w:ilvl="0">
      <w:start w:val="1"/>
      <w:numFmt w:val="decimal"/>
      <w:lvlText w:val="(%1)"/>
      <w:lvlJc w:val="left"/>
      <w:pPr>
        <w:ind w:left="160" w:hanging="39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396"/>
      </w:pPr>
      <w:rPr>
        <w:rFonts w:hint="default"/>
        <w:lang w:val="en-US" w:eastAsia="en-US" w:bidi="ar-SA"/>
      </w:rPr>
    </w:lvl>
    <w:lvl w:ilvl="2">
      <w:start w:val="0"/>
      <w:numFmt w:val="bullet"/>
      <w:lvlText w:val="•"/>
      <w:lvlJc w:val="left"/>
      <w:pPr>
        <w:ind w:left="1988" w:hanging="396"/>
      </w:pPr>
      <w:rPr>
        <w:rFonts w:hint="default"/>
        <w:lang w:val="en-US" w:eastAsia="en-US" w:bidi="ar-SA"/>
      </w:rPr>
    </w:lvl>
    <w:lvl w:ilvl="3">
      <w:start w:val="0"/>
      <w:numFmt w:val="bullet"/>
      <w:lvlText w:val="•"/>
      <w:lvlJc w:val="left"/>
      <w:pPr>
        <w:ind w:left="2902" w:hanging="396"/>
      </w:pPr>
      <w:rPr>
        <w:rFonts w:hint="default"/>
        <w:lang w:val="en-US" w:eastAsia="en-US" w:bidi="ar-SA"/>
      </w:rPr>
    </w:lvl>
    <w:lvl w:ilvl="4">
      <w:start w:val="0"/>
      <w:numFmt w:val="bullet"/>
      <w:lvlText w:val="•"/>
      <w:lvlJc w:val="left"/>
      <w:pPr>
        <w:ind w:left="3816" w:hanging="396"/>
      </w:pPr>
      <w:rPr>
        <w:rFonts w:hint="default"/>
        <w:lang w:val="en-US" w:eastAsia="en-US" w:bidi="ar-SA"/>
      </w:rPr>
    </w:lvl>
    <w:lvl w:ilvl="5">
      <w:start w:val="0"/>
      <w:numFmt w:val="bullet"/>
      <w:lvlText w:val="•"/>
      <w:lvlJc w:val="left"/>
      <w:pPr>
        <w:ind w:left="4730" w:hanging="396"/>
      </w:pPr>
      <w:rPr>
        <w:rFonts w:hint="default"/>
        <w:lang w:val="en-US" w:eastAsia="en-US" w:bidi="ar-SA"/>
      </w:rPr>
    </w:lvl>
    <w:lvl w:ilvl="6">
      <w:start w:val="0"/>
      <w:numFmt w:val="bullet"/>
      <w:lvlText w:val="•"/>
      <w:lvlJc w:val="left"/>
      <w:pPr>
        <w:ind w:left="5644" w:hanging="396"/>
      </w:pPr>
      <w:rPr>
        <w:rFonts w:hint="default"/>
        <w:lang w:val="en-US" w:eastAsia="en-US" w:bidi="ar-SA"/>
      </w:rPr>
    </w:lvl>
    <w:lvl w:ilvl="7">
      <w:start w:val="0"/>
      <w:numFmt w:val="bullet"/>
      <w:lvlText w:val="•"/>
      <w:lvlJc w:val="left"/>
      <w:pPr>
        <w:ind w:left="6558" w:hanging="396"/>
      </w:pPr>
      <w:rPr>
        <w:rFonts w:hint="default"/>
        <w:lang w:val="en-US" w:eastAsia="en-US" w:bidi="ar-SA"/>
      </w:rPr>
    </w:lvl>
    <w:lvl w:ilvl="8">
      <w:start w:val="0"/>
      <w:numFmt w:val="bullet"/>
      <w:lvlText w:val="•"/>
      <w:lvlJc w:val="left"/>
      <w:pPr>
        <w:ind w:left="7472" w:hanging="396"/>
      </w:pPr>
      <w:rPr>
        <w:rFonts w:hint="default"/>
        <w:lang w:val="en-US" w:eastAsia="en-US" w:bidi="ar-SA"/>
      </w:rPr>
    </w:lvl>
  </w:abstractNum>
  <w:abstractNum w:abstractNumId="105">
    <w:multiLevelType w:val="hybridMultilevel"/>
    <w:lvl w:ilvl="0">
      <w:start w:val="6"/>
      <w:numFmt w:val="decimal"/>
      <w:lvlText w:val="%1"/>
      <w:lvlJc w:val="left"/>
      <w:pPr>
        <w:ind w:left="160" w:hanging="537"/>
        <w:jc w:val="left"/>
      </w:pPr>
      <w:rPr>
        <w:rFonts w:hint="default"/>
        <w:lang w:val="en-US" w:eastAsia="en-US" w:bidi="ar-SA"/>
      </w:rPr>
    </w:lvl>
    <w:lvl w:ilvl="1">
      <w:start w:val="1"/>
      <w:numFmt w:val="decimalZero"/>
      <w:lvlText w:val="%1.%2"/>
      <w:lvlJc w:val="left"/>
      <w:pPr>
        <w:ind w:left="160" w:hanging="537"/>
        <w:jc w:val="left"/>
      </w:pPr>
      <w:rPr>
        <w:rFonts w:hint="default"/>
        <w:spacing w:val="0"/>
        <w:w w:val="100"/>
        <w:lang w:val="en-US" w:eastAsia="en-US" w:bidi="ar-SA"/>
      </w:rPr>
    </w:lvl>
    <w:lvl w:ilvl="2">
      <w:start w:val="0"/>
      <w:numFmt w:val="bullet"/>
      <w:lvlText w:val="•"/>
      <w:lvlJc w:val="left"/>
      <w:pPr>
        <w:ind w:left="1988" w:hanging="537"/>
      </w:pPr>
      <w:rPr>
        <w:rFonts w:hint="default"/>
        <w:lang w:val="en-US" w:eastAsia="en-US" w:bidi="ar-SA"/>
      </w:rPr>
    </w:lvl>
    <w:lvl w:ilvl="3">
      <w:start w:val="0"/>
      <w:numFmt w:val="bullet"/>
      <w:lvlText w:val="•"/>
      <w:lvlJc w:val="left"/>
      <w:pPr>
        <w:ind w:left="2902" w:hanging="537"/>
      </w:pPr>
      <w:rPr>
        <w:rFonts w:hint="default"/>
        <w:lang w:val="en-US" w:eastAsia="en-US" w:bidi="ar-SA"/>
      </w:rPr>
    </w:lvl>
    <w:lvl w:ilvl="4">
      <w:start w:val="0"/>
      <w:numFmt w:val="bullet"/>
      <w:lvlText w:val="•"/>
      <w:lvlJc w:val="left"/>
      <w:pPr>
        <w:ind w:left="3816" w:hanging="537"/>
      </w:pPr>
      <w:rPr>
        <w:rFonts w:hint="default"/>
        <w:lang w:val="en-US" w:eastAsia="en-US" w:bidi="ar-SA"/>
      </w:rPr>
    </w:lvl>
    <w:lvl w:ilvl="5">
      <w:start w:val="0"/>
      <w:numFmt w:val="bullet"/>
      <w:lvlText w:val="•"/>
      <w:lvlJc w:val="left"/>
      <w:pPr>
        <w:ind w:left="4730" w:hanging="537"/>
      </w:pPr>
      <w:rPr>
        <w:rFonts w:hint="default"/>
        <w:lang w:val="en-US" w:eastAsia="en-US" w:bidi="ar-SA"/>
      </w:rPr>
    </w:lvl>
    <w:lvl w:ilvl="6">
      <w:start w:val="0"/>
      <w:numFmt w:val="bullet"/>
      <w:lvlText w:val="•"/>
      <w:lvlJc w:val="left"/>
      <w:pPr>
        <w:ind w:left="5644" w:hanging="537"/>
      </w:pPr>
      <w:rPr>
        <w:rFonts w:hint="default"/>
        <w:lang w:val="en-US" w:eastAsia="en-US" w:bidi="ar-SA"/>
      </w:rPr>
    </w:lvl>
    <w:lvl w:ilvl="7">
      <w:start w:val="0"/>
      <w:numFmt w:val="bullet"/>
      <w:lvlText w:val="•"/>
      <w:lvlJc w:val="left"/>
      <w:pPr>
        <w:ind w:left="6558" w:hanging="537"/>
      </w:pPr>
      <w:rPr>
        <w:rFonts w:hint="default"/>
        <w:lang w:val="en-US" w:eastAsia="en-US" w:bidi="ar-SA"/>
      </w:rPr>
    </w:lvl>
    <w:lvl w:ilvl="8">
      <w:start w:val="0"/>
      <w:numFmt w:val="bullet"/>
      <w:lvlText w:val="•"/>
      <w:lvlJc w:val="left"/>
      <w:pPr>
        <w:ind w:left="7472" w:hanging="537"/>
      </w:pPr>
      <w:rPr>
        <w:rFonts w:hint="default"/>
        <w:lang w:val="en-US" w:eastAsia="en-US" w:bidi="ar-SA"/>
      </w:rPr>
    </w:lvl>
  </w:abstractNum>
  <w:abstractNum w:abstractNumId="104">
    <w:multiLevelType w:val="hybridMultilevel"/>
    <w:lvl w:ilvl="0">
      <w:start w:val="0"/>
      <w:numFmt w:val="bullet"/>
      <w:lvlText w:val="-"/>
      <w:lvlJc w:val="left"/>
      <w:pPr>
        <w:ind w:left="160" w:hanging="167"/>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67"/>
      </w:pPr>
      <w:rPr>
        <w:rFonts w:hint="default"/>
        <w:lang w:val="en-US" w:eastAsia="en-US" w:bidi="ar-SA"/>
      </w:rPr>
    </w:lvl>
    <w:lvl w:ilvl="2">
      <w:start w:val="0"/>
      <w:numFmt w:val="bullet"/>
      <w:lvlText w:val="•"/>
      <w:lvlJc w:val="left"/>
      <w:pPr>
        <w:ind w:left="1988" w:hanging="167"/>
      </w:pPr>
      <w:rPr>
        <w:rFonts w:hint="default"/>
        <w:lang w:val="en-US" w:eastAsia="en-US" w:bidi="ar-SA"/>
      </w:rPr>
    </w:lvl>
    <w:lvl w:ilvl="3">
      <w:start w:val="0"/>
      <w:numFmt w:val="bullet"/>
      <w:lvlText w:val="•"/>
      <w:lvlJc w:val="left"/>
      <w:pPr>
        <w:ind w:left="2902" w:hanging="167"/>
      </w:pPr>
      <w:rPr>
        <w:rFonts w:hint="default"/>
        <w:lang w:val="en-US" w:eastAsia="en-US" w:bidi="ar-SA"/>
      </w:rPr>
    </w:lvl>
    <w:lvl w:ilvl="4">
      <w:start w:val="0"/>
      <w:numFmt w:val="bullet"/>
      <w:lvlText w:val="•"/>
      <w:lvlJc w:val="left"/>
      <w:pPr>
        <w:ind w:left="3816" w:hanging="167"/>
      </w:pPr>
      <w:rPr>
        <w:rFonts w:hint="default"/>
        <w:lang w:val="en-US" w:eastAsia="en-US" w:bidi="ar-SA"/>
      </w:rPr>
    </w:lvl>
    <w:lvl w:ilvl="5">
      <w:start w:val="0"/>
      <w:numFmt w:val="bullet"/>
      <w:lvlText w:val="•"/>
      <w:lvlJc w:val="left"/>
      <w:pPr>
        <w:ind w:left="4730" w:hanging="167"/>
      </w:pPr>
      <w:rPr>
        <w:rFonts w:hint="default"/>
        <w:lang w:val="en-US" w:eastAsia="en-US" w:bidi="ar-SA"/>
      </w:rPr>
    </w:lvl>
    <w:lvl w:ilvl="6">
      <w:start w:val="0"/>
      <w:numFmt w:val="bullet"/>
      <w:lvlText w:val="•"/>
      <w:lvlJc w:val="left"/>
      <w:pPr>
        <w:ind w:left="5644" w:hanging="167"/>
      </w:pPr>
      <w:rPr>
        <w:rFonts w:hint="default"/>
        <w:lang w:val="en-US" w:eastAsia="en-US" w:bidi="ar-SA"/>
      </w:rPr>
    </w:lvl>
    <w:lvl w:ilvl="7">
      <w:start w:val="0"/>
      <w:numFmt w:val="bullet"/>
      <w:lvlText w:val="•"/>
      <w:lvlJc w:val="left"/>
      <w:pPr>
        <w:ind w:left="6558" w:hanging="167"/>
      </w:pPr>
      <w:rPr>
        <w:rFonts w:hint="default"/>
        <w:lang w:val="en-US" w:eastAsia="en-US" w:bidi="ar-SA"/>
      </w:rPr>
    </w:lvl>
    <w:lvl w:ilvl="8">
      <w:start w:val="0"/>
      <w:numFmt w:val="bullet"/>
      <w:lvlText w:val="•"/>
      <w:lvlJc w:val="left"/>
      <w:pPr>
        <w:ind w:left="7472" w:hanging="167"/>
      </w:pPr>
      <w:rPr>
        <w:rFonts w:hint="default"/>
        <w:lang w:val="en-US" w:eastAsia="en-US" w:bidi="ar-SA"/>
      </w:rPr>
    </w:lvl>
  </w:abstractNum>
  <w:abstractNum w:abstractNumId="103">
    <w:multiLevelType w:val="hybridMultilevel"/>
    <w:lvl w:ilvl="0">
      <w:start w:val="2"/>
      <w:numFmt w:val="decimal"/>
      <w:lvlText w:val="(%1)"/>
      <w:lvlJc w:val="left"/>
      <w:pPr>
        <w:ind w:left="160" w:hanging="3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52"/>
      </w:pPr>
      <w:rPr>
        <w:rFonts w:hint="default"/>
        <w:lang w:val="en-US" w:eastAsia="en-US" w:bidi="ar-SA"/>
      </w:rPr>
    </w:lvl>
    <w:lvl w:ilvl="3">
      <w:start w:val="0"/>
      <w:numFmt w:val="bullet"/>
      <w:lvlText w:val="•"/>
      <w:lvlJc w:val="left"/>
      <w:pPr>
        <w:ind w:left="2902" w:hanging="352"/>
      </w:pPr>
      <w:rPr>
        <w:rFonts w:hint="default"/>
        <w:lang w:val="en-US" w:eastAsia="en-US" w:bidi="ar-SA"/>
      </w:rPr>
    </w:lvl>
    <w:lvl w:ilvl="4">
      <w:start w:val="0"/>
      <w:numFmt w:val="bullet"/>
      <w:lvlText w:val="•"/>
      <w:lvlJc w:val="left"/>
      <w:pPr>
        <w:ind w:left="3816" w:hanging="352"/>
      </w:pPr>
      <w:rPr>
        <w:rFonts w:hint="default"/>
        <w:lang w:val="en-US" w:eastAsia="en-US" w:bidi="ar-SA"/>
      </w:rPr>
    </w:lvl>
    <w:lvl w:ilvl="5">
      <w:start w:val="0"/>
      <w:numFmt w:val="bullet"/>
      <w:lvlText w:val="•"/>
      <w:lvlJc w:val="left"/>
      <w:pPr>
        <w:ind w:left="4730" w:hanging="352"/>
      </w:pPr>
      <w:rPr>
        <w:rFonts w:hint="default"/>
        <w:lang w:val="en-US" w:eastAsia="en-US" w:bidi="ar-SA"/>
      </w:rPr>
    </w:lvl>
    <w:lvl w:ilvl="6">
      <w:start w:val="0"/>
      <w:numFmt w:val="bullet"/>
      <w:lvlText w:val="•"/>
      <w:lvlJc w:val="left"/>
      <w:pPr>
        <w:ind w:left="5644" w:hanging="352"/>
      </w:pPr>
      <w:rPr>
        <w:rFonts w:hint="default"/>
        <w:lang w:val="en-US" w:eastAsia="en-US" w:bidi="ar-SA"/>
      </w:rPr>
    </w:lvl>
    <w:lvl w:ilvl="7">
      <w:start w:val="0"/>
      <w:numFmt w:val="bullet"/>
      <w:lvlText w:val="•"/>
      <w:lvlJc w:val="left"/>
      <w:pPr>
        <w:ind w:left="6558" w:hanging="352"/>
      </w:pPr>
      <w:rPr>
        <w:rFonts w:hint="default"/>
        <w:lang w:val="en-US" w:eastAsia="en-US" w:bidi="ar-SA"/>
      </w:rPr>
    </w:lvl>
    <w:lvl w:ilvl="8">
      <w:start w:val="0"/>
      <w:numFmt w:val="bullet"/>
      <w:lvlText w:val="•"/>
      <w:lvlJc w:val="left"/>
      <w:pPr>
        <w:ind w:left="7472" w:hanging="352"/>
      </w:pPr>
      <w:rPr>
        <w:rFonts w:hint="default"/>
        <w:lang w:val="en-US" w:eastAsia="en-US" w:bidi="ar-SA"/>
      </w:rPr>
    </w:lvl>
  </w:abstractNum>
  <w:abstractNum w:abstractNumId="102">
    <w:multiLevelType w:val="hybridMultilevel"/>
    <w:lvl w:ilvl="0">
      <w:start w:val="1"/>
      <w:numFmt w:val="decimal"/>
      <w:lvlText w:val="(%1)"/>
      <w:lvlJc w:val="left"/>
      <w:pPr>
        <w:ind w:left="160" w:hanging="35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0"/>
      </w:pPr>
      <w:rPr>
        <w:rFonts w:hint="default"/>
        <w:lang w:val="en-US" w:eastAsia="en-US" w:bidi="ar-SA"/>
      </w:rPr>
    </w:lvl>
    <w:lvl w:ilvl="2">
      <w:start w:val="0"/>
      <w:numFmt w:val="bullet"/>
      <w:lvlText w:val="•"/>
      <w:lvlJc w:val="left"/>
      <w:pPr>
        <w:ind w:left="1988" w:hanging="350"/>
      </w:pPr>
      <w:rPr>
        <w:rFonts w:hint="default"/>
        <w:lang w:val="en-US" w:eastAsia="en-US" w:bidi="ar-SA"/>
      </w:rPr>
    </w:lvl>
    <w:lvl w:ilvl="3">
      <w:start w:val="0"/>
      <w:numFmt w:val="bullet"/>
      <w:lvlText w:val="•"/>
      <w:lvlJc w:val="left"/>
      <w:pPr>
        <w:ind w:left="2902" w:hanging="350"/>
      </w:pPr>
      <w:rPr>
        <w:rFonts w:hint="default"/>
        <w:lang w:val="en-US" w:eastAsia="en-US" w:bidi="ar-SA"/>
      </w:rPr>
    </w:lvl>
    <w:lvl w:ilvl="4">
      <w:start w:val="0"/>
      <w:numFmt w:val="bullet"/>
      <w:lvlText w:val="•"/>
      <w:lvlJc w:val="left"/>
      <w:pPr>
        <w:ind w:left="3816" w:hanging="350"/>
      </w:pPr>
      <w:rPr>
        <w:rFonts w:hint="default"/>
        <w:lang w:val="en-US" w:eastAsia="en-US" w:bidi="ar-SA"/>
      </w:rPr>
    </w:lvl>
    <w:lvl w:ilvl="5">
      <w:start w:val="0"/>
      <w:numFmt w:val="bullet"/>
      <w:lvlText w:val="•"/>
      <w:lvlJc w:val="left"/>
      <w:pPr>
        <w:ind w:left="4730" w:hanging="350"/>
      </w:pPr>
      <w:rPr>
        <w:rFonts w:hint="default"/>
        <w:lang w:val="en-US" w:eastAsia="en-US" w:bidi="ar-SA"/>
      </w:rPr>
    </w:lvl>
    <w:lvl w:ilvl="6">
      <w:start w:val="0"/>
      <w:numFmt w:val="bullet"/>
      <w:lvlText w:val="•"/>
      <w:lvlJc w:val="left"/>
      <w:pPr>
        <w:ind w:left="5644" w:hanging="350"/>
      </w:pPr>
      <w:rPr>
        <w:rFonts w:hint="default"/>
        <w:lang w:val="en-US" w:eastAsia="en-US" w:bidi="ar-SA"/>
      </w:rPr>
    </w:lvl>
    <w:lvl w:ilvl="7">
      <w:start w:val="0"/>
      <w:numFmt w:val="bullet"/>
      <w:lvlText w:val="•"/>
      <w:lvlJc w:val="left"/>
      <w:pPr>
        <w:ind w:left="6558" w:hanging="350"/>
      </w:pPr>
      <w:rPr>
        <w:rFonts w:hint="default"/>
        <w:lang w:val="en-US" w:eastAsia="en-US" w:bidi="ar-SA"/>
      </w:rPr>
    </w:lvl>
    <w:lvl w:ilvl="8">
      <w:start w:val="0"/>
      <w:numFmt w:val="bullet"/>
      <w:lvlText w:val="•"/>
      <w:lvlJc w:val="left"/>
      <w:pPr>
        <w:ind w:left="7472" w:hanging="350"/>
      </w:pPr>
      <w:rPr>
        <w:rFonts w:hint="default"/>
        <w:lang w:val="en-US" w:eastAsia="en-US" w:bidi="ar-SA"/>
      </w:rPr>
    </w:lvl>
  </w:abstractNum>
  <w:abstractNum w:abstractNumId="101">
    <w:multiLevelType w:val="hybridMultilevel"/>
    <w:lvl w:ilvl="0">
      <w:start w:val="1"/>
      <w:numFmt w:val="decimal"/>
      <w:lvlText w:val="%1"/>
      <w:lvlJc w:val="left"/>
      <w:pPr>
        <w:ind w:left="160" w:hanging="206"/>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160" w:hanging="3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Letter"/>
      <w:lvlText w:val="(%3)"/>
      <w:lvlJc w:val="left"/>
      <w:pPr>
        <w:ind w:left="160" w:hanging="36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363"/>
      </w:pPr>
      <w:rPr>
        <w:rFonts w:hint="default"/>
        <w:lang w:val="en-US" w:eastAsia="en-US" w:bidi="ar-SA"/>
      </w:rPr>
    </w:lvl>
    <w:lvl w:ilvl="4">
      <w:start w:val="0"/>
      <w:numFmt w:val="bullet"/>
      <w:lvlText w:val="•"/>
      <w:lvlJc w:val="left"/>
      <w:pPr>
        <w:ind w:left="3816" w:hanging="363"/>
      </w:pPr>
      <w:rPr>
        <w:rFonts w:hint="default"/>
        <w:lang w:val="en-US" w:eastAsia="en-US" w:bidi="ar-SA"/>
      </w:rPr>
    </w:lvl>
    <w:lvl w:ilvl="5">
      <w:start w:val="0"/>
      <w:numFmt w:val="bullet"/>
      <w:lvlText w:val="•"/>
      <w:lvlJc w:val="left"/>
      <w:pPr>
        <w:ind w:left="4730" w:hanging="363"/>
      </w:pPr>
      <w:rPr>
        <w:rFonts w:hint="default"/>
        <w:lang w:val="en-US" w:eastAsia="en-US" w:bidi="ar-SA"/>
      </w:rPr>
    </w:lvl>
    <w:lvl w:ilvl="6">
      <w:start w:val="0"/>
      <w:numFmt w:val="bullet"/>
      <w:lvlText w:val="•"/>
      <w:lvlJc w:val="left"/>
      <w:pPr>
        <w:ind w:left="5644" w:hanging="363"/>
      </w:pPr>
      <w:rPr>
        <w:rFonts w:hint="default"/>
        <w:lang w:val="en-US" w:eastAsia="en-US" w:bidi="ar-SA"/>
      </w:rPr>
    </w:lvl>
    <w:lvl w:ilvl="7">
      <w:start w:val="0"/>
      <w:numFmt w:val="bullet"/>
      <w:lvlText w:val="•"/>
      <w:lvlJc w:val="left"/>
      <w:pPr>
        <w:ind w:left="6558" w:hanging="363"/>
      </w:pPr>
      <w:rPr>
        <w:rFonts w:hint="default"/>
        <w:lang w:val="en-US" w:eastAsia="en-US" w:bidi="ar-SA"/>
      </w:rPr>
    </w:lvl>
    <w:lvl w:ilvl="8">
      <w:start w:val="0"/>
      <w:numFmt w:val="bullet"/>
      <w:lvlText w:val="•"/>
      <w:lvlJc w:val="left"/>
      <w:pPr>
        <w:ind w:left="7472" w:hanging="363"/>
      </w:pPr>
      <w:rPr>
        <w:rFonts w:hint="default"/>
        <w:lang w:val="en-US" w:eastAsia="en-US" w:bidi="ar-SA"/>
      </w:rPr>
    </w:lvl>
  </w:abstractNum>
  <w:abstractNum w:abstractNumId="100">
    <w:multiLevelType w:val="hybridMultilevel"/>
    <w:lvl w:ilvl="0">
      <w:start w:val="1"/>
      <w:numFmt w:val="decimal"/>
      <w:lvlText w:val="(%1)"/>
      <w:lvlJc w:val="left"/>
      <w:pPr>
        <w:ind w:left="160" w:hanging="40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160" w:hanging="352"/>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Roman"/>
      <w:lvlText w:val="(%3)"/>
      <w:lvlJc w:val="left"/>
      <w:pPr>
        <w:ind w:left="160" w:hanging="32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325"/>
      </w:pPr>
      <w:rPr>
        <w:rFonts w:hint="default"/>
        <w:lang w:val="en-US" w:eastAsia="en-US" w:bidi="ar-SA"/>
      </w:rPr>
    </w:lvl>
    <w:lvl w:ilvl="4">
      <w:start w:val="0"/>
      <w:numFmt w:val="bullet"/>
      <w:lvlText w:val="•"/>
      <w:lvlJc w:val="left"/>
      <w:pPr>
        <w:ind w:left="3816" w:hanging="325"/>
      </w:pPr>
      <w:rPr>
        <w:rFonts w:hint="default"/>
        <w:lang w:val="en-US" w:eastAsia="en-US" w:bidi="ar-SA"/>
      </w:rPr>
    </w:lvl>
    <w:lvl w:ilvl="5">
      <w:start w:val="0"/>
      <w:numFmt w:val="bullet"/>
      <w:lvlText w:val="•"/>
      <w:lvlJc w:val="left"/>
      <w:pPr>
        <w:ind w:left="4730" w:hanging="325"/>
      </w:pPr>
      <w:rPr>
        <w:rFonts w:hint="default"/>
        <w:lang w:val="en-US" w:eastAsia="en-US" w:bidi="ar-SA"/>
      </w:rPr>
    </w:lvl>
    <w:lvl w:ilvl="6">
      <w:start w:val="0"/>
      <w:numFmt w:val="bullet"/>
      <w:lvlText w:val="•"/>
      <w:lvlJc w:val="left"/>
      <w:pPr>
        <w:ind w:left="5644" w:hanging="325"/>
      </w:pPr>
      <w:rPr>
        <w:rFonts w:hint="default"/>
        <w:lang w:val="en-US" w:eastAsia="en-US" w:bidi="ar-SA"/>
      </w:rPr>
    </w:lvl>
    <w:lvl w:ilvl="7">
      <w:start w:val="0"/>
      <w:numFmt w:val="bullet"/>
      <w:lvlText w:val="•"/>
      <w:lvlJc w:val="left"/>
      <w:pPr>
        <w:ind w:left="6558" w:hanging="325"/>
      </w:pPr>
      <w:rPr>
        <w:rFonts w:hint="default"/>
        <w:lang w:val="en-US" w:eastAsia="en-US" w:bidi="ar-SA"/>
      </w:rPr>
    </w:lvl>
    <w:lvl w:ilvl="8">
      <w:start w:val="0"/>
      <w:numFmt w:val="bullet"/>
      <w:lvlText w:val="•"/>
      <w:lvlJc w:val="left"/>
      <w:pPr>
        <w:ind w:left="7472" w:hanging="325"/>
      </w:pPr>
      <w:rPr>
        <w:rFonts w:hint="default"/>
        <w:lang w:val="en-US" w:eastAsia="en-US" w:bidi="ar-SA"/>
      </w:rPr>
    </w:lvl>
  </w:abstractNum>
  <w:abstractNum w:abstractNumId="99">
    <w:multiLevelType w:val="hybridMultilevel"/>
    <w:lvl w:ilvl="0">
      <w:start w:val="1"/>
      <w:numFmt w:val="decimal"/>
      <w:lvlText w:val="(%1)"/>
      <w:lvlJc w:val="left"/>
      <w:pPr>
        <w:ind w:left="160" w:hanging="37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73"/>
      </w:pPr>
      <w:rPr>
        <w:rFonts w:hint="default"/>
        <w:lang w:val="en-US" w:eastAsia="en-US" w:bidi="ar-SA"/>
      </w:rPr>
    </w:lvl>
    <w:lvl w:ilvl="2">
      <w:start w:val="0"/>
      <w:numFmt w:val="bullet"/>
      <w:lvlText w:val="•"/>
      <w:lvlJc w:val="left"/>
      <w:pPr>
        <w:ind w:left="1988" w:hanging="373"/>
      </w:pPr>
      <w:rPr>
        <w:rFonts w:hint="default"/>
        <w:lang w:val="en-US" w:eastAsia="en-US" w:bidi="ar-SA"/>
      </w:rPr>
    </w:lvl>
    <w:lvl w:ilvl="3">
      <w:start w:val="0"/>
      <w:numFmt w:val="bullet"/>
      <w:lvlText w:val="•"/>
      <w:lvlJc w:val="left"/>
      <w:pPr>
        <w:ind w:left="2902" w:hanging="373"/>
      </w:pPr>
      <w:rPr>
        <w:rFonts w:hint="default"/>
        <w:lang w:val="en-US" w:eastAsia="en-US" w:bidi="ar-SA"/>
      </w:rPr>
    </w:lvl>
    <w:lvl w:ilvl="4">
      <w:start w:val="0"/>
      <w:numFmt w:val="bullet"/>
      <w:lvlText w:val="•"/>
      <w:lvlJc w:val="left"/>
      <w:pPr>
        <w:ind w:left="3816" w:hanging="373"/>
      </w:pPr>
      <w:rPr>
        <w:rFonts w:hint="default"/>
        <w:lang w:val="en-US" w:eastAsia="en-US" w:bidi="ar-SA"/>
      </w:rPr>
    </w:lvl>
    <w:lvl w:ilvl="5">
      <w:start w:val="0"/>
      <w:numFmt w:val="bullet"/>
      <w:lvlText w:val="•"/>
      <w:lvlJc w:val="left"/>
      <w:pPr>
        <w:ind w:left="4730" w:hanging="373"/>
      </w:pPr>
      <w:rPr>
        <w:rFonts w:hint="default"/>
        <w:lang w:val="en-US" w:eastAsia="en-US" w:bidi="ar-SA"/>
      </w:rPr>
    </w:lvl>
    <w:lvl w:ilvl="6">
      <w:start w:val="0"/>
      <w:numFmt w:val="bullet"/>
      <w:lvlText w:val="•"/>
      <w:lvlJc w:val="left"/>
      <w:pPr>
        <w:ind w:left="5644" w:hanging="373"/>
      </w:pPr>
      <w:rPr>
        <w:rFonts w:hint="default"/>
        <w:lang w:val="en-US" w:eastAsia="en-US" w:bidi="ar-SA"/>
      </w:rPr>
    </w:lvl>
    <w:lvl w:ilvl="7">
      <w:start w:val="0"/>
      <w:numFmt w:val="bullet"/>
      <w:lvlText w:val="•"/>
      <w:lvlJc w:val="left"/>
      <w:pPr>
        <w:ind w:left="6558" w:hanging="373"/>
      </w:pPr>
      <w:rPr>
        <w:rFonts w:hint="default"/>
        <w:lang w:val="en-US" w:eastAsia="en-US" w:bidi="ar-SA"/>
      </w:rPr>
    </w:lvl>
    <w:lvl w:ilvl="8">
      <w:start w:val="0"/>
      <w:numFmt w:val="bullet"/>
      <w:lvlText w:val="•"/>
      <w:lvlJc w:val="left"/>
      <w:pPr>
        <w:ind w:left="7472" w:hanging="373"/>
      </w:pPr>
      <w:rPr>
        <w:rFonts w:hint="default"/>
        <w:lang w:val="en-US" w:eastAsia="en-US" w:bidi="ar-SA"/>
      </w:rPr>
    </w:lvl>
  </w:abstractNum>
  <w:abstractNum w:abstractNumId="98">
    <w:multiLevelType w:val="hybridMultilevel"/>
    <w:lvl w:ilvl="0">
      <w:start w:val="1"/>
      <w:numFmt w:val="decimal"/>
      <w:lvlText w:val="%1"/>
      <w:lvlJc w:val="left"/>
      <w:pPr>
        <w:ind w:left="339"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236" w:hanging="180"/>
      </w:pPr>
      <w:rPr>
        <w:rFonts w:hint="default"/>
        <w:lang w:val="en-US" w:eastAsia="en-US" w:bidi="ar-SA"/>
      </w:rPr>
    </w:lvl>
    <w:lvl w:ilvl="2">
      <w:start w:val="0"/>
      <w:numFmt w:val="bullet"/>
      <w:lvlText w:val="•"/>
      <w:lvlJc w:val="left"/>
      <w:pPr>
        <w:ind w:left="2132" w:hanging="180"/>
      </w:pPr>
      <w:rPr>
        <w:rFonts w:hint="default"/>
        <w:lang w:val="en-US" w:eastAsia="en-US" w:bidi="ar-SA"/>
      </w:rPr>
    </w:lvl>
    <w:lvl w:ilvl="3">
      <w:start w:val="0"/>
      <w:numFmt w:val="bullet"/>
      <w:lvlText w:val="•"/>
      <w:lvlJc w:val="left"/>
      <w:pPr>
        <w:ind w:left="3028" w:hanging="180"/>
      </w:pPr>
      <w:rPr>
        <w:rFonts w:hint="default"/>
        <w:lang w:val="en-US" w:eastAsia="en-US" w:bidi="ar-SA"/>
      </w:rPr>
    </w:lvl>
    <w:lvl w:ilvl="4">
      <w:start w:val="0"/>
      <w:numFmt w:val="bullet"/>
      <w:lvlText w:val="•"/>
      <w:lvlJc w:val="left"/>
      <w:pPr>
        <w:ind w:left="3924" w:hanging="180"/>
      </w:pPr>
      <w:rPr>
        <w:rFonts w:hint="default"/>
        <w:lang w:val="en-US" w:eastAsia="en-US" w:bidi="ar-SA"/>
      </w:rPr>
    </w:lvl>
    <w:lvl w:ilvl="5">
      <w:start w:val="0"/>
      <w:numFmt w:val="bullet"/>
      <w:lvlText w:val="•"/>
      <w:lvlJc w:val="left"/>
      <w:pPr>
        <w:ind w:left="4820" w:hanging="180"/>
      </w:pPr>
      <w:rPr>
        <w:rFonts w:hint="default"/>
        <w:lang w:val="en-US" w:eastAsia="en-US" w:bidi="ar-SA"/>
      </w:rPr>
    </w:lvl>
    <w:lvl w:ilvl="6">
      <w:start w:val="0"/>
      <w:numFmt w:val="bullet"/>
      <w:lvlText w:val="•"/>
      <w:lvlJc w:val="left"/>
      <w:pPr>
        <w:ind w:left="5716" w:hanging="180"/>
      </w:pPr>
      <w:rPr>
        <w:rFonts w:hint="default"/>
        <w:lang w:val="en-US" w:eastAsia="en-US" w:bidi="ar-SA"/>
      </w:rPr>
    </w:lvl>
    <w:lvl w:ilvl="7">
      <w:start w:val="0"/>
      <w:numFmt w:val="bullet"/>
      <w:lvlText w:val="•"/>
      <w:lvlJc w:val="left"/>
      <w:pPr>
        <w:ind w:left="6612" w:hanging="180"/>
      </w:pPr>
      <w:rPr>
        <w:rFonts w:hint="default"/>
        <w:lang w:val="en-US" w:eastAsia="en-US" w:bidi="ar-SA"/>
      </w:rPr>
    </w:lvl>
    <w:lvl w:ilvl="8">
      <w:start w:val="0"/>
      <w:numFmt w:val="bullet"/>
      <w:lvlText w:val="•"/>
      <w:lvlJc w:val="left"/>
      <w:pPr>
        <w:ind w:left="7508" w:hanging="180"/>
      </w:pPr>
      <w:rPr>
        <w:rFonts w:hint="default"/>
        <w:lang w:val="en-US" w:eastAsia="en-US" w:bidi="ar-SA"/>
      </w:rPr>
    </w:lvl>
  </w:abstractNum>
  <w:abstractNum w:abstractNumId="97">
    <w:multiLevelType w:val="hybridMultilevel"/>
    <w:lvl w:ilvl="0">
      <w:start w:val="5"/>
      <w:numFmt w:val="decimal"/>
      <w:lvlText w:val="%1"/>
      <w:lvlJc w:val="left"/>
      <w:pPr>
        <w:ind w:left="160" w:hanging="513"/>
        <w:jc w:val="left"/>
      </w:pPr>
      <w:rPr>
        <w:rFonts w:hint="default"/>
        <w:lang w:val="en-US" w:eastAsia="en-US" w:bidi="ar-SA"/>
      </w:rPr>
    </w:lvl>
    <w:lvl w:ilvl="1">
      <w:start w:val="10"/>
      <w:numFmt w:val="decimal"/>
      <w:lvlText w:val="%1.%2"/>
      <w:lvlJc w:val="left"/>
      <w:pPr>
        <w:ind w:left="160" w:hanging="513"/>
        <w:jc w:val="left"/>
      </w:pPr>
      <w:rPr>
        <w:rFonts w:hint="default"/>
        <w:spacing w:val="0"/>
        <w:w w:val="100"/>
        <w:lang w:val="en-US" w:eastAsia="en-US" w:bidi="ar-SA"/>
      </w:rPr>
    </w:lvl>
    <w:lvl w:ilvl="2">
      <w:start w:val="0"/>
      <w:numFmt w:val="bullet"/>
      <w:lvlText w:val="-"/>
      <w:lvlJc w:val="left"/>
      <w:pPr>
        <w:ind w:left="160" w:hanging="167"/>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167"/>
      </w:pPr>
      <w:rPr>
        <w:rFonts w:hint="default"/>
        <w:lang w:val="en-US" w:eastAsia="en-US" w:bidi="ar-SA"/>
      </w:rPr>
    </w:lvl>
    <w:lvl w:ilvl="4">
      <w:start w:val="0"/>
      <w:numFmt w:val="bullet"/>
      <w:lvlText w:val="•"/>
      <w:lvlJc w:val="left"/>
      <w:pPr>
        <w:ind w:left="3816" w:hanging="167"/>
      </w:pPr>
      <w:rPr>
        <w:rFonts w:hint="default"/>
        <w:lang w:val="en-US" w:eastAsia="en-US" w:bidi="ar-SA"/>
      </w:rPr>
    </w:lvl>
    <w:lvl w:ilvl="5">
      <w:start w:val="0"/>
      <w:numFmt w:val="bullet"/>
      <w:lvlText w:val="•"/>
      <w:lvlJc w:val="left"/>
      <w:pPr>
        <w:ind w:left="4730" w:hanging="167"/>
      </w:pPr>
      <w:rPr>
        <w:rFonts w:hint="default"/>
        <w:lang w:val="en-US" w:eastAsia="en-US" w:bidi="ar-SA"/>
      </w:rPr>
    </w:lvl>
    <w:lvl w:ilvl="6">
      <w:start w:val="0"/>
      <w:numFmt w:val="bullet"/>
      <w:lvlText w:val="•"/>
      <w:lvlJc w:val="left"/>
      <w:pPr>
        <w:ind w:left="5644" w:hanging="167"/>
      </w:pPr>
      <w:rPr>
        <w:rFonts w:hint="default"/>
        <w:lang w:val="en-US" w:eastAsia="en-US" w:bidi="ar-SA"/>
      </w:rPr>
    </w:lvl>
    <w:lvl w:ilvl="7">
      <w:start w:val="0"/>
      <w:numFmt w:val="bullet"/>
      <w:lvlText w:val="•"/>
      <w:lvlJc w:val="left"/>
      <w:pPr>
        <w:ind w:left="6558" w:hanging="167"/>
      </w:pPr>
      <w:rPr>
        <w:rFonts w:hint="default"/>
        <w:lang w:val="en-US" w:eastAsia="en-US" w:bidi="ar-SA"/>
      </w:rPr>
    </w:lvl>
    <w:lvl w:ilvl="8">
      <w:start w:val="0"/>
      <w:numFmt w:val="bullet"/>
      <w:lvlText w:val="•"/>
      <w:lvlJc w:val="left"/>
      <w:pPr>
        <w:ind w:left="7472" w:hanging="167"/>
      </w:pPr>
      <w:rPr>
        <w:rFonts w:hint="default"/>
        <w:lang w:val="en-US" w:eastAsia="en-US" w:bidi="ar-SA"/>
      </w:rPr>
    </w:lvl>
  </w:abstractNum>
  <w:abstractNum w:abstractNumId="96">
    <w:multiLevelType w:val="hybridMultilevel"/>
    <w:lvl w:ilvl="0">
      <w:start w:val="0"/>
      <w:numFmt w:val="bullet"/>
      <w:lvlText w:val="-"/>
      <w:lvlJc w:val="left"/>
      <w:pPr>
        <w:ind w:left="160" w:hanging="17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71"/>
      </w:pPr>
      <w:rPr>
        <w:rFonts w:hint="default"/>
        <w:lang w:val="en-US" w:eastAsia="en-US" w:bidi="ar-SA"/>
      </w:rPr>
    </w:lvl>
    <w:lvl w:ilvl="2">
      <w:start w:val="0"/>
      <w:numFmt w:val="bullet"/>
      <w:lvlText w:val="•"/>
      <w:lvlJc w:val="left"/>
      <w:pPr>
        <w:ind w:left="1988" w:hanging="171"/>
      </w:pPr>
      <w:rPr>
        <w:rFonts w:hint="default"/>
        <w:lang w:val="en-US" w:eastAsia="en-US" w:bidi="ar-SA"/>
      </w:rPr>
    </w:lvl>
    <w:lvl w:ilvl="3">
      <w:start w:val="0"/>
      <w:numFmt w:val="bullet"/>
      <w:lvlText w:val="•"/>
      <w:lvlJc w:val="left"/>
      <w:pPr>
        <w:ind w:left="2902" w:hanging="171"/>
      </w:pPr>
      <w:rPr>
        <w:rFonts w:hint="default"/>
        <w:lang w:val="en-US" w:eastAsia="en-US" w:bidi="ar-SA"/>
      </w:rPr>
    </w:lvl>
    <w:lvl w:ilvl="4">
      <w:start w:val="0"/>
      <w:numFmt w:val="bullet"/>
      <w:lvlText w:val="•"/>
      <w:lvlJc w:val="left"/>
      <w:pPr>
        <w:ind w:left="3816" w:hanging="171"/>
      </w:pPr>
      <w:rPr>
        <w:rFonts w:hint="default"/>
        <w:lang w:val="en-US" w:eastAsia="en-US" w:bidi="ar-SA"/>
      </w:rPr>
    </w:lvl>
    <w:lvl w:ilvl="5">
      <w:start w:val="0"/>
      <w:numFmt w:val="bullet"/>
      <w:lvlText w:val="•"/>
      <w:lvlJc w:val="left"/>
      <w:pPr>
        <w:ind w:left="4730" w:hanging="171"/>
      </w:pPr>
      <w:rPr>
        <w:rFonts w:hint="default"/>
        <w:lang w:val="en-US" w:eastAsia="en-US" w:bidi="ar-SA"/>
      </w:rPr>
    </w:lvl>
    <w:lvl w:ilvl="6">
      <w:start w:val="0"/>
      <w:numFmt w:val="bullet"/>
      <w:lvlText w:val="•"/>
      <w:lvlJc w:val="left"/>
      <w:pPr>
        <w:ind w:left="5644" w:hanging="171"/>
      </w:pPr>
      <w:rPr>
        <w:rFonts w:hint="default"/>
        <w:lang w:val="en-US" w:eastAsia="en-US" w:bidi="ar-SA"/>
      </w:rPr>
    </w:lvl>
    <w:lvl w:ilvl="7">
      <w:start w:val="0"/>
      <w:numFmt w:val="bullet"/>
      <w:lvlText w:val="•"/>
      <w:lvlJc w:val="left"/>
      <w:pPr>
        <w:ind w:left="6558" w:hanging="171"/>
      </w:pPr>
      <w:rPr>
        <w:rFonts w:hint="default"/>
        <w:lang w:val="en-US" w:eastAsia="en-US" w:bidi="ar-SA"/>
      </w:rPr>
    </w:lvl>
    <w:lvl w:ilvl="8">
      <w:start w:val="0"/>
      <w:numFmt w:val="bullet"/>
      <w:lvlText w:val="•"/>
      <w:lvlJc w:val="left"/>
      <w:pPr>
        <w:ind w:left="7472" w:hanging="171"/>
      </w:pPr>
      <w:rPr>
        <w:rFonts w:hint="default"/>
        <w:lang w:val="en-US" w:eastAsia="en-US" w:bidi="ar-SA"/>
      </w:rPr>
    </w:lvl>
  </w:abstractNum>
  <w:abstractNum w:abstractNumId="95">
    <w:multiLevelType w:val="hybridMultilevel"/>
    <w:lvl w:ilvl="0">
      <w:start w:val="5"/>
      <w:numFmt w:val="decimal"/>
      <w:lvlText w:val="%1"/>
      <w:lvlJc w:val="left"/>
      <w:pPr>
        <w:ind w:left="160" w:hanging="581"/>
        <w:jc w:val="left"/>
      </w:pPr>
      <w:rPr>
        <w:rFonts w:hint="default"/>
        <w:lang w:val="en-US" w:eastAsia="en-US" w:bidi="ar-SA"/>
      </w:rPr>
    </w:lvl>
    <w:lvl w:ilvl="1">
      <w:start w:val="1"/>
      <w:numFmt w:val="decimalZero"/>
      <w:lvlText w:val="%1.%2"/>
      <w:lvlJc w:val="left"/>
      <w:pPr>
        <w:ind w:left="160" w:hanging="581"/>
        <w:jc w:val="left"/>
      </w:pPr>
      <w:rPr>
        <w:rFonts w:hint="default"/>
        <w:spacing w:val="0"/>
        <w:w w:val="100"/>
        <w:lang w:val="en-US" w:eastAsia="en-US" w:bidi="ar-SA"/>
      </w:rPr>
    </w:lvl>
    <w:lvl w:ilvl="2">
      <w:start w:val="0"/>
      <w:numFmt w:val="bullet"/>
      <w:lvlText w:val="•"/>
      <w:lvlJc w:val="left"/>
      <w:pPr>
        <w:ind w:left="1988" w:hanging="581"/>
      </w:pPr>
      <w:rPr>
        <w:rFonts w:hint="default"/>
        <w:lang w:val="en-US" w:eastAsia="en-US" w:bidi="ar-SA"/>
      </w:rPr>
    </w:lvl>
    <w:lvl w:ilvl="3">
      <w:start w:val="0"/>
      <w:numFmt w:val="bullet"/>
      <w:lvlText w:val="•"/>
      <w:lvlJc w:val="left"/>
      <w:pPr>
        <w:ind w:left="2902" w:hanging="581"/>
      </w:pPr>
      <w:rPr>
        <w:rFonts w:hint="default"/>
        <w:lang w:val="en-US" w:eastAsia="en-US" w:bidi="ar-SA"/>
      </w:rPr>
    </w:lvl>
    <w:lvl w:ilvl="4">
      <w:start w:val="0"/>
      <w:numFmt w:val="bullet"/>
      <w:lvlText w:val="•"/>
      <w:lvlJc w:val="left"/>
      <w:pPr>
        <w:ind w:left="3816" w:hanging="581"/>
      </w:pPr>
      <w:rPr>
        <w:rFonts w:hint="default"/>
        <w:lang w:val="en-US" w:eastAsia="en-US" w:bidi="ar-SA"/>
      </w:rPr>
    </w:lvl>
    <w:lvl w:ilvl="5">
      <w:start w:val="0"/>
      <w:numFmt w:val="bullet"/>
      <w:lvlText w:val="•"/>
      <w:lvlJc w:val="left"/>
      <w:pPr>
        <w:ind w:left="4730" w:hanging="581"/>
      </w:pPr>
      <w:rPr>
        <w:rFonts w:hint="default"/>
        <w:lang w:val="en-US" w:eastAsia="en-US" w:bidi="ar-SA"/>
      </w:rPr>
    </w:lvl>
    <w:lvl w:ilvl="6">
      <w:start w:val="0"/>
      <w:numFmt w:val="bullet"/>
      <w:lvlText w:val="•"/>
      <w:lvlJc w:val="left"/>
      <w:pPr>
        <w:ind w:left="5644" w:hanging="581"/>
      </w:pPr>
      <w:rPr>
        <w:rFonts w:hint="default"/>
        <w:lang w:val="en-US" w:eastAsia="en-US" w:bidi="ar-SA"/>
      </w:rPr>
    </w:lvl>
    <w:lvl w:ilvl="7">
      <w:start w:val="0"/>
      <w:numFmt w:val="bullet"/>
      <w:lvlText w:val="•"/>
      <w:lvlJc w:val="left"/>
      <w:pPr>
        <w:ind w:left="6558" w:hanging="581"/>
      </w:pPr>
      <w:rPr>
        <w:rFonts w:hint="default"/>
        <w:lang w:val="en-US" w:eastAsia="en-US" w:bidi="ar-SA"/>
      </w:rPr>
    </w:lvl>
    <w:lvl w:ilvl="8">
      <w:start w:val="0"/>
      <w:numFmt w:val="bullet"/>
      <w:lvlText w:val="•"/>
      <w:lvlJc w:val="left"/>
      <w:pPr>
        <w:ind w:left="7472" w:hanging="581"/>
      </w:pPr>
      <w:rPr>
        <w:rFonts w:hint="default"/>
        <w:lang w:val="en-US" w:eastAsia="en-US" w:bidi="ar-SA"/>
      </w:rPr>
    </w:lvl>
  </w:abstractNum>
  <w:abstractNum w:abstractNumId="87">
    <w:multiLevelType w:val="hybridMultilevel"/>
    <w:lvl w:ilvl="0">
      <w:start w:val="1"/>
      <w:numFmt w:val="lowerLetter"/>
      <w:lvlText w:val="(%1)"/>
      <w:lvlJc w:val="left"/>
      <w:pPr>
        <w:ind w:left="160" w:hanging="38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2"/>
      </w:pPr>
      <w:rPr>
        <w:rFonts w:hint="default"/>
        <w:lang w:val="en-US" w:eastAsia="en-US" w:bidi="ar-SA"/>
      </w:rPr>
    </w:lvl>
    <w:lvl w:ilvl="2">
      <w:start w:val="0"/>
      <w:numFmt w:val="bullet"/>
      <w:lvlText w:val="•"/>
      <w:lvlJc w:val="left"/>
      <w:pPr>
        <w:ind w:left="1988" w:hanging="382"/>
      </w:pPr>
      <w:rPr>
        <w:rFonts w:hint="default"/>
        <w:lang w:val="en-US" w:eastAsia="en-US" w:bidi="ar-SA"/>
      </w:rPr>
    </w:lvl>
    <w:lvl w:ilvl="3">
      <w:start w:val="0"/>
      <w:numFmt w:val="bullet"/>
      <w:lvlText w:val="•"/>
      <w:lvlJc w:val="left"/>
      <w:pPr>
        <w:ind w:left="2902" w:hanging="382"/>
      </w:pPr>
      <w:rPr>
        <w:rFonts w:hint="default"/>
        <w:lang w:val="en-US" w:eastAsia="en-US" w:bidi="ar-SA"/>
      </w:rPr>
    </w:lvl>
    <w:lvl w:ilvl="4">
      <w:start w:val="0"/>
      <w:numFmt w:val="bullet"/>
      <w:lvlText w:val="•"/>
      <w:lvlJc w:val="left"/>
      <w:pPr>
        <w:ind w:left="3816" w:hanging="382"/>
      </w:pPr>
      <w:rPr>
        <w:rFonts w:hint="default"/>
        <w:lang w:val="en-US" w:eastAsia="en-US" w:bidi="ar-SA"/>
      </w:rPr>
    </w:lvl>
    <w:lvl w:ilvl="5">
      <w:start w:val="0"/>
      <w:numFmt w:val="bullet"/>
      <w:lvlText w:val="•"/>
      <w:lvlJc w:val="left"/>
      <w:pPr>
        <w:ind w:left="4730" w:hanging="382"/>
      </w:pPr>
      <w:rPr>
        <w:rFonts w:hint="default"/>
        <w:lang w:val="en-US" w:eastAsia="en-US" w:bidi="ar-SA"/>
      </w:rPr>
    </w:lvl>
    <w:lvl w:ilvl="6">
      <w:start w:val="0"/>
      <w:numFmt w:val="bullet"/>
      <w:lvlText w:val="•"/>
      <w:lvlJc w:val="left"/>
      <w:pPr>
        <w:ind w:left="5644" w:hanging="382"/>
      </w:pPr>
      <w:rPr>
        <w:rFonts w:hint="default"/>
        <w:lang w:val="en-US" w:eastAsia="en-US" w:bidi="ar-SA"/>
      </w:rPr>
    </w:lvl>
    <w:lvl w:ilvl="7">
      <w:start w:val="0"/>
      <w:numFmt w:val="bullet"/>
      <w:lvlText w:val="•"/>
      <w:lvlJc w:val="left"/>
      <w:pPr>
        <w:ind w:left="6558" w:hanging="382"/>
      </w:pPr>
      <w:rPr>
        <w:rFonts w:hint="default"/>
        <w:lang w:val="en-US" w:eastAsia="en-US" w:bidi="ar-SA"/>
      </w:rPr>
    </w:lvl>
    <w:lvl w:ilvl="8">
      <w:start w:val="0"/>
      <w:numFmt w:val="bullet"/>
      <w:lvlText w:val="•"/>
      <w:lvlJc w:val="left"/>
      <w:pPr>
        <w:ind w:left="7472" w:hanging="382"/>
      </w:pPr>
      <w:rPr>
        <w:rFonts w:hint="default"/>
        <w:lang w:val="en-US" w:eastAsia="en-US" w:bidi="ar-SA"/>
      </w:rPr>
    </w:lvl>
  </w:abstractNum>
  <w:abstractNum w:abstractNumId="94">
    <w:multiLevelType w:val="hybridMultilevel"/>
    <w:lvl w:ilvl="0">
      <w:start w:val="2"/>
      <w:numFmt w:val="decimal"/>
      <w:lvlText w:val="(%1)"/>
      <w:lvlJc w:val="left"/>
      <w:pPr>
        <w:ind w:left="160" w:hanging="3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5"/>
      </w:pPr>
      <w:rPr>
        <w:rFonts w:hint="default"/>
        <w:lang w:val="en-US" w:eastAsia="en-US" w:bidi="ar-SA"/>
      </w:rPr>
    </w:lvl>
    <w:lvl w:ilvl="2">
      <w:start w:val="0"/>
      <w:numFmt w:val="bullet"/>
      <w:lvlText w:val="•"/>
      <w:lvlJc w:val="left"/>
      <w:pPr>
        <w:ind w:left="1988" w:hanging="355"/>
      </w:pPr>
      <w:rPr>
        <w:rFonts w:hint="default"/>
        <w:lang w:val="en-US" w:eastAsia="en-US" w:bidi="ar-SA"/>
      </w:rPr>
    </w:lvl>
    <w:lvl w:ilvl="3">
      <w:start w:val="0"/>
      <w:numFmt w:val="bullet"/>
      <w:lvlText w:val="•"/>
      <w:lvlJc w:val="left"/>
      <w:pPr>
        <w:ind w:left="2902" w:hanging="355"/>
      </w:pPr>
      <w:rPr>
        <w:rFonts w:hint="default"/>
        <w:lang w:val="en-US" w:eastAsia="en-US" w:bidi="ar-SA"/>
      </w:rPr>
    </w:lvl>
    <w:lvl w:ilvl="4">
      <w:start w:val="0"/>
      <w:numFmt w:val="bullet"/>
      <w:lvlText w:val="•"/>
      <w:lvlJc w:val="left"/>
      <w:pPr>
        <w:ind w:left="3816" w:hanging="355"/>
      </w:pPr>
      <w:rPr>
        <w:rFonts w:hint="default"/>
        <w:lang w:val="en-US" w:eastAsia="en-US" w:bidi="ar-SA"/>
      </w:rPr>
    </w:lvl>
    <w:lvl w:ilvl="5">
      <w:start w:val="0"/>
      <w:numFmt w:val="bullet"/>
      <w:lvlText w:val="•"/>
      <w:lvlJc w:val="left"/>
      <w:pPr>
        <w:ind w:left="4730" w:hanging="355"/>
      </w:pPr>
      <w:rPr>
        <w:rFonts w:hint="default"/>
        <w:lang w:val="en-US" w:eastAsia="en-US" w:bidi="ar-SA"/>
      </w:rPr>
    </w:lvl>
    <w:lvl w:ilvl="6">
      <w:start w:val="0"/>
      <w:numFmt w:val="bullet"/>
      <w:lvlText w:val="•"/>
      <w:lvlJc w:val="left"/>
      <w:pPr>
        <w:ind w:left="5644" w:hanging="355"/>
      </w:pPr>
      <w:rPr>
        <w:rFonts w:hint="default"/>
        <w:lang w:val="en-US" w:eastAsia="en-US" w:bidi="ar-SA"/>
      </w:rPr>
    </w:lvl>
    <w:lvl w:ilvl="7">
      <w:start w:val="0"/>
      <w:numFmt w:val="bullet"/>
      <w:lvlText w:val="•"/>
      <w:lvlJc w:val="left"/>
      <w:pPr>
        <w:ind w:left="6558" w:hanging="355"/>
      </w:pPr>
      <w:rPr>
        <w:rFonts w:hint="default"/>
        <w:lang w:val="en-US" w:eastAsia="en-US" w:bidi="ar-SA"/>
      </w:rPr>
    </w:lvl>
    <w:lvl w:ilvl="8">
      <w:start w:val="0"/>
      <w:numFmt w:val="bullet"/>
      <w:lvlText w:val="•"/>
      <w:lvlJc w:val="left"/>
      <w:pPr>
        <w:ind w:left="7472" w:hanging="355"/>
      </w:pPr>
      <w:rPr>
        <w:rFonts w:hint="default"/>
        <w:lang w:val="en-US" w:eastAsia="en-US" w:bidi="ar-SA"/>
      </w:rPr>
    </w:lvl>
  </w:abstractNum>
  <w:abstractNum w:abstractNumId="93">
    <w:multiLevelType w:val="hybridMultilevel"/>
    <w:lvl w:ilvl="0">
      <w:start w:val="2"/>
      <w:numFmt w:val="decimal"/>
      <w:lvlText w:val="(%1)"/>
      <w:lvlJc w:val="left"/>
      <w:pPr>
        <w:ind w:left="160" w:hanging="3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2"/>
      </w:pPr>
      <w:rPr>
        <w:rFonts w:hint="default"/>
        <w:lang w:val="en-US" w:eastAsia="en-US" w:bidi="ar-SA"/>
      </w:rPr>
    </w:lvl>
    <w:lvl w:ilvl="2">
      <w:start w:val="0"/>
      <w:numFmt w:val="bullet"/>
      <w:lvlText w:val="•"/>
      <w:lvlJc w:val="left"/>
      <w:pPr>
        <w:ind w:left="1988" w:hanging="342"/>
      </w:pPr>
      <w:rPr>
        <w:rFonts w:hint="default"/>
        <w:lang w:val="en-US" w:eastAsia="en-US" w:bidi="ar-SA"/>
      </w:rPr>
    </w:lvl>
    <w:lvl w:ilvl="3">
      <w:start w:val="0"/>
      <w:numFmt w:val="bullet"/>
      <w:lvlText w:val="•"/>
      <w:lvlJc w:val="left"/>
      <w:pPr>
        <w:ind w:left="2902" w:hanging="342"/>
      </w:pPr>
      <w:rPr>
        <w:rFonts w:hint="default"/>
        <w:lang w:val="en-US" w:eastAsia="en-US" w:bidi="ar-SA"/>
      </w:rPr>
    </w:lvl>
    <w:lvl w:ilvl="4">
      <w:start w:val="0"/>
      <w:numFmt w:val="bullet"/>
      <w:lvlText w:val="•"/>
      <w:lvlJc w:val="left"/>
      <w:pPr>
        <w:ind w:left="3816" w:hanging="342"/>
      </w:pPr>
      <w:rPr>
        <w:rFonts w:hint="default"/>
        <w:lang w:val="en-US" w:eastAsia="en-US" w:bidi="ar-SA"/>
      </w:rPr>
    </w:lvl>
    <w:lvl w:ilvl="5">
      <w:start w:val="0"/>
      <w:numFmt w:val="bullet"/>
      <w:lvlText w:val="•"/>
      <w:lvlJc w:val="left"/>
      <w:pPr>
        <w:ind w:left="4730" w:hanging="342"/>
      </w:pPr>
      <w:rPr>
        <w:rFonts w:hint="default"/>
        <w:lang w:val="en-US" w:eastAsia="en-US" w:bidi="ar-SA"/>
      </w:rPr>
    </w:lvl>
    <w:lvl w:ilvl="6">
      <w:start w:val="0"/>
      <w:numFmt w:val="bullet"/>
      <w:lvlText w:val="•"/>
      <w:lvlJc w:val="left"/>
      <w:pPr>
        <w:ind w:left="5644" w:hanging="342"/>
      </w:pPr>
      <w:rPr>
        <w:rFonts w:hint="default"/>
        <w:lang w:val="en-US" w:eastAsia="en-US" w:bidi="ar-SA"/>
      </w:rPr>
    </w:lvl>
    <w:lvl w:ilvl="7">
      <w:start w:val="0"/>
      <w:numFmt w:val="bullet"/>
      <w:lvlText w:val="•"/>
      <w:lvlJc w:val="left"/>
      <w:pPr>
        <w:ind w:left="6558" w:hanging="342"/>
      </w:pPr>
      <w:rPr>
        <w:rFonts w:hint="default"/>
        <w:lang w:val="en-US" w:eastAsia="en-US" w:bidi="ar-SA"/>
      </w:rPr>
    </w:lvl>
    <w:lvl w:ilvl="8">
      <w:start w:val="0"/>
      <w:numFmt w:val="bullet"/>
      <w:lvlText w:val="•"/>
      <w:lvlJc w:val="left"/>
      <w:pPr>
        <w:ind w:left="7472" w:hanging="342"/>
      </w:pPr>
      <w:rPr>
        <w:rFonts w:hint="default"/>
        <w:lang w:val="en-US" w:eastAsia="en-US" w:bidi="ar-SA"/>
      </w:rPr>
    </w:lvl>
  </w:abstractNum>
  <w:abstractNum w:abstractNumId="92">
    <w:multiLevelType w:val="hybridMultilevel"/>
    <w:lvl w:ilvl="0">
      <w:start w:val="2"/>
      <w:numFmt w:val="lowerLetter"/>
      <w:lvlText w:val="(%1)"/>
      <w:lvlJc w:val="left"/>
      <w:pPr>
        <w:ind w:left="160" w:hanging="41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10"/>
      </w:pPr>
      <w:rPr>
        <w:rFonts w:hint="default"/>
        <w:lang w:val="en-US" w:eastAsia="en-US" w:bidi="ar-SA"/>
      </w:rPr>
    </w:lvl>
    <w:lvl w:ilvl="2">
      <w:start w:val="0"/>
      <w:numFmt w:val="bullet"/>
      <w:lvlText w:val="•"/>
      <w:lvlJc w:val="left"/>
      <w:pPr>
        <w:ind w:left="1988" w:hanging="410"/>
      </w:pPr>
      <w:rPr>
        <w:rFonts w:hint="default"/>
        <w:lang w:val="en-US" w:eastAsia="en-US" w:bidi="ar-SA"/>
      </w:rPr>
    </w:lvl>
    <w:lvl w:ilvl="3">
      <w:start w:val="0"/>
      <w:numFmt w:val="bullet"/>
      <w:lvlText w:val="•"/>
      <w:lvlJc w:val="left"/>
      <w:pPr>
        <w:ind w:left="2902" w:hanging="410"/>
      </w:pPr>
      <w:rPr>
        <w:rFonts w:hint="default"/>
        <w:lang w:val="en-US" w:eastAsia="en-US" w:bidi="ar-SA"/>
      </w:rPr>
    </w:lvl>
    <w:lvl w:ilvl="4">
      <w:start w:val="0"/>
      <w:numFmt w:val="bullet"/>
      <w:lvlText w:val="•"/>
      <w:lvlJc w:val="left"/>
      <w:pPr>
        <w:ind w:left="3816" w:hanging="410"/>
      </w:pPr>
      <w:rPr>
        <w:rFonts w:hint="default"/>
        <w:lang w:val="en-US" w:eastAsia="en-US" w:bidi="ar-SA"/>
      </w:rPr>
    </w:lvl>
    <w:lvl w:ilvl="5">
      <w:start w:val="0"/>
      <w:numFmt w:val="bullet"/>
      <w:lvlText w:val="•"/>
      <w:lvlJc w:val="left"/>
      <w:pPr>
        <w:ind w:left="4730" w:hanging="410"/>
      </w:pPr>
      <w:rPr>
        <w:rFonts w:hint="default"/>
        <w:lang w:val="en-US" w:eastAsia="en-US" w:bidi="ar-SA"/>
      </w:rPr>
    </w:lvl>
    <w:lvl w:ilvl="6">
      <w:start w:val="0"/>
      <w:numFmt w:val="bullet"/>
      <w:lvlText w:val="•"/>
      <w:lvlJc w:val="left"/>
      <w:pPr>
        <w:ind w:left="5644" w:hanging="410"/>
      </w:pPr>
      <w:rPr>
        <w:rFonts w:hint="default"/>
        <w:lang w:val="en-US" w:eastAsia="en-US" w:bidi="ar-SA"/>
      </w:rPr>
    </w:lvl>
    <w:lvl w:ilvl="7">
      <w:start w:val="0"/>
      <w:numFmt w:val="bullet"/>
      <w:lvlText w:val="•"/>
      <w:lvlJc w:val="left"/>
      <w:pPr>
        <w:ind w:left="6558" w:hanging="410"/>
      </w:pPr>
      <w:rPr>
        <w:rFonts w:hint="default"/>
        <w:lang w:val="en-US" w:eastAsia="en-US" w:bidi="ar-SA"/>
      </w:rPr>
    </w:lvl>
    <w:lvl w:ilvl="8">
      <w:start w:val="0"/>
      <w:numFmt w:val="bullet"/>
      <w:lvlText w:val="•"/>
      <w:lvlJc w:val="left"/>
      <w:pPr>
        <w:ind w:left="7472" w:hanging="410"/>
      </w:pPr>
      <w:rPr>
        <w:rFonts w:hint="default"/>
        <w:lang w:val="en-US" w:eastAsia="en-US" w:bidi="ar-SA"/>
      </w:rPr>
    </w:lvl>
  </w:abstractNum>
  <w:abstractNum w:abstractNumId="91">
    <w:multiLevelType w:val="hybridMultilevel"/>
    <w:lvl w:ilvl="0">
      <w:start w:val="2"/>
      <w:numFmt w:val="lowerLetter"/>
      <w:lvlText w:val="(%1)"/>
      <w:lvlJc w:val="left"/>
      <w:pPr>
        <w:ind w:left="160" w:hanging="3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7"/>
      </w:pPr>
      <w:rPr>
        <w:rFonts w:hint="default"/>
        <w:lang w:val="en-US" w:eastAsia="en-US" w:bidi="ar-SA"/>
      </w:rPr>
    </w:lvl>
    <w:lvl w:ilvl="2">
      <w:start w:val="0"/>
      <w:numFmt w:val="bullet"/>
      <w:lvlText w:val="•"/>
      <w:lvlJc w:val="left"/>
      <w:pPr>
        <w:ind w:left="1988" w:hanging="367"/>
      </w:pPr>
      <w:rPr>
        <w:rFonts w:hint="default"/>
        <w:lang w:val="en-US" w:eastAsia="en-US" w:bidi="ar-SA"/>
      </w:rPr>
    </w:lvl>
    <w:lvl w:ilvl="3">
      <w:start w:val="0"/>
      <w:numFmt w:val="bullet"/>
      <w:lvlText w:val="•"/>
      <w:lvlJc w:val="left"/>
      <w:pPr>
        <w:ind w:left="2902" w:hanging="367"/>
      </w:pPr>
      <w:rPr>
        <w:rFonts w:hint="default"/>
        <w:lang w:val="en-US" w:eastAsia="en-US" w:bidi="ar-SA"/>
      </w:rPr>
    </w:lvl>
    <w:lvl w:ilvl="4">
      <w:start w:val="0"/>
      <w:numFmt w:val="bullet"/>
      <w:lvlText w:val="•"/>
      <w:lvlJc w:val="left"/>
      <w:pPr>
        <w:ind w:left="3816" w:hanging="367"/>
      </w:pPr>
      <w:rPr>
        <w:rFonts w:hint="default"/>
        <w:lang w:val="en-US" w:eastAsia="en-US" w:bidi="ar-SA"/>
      </w:rPr>
    </w:lvl>
    <w:lvl w:ilvl="5">
      <w:start w:val="0"/>
      <w:numFmt w:val="bullet"/>
      <w:lvlText w:val="•"/>
      <w:lvlJc w:val="left"/>
      <w:pPr>
        <w:ind w:left="4730" w:hanging="367"/>
      </w:pPr>
      <w:rPr>
        <w:rFonts w:hint="default"/>
        <w:lang w:val="en-US" w:eastAsia="en-US" w:bidi="ar-SA"/>
      </w:rPr>
    </w:lvl>
    <w:lvl w:ilvl="6">
      <w:start w:val="0"/>
      <w:numFmt w:val="bullet"/>
      <w:lvlText w:val="•"/>
      <w:lvlJc w:val="left"/>
      <w:pPr>
        <w:ind w:left="5644" w:hanging="367"/>
      </w:pPr>
      <w:rPr>
        <w:rFonts w:hint="default"/>
        <w:lang w:val="en-US" w:eastAsia="en-US" w:bidi="ar-SA"/>
      </w:rPr>
    </w:lvl>
    <w:lvl w:ilvl="7">
      <w:start w:val="0"/>
      <w:numFmt w:val="bullet"/>
      <w:lvlText w:val="•"/>
      <w:lvlJc w:val="left"/>
      <w:pPr>
        <w:ind w:left="6558" w:hanging="367"/>
      </w:pPr>
      <w:rPr>
        <w:rFonts w:hint="default"/>
        <w:lang w:val="en-US" w:eastAsia="en-US" w:bidi="ar-SA"/>
      </w:rPr>
    </w:lvl>
    <w:lvl w:ilvl="8">
      <w:start w:val="0"/>
      <w:numFmt w:val="bullet"/>
      <w:lvlText w:val="•"/>
      <w:lvlJc w:val="left"/>
      <w:pPr>
        <w:ind w:left="7472" w:hanging="367"/>
      </w:pPr>
      <w:rPr>
        <w:rFonts w:hint="default"/>
        <w:lang w:val="en-US" w:eastAsia="en-US" w:bidi="ar-SA"/>
      </w:rPr>
    </w:lvl>
  </w:abstractNum>
  <w:abstractNum w:abstractNumId="90">
    <w:multiLevelType w:val="hybridMultilevel"/>
    <w:lvl w:ilvl="0">
      <w:start w:val="1"/>
      <w:numFmt w:val="decimal"/>
      <w:lvlText w:val="(%1)"/>
      <w:lvlJc w:val="left"/>
      <w:pPr>
        <w:ind w:left="160" w:hanging="3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3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33"/>
      </w:pPr>
      <w:rPr>
        <w:rFonts w:hint="default"/>
        <w:lang w:val="en-US" w:eastAsia="en-US" w:bidi="ar-SA"/>
      </w:rPr>
    </w:lvl>
    <w:lvl w:ilvl="3">
      <w:start w:val="0"/>
      <w:numFmt w:val="bullet"/>
      <w:lvlText w:val="•"/>
      <w:lvlJc w:val="left"/>
      <w:pPr>
        <w:ind w:left="2902" w:hanging="333"/>
      </w:pPr>
      <w:rPr>
        <w:rFonts w:hint="default"/>
        <w:lang w:val="en-US" w:eastAsia="en-US" w:bidi="ar-SA"/>
      </w:rPr>
    </w:lvl>
    <w:lvl w:ilvl="4">
      <w:start w:val="0"/>
      <w:numFmt w:val="bullet"/>
      <w:lvlText w:val="•"/>
      <w:lvlJc w:val="left"/>
      <w:pPr>
        <w:ind w:left="3816" w:hanging="333"/>
      </w:pPr>
      <w:rPr>
        <w:rFonts w:hint="default"/>
        <w:lang w:val="en-US" w:eastAsia="en-US" w:bidi="ar-SA"/>
      </w:rPr>
    </w:lvl>
    <w:lvl w:ilvl="5">
      <w:start w:val="0"/>
      <w:numFmt w:val="bullet"/>
      <w:lvlText w:val="•"/>
      <w:lvlJc w:val="left"/>
      <w:pPr>
        <w:ind w:left="4730" w:hanging="333"/>
      </w:pPr>
      <w:rPr>
        <w:rFonts w:hint="default"/>
        <w:lang w:val="en-US" w:eastAsia="en-US" w:bidi="ar-SA"/>
      </w:rPr>
    </w:lvl>
    <w:lvl w:ilvl="6">
      <w:start w:val="0"/>
      <w:numFmt w:val="bullet"/>
      <w:lvlText w:val="•"/>
      <w:lvlJc w:val="left"/>
      <w:pPr>
        <w:ind w:left="5644" w:hanging="333"/>
      </w:pPr>
      <w:rPr>
        <w:rFonts w:hint="default"/>
        <w:lang w:val="en-US" w:eastAsia="en-US" w:bidi="ar-SA"/>
      </w:rPr>
    </w:lvl>
    <w:lvl w:ilvl="7">
      <w:start w:val="0"/>
      <w:numFmt w:val="bullet"/>
      <w:lvlText w:val="•"/>
      <w:lvlJc w:val="left"/>
      <w:pPr>
        <w:ind w:left="6558" w:hanging="333"/>
      </w:pPr>
      <w:rPr>
        <w:rFonts w:hint="default"/>
        <w:lang w:val="en-US" w:eastAsia="en-US" w:bidi="ar-SA"/>
      </w:rPr>
    </w:lvl>
    <w:lvl w:ilvl="8">
      <w:start w:val="0"/>
      <w:numFmt w:val="bullet"/>
      <w:lvlText w:val="•"/>
      <w:lvlJc w:val="left"/>
      <w:pPr>
        <w:ind w:left="7472" w:hanging="333"/>
      </w:pPr>
      <w:rPr>
        <w:rFonts w:hint="default"/>
        <w:lang w:val="en-US" w:eastAsia="en-US" w:bidi="ar-SA"/>
      </w:rPr>
    </w:lvl>
  </w:abstractNum>
  <w:abstractNum w:abstractNumId="89">
    <w:multiLevelType w:val="hybridMultilevel"/>
    <w:lvl w:ilvl="0">
      <w:start w:val="9"/>
      <w:numFmt w:val="decimal"/>
      <w:lvlText w:val="%1"/>
      <w:lvlJc w:val="left"/>
      <w:pPr>
        <w:ind w:left="160" w:hanging="239"/>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1"/>
      <w:numFmt w:val="decimal"/>
      <w:lvlText w:val="(%2)"/>
      <w:lvlJc w:val="left"/>
      <w:pPr>
        <w:ind w:left="160" w:hanging="35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56"/>
      </w:pPr>
      <w:rPr>
        <w:rFonts w:hint="default"/>
        <w:lang w:val="en-US" w:eastAsia="en-US" w:bidi="ar-SA"/>
      </w:rPr>
    </w:lvl>
    <w:lvl w:ilvl="3">
      <w:start w:val="0"/>
      <w:numFmt w:val="bullet"/>
      <w:lvlText w:val="•"/>
      <w:lvlJc w:val="left"/>
      <w:pPr>
        <w:ind w:left="2902" w:hanging="356"/>
      </w:pPr>
      <w:rPr>
        <w:rFonts w:hint="default"/>
        <w:lang w:val="en-US" w:eastAsia="en-US" w:bidi="ar-SA"/>
      </w:rPr>
    </w:lvl>
    <w:lvl w:ilvl="4">
      <w:start w:val="0"/>
      <w:numFmt w:val="bullet"/>
      <w:lvlText w:val="•"/>
      <w:lvlJc w:val="left"/>
      <w:pPr>
        <w:ind w:left="3816" w:hanging="356"/>
      </w:pPr>
      <w:rPr>
        <w:rFonts w:hint="default"/>
        <w:lang w:val="en-US" w:eastAsia="en-US" w:bidi="ar-SA"/>
      </w:rPr>
    </w:lvl>
    <w:lvl w:ilvl="5">
      <w:start w:val="0"/>
      <w:numFmt w:val="bullet"/>
      <w:lvlText w:val="•"/>
      <w:lvlJc w:val="left"/>
      <w:pPr>
        <w:ind w:left="4730" w:hanging="356"/>
      </w:pPr>
      <w:rPr>
        <w:rFonts w:hint="default"/>
        <w:lang w:val="en-US" w:eastAsia="en-US" w:bidi="ar-SA"/>
      </w:rPr>
    </w:lvl>
    <w:lvl w:ilvl="6">
      <w:start w:val="0"/>
      <w:numFmt w:val="bullet"/>
      <w:lvlText w:val="•"/>
      <w:lvlJc w:val="left"/>
      <w:pPr>
        <w:ind w:left="5644" w:hanging="356"/>
      </w:pPr>
      <w:rPr>
        <w:rFonts w:hint="default"/>
        <w:lang w:val="en-US" w:eastAsia="en-US" w:bidi="ar-SA"/>
      </w:rPr>
    </w:lvl>
    <w:lvl w:ilvl="7">
      <w:start w:val="0"/>
      <w:numFmt w:val="bullet"/>
      <w:lvlText w:val="•"/>
      <w:lvlJc w:val="left"/>
      <w:pPr>
        <w:ind w:left="6558" w:hanging="356"/>
      </w:pPr>
      <w:rPr>
        <w:rFonts w:hint="default"/>
        <w:lang w:val="en-US" w:eastAsia="en-US" w:bidi="ar-SA"/>
      </w:rPr>
    </w:lvl>
    <w:lvl w:ilvl="8">
      <w:start w:val="0"/>
      <w:numFmt w:val="bullet"/>
      <w:lvlText w:val="•"/>
      <w:lvlJc w:val="left"/>
      <w:pPr>
        <w:ind w:left="7472" w:hanging="356"/>
      </w:pPr>
      <w:rPr>
        <w:rFonts w:hint="default"/>
        <w:lang w:val="en-US" w:eastAsia="en-US" w:bidi="ar-SA"/>
      </w:rPr>
    </w:lvl>
  </w:abstractNum>
  <w:abstractNum w:abstractNumId="88">
    <w:multiLevelType w:val="hybridMultilevel"/>
    <w:lvl w:ilvl="0">
      <w:start w:val="1"/>
      <w:numFmt w:val="lowerLetter"/>
      <w:lvlText w:val="(%1)"/>
      <w:lvlJc w:val="left"/>
      <w:pPr>
        <w:ind w:left="160" w:hanging="4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00"/>
      </w:pPr>
      <w:rPr>
        <w:rFonts w:hint="default"/>
        <w:lang w:val="en-US" w:eastAsia="en-US" w:bidi="ar-SA"/>
      </w:rPr>
    </w:lvl>
    <w:lvl w:ilvl="2">
      <w:start w:val="0"/>
      <w:numFmt w:val="bullet"/>
      <w:lvlText w:val="•"/>
      <w:lvlJc w:val="left"/>
      <w:pPr>
        <w:ind w:left="1988" w:hanging="400"/>
      </w:pPr>
      <w:rPr>
        <w:rFonts w:hint="default"/>
        <w:lang w:val="en-US" w:eastAsia="en-US" w:bidi="ar-SA"/>
      </w:rPr>
    </w:lvl>
    <w:lvl w:ilvl="3">
      <w:start w:val="0"/>
      <w:numFmt w:val="bullet"/>
      <w:lvlText w:val="•"/>
      <w:lvlJc w:val="left"/>
      <w:pPr>
        <w:ind w:left="2902" w:hanging="400"/>
      </w:pPr>
      <w:rPr>
        <w:rFonts w:hint="default"/>
        <w:lang w:val="en-US" w:eastAsia="en-US" w:bidi="ar-SA"/>
      </w:rPr>
    </w:lvl>
    <w:lvl w:ilvl="4">
      <w:start w:val="0"/>
      <w:numFmt w:val="bullet"/>
      <w:lvlText w:val="•"/>
      <w:lvlJc w:val="left"/>
      <w:pPr>
        <w:ind w:left="3816" w:hanging="400"/>
      </w:pPr>
      <w:rPr>
        <w:rFonts w:hint="default"/>
        <w:lang w:val="en-US" w:eastAsia="en-US" w:bidi="ar-SA"/>
      </w:rPr>
    </w:lvl>
    <w:lvl w:ilvl="5">
      <w:start w:val="0"/>
      <w:numFmt w:val="bullet"/>
      <w:lvlText w:val="•"/>
      <w:lvlJc w:val="left"/>
      <w:pPr>
        <w:ind w:left="4730" w:hanging="400"/>
      </w:pPr>
      <w:rPr>
        <w:rFonts w:hint="default"/>
        <w:lang w:val="en-US" w:eastAsia="en-US" w:bidi="ar-SA"/>
      </w:rPr>
    </w:lvl>
    <w:lvl w:ilvl="6">
      <w:start w:val="0"/>
      <w:numFmt w:val="bullet"/>
      <w:lvlText w:val="•"/>
      <w:lvlJc w:val="left"/>
      <w:pPr>
        <w:ind w:left="5644" w:hanging="400"/>
      </w:pPr>
      <w:rPr>
        <w:rFonts w:hint="default"/>
        <w:lang w:val="en-US" w:eastAsia="en-US" w:bidi="ar-SA"/>
      </w:rPr>
    </w:lvl>
    <w:lvl w:ilvl="7">
      <w:start w:val="0"/>
      <w:numFmt w:val="bullet"/>
      <w:lvlText w:val="•"/>
      <w:lvlJc w:val="left"/>
      <w:pPr>
        <w:ind w:left="6558" w:hanging="400"/>
      </w:pPr>
      <w:rPr>
        <w:rFonts w:hint="default"/>
        <w:lang w:val="en-US" w:eastAsia="en-US" w:bidi="ar-SA"/>
      </w:rPr>
    </w:lvl>
    <w:lvl w:ilvl="8">
      <w:start w:val="0"/>
      <w:numFmt w:val="bullet"/>
      <w:lvlText w:val="•"/>
      <w:lvlJc w:val="left"/>
      <w:pPr>
        <w:ind w:left="7472" w:hanging="400"/>
      </w:pPr>
      <w:rPr>
        <w:rFonts w:hint="default"/>
        <w:lang w:val="en-US" w:eastAsia="en-US" w:bidi="ar-SA"/>
      </w:rPr>
    </w:lvl>
  </w:abstractNum>
  <w:abstractNum w:abstractNumId="86">
    <w:multiLevelType w:val="hybridMultilevel"/>
    <w:lvl w:ilvl="0">
      <w:start w:val="2"/>
      <w:numFmt w:val="decimal"/>
      <w:lvlText w:val="(%1)"/>
      <w:lvlJc w:val="left"/>
      <w:pPr>
        <w:ind w:left="500"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80" w:hanging="341"/>
      </w:pPr>
      <w:rPr>
        <w:rFonts w:hint="default"/>
        <w:lang w:val="en-US" w:eastAsia="en-US" w:bidi="ar-SA"/>
      </w:rPr>
    </w:lvl>
    <w:lvl w:ilvl="2">
      <w:start w:val="0"/>
      <w:numFmt w:val="bullet"/>
      <w:lvlText w:val="•"/>
      <w:lvlJc w:val="left"/>
      <w:pPr>
        <w:ind w:left="2260" w:hanging="341"/>
      </w:pPr>
      <w:rPr>
        <w:rFonts w:hint="default"/>
        <w:lang w:val="en-US" w:eastAsia="en-US" w:bidi="ar-SA"/>
      </w:rPr>
    </w:lvl>
    <w:lvl w:ilvl="3">
      <w:start w:val="0"/>
      <w:numFmt w:val="bullet"/>
      <w:lvlText w:val="•"/>
      <w:lvlJc w:val="left"/>
      <w:pPr>
        <w:ind w:left="3140" w:hanging="341"/>
      </w:pPr>
      <w:rPr>
        <w:rFonts w:hint="default"/>
        <w:lang w:val="en-US" w:eastAsia="en-US" w:bidi="ar-SA"/>
      </w:rPr>
    </w:lvl>
    <w:lvl w:ilvl="4">
      <w:start w:val="0"/>
      <w:numFmt w:val="bullet"/>
      <w:lvlText w:val="•"/>
      <w:lvlJc w:val="left"/>
      <w:pPr>
        <w:ind w:left="4020" w:hanging="341"/>
      </w:pPr>
      <w:rPr>
        <w:rFonts w:hint="default"/>
        <w:lang w:val="en-US" w:eastAsia="en-US" w:bidi="ar-SA"/>
      </w:rPr>
    </w:lvl>
    <w:lvl w:ilvl="5">
      <w:start w:val="0"/>
      <w:numFmt w:val="bullet"/>
      <w:lvlText w:val="•"/>
      <w:lvlJc w:val="left"/>
      <w:pPr>
        <w:ind w:left="4900" w:hanging="341"/>
      </w:pPr>
      <w:rPr>
        <w:rFonts w:hint="default"/>
        <w:lang w:val="en-US" w:eastAsia="en-US" w:bidi="ar-SA"/>
      </w:rPr>
    </w:lvl>
    <w:lvl w:ilvl="6">
      <w:start w:val="0"/>
      <w:numFmt w:val="bullet"/>
      <w:lvlText w:val="•"/>
      <w:lvlJc w:val="left"/>
      <w:pPr>
        <w:ind w:left="5780" w:hanging="341"/>
      </w:pPr>
      <w:rPr>
        <w:rFonts w:hint="default"/>
        <w:lang w:val="en-US" w:eastAsia="en-US" w:bidi="ar-SA"/>
      </w:rPr>
    </w:lvl>
    <w:lvl w:ilvl="7">
      <w:start w:val="0"/>
      <w:numFmt w:val="bullet"/>
      <w:lvlText w:val="•"/>
      <w:lvlJc w:val="left"/>
      <w:pPr>
        <w:ind w:left="6660" w:hanging="341"/>
      </w:pPr>
      <w:rPr>
        <w:rFonts w:hint="default"/>
        <w:lang w:val="en-US" w:eastAsia="en-US" w:bidi="ar-SA"/>
      </w:rPr>
    </w:lvl>
    <w:lvl w:ilvl="8">
      <w:start w:val="0"/>
      <w:numFmt w:val="bullet"/>
      <w:lvlText w:val="•"/>
      <w:lvlJc w:val="left"/>
      <w:pPr>
        <w:ind w:left="7540" w:hanging="341"/>
      </w:pPr>
      <w:rPr>
        <w:rFonts w:hint="default"/>
        <w:lang w:val="en-US" w:eastAsia="en-US" w:bidi="ar-SA"/>
      </w:rPr>
    </w:lvl>
  </w:abstractNum>
  <w:abstractNum w:abstractNumId="85">
    <w:multiLevelType w:val="hybridMultilevel"/>
    <w:lvl w:ilvl="0">
      <w:start w:val="1"/>
      <w:numFmt w:val="decimal"/>
      <w:lvlText w:val="%1"/>
      <w:lvlJc w:val="left"/>
      <w:pPr>
        <w:ind w:left="160" w:hanging="191"/>
        <w:jc w:val="left"/>
      </w:pPr>
      <w:rPr>
        <w:rFonts w:hint="default"/>
        <w:spacing w:val="0"/>
        <w:w w:val="100"/>
        <w:lang w:val="en-US" w:eastAsia="en-US" w:bidi="ar-SA"/>
      </w:rPr>
    </w:lvl>
    <w:lvl w:ilvl="1">
      <w:start w:val="1"/>
      <w:numFmt w:val="lowerLetter"/>
      <w:lvlText w:val="(%2)"/>
      <w:lvlJc w:val="left"/>
      <w:pPr>
        <w:ind w:left="160" w:hanging="35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51"/>
      </w:pPr>
      <w:rPr>
        <w:rFonts w:hint="default"/>
        <w:lang w:val="en-US" w:eastAsia="en-US" w:bidi="ar-SA"/>
      </w:rPr>
    </w:lvl>
    <w:lvl w:ilvl="3">
      <w:start w:val="0"/>
      <w:numFmt w:val="bullet"/>
      <w:lvlText w:val="•"/>
      <w:lvlJc w:val="left"/>
      <w:pPr>
        <w:ind w:left="2902" w:hanging="351"/>
      </w:pPr>
      <w:rPr>
        <w:rFonts w:hint="default"/>
        <w:lang w:val="en-US" w:eastAsia="en-US" w:bidi="ar-SA"/>
      </w:rPr>
    </w:lvl>
    <w:lvl w:ilvl="4">
      <w:start w:val="0"/>
      <w:numFmt w:val="bullet"/>
      <w:lvlText w:val="•"/>
      <w:lvlJc w:val="left"/>
      <w:pPr>
        <w:ind w:left="3816" w:hanging="351"/>
      </w:pPr>
      <w:rPr>
        <w:rFonts w:hint="default"/>
        <w:lang w:val="en-US" w:eastAsia="en-US" w:bidi="ar-SA"/>
      </w:rPr>
    </w:lvl>
    <w:lvl w:ilvl="5">
      <w:start w:val="0"/>
      <w:numFmt w:val="bullet"/>
      <w:lvlText w:val="•"/>
      <w:lvlJc w:val="left"/>
      <w:pPr>
        <w:ind w:left="4730" w:hanging="351"/>
      </w:pPr>
      <w:rPr>
        <w:rFonts w:hint="default"/>
        <w:lang w:val="en-US" w:eastAsia="en-US" w:bidi="ar-SA"/>
      </w:rPr>
    </w:lvl>
    <w:lvl w:ilvl="6">
      <w:start w:val="0"/>
      <w:numFmt w:val="bullet"/>
      <w:lvlText w:val="•"/>
      <w:lvlJc w:val="left"/>
      <w:pPr>
        <w:ind w:left="5644" w:hanging="351"/>
      </w:pPr>
      <w:rPr>
        <w:rFonts w:hint="default"/>
        <w:lang w:val="en-US" w:eastAsia="en-US" w:bidi="ar-SA"/>
      </w:rPr>
    </w:lvl>
    <w:lvl w:ilvl="7">
      <w:start w:val="0"/>
      <w:numFmt w:val="bullet"/>
      <w:lvlText w:val="•"/>
      <w:lvlJc w:val="left"/>
      <w:pPr>
        <w:ind w:left="6558" w:hanging="351"/>
      </w:pPr>
      <w:rPr>
        <w:rFonts w:hint="default"/>
        <w:lang w:val="en-US" w:eastAsia="en-US" w:bidi="ar-SA"/>
      </w:rPr>
    </w:lvl>
    <w:lvl w:ilvl="8">
      <w:start w:val="0"/>
      <w:numFmt w:val="bullet"/>
      <w:lvlText w:val="•"/>
      <w:lvlJc w:val="left"/>
      <w:pPr>
        <w:ind w:left="7472" w:hanging="351"/>
      </w:pPr>
      <w:rPr>
        <w:rFonts w:hint="default"/>
        <w:lang w:val="en-US" w:eastAsia="en-US" w:bidi="ar-SA"/>
      </w:rPr>
    </w:lvl>
  </w:abstractNum>
  <w:abstractNum w:abstractNumId="84">
    <w:multiLevelType w:val="hybridMultilevel"/>
    <w:lvl w:ilvl="0">
      <w:start w:val="7"/>
      <w:numFmt w:val="decimal"/>
      <w:lvlText w:val="(%1)"/>
      <w:lvlJc w:val="left"/>
      <w:pPr>
        <w:ind w:left="160" w:hanging="38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0" w:hanging="141"/>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141"/>
      </w:pPr>
      <w:rPr>
        <w:rFonts w:hint="default"/>
        <w:lang w:val="en-US" w:eastAsia="en-US" w:bidi="ar-SA"/>
      </w:rPr>
    </w:lvl>
    <w:lvl w:ilvl="3">
      <w:start w:val="0"/>
      <w:numFmt w:val="bullet"/>
      <w:lvlText w:val="•"/>
      <w:lvlJc w:val="left"/>
      <w:pPr>
        <w:ind w:left="2902" w:hanging="141"/>
      </w:pPr>
      <w:rPr>
        <w:rFonts w:hint="default"/>
        <w:lang w:val="en-US" w:eastAsia="en-US" w:bidi="ar-SA"/>
      </w:rPr>
    </w:lvl>
    <w:lvl w:ilvl="4">
      <w:start w:val="0"/>
      <w:numFmt w:val="bullet"/>
      <w:lvlText w:val="•"/>
      <w:lvlJc w:val="left"/>
      <w:pPr>
        <w:ind w:left="3816" w:hanging="141"/>
      </w:pPr>
      <w:rPr>
        <w:rFonts w:hint="default"/>
        <w:lang w:val="en-US" w:eastAsia="en-US" w:bidi="ar-SA"/>
      </w:rPr>
    </w:lvl>
    <w:lvl w:ilvl="5">
      <w:start w:val="0"/>
      <w:numFmt w:val="bullet"/>
      <w:lvlText w:val="•"/>
      <w:lvlJc w:val="left"/>
      <w:pPr>
        <w:ind w:left="4730" w:hanging="141"/>
      </w:pPr>
      <w:rPr>
        <w:rFonts w:hint="default"/>
        <w:lang w:val="en-US" w:eastAsia="en-US" w:bidi="ar-SA"/>
      </w:rPr>
    </w:lvl>
    <w:lvl w:ilvl="6">
      <w:start w:val="0"/>
      <w:numFmt w:val="bullet"/>
      <w:lvlText w:val="•"/>
      <w:lvlJc w:val="left"/>
      <w:pPr>
        <w:ind w:left="5644" w:hanging="141"/>
      </w:pPr>
      <w:rPr>
        <w:rFonts w:hint="default"/>
        <w:lang w:val="en-US" w:eastAsia="en-US" w:bidi="ar-SA"/>
      </w:rPr>
    </w:lvl>
    <w:lvl w:ilvl="7">
      <w:start w:val="0"/>
      <w:numFmt w:val="bullet"/>
      <w:lvlText w:val="•"/>
      <w:lvlJc w:val="left"/>
      <w:pPr>
        <w:ind w:left="6558" w:hanging="141"/>
      </w:pPr>
      <w:rPr>
        <w:rFonts w:hint="default"/>
        <w:lang w:val="en-US" w:eastAsia="en-US" w:bidi="ar-SA"/>
      </w:rPr>
    </w:lvl>
    <w:lvl w:ilvl="8">
      <w:start w:val="0"/>
      <w:numFmt w:val="bullet"/>
      <w:lvlText w:val="•"/>
      <w:lvlJc w:val="left"/>
      <w:pPr>
        <w:ind w:left="7472" w:hanging="141"/>
      </w:pPr>
      <w:rPr>
        <w:rFonts w:hint="default"/>
        <w:lang w:val="en-US" w:eastAsia="en-US" w:bidi="ar-SA"/>
      </w:rPr>
    </w:lvl>
  </w:abstractNum>
  <w:abstractNum w:abstractNumId="83">
    <w:multiLevelType w:val="hybridMultilevel"/>
    <w:lvl w:ilvl="0">
      <w:start w:val="1"/>
      <w:numFmt w:val="decimal"/>
      <w:lvlText w:val="(%1)"/>
      <w:lvlJc w:val="left"/>
      <w:pPr>
        <w:ind w:left="160" w:hanging="3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2"/>
      </w:pPr>
      <w:rPr>
        <w:rFonts w:hint="default"/>
        <w:lang w:val="en-US" w:eastAsia="en-US" w:bidi="ar-SA"/>
      </w:rPr>
    </w:lvl>
    <w:lvl w:ilvl="2">
      <w:start w:val="0"/>
      <w:numFmt w:val="bullet"/>
      <w:lvlText w:val="•"/>
      <w:lvlJc w:val="left"/>
      <w:pPr>
        <w:ind w:left="1988" w:hanging="352"/>
      </w:pPr>
      <w:rPr>
        <w:rFonts w:hint="default"/>
        <w:lang w:val="en-US" w:eastAsia="en-US" w:bidi="ar-SA"/>
      </w:rPr>
    </w:lvl>
    <w:lvl w:ilvl="3">
      <w:start w:val="0"/>
      <w:numFmt w:val="bullet"/>
      <w:lvlText w:val="•"/>
      <w:lvlJc w:val="left"/>
      <w:pPr>
        <w:ind w:left="2902" w:hanging="352"/>
      </w:pPr>
      <w:rPr>
        <w:rFonts w:hint="default"/>
        <w:lang w:val="en-US" w:eastAsia="en-US" w:bidi="ar-SA"/>
      </w:rPr>
    </w:lvl>
    <w:lvl w:ilvl="4">
      <w:start w:val="0"/>
      <w:numFmt w:val="bullet"/>
      <w:lvlText w:val="•"/>
      <w:lvlJc w:val="left"/>
      <w:pPr>
        <w:ind w:left="3816" w:hanging="352"/>
      </w:pPr>
      <w:rPr>
        <w:rFonts w:hint="default"/>
        <w:lang w:val="en-US" w:eastAsia="en-US" w:bidi="ar-SA"/>
      </w:rPr>
    </w:lvl>
    <w:lvl w:ilvl="5">
      <w:start w:val="0"/>
      <w:numFmt w:val="bullet"/>
      <w:lvlText w:val="•"/>
      <w:lvlJc w:val="left"/>
      <w:pPr>
        <w:ind w:left="4730" w:hanging="352"/>
      </w:pPr>
      <w:rPr>
        <w:rFonts w:hint="default"/>
        <w:lang w:val="en-US" w:eastAsia="en-US" w:bidi="ar-SA"/>
      </w:rPr>
    </w:lvl>
    <w:lvl w:ilvl="6">
      <w:start w:val="0"/>
      <w:numFmt w:val="bullet"/>
      <w:lvlText w:val="•"/>
      <w:lvlJc w:val="left"/>
      <w:pPr>
        <w:ind w:left="5644" w:hanging="352"/>
      </w:pPr>
      <w:rPr>
        <w:rFonts w:hint="default"/>
        <w:lang w:val="en-US" w:eastAsia="en-US" w:bidi="ar-SA"/>
      </w:rPr>
    </w:lvl>
    <w:lvl w:ilvl="7">
      <w:start w:val="0"/>
      <w:numFmt w:val="bullet"/>
      <w:lvlText w:val="•"/>
      <w:lvlJc w:val="left"/>
      <w:pPr>
        <w:ind w:left="6558" w:hanging="352"/>
      </w:pPr>
      <w:rPr>
        <w:rFonts w:hint="default"/>
        <w:lang w:val="en-US" w:eastAsia="en-US" w:bidi="ar-SA"/>
      </w:rPr>
    </w:lvl>
    <w:lvl w:ilvl="8">
      <w:start w:val="0"/>
      <w:numFmt w:val="bullet"/>
      <w:lvlText w:val="•"/>
      <w:lvlJc w:val="left"/>
      <w:pPr>
        <w:ind w:left="7472" w:hanging="352"/>
      </w:pPr>
      <w:rPr>
        <w:rFonts w:hint="default"/>
        <w:lang w:val="en-US" w:eastAsia="en-US" w:bidi="ar-SA"/>
      </w:rPr>
    </w:lvl>
  </w:abstractNum>
  <w:abstractNum w:abstractNumId="82">
    <w:multiLevelType w:val="hybridMultilevel"/>
    <w:lvl w:ilvl="0">
      <w:start w:val="1"/>
      <w:numFmt w:val="decimal"/>
      <w:lvlText w:val="(%1)"/>
      <w:lvlJc w:val="left"/>
      <w:pPr>
        <w:ind w:left="160" w:hanging="35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8"/>
      </w:pPr>
      <w:rPr>
        <w:rFonts w:hint="default"/>
        <w:lang w:val="en-US" w:eastAsia="en-US" w:bidi="ar-SA"/>
      </w:rPr>
    </w:lvl>
    <w:lvl w:ilvl="2">
      <w:start w:val="0"/>
      <w:numFmt w:val="bullet"/>
      <w:lvlText w:val="•"/>
      <w:lvlJc w:val="left"/>
      <w:pPr>
        <w:ind w:left="1988" w:hanging="358"/>
      </w:pPr>
      <w:rPr>
        <w:rFonts w:hint="default"/>
        <w:lang w:val="en-US" w:eastAsia="en-US" w:bidi="ar-SA"/>
      </w:rPr>
    </w:lvl>
    <w:lvl w:ilvl="3">
      <w:start w:val="0"/>
      <w:numFmt w:val="bullet"/>
      <w:lvlText w:val="•"/>
      <w:lvlJc w:val="left"/>
      <w:pPr>
        <w:ind w:left="2902" w:hanging="358"/>
      </w:pPr>
      <w:rPr>
        <w:rFonts w:hint="default"/>
        <w:lang w:val="en-US" w:eastAsia="en-US" w:bidi="ar-SA"/>
      </w:rPr>
    </w:lvl>
    <w:lvl w:ilvl="4">
      <w:start w:val="0"/>
      <w:numFmt w:val="bullet"/>
      <w:lvlText w:val="•"/>
      <w:lvlJc w:val="left"/>
      <w:pPr>
        <w:ind w:left="3816" w:hanging="358"/>
      </w:pPr>
      <w:rPr>
        <w:rFonts w:hint="default"/>
        <w:lang w:val="en-US" w:eastAsia="en-US" w:bidi="ar-SA"/>
      </w:rPr>
    </w:lvl>
    <w:lvl w:ilvl="5">
      <w:start w:val="0"/>
      <w:numFmt w:val="bullet"/>
      <w:lvlText w:val="•"/>
      <w:lvlJc w:val="left"/>
      <w:pPr>
        <w:ind w:left="4730" w:hanging="358"/>
      </w:pPr>
      <w:rPr>
        <w:rFonts w:hint="default"/>
        <w:lang w:val="en-US" w:eastAsia="en-US" w:bidi="ar-SA"/>
      </w:rPr>
    </w:lvl>
    <w:lvl w:ilvl="6">
      <w:start w:val="0"/>
      <w:numFmt w:val="bullet"/>
      <w:lvlText w:val="•"/>
      <w:lvlJc w:val="left"/>
      <w:pPr>
        <w:ind w:left="5644" w:hanging="358"/>
      </w:pPr>
      <w:rPr>
        <w:rFonts w:hint="default"/>
        <w:lang w:val="en-US" w:eastAsia="en-US" w:bidi="ar-SA"/>
      </w:rPr>
    </w:lvl>
    <w:lvl w:ilvl="7">
      <w:start w:val="0"/>
      <w:numFmt w:val="bullet"/>
      <w:lvlText w:val="•"/>
      <w:lvlJc w:val="left"/>
      <w:pPr>
        <w:ind w:left="6558" w:hanging="358"/>
      </w:pPr>
      <w:rPr>
        <w:rFonts w:hint="default"/>
        <w:lang w:val="en-US" w:eastAsia="en-US" w:bidi="ar-SA"/>
      </w:rPr>
    </w:lvl>
    <w:lvl w:ilvl="8">
      <w:start w:val="0"/>
      <w:numFmt w:val="bullet"/>
      <w:lvlText w:val="•"/>
      <w:lvlJc w:val="left"/>
      <w:pPr>
        <w:ind w:left="7472" w:hanging="358"/>
      </w:pPr>
      <w:rPr>
        <w:rFonts w:hint="default"/>
        <w:lang w:val="en-US" w:eastAsia="en-US" w:bidi="ar-SA"/>
      </w:rPr>
    </w:lvl>
  </w:abstractNum>
  <w:abstractNum w:abstractNumId="81">
    <w:multiLevelType w:val="hybridMultilevel"/>
    <w:lvl w:ilvl="0">
      <w:start w:val="2"/>
      <w:numFmt w:val="decimal"/>
      <w:lvlText w:val="(%1)"/>
      <w:lvlJc w:val="left"/>
      <w:pPr>
        <w:ind w:left="160" w:hanging="362"/>
        <w:jc w:val="left"/>
      </w:pPr>
      <w:rPr>
        <w:rFonts w:hint="default" w:ascii="Times New Roman" w:hAnsi="Times New Roman" w:eastAsia="Times New Roman" w:cs="Times New Roman"/>
        <w:b w:val="0"/>
        <w:bCs w:val="0"/>
        <w:i w:val="0"/>
        <w:iCs w:val="0"/>
        <w:spacing w:val="0"/>
        <w:w w:val="92"/>
        <w:sz w:val="24"/>
        <w:szCs w:val="24"/>
        <w:lang w:val="en-US" w:eastAsia="en-US" w:bidi="ar-SA"/>
      </w:rPr>
    </w:lvl>
    <w:lvl w:ilvl="1">
      <w:start w:val="1"/>
      <w:numFmt w:val="lowerLetter"/>
      <w:lvlText w:val="(%2)"/>
      <w:lvlJc w:val="left"/>
      <w:pPr>
        <w:ind w:left="160" w:hanging="43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430"/>
      </w:pPr>
      <w:rPr>
        <w:rFonts w:hint="default"/>
        <w:lang w:val="en-US" w:eastAsia="en-US" w:bidi="ar-SA"/>
      </w:rPr>
    </w:lvl>
    <w:lvl w:ilvl="3">
      <w:start w:val="0"/>
      <w:numFmt w:val="bullet"/>
      <w:lvlText w:val="•"/>
      <w:lvlJc w:val="left"/>
      <w:pPr>
        <w:ind w:left="2902" w:hanging="430"/>
      </w:pPr>
      <w:rPr>
        <w:rFonts w:hint="default"/>
        <w:lang w:val="en-US" w:eastAsia="en-US" w:bidi="ar-SA"/>
      </w:rPr>
    </w:lvl>
    <w:lvl w:ilvl="4">
      <w:start w:val="0"/>
      <w:numFmt w:val="bullet"/>
      <w:lvlText w:val="•"/>
      <w:lvlJc w:val="left"/>
      <w:pPr>
        <w:ind w:left="3816" w:hanging="430"/>
      </w:pPr>
      <w:rPr>
        <w:rFonts w:hint="default"/>
        <w:lang w:val="en-US" w:eastAsia="en-US" w:bidi="ar-SA"/>
      </w:rPr>
    </w:lvl>
    <w:lvl w:ilvl="5">
      <w:start w:val="0"/>
      <w:numFmt w:val="bullet"/>
      <w:lvlText w:val="•"/>
      <w:lvlJc w:val="left"/>
      <w:pPr>
        <w:ind w:left="4730" w:hanging="430"/>
      </w:pPr>
      <w:rPr>
        <w:rFonts w:hint="default"/>
        <w:lang w:val="en-US" w:eastAsia="en-US" w:bidi="ar-SA"/>
      </w:rPr>
    </w:lvl>
    <w:lvl w:ilvl="6">
      <w:start w:val="0"/>
      <w:numFmt w:val="bullet"/>
      <w:lvlText w:val="•"/>
      <w:lvlJc w:val="left"/>
      <w:pPr>
        <w:ind w:left="5644" w:hanging="430"/>
      </w:pPr>
      <w:rPr>
        <w:rFonts w:hint="default"/>
        <w:lang w:val="en-US" w:eastAsia="en-US" w:bidi="ar-SA"/>
      </w:rPr>
    </w:lvl>
    <w:lvl w:ilvl="7">
      <w:start w:val="0"/>
      <w:numFmt w:val="bullet"/>
      <w:lvlText w:val="•"/>
      <w:lvlJc w:val="left"/>
      <w:pPr>
        <w:ind w:left="6558" w:hanging="430"/>
      </w:pPr>
      <w:rPr>
        <w:rFonts w:hint="default"/>
        <w:lang w:val="en-US" w:eastAsia="en-US" w:bidi="ar-SA"/>
      </w:rPr>
    </w:lvl>
    <w:lvl w:ilvl="8">
      <w:start w:val="0"/>
      <w:numFmt w:val="bullet"/>
      <w:lvlText w:val="•"/>
      <w:lvlJc w:val="left"/>
      <w:pPr>
        <w:ind w:left="7472" w:hanging="430"/>
      </w:pPr>
      <w:rPr>
        <w:rFonts w:hint="default"/>
        <w:lang w:val="en-US" w:eastAsia="en-US" w:bidi="ar-SA"/>
      </w:rPr>
    </w:lvl>
  </w:abstractNum>
  <w:abstractNum w:abstractNumId="80">
    <w:multiLevelType w:val="hybridMultilevel"/>
    <w:lvl w:ilvl="0">
      <w:start w:val="3"/>
      <w:numFmt w:val="lowerLetter"/>
      <w:lvlText w:val="%1."/>
      <w:lvlJc w:val="left"/>
      <w:pPr>
        <w:ind w:left="565" w:hanging="40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34" w:hanging="406"/>
      </w:pPr>
      <w:rPr>
        <w:rFonts w:hint="default"/>
        <w:lang w:val="en-US" w:eastAsia="en-US" w:bidi="ar-SA"/>
      </w:rPr>
    </w:lvl>
    <w:lvl w:ilvl="2">
      <w:start w:val="0"/>
      <w:numFmt w:val="bullet"/>
      <w:lvlText w:val="•"/>
      <w:lvlJc w:val="left"/>
      <w:pPr>
        <w:ind w:left="2308" w:hanging="406"/>
      </w:pPr>
      <w:rPr>
        <w:rFonts w:hint="default"/>
        <w:lang w:val="en-US" w:eastAsia="en-US" w:bidi="ar-SA"/>
      </w:rPr>
    </w:lvl>
    <w:lvl w:ilvl="3">
      <w:start w:val="0"/>
      <w:numFmt w:val="bullet"/>
      <w:lvlText w:val="•"/>
      <w:lvlJc w:val="left"/>
      <w:pPr>
        <w:ind w:left="3182" w:hanging="406"/>
      </w:pPr>
      <w:rPr>
        <w:rFonts w:hint="default"/>
        <w:lang w:val="en-US" w:eastAsia="en-US" w:bidi="ar-SA"/>
      </w:rPr>
    </w:lvl>
    <w:lvl w:ilvl="4">
      <w:start w:val="0"/>
      <w:numFmt w:val="bullet"/>
      <w:lvlText w:val="•"/>
      <w:lvlJc w:val="left"/>
      <w:pPr>
        <w:ind w:left="4056" w:hanging="406"/>
      </w:pPr>
      <w:rPr>
        <w:rFonts w:hint="default"/>
        <w:lang w:val="en-US" w:eastAsia="en-US" w:bidi="ar-SA"/>
      </w:rPr>
    </w:lvl>
    <w:lvl w:ilvl="5">
      <w:start w:val="0"/>
      <w:numFmt w:val="bullet"/>
      <w:lvlText w:val="•"/>
      <w:lvlJc w:val="left"/>
      <w:pPr>
        <w:ind w:left="4930" w:hanging="406"/>
      </w:pPr>
      <w:rPr>
        <w:rFonts w:hint="default"/>
        <w:lang w:val="en-US" w:eastAsia="en-US" w:bidi="ar-SA"/>
      </w:rPr>
    </w:lvl>
    <w:lvl w:ilvl="6">
      <w:start w:val="0"/>
      <w:numFmt w:val="bullet"/>
      <w:lvlText w:val="•"/>
      <w:lvlJc w:val="left"/>
      <w:pPr>
        <w:ind w:left="5804" w:hanging="406"/>
      </w:pPr>
      <w:rPr>
        <w:rFonts w:hint="default"/>
        <w:lang w:val="en-US" w:eastAsia="en-US" w:bidi="ar-SA"/>
      </w:rPr>
    </w:lvl>
    <w:lvl w:ilvl="7">
      <w:start w:val="0"/>
      <w:numFmt w:val="bullet"/>
      <w:lvlText w:val="•"/>
      <w:lvlJc w:val="left"/>
      <w:pPr>
        <w:ind w:left="6678" w:hanging="406"/>
      </w:pPr>
      <w:rPr>
        <w:rFonts w:hint="default"/>
        <w:lang w:val="en-US" w:eastAsia="en-US" w:bidi="ar-SA"/>
      </w:rPr>
    </w:lvl>
    <w:lvl w:ilvl="8">
      <w:start w:val="0"/>
      <w:numFmt w:val="bullet"/>
      <w:lvlText w:val="•"/>
      <w:lvlJc w:val="left"/>
      <w:pPr>
        <w:ind w:left="7552" w:hanging="406"/>
      </w:pPr>
      <w:rPr>
        <w:rFonts w:hint="default"/>
        <w:lang w:val="en-US" w:eastAsia="en-US" w:bidi="ar-SA"/>
      </w:rPr>
    </w:lvl>
  </w:abstractNum>
  <w:abstractNum w:abstractNumId="79">
    <w:multiLevelType w:val="hybridMultilevel"/>
    <w:lvl w:ilvl="0">
      <w:start w:val="1"/>
      <w:numFmt w:val="decimal"/>
      <w:lvlText w:val="(%1)"/>
      <w:lvlJc w:val="left"/>
      <w:pPr>
        <w:ind w:left="160"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8"/>
      </w:pPr>
      <w:rPr>
        <w:rFonts w:hint="default"/>
        <w:lang w:val="en-US" w:eastAsia="en-US" w:bidi="ar-SA"/>
      </w:rPr>
    </w:lvl>
    <w:lvl w:ilvl="2">
      <w:start w:val="0"/>
      <w:numFmt w:val="bullet"/>
      <w:lvlText w:val="•"/>
      <w:lvlJc w:val="left"/>
      <w:pPr>
        <w:ind w:left="1988" w:hanging="348"/>
      </w:pPr>
      <w:rPr>
        <w:rFonts w:hint="default"/>
        <w:lang w:val="en-US" w:eastAsia="en-US" w:bidi="ar-SA"/>
      </w:rPr>
    </w:lvl>
    <w:lvl w:ilvl="3">
      <w:start w:val="0"/>
      <w:numFmt w:val="bullet"/>
      <w:lvlText w:val="•"/>
      <w:lvlJc w:val="left"/>
      <w:pPr>
        <w:ind w:left="2902" w:hanging="348"/>
      </w:pPr>
      <w:rPr>
        <w:rFonts w:hint="default"/>
        <w:lang w:val="en-US" w:eastAsia="en-US" w:bidi="ar-SA"/>
      </w:rPr>
    </w:lvl>
    <w:lvl w:ilvl="4">
      <w:start w:val="0"/>
      <w:numFmt w:val="bullet"/>
      <w:lvlText w:val="•"/>
      <w:lvlJc w:val="left"/>
      <w:pPr>
        <w:ind w:left="3816" w:hanging="348"/>
      </w:pPr>
      <w:rPr>
        <w:rFonts w:hint="default"/>
        <w:lang w:val="en-US" w:eastAsia="en-US" w:bidi="ar-SA"/>
      </w:rPr>
    </w:lvl>
    <w:lvl w:ilvl="5">
      <w:start w:val="0"/>
      <w:numFmt w:val="bullet"/>
      <w:lvlText w:val="•"/>
      <w:lvlJc w:val="left"/>
      <w:pPr>
        <w:ind w:left="4730" w:hanging="348"/>
      </w:pPr>
      <w:rPr>
        <w:rFonts w:hint="default"/>
        <w:lang w:val="en-US" w:eastAsia="en-US" w:bidi="ar-SA"/>
      </w:rPr>
    </w:lvl>
    <w:lvl w:ilvl="6">
      <w:start w:val="0"/>
      <w:numFmt w:val="bullet"/>
      <w:lvlText w:val="•"/>
      <w:lvlJc w:val="left"/>
      <w:pPr>
        <w:ind w:left="5644" w:hanging="348"/>
      </w:pPr>
      <w:rPr>
        <w:rFonts w:hint="default"/>
        <w:lang w:val="en-US" w:eastAsia="en-US" w:bidi="ar-SA"/>
      </w:rPr>
    </w:lvl>
    <w:lvl w:ilvl="7">
      <w:start w:val="0"/>
      <w:numFmt w:val="bullet"/>
      <w:lvlText w:val="•"/>
      <w:lvlJc w:val="left"/>
      <w:pPr>
        <w:ind w:left="6558" w:hanging="348"/>
      </w:pPr>
      <w:rPr>
        <w:rFonts w:hint="default"/>
        <w:lang w:val="en-US" w:eastAsia="en-US" w:bidi="ar-SA"/>
      </w:rPr>
    </w:lvl>
    <w:lvl w:ilvl="8">
      <w:start w:val="0"/>
      <w:numFmt w:val="bullet"/>
      <w:lvlText w:val="•"/>
      <w:lvlJc w:val="left"/>
      <w:pPr>
        <w:ind w:left="7472" w:hanging="348"/>
      </w:pPr>
      <w:rPr>
        <w:rFonts w:hint="default"/>
        <w:lang w:val="en-US" w:eastAsia="en-US" w:bidi="ar-SA"/>
      </w:rPr>
    </w:lvl>
  </w:abstractNum>
  <w:abstractNum w:abstractNumId="78">
    <w:multiLevelType w:val="hybridMultilevel"/>
    <w:lvl w:ilvl="0">
      <w:start w:val="1"/>
      <w:numFmt w:val="decimal"/>
      <w:lvlText w:val="(%1)"/>
      <w:lvlJc w:val="left"/>
      <w:pPr>
        <w:ind w:left="160" w:hanging="351"/>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51"/>
      </w:pPr>
      <w:rPr>
        <w:rFonts w:hint="default"/>
        <w:lang w:val="en-US" w:eastAsia="en-US" w:bidi="ar-SA"/>
      </w:rPr>
    </w:lvl>
    <w:lvl w:ilvl="2">
      <w:start w:val="0"/>
      <w:numFmt w:val="bullet"/>
      <w:lvlText w:val="•"/>
      <w:lvlJc w:val="left"/>
      <w:pPr>
        <w:ind w:left="1988" w:hanging="351"/>
      </w:pPr>
      <w:rPr>
        <w:rFonts w:hint="default"/>
        <w:lang w:val="en-US" w:eastAsia="en-US" w:bidi="ar-SA"/>
      </w:rPr>
    </w:lvl>
    <w:lvl w:ilvl="3">
      <w:start w:val="0"/>
      <w:numFmt w:val="bullet"/>
      <w:lvlText w:val="•"/>
      <w:lvlJc w:val="left"/>
      <w:pPr>
        <w:ind w:left="2902" w:hanging="351"/>
      </w:pPr>
      <w:rPr>
        <w:rFonts w:hint="default"/>
        <w:lang w:val="en-US" w:eastAsia="en-US" w:bidi="ar-SA"/>
      </w:rPr>
    </w:lvl>
    <w:lvl w:ilvl="4">
      <w:start w:val="0"/>
      <w:numFmt w:val="bullet"/>
      <w:lvlText w:val="•"/>
      <w:lvlJc w:val="left"/>
      <w:pPr>
        <w:ind w:left="3816" w:hanging="351"/>
      </w:pPr>
      <w:rPr>
        <w:rFonts w:hint="default"/>
        <w:lang w:val="en-US" w:eastAsia="en-US" w:bidi="ar-SA"/>
      </w:rPr>
    </w:lvl>
    <w:lvl w:ilvl="5">
      <w:start w:val="0"/>
      <w:numFmt w:val="bullet"/>
      <w:lvlText w:val="•"/>
      <w:lvlJc w:val="left"/>
      <w:pPr>
        <w:ind w:left="4730" w:hanging="351"/>
      </w:pPr>
      <w:rPr>
        <w:rFonts w:hint="default"/>
        <w:lang w:val="en-US" w:eastAsia="en-US" w:bidi="ar-SA"/>
      </w:rPr>
    </w:lvl>
    <w:lvl w:ilvl="6">
      <w:start w:val="0"/>
      <w:numFmt w:val="bullet"/>
      <w:lvlText w:val="•"/>
      <w:lvlJc w:val="left"/>
      <w:pPr>
        <w:ind w:left="5644" w:hanging="351"/>
      </w:pPr>
      <w:rPr>
        <w:rFonts w:hint="default"/>
        <w:lang w:val="en-US" w:eastAsia="en-US" w:bidi="ar-SA"/>
      </w:rPr>
    </w:lvl>
    <w:lvl w:ilvl="7">
      <w:start w:val="0"/>
      <w:numFmt w:val="bullet"/>
      <w:lvlText w:val="•"/>
      <w:lvlJc w:val="left"/>
      <w:pPr>
        <w:ind w:left="6558" w:hanging="351"/>
      </w:pPr>
      <w:rPr>
        <w:rFonts w:hint="default"/>
        <w:lang w:val="en-US" w:eastAsia="en-US" w:bidi="ar-SA"/>
      </w:rPr>
    </w:lvl>
    <w:lvl w:ilvl="8">
      <w:start w:val="0"/>
      <w:numFmt w:val="bullet"/>
      <w:lvlText w:val="•"/>
      <w:lvlJc w:val="left"/>
      <w:pPr>
        <w:ind w:left="7472" w:hanging="351"/>
      </w:pPr>
      <w:rPr>
        <w:rFonts w:hint="default"/>
        <w:lang w:val="en-US" w:eastAsia="en-US" w:bidi="ar-SA"/>
      </w:rPr>
    </w:lvl>
  </w:abstractNum>
  <w:abstractNum w:abstractNumId="77">
    <w:multiLevelType w:val="hybridMultilevel"/>
    <w:lvl w:ilvl="0">
      <w:start w:val="2"/>
      <w:numFmt w:val="decimal"/>
      <w:lvlText w:val="(%1)"/>
      <w:lvlJc w:val="left"/>
      <w:pPr>
        <w:ind w:left="160" w:hanging="41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13"/>
      </w:pPr>
      <w:rPr>
        <w:rFonts w:hint="default"/>
        <w:lang w:val="en-US" w:eastAsia="en-US" w:bidi="ar-SA"/>
      </w:rPr>
    </w:lvl>
    <w:lvl w:ilvl="2">
      <w:start w:val="0"/>
      <w:numFmt w:val="bullet"/>
      <w:lvlText w:val="•"/>
      <w:lvlJc w:val="left"/>
      <w:pPr>
        <w:ind w:left="1988" w:hanging="413"/>
      </w:pPr>
      <w:rPr>
        <w:rFonts w:hint="default"/>
        <w:lang w:val="en-US" w:eastAsia="en-US" w:bidi="ar-SA"/>
      </w:rPr>
    </w:lvl>
    <w:lvl w:ilvl="3">
      <w:start w:val="0"/>
      <w:numFmt w:val="bullet"/>
      <w:lvlText w:val="•"/>
      <w:lvlJc w:val="left"/>
      <w:pPr>
        <w:ind w:left="2902" w:hanging="413"/>
      </w:pPr>
      <w:rPr>
        <w:rFonts w:hint="default"/>
        <w:lang w:val="en-US" w:eastAsia="en-US" w:bidi="ar-SA"/>
      </w:rPr>
    </w:lvl>
    <w:lvl w:ilvl="4">
      <w:start w:val="0"/>
      <w:numFmt w:val="bullet"/>
      <w:lvlText w:val="•"/>
      <w:lvlJc w:val="left"/>
      <w:pPr>
        <w:ind w:left="3816" w:hanging="413"/>
      </w:pPr>
      <w:rPr>
        <w:rFonts w:hint="default"/>
        <w:lang w:val="en-US" w:eastAsia="en-US" w:bidi="ar-SA"/>
      </w:rPr>
    </w:lvl>
    <w:lvl w:ilvl="5">
      <w:start w:val="0"/>
      <w:numFmt w:val="bullet"/>
      <w:lvlText w:val="•"/>
      <w:lvlJc w:val="left"/>
      <w:pPr>
        <w:ind w:left="4730" w:hanging="413"/>
      </w:pPr>
      <w:rPr>
        <w:rFonts w:hint="default"/>
        <w:lang w:val="en-US" w:eastAsia="en-US" w:bidi="ar-SA"/>
      </w:rPr>
    </w:lvl>
    <w:lvl w:ilvl="6">
      <w:start w:val="0"/>
      <w:numFmt w:val="bullet"/>
      <w:lvlText w:val="•"/>
      <w:lvlJc w:val="left"/>
      <w:pPr>
        <w:ind w:left="5644" w:hanging="413"/>
      </w:pPr>
      <w:rPr>
        <w:rFonts w:hint="default"/>
        <w:lang w:val="en-US" w:eastAsia="en-US" w:bidi="ar-SA"/>
      </w:rPr>
    </w:lvl>
    <w:lvl w:ilvl="7">
      <w:start w:val="0"/>
      <w:numFmt w:val="bullet"/>
      <w:lvlText w:val="•"/>
      <w:lvlJc w:val="left"/>
      <w:pPr>
        <w:ind w:left="6558" w:hanging="413"/>
      </w:pPr>
      <w:rPr>
        <w:rFonts w:hint="default"/>
        <w:lang w:val="en-US" w:eastAsia="en-US" w:bidi="ar-SA"/>
      </w:rPr>
    </w:lvl>
    <w:lvl w:ilvl="8">
      <w:start w:val="0"/>
      <w:numFmt w:val="bullet"/>
      <w:lvlText w:val="•"/>
      <w:lvlJc w:val="left"/>
      <w:pPr>
        <w:ind w:left="7472" w:hanging="413"/>
      </w:pPr>
      <w:rPr>
        <w:rFonts w:hint="default"/>
        <w:lang w:val="en-US" w:eastAsia="en-US" w:bidi="ar-SA"/>
      </w:rPr>
    </w:lvl>
  </w:abstractNum>
  <w:abstractNum w:abstractNumId="76">
    <w:multiLevelType w:val="hybridMultilevel"/>
    <w:lvl w:ilvl="0">
      <w:start w:val="1"/>
      <w:numFmt w:val="decimal"/>
      <w:lvlText w:val="(%1)"/>
      <w:lvlJc w:val="left"/>
      <w:pPr>
        <w:ind w:left="160" w:hanging="4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486" w:hanging="32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460" w:hanging="327"/>
      </w:pPr>
      <w:rPr>
        <w:rFonts w:hint="default"/>
        <w:lang w:val="en-US" w:eastAsia="en-US" w:bidi="ar-SA"/>
      </w:rPr>
    </w:lvl>
    <w:lvl w:ilvl="3">
      <w:start w:val="0"/>
      <w:numFmt w:val="bullet"/>
      <w:lvlText w:val="•"/>
      <w:lvlJc w:val="left"/>
      <w:pPr>
        <w:ind w:left="2440" w:hanging="327"/>
      </w:pPr>
      <w:rPr>
        <w:rFonts w:hint="default"/>
        <w:lang w:val="en-US" w:eastAsia="en-US" w:bidi="ar-SA"/>
      </w:rPr>
    </w:lvl>
    <w:lvl w:ilvl="4">
      <w:start w:val="0"/>
      <w:numFmt w:val="bullet"/>
      <w:lvlText w:val="•"/>
      <w:lvlJc w:val="left"/>
      <w:pPr>
        <w:ind w:left="3420" w:hanging="327"/>
      </w:pPr>
      <w:rPr>
        <w:rFonts w:hint="default"/>
        <w:lang w:val="en-US" w:eastAsia="en-US" w:bidi="ar-SA"/>
      </w:rPr>
    </w:lvl>
    <w:lvl w:ilvl="5">
      <w:start w:val="0"/>
      <w:numFmt w:val="bullet"/>
      <w:lvlText w:val="•"/>
      <w:lvlJc w:val="left"/>
      <w:pPr>
        <w:ind w:left="4400" w:hanging="327"/>
      </w:pPr>
      <w:rPr>
        <w:rFonts w:hint="default"/>
        <w:lang w:val="en-US" w:eastAsia="en-US" w:bidi="ar-SA"/>
      </w:rPr>
    </w:lvl>
    <w:lvl w:ilvl="6">
      <w:start w:val="0"/>
      <w:numFmt w:val="bullet"/>
      <w:lvlText w:val="•"/>
      <w:lvlJc w:val="left"/>
      <w:pPr>
        <w:ind w:left="5380" w:hanging="327"/>
      </w:pPr>
      <w:rPr>
        <w:rFonts w:hint="default"/>
        <w:lang w:val="en-US" w:eastAsia="en-US" w:bidi="ar-SA"/>
      </w:rPr>
    </w:lvl>
    <w:lvl w:ilvl="7">
      <w:start w:val="0"/>
      <w:numFmt w:val="bullet"/>
      <w:lvlText w:val="•"/>
      <w:lvlJc w:val="left"/>
      <w:pPr>
        <w:ind w:left="6360" w:hanging="327"/>
      </w:pPr>
      <w:rPr>
        <w:rFonts w:hint="default"/>
        <w:lang w:val="en-US" w:eastAsia="en-US" w:bidi="ar-SA"/>
      </w:rPr>
    </w:lvl>
    <w:lvl w:ilvl="8">
      <w:start w:val="0"/>
      <w:numFmt w:val="bullet"/>
      <w:lvlText w:val="•"/>
      <w:lvlJc w:val="left"/>
      <w:pPr>
        <w:ind w:left="7340" w:hanging="327"/>
      </w:pPr>
      <w:rPr>
        <w:rFonts w:hint="default"/>
        <w:lang w:val="en-US" w:eastAsia="en-US" w:bidi="ar-SA"/>
      </w:rPr>
    </w:lvl>
  </w:abstractNum>
  <w:abstractNum w:abstractNumId="75">
    <w:multiLevelType w:val="hybridMultilevel"/>
    <w:lvl w:ilvl="0">
      <w:start w:val="4"/>
      <w:numFmt w:val="decimal"/>
      <w:lvlText w:val="%1"/>
      <w:lvlJc w:val="left"/>
      <w:pPr>
        <w:ind w:left="160" w:hanging="517"/>
        <w:jc w:val="left"/>
      </w:pPr>
      <w:rPr>
        <w:rFonts w:hint="default"/>
        <w:lang w:val="en-US" w:eastAsia="en-US" w:bidi="ar-SA"/>
      </w:rPr>
    </w:lvl>
    <w:lvl w:ilvl="1">
      <w:start w:val="10"/>
      <w:numFmt w:val="decimal"/>
      <w:lvlText w:val="%1.%2"/>
      <w:lvlJc w:val="left"/>
      <w:pPr>
        <w:ind w:left="160" w:hanging="517"/>
        <w:jc w:val="left"/>
      </w:pPr>
      <w:rPr>
        <w:rFonts w:hint="default"/>
        <w:spacing w:val="0"/>
        <w:w w:val="100"/>
        <w:lang w:val="en-US" w:eastAsia="en-US" w:bidi="ar-SA"/>
      </w:rPr>
    </w:lvl>
    <w:lvl w:ilvl="2">
      <w:start w:val="0"/>
      <w:numFmt w:val="bullet"/>
      <w:lvlText w:val="-"/>
      <w:lvlJc w:val="left"/>
      <w:pPr>
        <w:ind w:left="299"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300" w:hanging="140"/>
      </w:pPr>
      <w:rPr>
        <w:rFonts w:hint="default"/>
        <w:lang w:val="en-US" w:eastAsia="en-US" w:bidi="ar-SA"/>
      </w:rPr>
    </w:lvl>
    <w:lvl w:ilvl="4">
      <w:start w:val="0"/>
      <w:numFmt w:val="bullet"/>
      <w:lvlText w:val="•"/>
      <w:lvlJc w:val="left"/>
      <w:pPr>
        <w:ind w:left="3300" w:hanging="140"/>
      </w:pPr>
      <w:rPr>
        <w:rFonts w:hint="default"/>
        <w:lang w:val="en-US" w:eastAsia="en-US" w:bidi="ar-SA"/>
      </w:rPr>
    </w:lvl>
    <w:lvl w:ilvl="5">
      <w:start w:val="0"/>
      <w:numFmt w:val="bullet"/>
      <w:lvlText w:val="•"/>
      <w:lvlJc w:val="left"/>
      <w:pPr>
        <w:ind w:left="4300" w:hanging="140"/>
      </w:pPr>
      <w:rPr>
        <w:rFonts w:hint="default"/>
        <w:lang w:val="en-US" w:eastAsia="en-US" w:bidi="ar-SA"/>
      </w:rPr>
    </w:lvl>
    <w:lvl w:ilvl="6">
      <w:start w:val="0"/>
      <w:numFmt w:val="bullet"/>
      <w:lvlText w:val="•"/>
      <w:lvlJc w:val="left"/>
      <w:pPr>
        <w:ind w:left="5300" w:hanging="140"/>
      </w:pPr>
      <w:rPr>
        <w:rFonts w:hint="default"/>
        <w:lang w:val="en-US" w:eastAsia="en-US" w:bidi="ar-SA"/>
      </w:rPr>
    </w:lvl>
    <w:lvl w:ilvl="7">
      <w:start w:val="0"/>
      <w:numFmt w:val="bullet"/>
      <w:lvlText w:val="•"/>
      <w:lvlJc w:val="left"/>
      <w:pPr>
        <w:ind w:left="6300" w:hanging="140"/>
      </w:pPr>
      <w:rPr>
        <w:rFonts w:hint="default"/>
        <w:lang w:val="en-US" w:eastAsia="en-US" w:bidi="ar-SA"/>
      </w:rPr>
    </w:lvl>
    <w:lvl w:ilvl="8">
      <w:start w:val="0"/>
      <w:numFmt w:val="bullet"/>
      <w:lvlText w:val="•"/>
      <w:lvlJc w:val="left"/>
      <w:pPr>
        <w:ind w:left="7300" w:hanging="140"/>
      </w:pPr>
      <w:rPr>
        <w:rFonts w:hint="default"/>
        <w:lang w:val="en-US" w:eastAsia="en-US" w:bidi="ar-SA"/>
      </w:rPr>
    </w:lvl>
  </w:abstractNum>
  <w:abstractNum w:abstractNumId="74">
    <w:multiLevelType w:val="hybridMultilevel"/>
    <w:lvl w:ilvl="0">
      <w:start w:val="0"/>
      <w:numFmt w:val="bullet"/>
      <w:lvlText w:val="-"/>
      <w:lvlJc w:val="left"/>
      <w:pPr>
        <w:ind w:left="1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40"/>
      </w:pPr>
      <w:rPr>
        <w:rFonts w:hint="default"/>
        <w:lang w:val="en-US" w:eastAsia="en-US" w:bidi="ar-SA"/>
      </w:rPr>
    </w:lvl>
    <w:lvl w:ilvl="2">
      <w:start w:val="0"/>
      <w:numFmt w:val="bullet"/>
      <w:lvlText w:val="•"/>
      <w:lvlJc w:val="left"/>
      <w:pPr>
        <w:ind w:left="1988" w:hanging="140"/>
      </w:pPr>
      <w:rPr>
        <w:rFonts w:hint="default"/>
        <w:lang w:val="en-US" w:eastAsia="en-US" w:bidi="ar-SA"/>
      </w:rPr>
    </w:lvl>
    <w:lvl w:ilvl="3">
      <w:start w:val="0"/>
      <w:numFmt w:val="bullet"/>
      <w:lvlText w:val="•"/>
      <w:lvlJc w:val="left"/>
      <w:pPr>
        <w:ind w:left="2902" w:hanging="140"/>
      </w:pPr>
      <w:rPr>
        <w:rFonts w:hint="default"/>
        <w:lang w:val="en-US" w:eastAsia="en-US" w:bidi="ar-SA"/>
      </w:rPr>
    </w:lvl>
    <w:lvl w:ilvl="4">
      <w:start w:val="0"/>
      <w:numFmt w:val="bullet"/>
      <w:lvlText w:val="•"/>
      <w:lvlJc w:val="left"/>
      <w:pPr>
        <w:ind w:left="3816" w:hanging="140"/>
      </w:pPr>
      <w:rPr>
        <w:rFonts w:hint="default"/>
        <w:lang w:val="en-US" w:eastAsia="en-US" w:bidi="ar-SA"/>
      </w:rPr>
    </w:lvl>
    <w:lvl w:ilvl="5">
      <w:start w:val="0"/>
      <w:numFmt w:val="bullet"/>
      <w:lvlText w:val="•"/>
      <w:lvlJc w:val="left"/>
      <w:pPr>
        <w:ind w:left="4730" w:hanging="140"/>
      </w:pPr>
      <w:rPr>
        <w:rFonts w:hint="default"/>
        <w:lang w:val="en-US" w:eastAsia="en-US" w:bidi="ar-SA"/>
      </w:rPr>
    </w:lvl>
    <w:lvl w:ilvl="6">
      <w:start w:val="0"/>
      <w:numFmt w:val="bullet"/>
      <w:lvlText w:val="•"/>
      <w:lvlJc w:val="left"/>
      <w:pPr>
        <w:ind w:left="5644" w:hanging="140"/>
      </w:pPr>
      <w:rPr>
        <w:rFonts w:hint="default"/>
        <w:lang w:val="en-US" w:eastAsia="en-US" w:bidi="ar-SA"/>
      </w:rPr>
    </w:lvl>
    <w:lvl w:ilvl="7">
      <w:start w:val="0"/>
      <w:numFmt w:val="bullet"/>
      <w:lvlText w:val="•"/>
      <w:lvlJc w:val="left"/>
      <w:pPr>
        <w:ind w:left="6558" w:hanging="140"/>
      </w:pPr>
      <w:rPr>
        <w:rFonts w:hint="default"/>
        <w:lang w:val="en-US" w:eastAsia="en-US" w:bidi="ar-SA"/>
      </w:rPr>
    </w:lvl>
    <w:lvl w:ilvl="8">
      <w:start w:val="0"/>
      <w:numFmt w:val="bullet"/>
      <w:lvlText w:val="•"/>
      <w:lvlJc w:val="left"/>
      <w:pPr>
        <w:ind w:left="7472" w:hanging="140"/>
      </w:pPr>
      <w:rPr>
        <w:rFonts w:hint="default"/>
        <w:lang w:val="en-US" w:eastAsia="en-US" w:bidi="ar-SA"/>
      </w:rPr>
    </w:lvl>
  </w:abstractNum>
  <w:abstractNum w:abstractNumId="73">
    <w:multiLevelType w:val="hybridMultilevel"/>
    <w:lvl w:ilvl="0">
      <w:start w:val="1"/>
      <w:numFmt w:val="decimal"/>
      <w:lvlText w:val="(%1)"/>
      <w:lvlJc w:val="left"/>
      <w:pPr>
        <w:ind w:left="160" w:hanging="38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4"/>
      </w:pPr>
      <w:rPr>
        <w:rFonts w:hint="default"/>
        <w:lang w:val="en-US" w:eastAsia="en-US" w:bidi="ar-SA"/>
      </w:rPr>
    </w:lvl>
    <w:lvl w:ilvl="2">
      <w:start w:val="0"/>
      <w:numFmt w:val="bullet"/>
      <w:lvlText w:val="•"/>
      <w:lvlJc w:val="left"/>
      <w:pPr>
        <w:ind w:left="1988" w:hanging="384"/>
      </w:pPr>
      <w:rPr>
        <w:rFonts w:hint="default"/>
        <w:lang w:val="en-US" w:eastAsia="en-US" w:bidi="ar-SA"/>
      </w:rPr>
    </w:lvl>
    <w:lvl w:ilvl="3">
      <w:start w:val="0"/>
      <w:numFmt w:val="bullet"/>
      <w:lvlText w:val="•"/>
      <w:lvlJc w:val="left"/>
      <w:pPr>
        <w:ind w:left="2902" w:hanging="384"/>
      </w:pPr>
      <w:rPr>
        <w:rFonts w:hint="default"/>
        <w:lang w:val="en-US" w:eastAsia="en-US" w:bidi="ar-SA"/>
      </w:rPr>
    </w:lvl>
    <w:lvl w:ilvl="4">
      <w:start w:val="0"/>
      <w:numFmt w:val="bullet"/>
      <w:lvlText w:val="•"/>
      <w:lvlJc w:val="left"/>
      <w:pPr>
        <w:ind w:left="3816" w:hanging="384"/>
      </w:pPr>
      <w:rPr>
        <w:rFonts w:hint="default"/>
        <w:lang w:val="en-US" w:eastAsia="en-US" w:bidi="ar-SA"/>
      </w:rPr>
    </w:lvl>
    <w:lvl w:ilvl="5">
      <w:start w:val="0"/>
      <w:numFmt w:val="bullet"/>
      <w:lvlText w:val="•"/>
      <w:lvlJc w:val="left"/>
      <w:pPr>
        <w:ind w:left="4730" w:hanging="384"/>
      </w:pPr>
      <w:rPr>
        <w:rFonts w:hint="default"/>
        <w:lang w:val="en-US" w:eastAsia="en-US" w:bidi="ar-SA"/>
      </w:rPr>
    </w:lvl>
    <w:lvl w:ilvl="6">
      <w:start w:val="0"/>
      <w:numFmt w:val="bullet"/>
      <w:lvlText w:val="•"/>
      <w:lvlJc w:val="left"/>
      <w:pPr>
        <w:ind w:left="5644" w:hanging="384"/>
      </w:pPr>
      <w:rPr>
        <w:rFonts w:hint="default"/>
        <w:lang w:val="en-US" w:eastAsia="en-US" w:bidi="ar-SA"/>
      </w:rPr>
    </w:lvl>
    <w:lvl w:ilvl="7">
      <w:start w:val="0"/>
      <w:numFmt w:val="bullet"/>
      <w:lvlText w:val="•"/>
      <w:lvlJc w:val="left"/>
      <w:pPr>
        <w:ind w:left="6558" w:hanging="384"/>
      </w:pPr>
      <w:rPr>
        <w:rFonts w:hint="default"/>
        <w:lang w:val="en-US" w:eastAsia="en-US" w:bidi="ar-SA"/>
      </w:rPr>
    </w:lvl>
    <w:lvl w:ilvl="8">
      <w:start w:val="0"/>
      <w:numFmt w:val="bullet"/>
      <w:lvlText w:val="•"/>
      <w:lvlJc w:val="left"/>
      <w:pPr>
        <w:ind w:left="7472" w:hanging="384"/>
      </w:pPr>
      <w:rPr>
        <w:rFonts w:hint="default"/>
        <w:lang w:val="en-US" w:eastAsia="en-US" w:bidi="ar-SA"/>
      </w:rPr>
    </w:lvl>
  </w:abstractNum>
  <w:abstractNum w:abstractNumId="72">
    <w:multiLevelType w:val="hybridMultilevel"/>
    <w:lvl w:ilvl="0">
      <w:start w:val="4"/>
      <w:numFmt w:val="decimal"/>
      <w:lvlText w:val="%1"/>
      <w:lvlJc w:val="left"/>
      <w:pPr>
        <w:ind w:left="160" w:hanging="492"/>
        <w:jc w:val="left"/>
      </w:pPr>
      <w:rPr>
        <w:rFonts w:hint="default"/>
        <w:lang w:val="en-US" w:eastAsia="en-US" w:bidi="ar-SA"/>
      </w:rPr>
    </w:lvl>
    <w:lvl w:ilvl="1">
      <w:start w:val="1"/>
      <w:numFmt w:val="decimalZero"/>
      <w:lvlText w:val="%1.%2"/>
      <w:lvlJc w:val="left"/>
      <w:pPr>
        <w:ind w:left="160" w:hanging="492"/>
        <w:jc w:val="left"/>
      </w:pPr>
      <w:rPr>
        <w:rFonts w:hint="default"/>
        <w:spacing w:val="-1"/>
        <w:w w:val="100"/>
        <w:lang w:val="en-US" w:eastAsia="en-US" w:bidi="ar-SA"/>
      </w:rPr>
    </w:lvl>
    <w:lvl w:ilvl="2">
      <w:start w:val="0"/>
      <w:numFmt w:val="bullet"/>
      <w:lvlText w:val="•"/>
      <w:lvlJc w:val="left"/>
      <w:pPr>
        <w:ind w:left="1988" w:hanging="492"/>
      </w:pPr>
      <w:rPr>
        <w:rFonts w:hint="default"/>
        <w:lang w:val="en-US" w:eastAsia="en-US" w:bidi="ar-SA"/>
      </w:rPr>
    </w:lvl>
    <w:lvl w:ilvl="3">
      <w:start w:val="0"/>
      <w:numFmt w:val="bullet"/>
      <w:lvlText w:val="•"/>
      <w:lvlJc w:val="left"/>
      <w:pPr>
        <w:ind w:left="2902" w:hanging="492"/>
      </w:pPr>
      <w:rPr>
        <w:rFonts w:hint="default"/>
        <w:lang w:val="en-US" w:eastAsia="en-US" w:bidi="ar-SA"/>
      </w:rPr>
    </w:lvl>
    <w:lvl w:ilvl="4">
      <w:start w:val="0"/>
      <w:numFmt w:val="bullet"/>
      <w:lvlText w:val="•"/>
      <w:lvlJc w:val="left"/>
      <w:pPr>
        <w:ind w:left="3816" w:hanging="492"/>
      </w:pPr>
      <w:rPr>
        <w:rFonts w:hint="default"/>
        <w:lang w:val="en-US" w:eastAsia="en-US" w:bidi="ar-SA"/>
      </w:rPr>
    </w:lvl>
    <w:lvl w:ilvl="5">
      <w:start w:val="0"/>
      <w:numFmt w:val="bullet"/>
      <w:lvlText w:val="•"/>
      <w:lvlJc w:val="left"/>
      <w:pPr>
        <w:ind w:left="4730" w:hanging="492"/>
      </w:pPr>
      <w:rPr>
        <w:rFonts w:hint="default"/>
        <w:lang w:val="en-US" w:eastAsia="en-US" w:bidi="ar-SA"/>
      </w:rPr>
    </w:lvl>
    <w:lvl w:ilvl="6">
      <w:start w:val="0"/>
      <w:numFmt w:val="bullet"/>
      <w:lvlText w:val="•"/>
      <w:lvlJc w:val="left"/>
      <w:pPr>
        <w:ind w:left="5644" w:hanging="492"/>
      </w:pPr>
      <w:rPr>
        <w:rFonts w:hint="default"/>
        <w:lang w:val="en-US" w:eastAsia="en-US" w:bidi="ar-SA"/>
      </w:rPr>
    </w:lvl>
    <w:lvl w:ilvl="7">
      <w:start w:val="0"/>
      <w:numFmt w:val="bullet"/>
      <w:lvlText w:val="•"/>
      <w:lvlJc w:val="left"/>
      <w:pPr>
        <w:ind w:left="6558" w:hanging="492"/>
      </w:pPr>
      <w:rPr>
        <w:rFonts w:hint="default"/>
        <w:lang w:val="en-US" w:eastAsia="en-US" w:bidi="ar-SA"/>
      </w:rPr>
    </w:lvl>
    <w:lvl w:ilvl="8">
      <w:start w:val="0"/>
      <w:numFmt w:val="bullet"/>
      <w:lvlText w:val="•"/>
      <w:lvlJc w:val="left"/>
      <w:pPr>
        <w:ind w:left="7472" w:hanging="492"/>
      </w:pPr>
      <w:rPr>
        <w:rFonts w:hint="default"/>
        <w:lang w:val="en-US" w:eastAsia="en-US" w:bidi="ar-SA"/>
      </w:rPr>
    </w:lvl>
  </w:abstractNum>
  <w:abstractNum w:abstractNumId="71">
    <w:multiLevelType w:val="hybridMultilevel"/>
    <w:lvl w:ilvl="0">
      <w:start w:val="0"/>
      <w:numFmt w:val="bullet"/>
      <w:lvlText w:val="-"/>
      <w:lvlJc w:val="left"/>
      <w:pPr>
        <w:ind w:left="1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40"/>
      </w:pPr>
      <w:rPr>
        <w:rFonts w:hint="default"/>
        <w:lang w:val="en-US" w:eastAsia="en-US" w:bidi="ar-SA"/>
      </w:rPr>
    </w:lvl>
    <w:lvl w:ilvl="2">
      <w:start w:val="0"/>
      <w:numFmt w:val="bullet"/>
      <w:lvlText w:val="•"/>
      <w:lvlJc w:val="left"/>
      <w:pPr>
        <w:ind w:left="1988" w:hanging="140"/>
      </w:pPr>
      <w:rPr>
        <w:rFonts w:hint="default"/>
        <w:lang w:val="en-US" w:eastAsia="en-US" w:bidi="ar-SA"/>
      </w:rPr>
    </w:lvl>
    <w:lvl w:ilvl="3">
      <w:start w:val="0"/>
      <w:numFmt w:val="bullet"/>
      <w:lvlText w:val="•"/>
      <w:lvlJc w:val="left"/>
      <w:pPr>
        <w:ind w:left="2902" w:hanging="140"/>
      </w:pPr>
      <w:rPr>
        <w:rFonts w:hint="default"/>
        <w:lang w:val="en-US" w:eastAsia="en-US" w:bidi="ar-SA"/>
      </w:rPr>
    </w:lvl>
    <w:lvl w:ilvl="4">
      <w:start w:val="0"/>
      <w:numFmt w:val="bullet"/>
      <w:lvlText w:val="•"/>
      <w:lvlJc w:val="left"/>
      <w:pPr>
        <w:ind w:left="3816" w:hanging="140"/>
      </w:pPr>
      <w:rPr>
        <w:rFonts w:hint="default"/>
        <w:lang w:val="en-US" w:eastAsia="en-US" w:bidi="ar-SA"/>
      </w:rPr>
    </w:lvl>
    <w:lvl w:ilvl="5">
      <w:start w:val="0"/>
      <w:numFmt w:val="bullet"/>
      <w:lvlText w:val="•"/>
      <w:lvlJc w:val="left"/>
      <w:pPr>
        <w:ind w:left="4730" w:hanging="140"/>
      </w:pPr>
      <w:rPr>
        <w:rFonts w:hint="default"/>
        <w:lang w:val="en-US" w:eastAsia="en-US" w:bidi="ar-SA"/>
      </w:rPr>
    </w:lvl>
    <w:lvl w:ilvl="6">
      <w:start w:val="0"/>
      <w:numFmt w:val="bullet"/>
      <w:lvlText w:val="•"/>
      <w:lvlJc w:val="left"/>
      <w:pPr>
        <w:ind w:left="5644" w:hanging="140"/>
      </w:pPr>
      <w:rPr>
        <w:rFonts w:hint="default"/>
        <w:lang w:val="en-US" w:eastAsia="en-US" w:bidi="ar-SA"/>
      </w:rPr>
    </w:lvl>
    <w:lvl w:ilvl="7">
      <w:start w:val="0"/>
      <w:numFmt w:val="bullet"/>
      <w:lvlText w:val="•"/>
      <w:lvlJc w:val="left"/>
      <w:pPr>
        <w:ind w:left="6558" w:hanging="140"/>
      </w:pPr>
      <w:rPr>
        <w:rFonts w:hint="default"/>
        <w:lang w:val="en-US" w:eastAsia="en-US" w:bidi="ar-SA"/>
      </w:rPr>
    </w:lvl>
    <w:lvl w:ilvl="8">
      <w:start w:val="0"/>
      <w:numFmt w:val="bullet"/>
      <w:lvlText w:val="•"/>
      <w:lvlJc w:val="left"/>
      <w:pPr>
        <w:ind w:left="7472" w:hanging="140"/>
      </w:pPr>
      <w:rPr>
        <w:rFonts w:hint="default"/>
        <w:lang w:val="en-US" w:eastAsia="en-US" w:bidi="ar-SA"/>
      </w:rPr>
    </w:lvl>
  </w:abstractNum>
  <w:abstractNum w:abstractNumId="70">
    <w:multiLevelType w:val="hybridMultilevel"/>
    <w:lvl w:ilvl="0">
      <w:start w:val="7"/>
      <w:numFmt w:val="decimal"/>
      <w:lvlText w:val="(%1)"/>
      <w:lvlJc w:val="left"/>
      <w:pPr>
        <w:ind w:left="160"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6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64"/>
      </w:pPr>
      <w:rPr>
        <w:rFonts w:hint="default"/>
        <w:lang w:val="en-US" w:eastAsia="en-US" w:bidi="ar-SA"/>
      </w:rPr>
    </w:lvl>
    <w:lvl w:ilvl="3">
      <w:start w:val="0"/>
      <w:numFmt w:val="bullet"/>
      <w:lvlText w:val="•"/>
      <w:lvlJc w:val="left"/>
      <w:pPr>
        <w:ind w:left="2902" w:hanging="364"/>
      </w:pPr>
      <w:rPr>
        <w:rFonts w:hint="default"/>
        <w:lang w:val="en-US" w:eastAsia="en-US" w:bidi="ar-SA"/>
      </w:rPr>
    </w:lvl>
    <w:lvl w:ilvl="4">
      <w:start w:val="0"/>
      <w:numFmt w:val="bullet"/>
      <w:lvlText w:val="•"/>
      <w:lvlJc w:val="left"/>
      <w:pPr>
        <w:ind w:left="3816" w:hanging="364"/>
      </w:pPr>
      <w:rPr>
        <w:rFonts w:hint="default"/>
        <w:lang w:val="en-US" w:eastAsia="en-US" w:bidi="ar-SA"/>
      </w:rPr>
    </w:lvl>
    <w:lvl w:ilvl="5">
      <w:start w:val="0"/>
      <w:numFmt w:val="bullet"/>
      <w:lvlText w:val="•"/>
      <w:lvlJc w:val="left"/>
      <w:pPr>
        <w:ind w:left="4730" w:hanging="364"/>
      </w:pPr>
      <w:rPr>
        <w:rFonts w:hint="default"/>
        <w:lang w:val="en-US" w:eastAsia="en-US" w:bidi="ar-SA"/>
      </w:rPr>
    </w:lvl>
    <w:lvl w:ilvl="6">
      <w:start w:val="0"/>
      <w:numFmt w:val="bullet"/>
      <w:lvlText w:val="•"/>
      <w:lvlJc w:val="left"/>
      <w:pPr>
        <w:ind w:left="5644" w:hanging="364"/>
      </w:pPr>
      <w:rPr>
        <w:rFonts w:hint="default"/>
        <w:lang w:val="en-US" w:eastAsia="en-US" w:bidi="ar-SA"/>
      </w:rPr>
    </w:lvl>
    <w:lvl w:ilvl="7">
      <w:start w:val="0"/>
      <w:numFmt w:val="bullet"/>
      <w:lvlText w:val="•"/>
      <w:lvlJc w:val="left"/>
      <w:pPr>
        <w:ind w:left="6558" w:hanging="364"/>
      </w:pPr>
      <w:rPr>
        <w:rFonts w:hint="default"/>
        <w:lang w:val="en-US" w:eastAsia="en-US" w:bidi="ar-SA"/>
      </w:rPr>
    </w:lvl>
    <w:lvl w:ilvl="8">
      <w:start w:val="0"/>
      <w:numFmt w:val="bullet"/>
      <w:lvlText w:val="•"/>
      <w:lvlJc w:val="left"/>
      <w:pPr>
        <w:ind w:left="7472" w:hanging="364"/>
      </w:pPr>
      <w:rPr>
        <w:rFonts w:hint="default"/>
        <w:lang w:val="en-US" w:eastAsia="en-US" w:bidi="ar-SA"/>
      </w:rPr>
    </w:lvl>
  </w:abstractNum>
  <w:abstractNum w:abstractNumId="69">
    <w:multiLevelType w:val="hybridMultilevel"/>
    <w:lvl w:ilvl="0">
      <w:start w:val="2"/>
      <w:numFmt w:val="decimal"/>
      <w:lvlText w:val="(%1)"/>
      <w:lvlJc w:val="left"/>
      <w:pPr>
        <w:ind w:left="160" w:hanging="42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23"/>
      </w:pPr>
      <w:rPr>
        <w:rFonts w:hint="default"/>
        <w:lang w:val="en-US" w:eastAsia="en-US" w:bidi="ar-SA"/>
      </w:rPr>
    </w:lvl>
    <w:lvl w:ilvl="2">
      <w:start w:val="0"/>
      <w:numFmt w:val="bullet"/>
      <w:lvlText w:val="•"/>
      <w:lvlJc w:val="left"/>
      <w:pPr>
        <w:ind w:left="1988" w:hanging="423"/>
      </w:pPr>
      <w:rPr>
        <w:rFonts w:hint="default"/>
        <w:lang w:val="en-US" w:eastAsia="en-US" w:bidi="ar-SA"/>
      </w:rPr>
    </w:lvl>
    <w:lvl w:ilvl="3">
      <w:start w:val="0"/>
      <w:numFmt w:val="bullet"/>
      <w:lvlText w:val="•"/>
      <w:lvlJc w:val="left"/>
      <w:pPr>
        <w:ind w:left="2902" w:hanging="423"/>
      </w:pPr>
      <w:rPr>
        <w:rFonts w:hint="default"/>
        <w:lang w:val="en-US" w:eastAsia="en-US" w:bidi="ar-SA"/>
      </w:rPr>
    </w:lvl>
    <w:lvl w:ilvl="4">
      <w:start w:val="0"/>
      <w:numFmt w:val="bullet"/>
      <w:lvlText w:val="•"/>
      <w:lvlJc w:val="left"/>
      <w:pPr>
        <w:ind w:left="3816" w:hanging="423"/>
      </w:pPr>
      <w:rPr>
        <w:rFonts w:hint="default"/>
        <w:lang w:val="en-US" w:eastAsia="en-US" w:bidi="ar-SA"/>
      </w:rPr>
    </w:lvl>
    <w:lvl w:ilvl="5">
      <w:start w:val="0"/>
      <w:numFmt w:val="bullet"/>
      <w:lvlText w:val="•"/>
      <w:lvlJc w:val="left"/>
      <w:pPr>
        <w:ind w:left="4730" w:hanging="423"/>
      </w:pPr>
      <w:rPr>
        <w:rFonts w:hint="default"/>
        <w:lang w:val="en-US" w:eastAsia="en-US" w:bidi="ar-SA"/>
      </w:rPr>
    </w:lvl>
    <w:lvl w:ilvl="6">
      <w:start w:val="0"/>
      <w:numFmt w:val="bullet"/>
      <w:lvlText w:val="•"/>
      <w:lvlJc w:val="left"/>
      <w:pPr>
        <w:ind w:left="5644" w:hanging="423"/>
      </w:pPr>
      <w:rPr>
        <w:rFonts w:hint="default"/>
        <w:lang w:val="en-US" w:eastAsia="en-US" w:bidi="ar-SA"/>
      </w:rPr>
    </w:lvl>
    <w:lvl w:ilvl="7">
      <w:start w:val="0"/>
      <w:numFmt w:val="bullet"/>
      <w:lvlText w:val="•"/>
      <w:lvlJc w:val="left"/>
      <w:pPr>
        <w:ind w:left="6558" w:hanging="423"/>
      </w:pPr>
      <w:rPr>
        <w:rFonts w:hint="default"/>
        <w:lang w:val="en-US" w:eastAsia="en-US" w:bidi="ar-SA"/>
      </w:rPr>
    </w:lvl>
    <w:lvl w:ilvl="8">
      <w:start w:val="0"/>
      <w:numFmt w:val="bullet"/>
      <w:lvlText w:val="•"/>
      <w:lvlJc w:val="left"/>
      <w:pPr>
        <w:ind w:left="7472" w:hanging="423"/>
      </w:pPr>
      <w:rPr>
        <w:rFonts w:hint="default"/>
        <w:lang w:val="en-US" w:eastAsia="en-US" w:bidi="ar-SA"/>
      </w:rPr>
    </w:lvl>
  </w:abstractNum>
  <w:abstractNum w:abstractNumId="68">
    <w:multiLevelType w:val="hybridMultilevel"/>
    <w:lvl w:ilvl="0">
      <w:start w:val="2"/>
      <w:numFmt w:val="decimal"/>
      <w:lvlText w:val="(%1)"/>
      <w:lvlJc w:val="left"/>
      <w:pPr>
        <w:ind w:left="160" w:hanging="34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6"/>
      </w:pPr>
      <w:rPr>
        <w:rFonts w:hint="default"/>
        <w:lang w:val="en-US" w:eastAsia="en-US" w:bidi="ar-SA"/>
      </w:rPr>
    </w:lvl>
    <w:lvl w:ilvl="2">
      <w:start w:val="0"/>
      <w:numFmt w:val="bullet"/>
      <w:lvlText w:val="•"/>
      <w:lvlJc w:val="left"/>
      <w:pPr>
        <w:ind w:left="1988" w:hanging="346"/>
      </w:pPr>
      <w:rPr>
        <w:rFonts w:hint="default"/>
        <w:lang w:val="en-US" w:eastAsia="en-US" w:bidi="ar-SA"/>
      </w:rPr>
    </w:lvl>
    <w:lvl w:ilvl="3">
      <w:start w:val="0"/>
      <w:numFmt w:val="bullet"/>
      <w:lvlText w:val="•"/>
      <w:lvlJc w:val="left"/>
      <w:pPr>
        <w:ind w:left="2902" w:hanging="346"/>
      </w:pPr>
      <w:rPr>
        <w:rFonts w:hint="default"/>
        <w:lang w:val="en-US" w:eastAsia="en-US" w:bidi="ar-SA"/>
      </w:rPr>
    </w:lvl>
    <w:lvl w:ilvl="4">
      <w:start w:val="0"/>
      <w:numFmt w:val="bullet"/>
      <w:lvlText w:val="•"/>
      <w:lvlJc w:val="left"/>
      <w:pPr>
        <w:ind w:left="3816" w:hanging="346"/>
      </w:pPr>
      <w:rPr>
        <w:rFonts w:hint="default"/>
        <w:lang w:val="en-US" w:eastAsia="en-US" w:bidi="ar-SA"/>
      </w:rPr>
    </w:lvl>
    <w:lvl w:ilvl="5">
      <w:start w:val="0"/>
      <w:numFmt w:val="bullet"/>
      <w:lvlText w:val="•"/>
      <w:lvlJc w:val="left"/>
      <w:pPr>
        <w:ind w:left="4730" w:hanging="346"/>
      </w:pPr>
      <w:rPr>
        <w:rFonts w:hint="default"/>
        <w:lang w:val="en-US" w:eastAsia="en-US" w:bidi="ar-SA"/>
      </w:rPr>
    </w:lvl>
    <w:lvl w:ilvl="6">
      <w:start w:val="0"/>
      <w:numFmt w:val="bullet"/>
      <w:lvlText w:val="•"/>
      <w:lvlJc w:val="left"/>
      <w:pPr>
        <w:ind w:left="5644" w:hanging="346"/>
      </w:pPr>
      <w:rPr>
        <w:rFonts w:hint="default"/>
        <w:lang w:val="en-US" w:eastAsia="en-US" w:bidi="ar-SA"/>
      </w:rPr>
    </w:lvl>
    <w:lvl w:ilvl="7">
      <w:start w:val="0"/>
      <w:numFmt w:val="bullet"/>
      <w:lvlText w:val="•"/>
      <w:lvlJc w:val="left"/>
      <w:pPr>
        <w:ind w:left="6558" w:hanging="346"/>
      </w:pPr>
      <w:rPr>
        <w:rFonts w:hint="default"/>
        <w:lang w:val="en-US" w:eastAsia="en-US" w:bidi="ar-SA"/>
      </w:rPr>
    </w:lvl>
    <w:lvl w:ilvl="8">
      <w:start w:val="0"/>
      <w:numFmt w:val="bullet"/>
      <w:lvlText w:val="•"/>
      <w:lvlJc w:val="left"/>
      <w:pPr>
        <w:ind w:left="7472" w:hanging="346"/>
      </w:pPr>
      <w:rPr>
        <w:rFonts w:hint="default"/>
        <w:lang w:val="en-US" w:eastAsia="en-US" w:bidi="ar-SA"/>
      </w:rPr>
    </w:lvl>
  </w:abstractNum>
  <w:abstractNum w:abstractNumId="67">
    <w:multiLevelType w:val="hybridMultilevel"/>
    <w:lvl w:ilvl="0">
      <w:start w:val="2"/>
      <w:numFmt w:val="decimal"/>
      <w:lvlText w:val="(%1)"/>
      <w:lvlJc w:val="left"/>
      <w:pPr>
        <w:ind w:left="160" w:hanging="34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6"/>
      </w:pPr>
      <w:rPr>
        <w:rFonts w:hint="default"/>
        <w:lang w:val="en-US" w:eastAsia="en-US" w:bidi="ar-SA"/>
      </w:rPr>
    </w:lvl>
    <w:lvl w:ilvl="2">
      <w:start w:val="0"/>
      <w:numFmt w:val="bullet"/>
      <w:lvlText w:val="•"/>
      <w:lvlJc w:val="left"/>
      <w:pPr>
        <w:ind w:left="1988" w:hanging="346"/>
      </w:pPr>
      <w:rPr>
        <w:rFonts w:hint="default"/>
        <w:lang w:val="en-US" w:eastAsia="en-US" w:bidi="ar-SA"/>
      </w:rPr>
    </w:lvl>
    <w:lvl w:ilvl="3">
      <w:start w:val="0"/>
      <w:numFmt w:val="bullet"/>
      <w:lvlText w:val="•"/>
      <w:lvlJc w:val="left"/>
      <w:pPr>
        <w:ind w:left="2902" w:hanging="346"/>
      </w:pPr>
      <w:rPr>
        <w:rFonts w:hint="default"/>
        <w:lang w:val="en-US" w:eastAsia="en-US" w:bidi="ar-SA"/>
      </w:rPr>
    </w:lvl>
    <w:lvl w:ilvl="4">
      <w:start w:val="0"/>
      <w:numFmt w:val="bullet"/>
      <w:lvlText w:val="•"/>
      <w:lvlJc w:val="left"/>
      <w:pPr>
        <w:ind w:left="3816" w:hanging="346"/>
      </w:pPr>
      <w:rPr>
        <w:rFonts w:hint="default"/>
        <w:lang w:val="en-US" w:eastAsia="en-US" w:bidi="ar-SA"/>
      </w:rPr>
    </w:lvl>
    <w:lvl w:ilvl="5">
      <w:start w:val="0"/>
      <w:numFmt w:val="bullet"/>
      <w:lvlText w:val="•"/>
      <w:lvlJc w:val="left"/>
      <w:pPr>
        <w:ind w:left="4730" w:hanging="346"/>
      </w:pPr>
      <w:rPr>
        <w:rFonts w:hint="default"/>
        <w:lang w:val="en-US" w:eastAsia="en-US" w:bidi="ar-SA"/>
      </w:rPr>
    </w:lvl>
    <w:lvl w:ilvl="6">
      <w:start w:val="0"/>
      <w:numFmt w:val="bullet"/>
      <w:lvlText w:val="•"/>
      <w:lvlJc w:val="left"/>
      <w:pPr>
        <w:ind w:left="5644" w:hanging="346"/>
      </w:pPr>
      <w:rPr>
        <w:rFonts w:hint="default"/>
        <w:lang w:val="en-US" w:eastAsia="en-US" w:bidi="ar-SA"/>
      </w:rPr>
    </w:lvl>
    <w:lvl w:ilvl="7">
      <w:start w:val="0"/>
      <w:numFmt w:val="bullet"/>
      <w:lvlText w:val="•"/>
      <w:lvlJc w:val="left"/>
      <w:pPr>
        <w:ind w:left="6558" w:hanging="346"/>
      </w:pPr>
      <w:rPr>
        <w:rFonts w:hint="default"/>
        <w:lang w:val="en-US" w:eastAsia="en-US" w:bidi="ar-SA"/>
      </w:rPr>
    </w:lvl>
    <w:lvl w:ilvl="8">
      <w:start w:val="0"/>
      <w:numFmt w:val="bullet"/>
      <w:lvlText w:val="•"/>
      <w:lvlJc w:val="left"/>
      <w:pPr>
        <w:ind w:left="7472" w:hanging="346"/>
      </w:pPr>
      <w:rPr>
        <w:rFonts w:hint="default"/>
        <w:lang w:val="en-US" w:eastAsia="en-US" w:bidi="ar-SA"/>
      </w:rPr>
    </w:lvl>
  </w:abstractNum>
  <w:abstractNum w:abstractNumId="66">
    <w:multiLevelType w:val="hybridMultilevel"/>
    <w:lvl w:ilvl="0">
      <w:start w:val="2"/>
      <w:numFmt w:val="decimal"/>
      <w:lvlText w:val="(%1)"/>
      <w:lvlJc w:val="left"/>
      <w:pPr>
        <w:ind w:left="160" w:hanging="377"/>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7"/>
      </w:pPr>
      <w:rPr>
        <w:rFonts w:hint="default"/>
        <w:lang w:val="en-US" w:eastAsia="en-US" w:bidi="ar-SA"/>
      </w:rPr>
    </w:lvl>
    <w:lvl w:ilvl="2">
      <w:start w:val="0"/>
      <w:numFmt w:val="bullet"/>
      <w:lvlText w:val="•"/>
      <w:lvlJc w:val="left"/>
      <w:pPr>
        <w:ind w:left="1988" w:hanging="377"/>
      </w:pPr>
      <w:rPr>
        <w:rFonts w:hint="default"/>
        <w:lang w:val="en-US" w:eastAsia="en-US" w:bidi="ar-SA"/>
      </w:rPr>
    </w:lvl>
    <w:lvl w:ilvl="3">
      <w:start w:val="0"/>
      <w:numFmt w:val="bullet"/>
      <w:lvlText w:val="•"/>
      <w:lvlJc w:val="left"/>
      <w:pPr>
        <w:ind w:left="2902" w:hanging="377"/>
      </w:pPr>
      <w:rPr>
        <w:rFonts w:hint="default"/>
        <w:lang w:val="en-US" w:eastAsia="en-US" w:bidi="ar-SA"/>
      </w:rPr>
    </w:lvl>
    <w:lvl w:ilvl="4">
      <w:start w:val="0"/>
      <w:numFmt w:val="bullet"/>
      <w:lvlText w:val="•"/>
      <w:lvlJc w:val="left"/>
      <w:pPr>
        <w:ind w:left="3816" w:hanging="377"/>
      </w:pPr>
      <w:rPr>
        <w:rFonts w:hint="default"/>
        <w:lang w:val="en-US" w:eastAsia="en-US" w:bidi="ar-SA"/>
      </w:rPr>
    </w:lvl>
    <w:lvl w:ilvl="5">
      <w:start w:val="0"/>
      <w:numFmt w:val="bullet"/>
      <w:lvlText w:val="•"/>
      <w:lvlJc w:val="left"/>
      <w:pPr>
        <w:ind w:left="4730" w:hanging="377"/>
      </w:pPr>
      <w:rPr>
        <w:rFonts w:hint="default"/>
        <w:lang w:val="en-US" w:eastAsia="en-US" w:bidi="ar-SA"/>
      </w:rPr>
    </w:lvl>
    <w:lvl w:ilvl="6">
      <w:start w:val="0"/>
      <w:numFmt w:val="bullet"/>
      <w:lvlText w:val="•"/>
      <w:lvlJc w:val="left"/>
      <w:pPr>
        <w:ind w:left="5644" w:hanging="377"/>
      </w:pPr>
      <w:rPr>
        <w:rFonts w:hint="default"/>
        <w:lang w:val="en-US" w:eastAsia="en-US" w:bidi="ar-SA"/>
      </w:rPr>
    </w:lvl>
    <w:lvl w:ilvl="7">
      <w:start w:val="0"/>
      <w:numFmt w:val="bullet"/>
      <w:lvlText w:val="•"/>
      <w:lvlJc w:val="left"/>
      <w:pPr>
        <w:ind w:left="6558" w:hanging="377"/>
      </w:pPr>
      <w:rPr>
        <w:rFonts w:hint="default"/>
        <w:lang w:val="en-US" w:eastAsia="en-US" w:bidi="ar-SA"/>
      </w:rPr>
    </w:lvl>
    <w:lvl w:ilvl="8">
      <w:start w:val="0"/>
      <w:numFmt w:val="bullet"/>
      <w:lvlText w:val="•"/>
      <w:lvlJc w:val="left"/>
      <w:pPr>
        <w:ind w:left="7472" w:hanging="377"/>
      </w:pPr>
      <w:rPr>
        <w:rFonts w:hint="default"/>
        <w:lang w:val="en-US" w:eastAsia="en-US" w:bidi="ar-SA"/>
      </w:rPr>
    </w:lvl>
  </w:abstractNum>
  <w:abstractNum w:abstractNumId="65">
    <w:multiLevelType w:val="hybridMultilevel"/>
    <w:lvl w:ilvl="0">
      <w:start w:val="2"/>
      <w:numFmt w:val="lowerLetter"/>
      <w:lvlText w:val="(%1)"/>
      <w:lvlJc w:val="left"/>
      <w:pPr>
        <w:ind w:left="160"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4"/>
      </w:pPr>
      <w:rPr>
        <w:rFonts w:hint="default"/>
        <w:lang w:val="en-US" w:eastAsia="en-US" w:bidi="ar-SA"/>
      </w:rPr>
    </w:lvl>
    <w:lvl w:ilvl="2">
      <w:start w:val="0"/>
      <w:numFmt w:val="bullet"/>
      <w:lvlText w:val="•"/>
      <w:lvlJc w:val="left"/>
      <w:pPr>
        <w:ind w:left="1988" w:hanging="354"/>
      </w:pPr>
      <w:rPr>
        <w:rFonts w:hint="default"/>
        <w:lang w:val="en-US" w:eastAsia="en-US" w:bidi="ar-SA"/>
      </w:rPr>
    </w:lvl>
    <w:lvl w:ilvl="3">
      <w:start w:val="0"/>
      <w:numFmt w:val="bullet"/>
      <w:lvlText w:val="•"/>
      <w:lvlJc w:val="left"/>
      <w:pPr>
        <w:ind w:left="2902" w:hanging="354"/>
      </w:pPr>
      <w:rPr>
        <w:rFonts w:hint="default"/>
        <w:lang w:val="en-US" w:eastAsia="en-US" w:bidi="ar-SA"/>
      </w:rPr>
    </w:lvl>
    <w:lvl w:ilvl="4">
      <w:start w:val="0"/>
      <w:numFmt w:val="bullet"/>
      <w:lvlText w:val="•"/>
      <w:lvlJc w:val="left"/>
      <w:pPr>
        <w:ind w:left="3816" w:hanging="354"/>
      </w:pPr>
      <w:rPr>
        <w:rFonts w:hint="default"/>
        <w:lang w:val="en-US" w:eastAsia="en-US" w:bidi="ar-SA"/>
      </w:rPr>
    </w:lvl>
    <w:lvl w:ilvl="5">
      <w:start w:val="0"/>
      <w:numFmt w:val="bullet"/>
      <w:lvlText w:val="•"/>
      <w:lvlJc w:val="left"/>
      <w:pPr>
        <w:ind w:left="4730" w:hanging="354"/>
      </w:pPr>
      <w:rPr>
        <w:rFonts w:hint="default"/>
        <w:lang w:val="en-US" w:eastAsia="en-US" w:bidi="ar-SA"/>
      </w:rPr>
    </w:lvl>
    <w:lvl w:ilvl="6">
      <w:start w:val="0"/>
      <w:numFmt w:val="bullet"/>
      <w:lvlText w:val="•"/>
      <w:lvlJc w:val="left"/>
      <w:pPr>
        <w:ind w:left="5644" w:hanging="354"/>
      </w:pPr>
      <w:rPr>
        <w:rFonts w:hint="default"/>
        <w:lang w:val="en-US" w:eastAsia="en-US" w:bidi="ar-SA"/>
      </w:rPr>
    </w:lvl>
    <w:lvl w:ilvl="7">
      <w:start w:val="0"/>
      <w:numFmt w:val="bullet"/>
      <w:lvlText w:val="•"/>
      <w:lvlJc w:val="left"/>
      <w:pPr>
        <w:ind w:left="6558" w:hanging="354"/>
      </w:pPr>
      <w:rPr>
        <w:rFonts w:hint="default"/>
        <w:lang w:val="en-US" w:eastAsia="en-US" w:bidi="ar-SA"/>
      </w:rPr>
    </w:lvl>
    <w:lvl w:ilvl="8">
      <w:start w:val="0"/>
      <w:numFmt w:val="bullet"/>
      <w:lvlText w:val="•"/>
      <w:lvlJc w:val="left"/>
      <w:pPr>
        <w:ind w:left="7472" w:hanging="354"/>
      </w:pPr>
      <w:rPr>
        <w:rFonts w:hint="default"/>
        <w:lang w:val="en-US" w:eastAsia="en-US" w:bidi="ar-SA"/>
      </w:rPr>
    </w:lvl>
  </w:abstractNum>
  <w:abstractNum w:abstractNumId="64">
    <w:multiLevelType w:val="hybridMultilevel"/>
    <w:lvl w:ilvl="0">
      <w:start w:val="1"/>
      <w:numFmt w:val="decimal"/>
      <w:lvlText w:val="(%1)"/>
      <w:lvlJc w:val="left"/>
      <w:pPr>
        <w:ind w:left="560" w:hanging="34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434" w:hanging="341"/>
      </w:pPr>
      <w:rPr>
        <w:rFonts w:hint="default"/>
        <w:lang w:val="en-US" w:eastAsia="en-US" w:bidi="ar-SA"/>
      </w:rPr>
    </w:lvl>
    <w:lvl w:ilvl="2">
      <w:start w:val="0"/>
      <w:numFmt w:val="bullet"/>
      <w:lvlText w:val="•"/>
      <w:lvlJc w:val="left"/>
      <w:pPr>
        <w:ind w:left="2308" w:hanging="341"/>
      </w:pPr>
      <w:rPr>
        <w:rFonts w:hint="default"/>
        <w:lang w:val="en-US" w:eastAsia="en-US" w:bidi="ar-SA"/>
      </w:rPr>
    </w:lvl>
    <w:lvl w:ilvl="3">
      <w:start w:val="0"/>
      <w:numFmt w:val="bullet"/>
      <w:lvlText w:val="•"/>
      <w:lvlJc w:val="left"/>
      <w:pPr>
        <w:ind w:left="3182" w:hanging="341"/>
      </w:pPr>
      <w:rPr>
        <w:rFonts w:hint="default"/>
        <w:lang w:val="en-US" w:eastAsia="en-US" w:bidi="ar-SA"/>
      </w:rPr>
    </w:lvl>
    <w:lvl w:ilvl="4">
      <w:start w:val="0"/>
      <w:numFmt w:val="bullet"/>
      <w:lvlText w:val="•"/>
      <w:lvlJc w:val="left"/>
      <w:pPr>
        <w:ind w:left="4056" w:hanging="341"/>
      </w:pPr>
      <w:rPr>
        <w:rFonts w:hint="default"/>
        <w:lang w:val="en-US" w:eastAsia="en-US" w:bidi="ar-SA"/>
      </w:rPr>
    </w:lvl>
    <w:lvl w:ilvl="5">
      <w:start w:val="0"/>
      <w:numFmt w:val="bullet"/>
      <w:lvlText w:val="•"/>
      <w:lvlJc w:val="left"/>
      <w:pPr>
        <w:ind w:left="4930" w:hanging="341"/>
      </w:pPr>
      <w:rPr>
        <w:rFonts w:hint="default"/>
        <w:lang w:val="en-US" w:eastAsia="en-US" w:bidi="ar-SA"/>
      </w:rPr>
    </w:lvl>
    <w:lvl w:ilvl="6">
      <w:start w:val="0"/>
      <w:numFmt w:val="bullet"/>
      <w:lvlText w:val="•"/>
      <w:lvlJc w:val="left"/>
      <w:pPr>
        <w:ind w:left="5804" w:hanging="341"/>
      </w:pPr>
      <w:rPr>
        <w:rFonts w:hint="default"/>
        <w:lang w:val="en-US" w:eastAsia="en-US" w:bidi="ar-SA"/>
      </w:rPr>
    </w:lvl>
    <w:lvl w:ilvl="7">
      <w:start w:val="0"/>
      <w:numFmt w:val="bullet"/>
      <w:lvlText w:val="•"/>
      <w:lvlJc w:val="left"/>
      <w:pPr>
        <w:ind w:left="6678" w:hanging="341"/>
      </w:pPr>
      <w:rPr>
        <w:rFonts w:hint="default"/>
        <w:lang w:val="en-US" w:eastAsia="en-US" w:bidi="ar-SA"/>
      </w:rPr>
    </w:lvl>
    <w:lvl w:ilvl="8">
      <w:start w:val="0"/>
      <w:numFmt w:val="bullet"/>
      <w:lvlText w:val="•"/>
      <w:lvlJc w:val="left"/>
      <w:pPr>
        <w:ind w:left="7552" w:hanging="341"/>
      </w:pPr>
      <w:rPr>
        <w:rFonts w:hint="default"/>
        <w:lang w:val="en-US" w:eastAsia="en-US" w:bidi="ar-SA"/>
      </w:rPr>
    </w:lvl>
  </w:abstractNum>
  <w:abstractNum w:abstractNumId="63">
    <w:multiLevelType w:val="hybridMultilevel"/>
    <w:lvl w:ilvl="0">
      <w:start w:val="1"/>
      <w:numFmt w:val="decimal"/>
      <w:lvlText w:val="(%1)"/>
      <w:lvlJc w:val="left"/>
      <w:pPr>
        <w:ind w:left="160" w:hanging="36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8"/>
      </w:pPr>
      <w:rPr>
        <w:rFonts w:hint="default"/>
        <w:lang w:val="en-US" w:eastAsia="en-US" w:bidi="ar-SA"/>
      </w:rPr>
    </w:lvl>
    <w:lvl w:ilvl="2">
      <w:start w:val="0"/>
      <w:numFmt w:val="bullet"/>
      <w:lvlText w:val="•"/>
      <w:lvlJc w:val="left"/>
      <w:pPr>
        <w:ind w:left="1988" w:hanging="368"/>
      </w:pPr>
      <w:rPr>
        <w:rFonts w:hint="default"/>
        <w:lang w:val="en-US" w:eastAsia="en-US" w:bidi="ar-SA"/>
      </w:rPr>
    </w:lvl>
    <w:lvl w:ilvl="3">
      <w:start w:val="0"/>
      <w:numFmt w:val="bullet"/>
      <w:lvlText w:val="•"/>
      <w:lvlJc w:val="left"/>
      <w:pPr>
        <w:ind w:left="2902" w:hanging="368"/>
      </w:pPr>
      <w:rPr>
        <w:rFonts w:hint="default"/>
        <w:lang w:val="en-US" w:eastAsia="en-US" w:bidi="ar-SA"/>
      </w:rPr>
    </w:lvl>
    <w:lvl w:ilvl="4">
      <w:start w:val="0"/>
      <w:numFmt w:val="bullet"/>
      <w:lvlText w:val="•"/>
      <w:lvlJc w:val="left"/>
      <w:pPr>
        <w:ind w:left="3816" w:hanging="368"/>
      </w:pPr>
      <w:rPr>
        <w:rFonts w:hint="default"/>
        <w:lang w:val="en-US" w:eastAsia="en-US" w:bidi="ar-SA"/>
      </w:rPr>
    </w:lvl>
    <w:lvl w:ilvl="5">
      <w:start w:val="0"/>
      <w:numFmt w:val="bullet"/>
      <w:lvlText w:val="•"/>
      <w:lvlJc w:val="left"/>
      <w:pPr>
        <w:ind w:left="4730" w:hanging="368"/>
      </w:pPr>
      <w:rPr>
        <w:rFonts w:hint="default"/>
        <w:lang w:val="en-US" w:eastAsia="en-US" w:bidi="ar-SA"/>
      </w:rPr>
    </w:lvl>
    <w:lvl w:ilvl="6">
      <w:start w:val="0"/>
      <w:numFmt w:val="bullet"/>
      <w:lvlText w:val="•"/>
      <w:lvlJc w:val="left"/>
      <w:pPr>
        <w:ind w:left="5644" w:hanging="368"/>
      </w:pPr>
      <w:rPr>
        <w:rFonts w:hint="default"/>
        <w:lang w:val="en-US" w:eastAsia="en-US" w:bidi="ar-SA"/>
      </w:rPr>
    </w:lvl>
    <w:lvl w:ilvl="7">
      <w:start w:val="0"/>
      <w:numFmt w:val="bullet"/>
      <w:lvlText w:val="•"/>
      <w:lvlJc w:val="left"/>
      <w:pPr>
        <w:ind w:left="6558" w:hanging="368"/>
      </w:pPr>
      <w:rPr>
        <w:rFonts w:hint="default"/>
        <w:lang w:val="en-US" w:eastAsia="en-US" w:bidi="ar-SA"/>
      </w:rPr>
    </w:lvl>
    <w:lvl w:ilvl="8">
      <w:start w:val="0"/>
      <w:numFmt w:val="bullet"/>
      <w:lvlText w:val="•"/>
      <w:lvlJc w:val="left"/>
      <w:pPr>
        <w:ind w:left="7472" w:hanging="368"/>
      </w:pPr>
      <w:rPr>
        <w:rFonts w:hint="default"/>
        <w:lang w:val="en-US" w:eastAsia="en-US" w:bidi="ar-SA"/>
      </w:rPr>
    </w:lvl>
  </w:abstractNum>
  <w:abstractNum w:abstractNumId="62">
    <w:multiLevelType w:val="hybridMultilevel"/>
    <w:lvl w:ilvl="0">
      <w:start w:val="1"/>
      <w:numFmt w:val="decimal"/>
      <w:lvlText w:val="%1"/>
      <w:lvlJc w:val="left"/>
      <w:pPr>
        <w:ind w:left="160" w:hanging="250"/>
        <w:jc w:val="left"/>
      </w:pPr>
      <w:rPr>
        <w:rFonts w:hint="default"/>
        <w:spacing w:val="0"/>
        <w:w w:val="100"/>
        <w:lang w:val="en-US" w:eastAsia="en-US" w:bidi="ar-SA"/>
      </w:rPr>
    </w:lvl>
    <w:lvl w:ilvl="1">
      <w:start w:val="1"/>
      <w:numFmt w:val="decimal"/>
      <w:lvlText w:val="(%2)"/>
      <w:lvlJc w:val="left"/>
      <w:pPr>
        <w:ind w:left="160" w:hanging="34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49"/>
      </w:pPr>
      <w:rPr>
        <w:rFonts w:hint="default"/>
        <w:lang w:val="en-US" w:eastAsia="en-US" w:bidi="ar-SA"/>
      </w:rPr>
    </w:lvl>
    <w:lvl w:ilvl="3">
      <w:start w:val="0"/>
      <w:numFmt w:val="bullet"/>
      <w:lvlText w:val="•"/>
      <w:lvlJc w:val="left"/>
      <w:pPr>
        <w:ind w:left="2902" w:hanging="349"/>
      </w:pPr>
      <w:rPr>
        <w:rFonts w:hint="default"/>
        <w:lang w:val="en-US" w:eastAsia="en-US" w:bidi="ar-SA"/>
      </w:rPr>
    </w:lvl>
    <w:lvl w:ilvl="4">
      <w:start w:val="0"/>
      <w:numFmt w:val="bullet"/>
      <w:lvlText w:val="•"/>
      <w:lvlJc w:val="left"/>
      <w:pPr>
        <w:ind w:left="3816" w:hanging="349"/>
      </w:pPr>
      <w:rPr>
        <w:rFonts w:hint="default"/>
        <w:lang w:val="en-US" w:eastAsia="en-US" w:bidi="ar-SA"/>
      </w:rPr>
    </w:lvl>
    <w:lvl w:ilvl="5">
      <w:start w:val="0"/>
      <w:numFmt w:val="bullet"/>
      <w:lvlText w:val="•"/>
      <w:lvlJc w:val="left"/>
      <w:pPr>
        <w:ind w:left="4730" w:hanging="349"/>
      </w:pPr>
      <w:rPr>
        <w:rFonts w:hint="default"/>
        <w:lang w:val="en-US" w:eastAsia="en-US" w:bidi="ar-SA"/>
      </w:rPr>
    </w:lvl>
    <w:lvl w:ilvl="6">
      <w:start w:val="0"/>
      <w:numFmt w:val="bullet"/>
      <w:lvlText w:val="•"/>
      <w:lvlJc w:val="left"/>
      <w:pPr>
        <w:ind w:left="5644" w:hanging="349"/>
      </w:pPr>
      <w:rPr>
        <w:rFonts w:hint="default"/>
        <w:lang w:val="en-US" w:eastAsia="en-US" w:bidi="ar-SA"/>
      </w:rPr>
    </w:lvl>
    <w:lvl w:ilvl="7">
      <w:start w:val="0"/>
      <w:numFmt w:val="bullet"/>
      <w:lvlText w:val="•"/>
      <w:lvlJc w:val="left"/>
      <w:pPr>
        <w:ind w:left="6558" w:hanging="349"/>
      </w:pPr>
      <w:rPr>
        <w:rFonts w:hint="default"/>
        <w:lang w:val="en-US" w:eastAsia="en-US" w:bidi="ar-SA"/>
      </w:rPr>
    </w:lvl>
    <w:lvl w:ilvl="8">
      <w:start w:val="0"/>
      <w:numFmt w:val="bullet"/>
      <w:lvlText w:val="•"/>
      <w:lvlJc w:val="left"/>
      <w:pPr>
        <w:ind w:left="7472" w:hanging="349"/>
      </w:pPr>
      <w:rPr>
        <w:rFonts w:hint="default"/>
        <w:lang w:val="en-US" w:eastAsia="en-US" w:bidi="ar-SA"/>
      </w:rPr>
    </w:lvl>
  </w:abstractNum>
  <w:abstractNum w:abstractNumId="61">
    <w:multiLevelType w:val="hybridMultilevel"/>
    <w:lvl w:ilvl="0">
      <w:start w:val="1"/>
      <w:numFmt w:val="decimal"/>
      <w:lvlText w:val="(%1)"/>
      <w:lvlJc w:val="left"/>
      <w:pPr>
        <w:ind w:left="160" w:hanging="35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3"/>
      </w:pPr>
      <w:rPr>
        <w:rFonts w:hint="default"/>
        <w:lang w:val="en-US" w:eastAsia="en-US" w:bidi="ar-SA"/>
      </w:rPr>
    </w:lvl>
    <w:lvl w:ilvl="2">
      <w:start w:val="0"/>
      <w:numFmt w:val="bullet"/>
      <w:lvlText w:val="•"/>
      <w:lvlJc w:val="left"/>
      <w:pPr>
        <w:ind w:left="1988" w:hanging="353"/>
      </w:pPr>
      <w:rPr>
        <w:rFonts w:hint="default"/>
        <w:lang w:val="en-US" w:eastAsia="en-US" w:bidi="ar-SA"/>
      </w:rPr>
    </w:lvl>
    <w:lvl w:ilvl="3">
      <w:start w:val="0"/>
      <w:numFmt w:val="bullet"/>
      <w:lvlText w:val="•"/>
      <w:lvlJc w:val="left"/>
      <w:pPr>
        <w:ind w:left="2902" w:hanging="353"/>
      </w:pPr>
      <w:rPr>
        <w:rFonts w:hint="default"/>
        <w:lang w:val="en-US" w:eastAsia="en-US" w:bidi="ar-SA"/>
      </w:rPr>
    </w:lvl>
    <w:lvl w:ilvl="4">
      <w:start w:val="0"/>
      <w:numFmt w:val="bullet"/>
      <w:lvlText w:val="•"/>
      <w:lvlJc w:val="left"/>
      <w:pPr>
        <w:ind w:left="3816" w:hanging="353"/>
      </w:pPr>
      <w:rPr>
        <w:rFonts w:hint="default"/>
        <w:lang w:val="en-US" w:eastAsia="en-US" w:bidi="ar-SA"/>
      </w:rPr>
    </w:lvl>
    <w:lvl w:ilvl="5">
      <w:start w:val="0"/>
      <w:numFmt w:val="bullet"/>
      <w:lvlText w:val="•"/>
      <w:lvlJc w:val="left"/>
      <w:pPr>
        <w:ind w:left="4730" w:hanging="353"/>
      </w:pPr>
      <w:rPr>
        <w:rFonts w:hint="default"/>
        <w:lang w:val="en-US" w:eastAsia="en-US" w:bidi="ar-SA"/>
      </w:rPr>
    </w:lvl>
    <w:lvl w:ilvl="6">
      <w:start w:val="0"/>
      <w:numFmt w:val="bullet"/>
      <w:lvlText w:val="•"/>
      <w:lvlJc w:val="left"/>
      <w:pPr>
        <w:ind w:left="5644" w:hanging="353"/>
      </w:pPr>
      <w:rPr>
        <w:rFonts w:hint="default"/>
        <w:lang w:val="en-US" w:eastAsia="en-US" w:bidi="ar-SA"/>
      </w:rPr>
    </w:lvl>
    <w:lvl w:ilvl="7">
      <w:start w:val="0"/>
      <w:numFmt w:val="bullet"/>
      <w:lvlText w:val="•"/>
      <w:lvlJc w:val="left"/>
      <w:pPr>
        <w:ind w:left="6558" w:hanging="353"/>
      </w:pPr>
      <w:rPr>
        <w:rFonts w:hint="default"/>
        <w:lang w:val="en-US" w:eastAsia="en-US" w:bidi="ar-SA"/>
      </w:rPr>
    </w:lvl>
    <w:lvl w:ilvl="8">
      <w:start w:val="0"/>
      <w:numFmt w:val="bullet"/>
      <w:lvlText w:val="•"/>
      <w:lvlJc w:val="left"/>
      <w:pPr>
        <w:ind w:left="7472" w:hanging="353"/>
      </w:pPr>
      <w:rPr>
        <w:rFonts w:hint="default"/>
        <w:lang w:val="en-US" w:eastAsia="en-US" w:bidi="ar-SA"/>
      </w:rPr>
    </w:lvl>
  </w:abstractNum>
  <w:abstractNum w:abstractNumId="60">
    <w:multiLevelType w:val="hybridMultilevel"/>
    <w:lvl w:ilvl="0">
      <w:start w:val="1"/>
      <w:numFmt w:val="decimal"/>
      <w:lvlText w:val="(%1)"/>
      <w:lvlJc w:val="left"/>
      <w:pPr>
        <w:ind w:left="160" w:hanging="377"/>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7"/>
      </w:pPr>
      <w:rPr>
        <w:rFonts w:hint="default"/>
        <w:lang w:val="en-US" w:eastAsia="en-US" w:bidi="ar-SA"/>
      </w:rPr>
    </w:lvl>
    <w:lvl w:ilvl="2">
      <w:start w:val="0"/>
      <w:numFmt w:val="bullet"/>
      <w:lvlText w:val="•"/>
      <w:lvlJc w:val="left"/>
      <w:pPr>
        <w:ind w:left="1988" w:hanging="377"/>
      </w:pPr>
      <w:rPr>
        <w:rFonts w:hint="default"/>
        <w:lang w:val="en-US" w:eastAsia="en-US" w:bidi="ar-SA"/>
      </w:rPr>
    </w:lvl>
    <w:lvl w:ilvl="3">
      <w:start w:val="0"/>
      <w:numFmt w:val="bullet"/>
      <w:lvlText w:val="•"/>
      <w:lvlJc w:val="left"/>
      <w:pPr>
        <w:ind w:left="2902" w:hanging="377"/>
      </w:pPr>
      <w:rPr>
        <w:rFonts w:hint="default"/>
        <w:lang w:val="en-US" w:eastAsia="en-US" w:bidi="ar-SA"/>
      </w:rPr>
    </w:lvl>
    <w:lvl w:ilvl="4">
      <w:start w:val="0"/>
      <w:numFmt w:val="bullet"/>
      <w:lvlText w:val="•"/>
      <w:lvlJc w:val="left"/>
      <w:pPr>
        <w:ind w:left="3816" w:hanging="377"/>
      </w:pPr>
      <w:rPr>
        <w:rFonts w:hint="default"/>
        <w:lang w:val="en-US" w:eastAsia="en-US" w:bidi="ar-SA"/>
      </w:rPr>
    </w:lvl>
    <w:lvl w:ilvl="5">
      <w:start w:val="0"/>
      <w:numFmt w:val="bullet"/>
      <w:lvlText w:val="•"/>
      <w:lvlJc w:val="left"/>
      <w:pPr>
        <w:ind w:left="4730" w:hanging="377"/>
      </w:pPr>
      <w:rPr>
        <w:rFonts w:hint="default"/>
        <w:lang w:val="en-US" w:eastAsia="en-US" w:bidi="ar-SA"/>
      </w:rPr>
    </w:lvl>
    <w:lvl w:ilvl="6">
      <w:start w:val="0"/>
      <w:numFmt w:val="bullet"/>
      <w:lvlText w:val="•"/>
      <w:lvlJc w:val="left"/>
      <w:pPr>
        <w:ind w:left="5644" w:hanging="377"/>
      </w:pPr>
      <w:rPr>
        <w:rFonts w:hint="default"/>
        <w:lang w:val="en-US" w:eastAsia="en-US" w:bidi="ar-SA"/>
      </w:rPr>
    </w:lvl>
    <w:lvl w:ilvl="7">
      <w:start w:val="0"/>
      <w:numFmt w:val="bullet"/>
      <w:lvlText w:val="•"/>
      <w:lvlJc w:val="left"/>
      <w:pPr>
        <w:ind w:left="6558" w:hanging="377"/>
      </w:pPr>
      <w:rPr>
        <w:rFonts w:hint="default"/>
        <w:lang w:val="en-US" w:eastAsia="en-US" w:bidi="ar-SA"/>
      </w:rPr>
    </w:lvl>
    <w:lvl w:ilvl="8">
      <w:start w:val="0"/>
      <w:numFmt w:val="bullet"/>
      <w:lvlText w:val="•"/>
      <w:lvlJc w:val="left"/>
      <w:pPr>
        <w:ind w:left="7472" w:hanging="377"/>
      </w:pPr>
      <w:rPr>
        <w:rFonts w:hint="default"/>
        <w:lang w:val="en-US" w:eastAsia="en-US" w:bidi="ar-SA"/>
      </w:rPr>
    </w:lvl>
  </w:abstractNum>
  <w:abstractNum w:abstractNumId="59">
    <w:multiLevelType w:val="hybridMultilevel"/>
    <w:lvl w:ilvl="0">
      <w:start w:val="4"/>
      <w:numFmt w:val="decimal"/>
      <w:lvlText w:val="%1."/>
      <w:lvlJc w:val="left"/>
      <w:pPr>
        <w:ind w:left="160" w:hanging="182"/>
        <w:jc w:val="left"/>
      </w:pPr>
      <w:rPr>
        <w:rFonts w:hint="default" w:ascii="Times New Roman" w:hAnsi="Times New Roman" w:eastAsia="Times New Roman" w:cs="Times New Roman"/>
        <w:b w:val="0"/>
        <w:bCs w:val="0"/>
        <w:i w:val="0"/>
        <w:iCs w:val="0"/>
        <w:spacing w:val="0"/>
        <w:w w:val="96"/>
        <w:sz w:val="22"/>
        <w:szCs w:val="22"/>
        <w:lang w:val="en-US" w:eastAsia="en-US" w:bidi="ar-SA"/>
      </w:rPr>
    </w:lvl>
    <w:lvl w:ilvl="1">
      <w:start w:val="0"/>
      <w:numFmt w:val="bullet"/>
      <w:lvlText w:val="•"/>
      <w:lvlJc w:val="left"/>
      <w:pPr>
        <w:ind w:left="1074" w:hanging="182"/>
      </w:pPr>
      <w:rPr>
        <w:rFonts w:hint="default"/>
        <w:lang w:val="en-US" w:eastAsia="en-US" w:bidi="ar-SA"/>
      </w:rPr>
    </w:lvl>
    <w:lvl w:ilvl="2">
      <w:start w:val="0"/>
      <w:numFmt w:val="bullet"/>
      <w:lvlText w:val="•"/>
      <w:lvlJc w:val="left"/>
      <w:pPr>
        <w:ind w:left="1988" w:hanging="182"/>
      </w:pPr>
      <w:rPr>
        <w:rFonts w:hint="default"/>
        <w:lang w:val="en-US" w:eastAsia="en-US" w:bidi="ar-SA"/>
      </w:rPr>
    </w:lvl>
    <w:lvl w:ilvl="3">
      <w:start w:val="0"/>
      <w:numFmt w:val="bullet"/>
      <w:lvlText w:val="•"/>
      <w:lvlJc w:val="left"/>
      <w:pPr>
        <w:ind w:left="2902" w:hanging="182"/>
      </w:pPr>
      <w:rPr>
        <w:rFonts w:hint="default"/>
        <w:lang w:val="en-US" w:eastAsia="en-US" w:bidi="ar-SA"/>
      </w:rPr>
    </w:lvl>
    <w:lvl w:ilvl="4">
      <w:start w:val="0"/>
      <w:numFmt w:val="bullet"/>
      <w:lvlText w:val="•"/>
      <w:lvlJc w:val="left"/>
      <w:pPr>
        <w:ind w:left="3816" w:hanging="182"/>
      </w:pPr>
      <w:rPr>
        <w:rFonts w:hint="default"/>
        <w:lang w:val="en-US" w:eastAsia="en-US" w:bidi="ar-SA"/>
      </w:rPr>
    </w:lvl>
    <w:lvl w:ilvl="5">
      <w:start w:val="0"/>
      <w:numFmt w:val="bullet"/>
      <w:lvlText w:val="•"/>
      <w:lvlJc w:val="left"/>
      <w:pPr>
        <w:ind w:left="4730" w:hanging="182"/>
      </w:pPr>
      <w:rPr>
        <w:rFonts w:hint="default"/>
        <w:lang w:val="en-US" w:eastAsia="en-US" w:bidi="ar-SA"/>
      </w:rPr>
    </w:lvl>
    <w:lvl w:ilvl="6">
      <w:start w:val="0"/>
      <w:numFmt w:val="bullet"/>
      <w:lvlText w:val="•"/>
      <w:lvlJc w:val="left"/>
      <w:pPr>
        <w:ind w:left="5644" w:hanging="182"/>
      </w:pPr>
      <w:rPr>
        <w:rFonts w:hint="default"/>
        <w:lang w:val="en-US" w:eastAsia="en-US" w:bidi="ar-SA"/>
      </w:rPr>
    </w:lvl>
    <w:lvl w:ilvl="7">
      <w:start w:val="0"/>
      <w:numFmt w:val="bullet"/>
      <w:lvlText w:val="•"/>
      <w:lvlJc w:val="left"/>
      <w:pPr>
        <w:ind w:left="6558" w:hanging="182"/>
      </w:pPr>
      <w:rPr>
        <w:rFonts w:hint="default"/>
        <w:lang w:val="en-US" w:eastAsia="en-US" w:bidi="ar-SA"/>
      </w:rPr>
    </w:lvl>
    <w:lvl w:ilvl="8">
      <w:start w:val="0"/>
      <w:numFmt w:val="bullet"/>
      <w:lvlText w:val="•"/>
      <w:lvlJc w:val="left"/>
      <w:pPr>
        <w:ind w:left="7472" w:hanging="182"/>
      </w:pPr>
      <w:rPr>
        <w:rFonts w:hint="default"/>
        <w:lang w:val="en-US" w:eastAsia="en-US" w:bidi="ar-SA"/>
      </w:rPr>
    </w:lvl>
  </w:abstractNum>
  <w:abstractNum w:abstractNumId="58">
    <w:multiLevelType w:val="hybridMultilevel"/>
    <w:lvl w:ilvl="0">
      <w:start w:val="1"/>
      <w:numFmt w:val="decimal"/>
      <w:lvlText w:val="(%1)"/>
      <w:lvlJc w:val="left"/>
      <w:pPr>
        <w:ind w:left="160"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8"/>
      </w:pPr>
      <w:rPr>
        <w:rFonts w:hint="default"/>
        <w:lang w:val="en-US" w:eastAsia="en-US" w:bidi="ar-SA"/>
      </w:rPr>
    </w:lvl>
    <w:lvl w:ilvl="2">
      <w:start w:val="0"/>
      <w:numFmt w:val="bullet"/>
      <w:lvlText w:val="•"/>
      <w:lvlJc w:val="left"/>
      <w:pPr>
        <w:ind w:left="1988" w:hanging="348"/>
      </w:pPr>
      <w:rPr>
        <w:rFonts w:hint="default"/>
        <w:lang w:val="en-US" w:eastAsia="en-US" w:bidi="ar-SA"/>
      </w:rPr>
    </w:lvl>
    <w:lvl w:ilvl="3">
      <w:start w:val="0"/>
      <w:numFmt w:val="bullet"/>
      <w:lvlText w:val="•"/>
      <w:lvlJc w:val="left"/>
      <w:pPr>
        <w:ind w:left="2902" w:hanging="348"/>
      </w:pPr>
      <w:rPr>
        <w:rFonts w:hint="default"/>
        <w:lang w:val="en-US" w:eastAsia="en-US" w:bidi="ar-SA"/>
      </w:rPr>
    </w:lvl>
    <w:lvl w:ilvl="4">
      <w:start w:val="0"/>
      <w:numFmt w:val="bullet"/>
      <w:lvlText w:val="•"/>
      <w:lvlJc w:val="left"/>
      <w:pPr>
        <w:ind w:left="3816" w:hanging="348"/>
      </w:pPr>
      <w:rPr>
        <w:rFonts w:hint="default"/>
        <w:lang w:val="en-US" w:eastAsia="en-US" w:bidi="ar-SA"/>
      </w:rPr>
    </w:lvl>
    <w:lvl w:ilvl="5">
      <w:start w:val="0"/>
      <w:numFmt w:val="bullet"/>
      <w:lvlText w:val="•"/>
      <w:lvlJc w:val="left"/>
      <w:pPr>
        <w:ind w:left="4730" w:hanging="348"/>
      </w:pPr>
      <w:rPr>
        <w:rFonts w:hint="default"/>
        <w:lang w:val="en-US" w:eastAsia="en-US" w:bidi="ar-SA"/>
      </w:rPr>
    </w:lvl>
    <w:lvl w:ilvl="6">
      <w:start w:val="0"/>
      <w:numFmt w:val="bullet"/>
      <w:lvlText w:val="•"/>
      <w:lvlJc w:val="left"/>
      <w:pPr>
        <w:ind w:left="5644" w:hanging="348"/>
      </w:pPr>
      <w:rPr>
        <w:rFonts w:hint="default"/>
        <w:lang w:val="en-US" w:eastAsia="en-US" w:bidi="ar-SA"/>
      </w:rPr>
    </w:lvl>
    <w:lvl w:ilvl="7">
      <w:start w:val="0"/>
      <w:numFmt w:val="bullet"/>
      <w:lvlText w:val="•"/>
      <w:lvlJc w:val="left"/>
      <w:pPr>
        <w:ind w:left="6558" w:hanging="348"/>
      </w:pPr>
      <w:rPr>
        <w:rFonts w:hint="default"/>
        <w:lang w:val="en-US" w:eastAsia="en-US" w:bidi="ar-SA"/>
      </w:rPr>
    </w:lvl>
    <w:lvl w:ilvl="8">
      <w:start w:val="0"/>
      <w:numFmt w:val="bullet"/>
      <w:lvlText w:val="•"/>
      <w:lvlJc w:val="left"/>
      <w:pPr>
        <w:ind w:left="7472" w:hanging="348"/>
      </w:pPr>
      <w:rPr>
        <w:rFonts w:hint="default"/>
        <w:lang w:val="en-US" w:eastAsia="en-US" w:bidi="ar-SA"/>
      </w:rPr>
    </w:lvl>
  </w:abstractNum>
  <w:abstractNum w:abstractNumId="57">
    <w:multiLevelType w:val="hybridMultilevel"/>
    <w:lvl w:ilvl="0">
      <w:start w:val="1"/>
      <w:numFmt w:val="decimal"/>
      <w:lvlText w:val="(%1)"/>
      <w:lvlJc w:val="left"/>
      <w:pPr>
        <w:ind w:left="160" w:hanging="3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1"/>
      </w:pPr>
      <w:rPr>
        <w:rFonts w:hint="default"/>
        <w:lang w:val="en-US" w:eastAsia="en-US" w:bidi="ar-SA"/>
      </w:rPr>
    </w:lvl>
    <w:lvl w:ilvl="2">
      <w:start w:val="0"/>
      <w:numFmt w:val="bullet"/>
      <w:lvlText w:val="•"/>
      <w:lvlJc w:val="left"/>
      <w:pPr>
        <w:ind w:left="1988" w:hanging="381"/>
      </w:pPr>
      <w:rPr>
        <w:rFonts w:hint="default"/>
        <w:lang w:val="en-US" w:eastAsia="en-US" w:bidi="ar-SA"/>
      </w:rPr>
    </w:lvl>
    <w:lvl w:ilvl="3">
      <w:start w:val="0"/>
      <w:numFmt w:val="bullet"/>
      <w:lvlText w:val="•"/>
      <w:lvlJc w:val="left"/>
      <w:pPr>
        <w:ind w:left="2902" w:hanging="381"/>
      </w:pPr>
      <w:rPr>
        <w:rFonts w:hint="default"/>
        <w:lang w:val="en-US" w:eastAsia="en-US" w:bidi="ar-SA"/>
      </w:rPr>
    </w:lvl>
    <w:lvl w:ilvl="4">
      <w:start w:val="0"/>
      <w:numFmt w:val="bullet"/>
      <w:lvlText w:val="•"/>
      <w:lvlJc w:val="left"/>
      <w:pPr>
        <w:ind w:left="3816" w:hanging="381"/>
      </w:pPr>
      <w:rPr>
        <w:rFonts w:hint="default"/>
        <w:lang w:val="en-US" w:eastAsia="en-US" w:bidi="ar-SA"/>
      </w:rPr>
    </w:lvl>
    <w:lvl w:ilvl="5">
      <w:start w:val="0"/>
      <w:numFmt w:val="bullet"/>
      <w:lvlText w:val="•"/>
      <w:lvlJc w:val="left"/>
      <w:pPr>
        <w:ind w:left="4730" w:hanging="381"/>
      </w:pPr>
      <w:rPr>
        <w:rFonts w:hint="default"/>
        <w:lang w:val="en-US" w:eastAsia="en-US" w:bidi="ar-SA"/>
      </w:rPr>
    </w:lvl>
    <w:lvl w:ilvl="6">
      <w:start w:val="0"/>
      <w:numFmt w:val="bullet"/>
      <w:lvlText w:val="•"/>
      <w:lvlJc w:val="left"/>
      <w:pPr>
        <w:ind w:left="5644" w:hanging="381"/>
      </w:pPr>
      <w:rPr>
        <w:rFonts w:hint="default"/>
        <w:lang w:val="en-US" w:eastAsia="en-US" w:bidi="ar-SA"/>
      </w:rPr>
    </w:lvl>
    <w:lvl w:ilvl="7">
      <w:start w:val="0"/>
      <w:numFmt w:val="bullet"/>
      <w:lvlText w:val="•"/>
      <w:lvlJc w:val="left"/>
      <w:pPr>
        <w:ind w:left="6558" w:hanging="381"/>
      </w:pPr>
      <w:rPr>
        <w:rFonts w:hint="default"/>
        <w:lang w:val="en-US" w:eastAsia="en-US" w:bidi="ar-SA"/>
      </w:rPr>
    </w:lvl>
    <w:lvl w:ilvl="8">
      <w:start w:val="0"/>
      <w:numFmt w:val="bullet"/>
      <w:lvlText w:val="•"/>
      <w:lvlJc w:val="left"/>
      <w:pPr>
        <w:ind w:left="7472" w:hanging="381"/>
      </w:pPr>
      <w:rPr>
        <w:rFonts w:hint="default"/>
        <w:lang w:val="en-US" w:eastAsia="en-US" w:bidi="ar-SA"/>
      </w:rPr>
    </w:lvl>
  </w:abstractNum>
  <w:abstractNum w:abstractNumId="56">
    <w:multiLevelType w:val="hybridMultilevel"/>
    <w:lvl w:ilvl="0">
      <w:start w:val="2"/>
      <w:numFmt w:val="lowerLetter"/>
      <w:lvlText w:val="(%1)"/>
      <w:lvlJc w:val="left"/>
      <w:pPr>
        <w:ind w:left="160" w:hanging="38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89"/>
      </w:pPr>
      <w:rPr>
        <w:rFonts w:hint="default"/>
        <w:lang w:val="en-US" w:eastAsia="en-US" w:bidi="ar-SA"/>
      </w:rPr>
    </w:lvl>
    <w:lvl w:ilvl="2">
      <w:start w:val="0"/>
      <w:numFmt w:val="bullet"/>
      <w:lvlText w:val="•"/>
      <w:lvlJc w:val="left"/>
      <w:pPr>
        <w:ind w:left="1988" w:hanging="389"/>
      </w:pPr>
      <w:rPr>
        <w:rFonts w:hint="default"/>
        <w:lang w:val="en-US" w:eastAsia="en-US" w:bidi="ar-SA"/>
      </w:rPr>
    </w:lvl>
    <w:lvl w:ilvl="3">
      <w:start w:val="0"/>
      <w:numFmt w:val="bullet"/>
      <w:lvlText w:val="•"/>
      <w:lvlJc w:val="left"/>
      <w:pPr>
        <w:ind w:left="2902" w:hanging="389"/>
      </w:pPr>
      <w:rPr>
        <w:rFonts w:hint="default"/>
        <w:lang w:val="en-US" w:eastAsia="en-US" w:bidi="ar-SA"/>
      </w:rPr>
    </w:lvl>
    <w:lvl w:ilvl="4">
      <w:start w:val="0"/>
      <w:numFmt w:val="bullet"/>
      <w:lvlText w:val="•"/>
      <w:lvlJc w:val="left"/>
      <w:pPr>
        <w:ind w:left="3816" w:hanging="389"/>
      </w:pPr>
      <w:rPr>
        <w:rFonts w:hint="default"/>
        <w:lang w:val="en-US" w:eastAsia="en-US" w:bidi="ar-SA"/>
      </w:rPr>
    </w:lvl>
    <w:lvl w:ilvl="5">
      <w:start w:val="0"/>
      <w:numFmt w:val="bullet"/>
      <w:lvlText w:val="•"/>
      <w:lvlJc w:val="left"/>
      <w:pPr>
        <w:ind w:left="4730" w:hanging="389"/>
      </w:pPr>
      <w:rPr>
        <w:rFonts w:hint="default"/>
        <w:lang w:val="en-US" w:eastAsia="en-US" w:bidi="ar-SA"/>
      </w:rPr>
    </w:lvl>
    <w:lvl w:ilvl="6">
      <w:start w:val="0"/>
      <w:numFmt w:val="bullet"/>
      <w:lvlText w:val="•"/>
      <w:lvlJc w:val="left"/>
      <w:pPr>
        <w:ind w:left="5644" w:hanging="389"/>
      </w:pPr>
      <w:rPr>
        <w:rFonts w:hint="default"/>
        <w:lang w:val="en-US" w:eastAsia="en-US" w:bidi="ar-SA"/>
      </w:rPr>
    </w:lvl>
    <w:lvl w:ilvl="7">
      <w:start w:val="0"/>
      <w:numFmt w:val="bullet"/>
      <w:lvlText w:val="•"/>
      <w:lvlJc w:val="left"/>
      <w:pPr>
        <w:ind w:left="6558" w:hanging="389"/>
      </w:pPr>
      <w:rPr>
        <w:rFonts w:hint="default"/>
        <w:lang w:val="en-US" w:eastAsia="en-US" w:bidi="ar-SA"/>
      </w:rPr>
    </w:lvl>
    <w:lvl w:ilvl="8">
      <w:start w:val="0"/>
      <w:numFmt w:val="bullet"/>
      <w:lvlText w:val="•"/>
      <w:lvlJc w:val="left"/>
      <w:pPr>
        <w:ind w:left="7472" w:hanging="389"/>
      </w:pPr>
      <w:rPr>
        <w:rFonts w:hint="default"/>
        <w:lang w:val="en-US" w:eastAsia="en-US" w:bidi="ar-SA"/>
      </w:rPr>
    </w:lvl>
  </w:abstractNum>
  <w:abstractNum w:abstractNumId="55">
    <w:multiLevelType w:val="hybridMultilevel"/>
    <w:lvl w:ilvl="0">
      <w:start w:val="1"/>
      <w:numFmt w:val="decimal"/>
      <w:lvlText w:val="(%1)"/>
      <w:lvlJc w:val="left"/>
      <w:pPr>
        <w:ind w:left="160" w:hanging="413"/>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56"/>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356"/>
      </w:pPr>
      <w:rPr>
        <w:rFonts w:hint="default"/>
        <w:lang w:val="en-US" w:eastAsia="en-US" w:bidi="ar-SA"/>
      </w:rPr>
    </w:lvl>
    <w:lvl w:ilvl="3">
      <w:start w:val="0"/>
      <w:numFmt w:val="bullet"/>
      <w:lvlText w:val="•"/>
      <w:lvlJc w:val="left"/>
      <w:pPr>
        <w:ind w:left="2902" w:hanging="356"/>
      </w:pPr>
      <w:rPr>
        <w:rFonts w:hint="default"/>
        <w:lang w:val="en-US" w:eastAsia="en-US" w:bidi="ar-SA"/>
      </w:rPr>
    </w:lvl>
    <w:lvl w:ilvl="4">
      <w:start w:val="0"/>
      <w:numFmt w:val="bullet"/>
      <w:lvlText w:val="•"/>
      <w:lvlJc w:val="left"/>
      <w:pPr>
        <w:ind w:left="3816" w:hanging="356"/>
      </w:pPr>
      <w:rPr>
        <w:rFonts w:hint="default"/>
        <w:lang w:val="en-US" w:eastAsia="en-US" w:bidi="ar-SA"/>
      </w:rPr>
    </w:lvl>
    <w:lvl w:ilvl="5">
      <w:start w:val="0"/>
      <w:numFmt w:val="bullet"/>
      <w:lvlText w:val="•"/>
      <w:lvlJc w:val="left"/>
      <w:pPr>
        <w:ind w:left="4730" w:hanging="356"/>
      </w:pPr>
      <w:rPr>
        <w:rFonts w:hint="default"/>
        <w:lang w:val="en-US" w:eastAsia="en-US" w:bidi="ar-SA"/>
      </w:rPr>
    </w:lvl>
    <w:lvl w:ilvl="6">
      <w:start w:val="0"/>
      <w:numFmt w:val="bullet"/>
      <w:lvlText w:val="•"/>
      <w:lvlJc w:val="left"/>
      <w:pPr>
        <w:ind w:left="5644" w:hanging="356"/>
      </w:pPr>
      <w:rPr>
        <w:rFonts w:hint="default"/>
        <w:lang w:val="en-US" w:eastAsia="en-US" w:bidi="ar-SA"/>
      </w:rPr>
    </w:lvl>
    <w:lvl w:ilvl="7">
      <w:start w:val="0"/>
      <w:numFmt w:val="bullet"/>
      <w:lvlText w:val="•"/>
      <w:lvlJc w:val="left"/>
      <w:pPr>
        <w:ind w:left="6558" w:hanging="356"/>
      </w:pPr>
      <w:rPr>
        <w:rFonts w:hint="default"/>
        <w:lang w:val="en-US" w:eastAsia="en-US" w:bidi="ar-SA"/>
      </w:rPr>
    </w:lvl>
    <w:lvl w:ilvl="8">
      <w:start w:val="0"/>
      <w:numFmt w:val="bullet"/>
      <w:lvlText w:val="•"/>
      <w:lvlJc w:val="left"/>
      <w:pPr>
        <w:ind w:left="7472" w:hanging="356"/>
      </w:pPr>
      <w:rPr>
        <w:rFonts w:hint="default"/>
        <w:lang w:val="en-US" w:eastAsia="en-US" w:bidi="ar-SA"/>
      </w:rPr>
    </w:lvl>
  </w:abstractNum>
  <w:abstractNum w:abstractNumId="54">
    <w:multiLevelType w:val="hybridMultilevel"/>
    <w:lvl w:ilvl="0">
      <w:start w:val="1"/>
      <w:numFmt w:val="decimal"/>
      <w:lvlText w:val="(%1)"/>
      <w:lvlJc w:val="left"/>
      <w:pPr>
        <w:ind w:left="499" w:hanging="3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80" w:hanging="340"/>
      </w:pPr>
      <w:rPr>
        <w:rFonts w:hint="default"/>
        <w:lang w:val="en-US" w:eastAsia="en-US" w:bidi="ar-SA"/>
      </w:rPr>
    </w:lvl>
    <w:lvl w:ilvl="2">
      <w:start w:val="0"/>
      <w:numFmt w:val="bullet"/>
      <w:lvlText w:val="•"/>
      <w:lvlJc w:val="left"/>
      <w:pPr>
        <w:ind w:left="2260" w:hanging="340"/>
      </w:pPr>
      <w:rPr>
        <w:rFonts w:hint="default"/>
        <w:lang w:val="en-US" w:eastAsia="en-US" w:bidi="ar-SA"/>
      </w:rPr>
    </w:lvl>
    <w:lvl w:ilvl="3">
      <w:start w:val="0"/>
      <w:numFmt w:val="bullet"/>
      <w:lvlText w:val="•"/>
      <w:lvlJc w:val="left"/>
      <w:pPr>
        <w:ind w:left="3140" w:hanging="340"/>
      </w:pPr>
      <w:rPr>
        <w:rFonts w:hint="default"/>
        <w:lang w:val="en-US" w:eastAsia="en-US" w:bidi="ar-SA"/>
      </w:rPr>
    </w:lvl>
    <w:lvl w:ilvl="4">
      <w:start w:val="0"/>
      <w:numFmt w:val="bullet"/>
      <w:lvlText w:val="•"/>
      <w:lvlJc w:val="left"/>
      <w:pPr>
        <w:ind w:left="4020" w:hanging="340"/>
      </w:pPr>
      <w:rPr>
        <w:rFonts w:hint="default"/>
        <w:lang w:val="en-US" w:eastAsia="en-US" w:bidi="ar-SA"/>
      </w:rPr>
    </w:lvl>
    <w:lvl w:ilvl="5">
      <w:start w:val="0"/>
      <w:numFmt w:val="bullet"/>
      <w:lvlText w:val="•"/>
      <w:lvlJc w:val="left"/>
      <w:pPr>
        <w:ind w:left="4900" w:hanging="340"/>
      </w:pPr>
      <w:rPr>
        <w:rFonts w:hint="default"/>
        <w:lang w:val="en-US" w:eastAsia="en-US" w:bidi="ar-SA"/>
      </w:rPr>
    </w:lvl>
    <w:lvl w:ilvl="6">
      <w:start w:val="0"/>
      <w:numFmt w:val="bullet"/>
      <w:lvlText w:val="•"/>
      <w:lvlJc w:val="left"/>
      <w:pPr>
        <w:ind w:left="5780" w:hanging="340"/>
      </w:pPr>
      <w:rPr>
        <w:rFonts w:hint="default"/>
        <w:lang w:val="en-US" w:eastAsia="en-US" w:bidi="ar-SA"/>
      </w:rPr>
    </w:lvl>
    <w:lvl w:ilvl="7">
      <w:start w:val="0"/>
      <w:numFmt w:val="bullet"/>
      <w:lvlText w:val="•"/>
      <w:lvlJc w:val="left"/>
      <w:pPr>
        <w:ind w:left="6660" w:hanging="340"/>
      </w:pPr>
      <w:rPr>
        <w:rFonts w:hint="default"/>
        <w:lang w:val="en-US" w:eastAsia="en-US" w:bidi="ar-SA"/>
      </w:rPr>
    </w:lvl>
    <w:lvl w:ilvl="8">
      <w:start w:val="0"/>
      <w:numFmt w:val="bullet"/>
      <w:lvlText w:val="•"/>
      <w:lvlJc w:val="left"/>
      <w:pPr>
        <w:ind w:left="7540" w:hanging="340"/>
      </w:pPr>
      <w:rPr>
        <w:rFonts w:hint="default"/>
        <w:lang w:val="en-US" w:eastAsia="en-US" w:bidi="ar-SA"/>
      </w:rPr>
    </w:lvl>
  </w:abstractNum>
  <w:abstractNum w:abstractNumId="53">
    <w:multiLevelType w:val="hybridMultilevel"/>
    <w:lvl w:ilvl="0">
      <w:start w:val="1"/>
      <w:numFmt w:val="decimal"/>
      <w:lvlText w:val="(%1)"/>
      <w:lvlJc w:val="left"/>
      <w:pPr>
        <w:ind w:left="160" w:hanging="34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3"/>
      </w:pPr>
      <w:rPr>
        <w:rFonts w:hint="default"/>
        <w:lang w:val="en-US" w:eastAsia="en-US" w:bidi="ar-SA"/>
      </w:rPr>
    </w:lvl>
    <w:lvl w:ilvl="2">
      <w:start w:val="0"/>
      <w:numFmt w:val="bullet"/>
      <w:lvlText w:val="•"/>
      <w:lvlJc w:val="left"/>
      <w:pPr>
        <w:ind w:left="1988" w:hanging="343"/>
      </w:pPr>
      <w:rPr>
        <w:rFonts w:hint="default"/>
        <w:lang w:val="en-US" w:eastAsia="en-US" w:bidi="ar-SA"/>
      </w:rPr>
    </w:lvl>
    <w:lvl w:ilvl="3">
      <w:start w:val="0"/>
      <w:numFmt w:val="bullet"/>
      <w:lvlText w:val="•"/>
      <w:lvlJc w:val="left"/>
      <w:pPr>
        <w:ind w:left="2902" w:hanging="343"/>
      </w:pPr>
      <w:rPr>
        <w:rFonts w:hint="default"/>
        <w:lang w:val="en-US" w:eastAsia="en-US" w:bidi="ar-SA"/>
      </w:rPr>
    </w:lvl>
    <w:lvl w:ilvl="4">
      <w:start w:val="0"/>
      <w:numFmt w:val="bullet"/>
      <w:lvlText w:val="•"/>
      <w:lvlJc w:val="left"/>
      <w:pPr>
        <w:ind w:left="3816" w:hanging="343"/>
      </w:pPr>
      <w:rPr>
        <w:rFonts w:hint="default"/>
        <w:lang w:val="en-US" w:eastAsia="en-US" w:bidi="ar-SA"/>
      </w:rPr>
    </w:lvl>
    <w:lvl w:ilvl="5">
      <w:start w:val="0"/>
      <w:numFmt w:val="bullet"/>
      <w:lvlText w:val="•"/>
      <w:lvlJc w:val="left"/>
      <w:pPr>
        <w:ind w:left="4730" w:hanging="343"/>
      </w:pPr>
      <w:rPr>
        <w:rFonts w:hint="default"/>
        <w:lang w:val="en-US" w:eastAsia="en-US" w:bidi="ar-SA"/>
      </w:rPr>
    </w:lvl>
    <w:lvl w:ilvl="6">
      <w:start w:val="0"/>
      <w:numFmt w:val="bullet"/>
      <w:lvlText w:val="•"/>
      <w:lvlJc w:val="left"/>
      <w:pPr>
        <w:ind w:left="5644" w:hanging="343"/>
      </w:pPr>
      <w:rPr>
        <w:rFonts w:hint="default"/>
        <w:lang w:val="en-US" w:eastAsia="en-US" w:bidi="ar-SA"/>
      </w:rPr>
    </w:lvl>
    <w:lvl w:ilvl="7">
      <w:start w:val="0"/>
      <w:numFmt w:val="bullet"/>
      <w:lvlText w:val="•"/>
      <w:lvlJc w:val="left"/>
      <w:pPr>
        <w:ind w:left="6558" w:hanging="343"/>
      </w:pPr>
      <w:rPr>
        <w:rFonts w:hint="default"/>
        <w:lang w:val="en-US" w:eastAsia="en-US" w:bidi="ar-SA"/>
      </w:rPr>
    </w:lvl>
    <w:lvl w:ilvl="8">
      <w:start w:val="0"/>
      <w:numFmt w:val="bullet"/>
      <w:lvlText w:val="•"/>
      <w:lvlJc w:val="left"/>
      <w:pPr>
        <w:ind w:left="7472" w:hanging="343"/>
      </w:pPr>
      <w:rPr>
        <w:rFonts w:hint="default"/>
        <w:lang w:val="en-US" w:eastAsia="en-US" w:bidi="ar-SA"/>
      </w:rPr>
    </w:lvl>
  </w:abstractNum>
  <w:abstractNum w:abstractNumId="52">
    <w:multiLevelType w:val="hybridMultilevel"/>
    <w:lvl w:ilvl="0">
      <w:start w:val="1"/>
      <w:numFmt w:val="decimal"/>
      <w:lvlText w:val="(%1)"/>
      <w:lvlJc w:val="left"/>
      <w:pPr>
        <w:ind w:left="160" w:hanging="34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7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160" w:hanging="31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311"/>
      </w:pPr>
      <w:rPr>
        <w:rFonts w:hint="default"/>
        <w:lang w:val="en-US" w:eastAsia="en-US" w:bidi="ar-SA"/>
      </w:rPr>
    </w:lvl>
    <w:lvl w:ilvl="4">
      <w:start w:val="0"/>
      <w:numFmt w:val="bullet"/>
      <w:lvlText w:val="•"/>
      <w:lvlJc w:val="left"/>
      <w:pPr>
        <w:ind w:left="3816" w:hanging="311"/>
      </w:pPr>
      <w:rPr>
        <w:rFonts w:hint="default"/>
        <w:lang w:val="en-US" w:eastAsia="en-US" w:bidi="ar-SA"/>
      </w:rPr>
    </w:lvl>
    <w:lvl w:ilvl="5">
      <w:start w:val="0"/>
      <w:numFmt w:val="bullet"/>
      <w:lvlText w:val="•"/>
      <w:lvlJc w:val="left"/>
      <w:pPr>
        <w:ind w:left="4730" w:hanging="311"/>
      </w:pPr>
      <w:rPr>
        <w:rFonts w:hint="default"/>
        <w:lang w:val="en-US" w:eastAsia="en-US" w:bidi="ar-SA"/>
      </w:rPr>
    </w:lvl>
    <w:lvl w:ilvl="6">
      <w:start w:val="0"/>
      <w:numFmt w:val="bullet"/>
      <w:lvlText w:val="•"/>
      <w:lvlJc w:val="left"/>
      <w:pPr>
        <w:ind w:left="5644" w:hanging="311"/>
      </w:pPr>
      <w:rPr>
        <w:rFonts w:hint="default"/>
        <w:lang w:val="en-US" w:eastAsia="en-US" w:bidi="ar-SA"/>
      </w:rPr>
    </w:lvl>
    <w:lvl w:ilvl="7">
      <w:start w:val="0"/>
      <w:numFmt w:val="bullet"/>
      <w:lvlText w:val="•"/>
      <w:lvlJc w:val="left"/>
      <w:pPr>
        <w:ind w:left="6558" w:hanging="311"/>
      </w:pPr>
      <w:rPr>
        <w:rFonts w:hint="default"/>
        <w:lang w:val="en-US" w:eastAsia="en-US" w:bidi="ar-SA"/>
      </w:rPr>
    </w:lvl>
    <w:lvl w:ilvl="8">
      <w:start w:val="0"/>
      <w:numFmt w:val="bullet"/>
      <w:lvlText w:val="•"/>
      <w:lvlJc w:val="left"/>
      <w:pPr>
        <w:ind w:left="7472" w:hanging="311"/>
      </w:pPr>
      <w:rPr>
        <w:rFonts w:hint="default"/>
        <w:lang w:val="en-US" w:eastAsia="en-US" w:bidi="ar-SA"/>
      </w:rPr>
    </w:lvl>
  </w:abstractNum>
  <w:abstractNum w:abstractNumId="51">
    <w:multiLevelType w:val="hybridMultilevel"/>
    <w:lvl w:ilvl="0">
      <w:start w:val="1"/>
      <w:numFmt w:val="decimal"/>
      <w:lvlText w:val="(%1)"/>
      <w:lvlJc w:val="left"/>
      <w:pPr>
        <w:ind w:left="160" w:hanging="3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5"/>
      </w:pPr>
      <w:rPr>
        <w:rFonts w:hint="default"/>
        <w:lang w:val="en-US" w:eastAsia="en-US" w:bidi="ar-SA"/>
      </w:rPr>
    </w:lvl>
    <w:lvl w:ilvl="2">
      <w:start w:val="0"/>
      <w:numFmt w:val="bullet"/>
      <w:lvlText w:val="•"/>
      <w:lvlJc w:val="left"/>
      <w:pPr>
        <w:ind w:left="1988" w:hanging="345"/>
      </w:pPr>
      <w:rPr>
        <w:rFonts w:hint="default"/>
        <w:lang w:val="en-US" w:eastAsia="en-US" w:bidi="ar-SA"/>
      </w:rPr>
    </w:lvl>
    <w:lvl w:ilvl="3">
      <w:start w:val="0"/>
      <w:numFmt w:val="bullet"/>
      <w:lvlText w:val="•"/>
      <w:lvlJc w:val="left"/>
      <w:pPr>
        <w:ind w:left="2902" w:hanging="345"/>
      </w:pPr>
      <w:rPr>
        <w:rFonts w:hint="default"/>
        <w:lang w:val="en-US" w:eastAsia="en-US" w:bidi="ar-SA"/>
      </w:rPr>
    </w:lvl>
    <w:lvl w:ilvl="4">
      <w:start w:val="0"/>
      <w:numFmt w:val="bullet"/>
      <w:lvlText w:val="•"/>
      <w:lvlJc w:val="left"/>
      <w:pPr>
        <w:ind w:left="3816" w:hanging="345"/>
      </w:pPr>
      <w:rPr>
        <w:rFonts w:hint="default"/>
        <w:lang w:val="en-US" w:eastAsia="en-US" w:bidi="ar-SA"/>
      </w:rPr>
    </w:lvl>
    <w:lvl w:ilvl="5">
      <w:start w:val="0"/>
      <w:numFmt w:val="bullet"/>
      <w:lvlText w:val="•"/>
      <w:lvlJc w:val="left"/>
      <w:pPr>
        <w:ind w:left="4730" w:hanging="345"/>
      </w:pPr>
      <w:rPr>
        <w:rFonts w:hint="default"/>
        <w:lang w:val="en-US" w:eastAsia="en-US" w:bidi="ar-SA"/>
      </w:rPr>
    </w:lvl>
    <w:lvl w:ilvl="6">
      <w:start w:val="0"/>
      <w:numFmt w:val="bullet"/>
      <w:lvlText w:val="•"/>
      <w:lvlJc w:val="left"/>
      <w:pPr>
        <w:ind w:left="5644" w:hanging="345"/>
      </w:pPr>
      <w:rPr>
        <w:rFonts w:hint="default"/>
        <w:lang w:val="en-US" w:eastAsia="en-US" w:bidi="ar-SA"/>
      </w:rPr>
    </w:lvl>
    <w:lvl w:ilvl="7">
      <w:start w:val="0"/>
      <w:numFmt w:val="bullet"/>
      <w:lvlText w:val="•"/>
      <w:lvlJc w:val="left"/>
      <w:pPr>
        <w:ind w:left="6558" w:hanging="345"/>
      </w:pPr>
      <w:rPr>
        <w:rFonts w:hint="default"/>
        <w:lang w:val="en-US" w:eastAsia="en-US" w:bidi="ar-SA"/>
      </w:rPr>
    </w:lvl>
    <w:lvl w:ilvl="8">
      <w:start w:val="0"/>
      <w:numFmt w:val="bullet"/>
      <w:lvlText w:val="•"/>
      <w:lvlJc w:val="left"/>
      <w:pPr>
        <w:ind w:left="7472" w:hanging="345"/>
      </w:pPr>
      <w:rPr>
        <w:rFonts w:hint="default"/>
        <w:lang w:val="en-US" w:eastAsia="en-US" w:bidi="ar-SA"/>
      </w:rPr>
    </w:lvl>
  </w:abstractNum>
  <w:abstractNum w:abstractNumId="50">
    <w:multiLevelType w:val="hybridMultilevel"/>
    <w:lvl w:ilvl="0">
      <w:start w:val="1"/>
      <w:numFmt w:val="decimal"/>
      <w:lvlText w:val="(%1)"/>
      <w:lvlJc w:val="left"/>
      <w:pPr>
        <w:ind w:left="1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42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421"/>
      </w:pPr>
      <w:rPr>
        <w:rFonts w:hint="default"/>
        <w:lang w:val="en-US" w:eastAsia="en-US" w:bidi="ar-SA"/>
      </w:rPr>
    </w:lvl>
    <w:lvl w:ilvl="3">
      <w:start w:val="0"/>
      <w:numFmt w:val="bullet"/>
      <w:lvlText w:val="•"/>
      <w:lvlJc w:val="left"/>
      <w:pPr>
        <w:ind w:left="2902" w:hanging="421"/>
      </w:pPr>
      <w:rPr>
        <w:rFonts w:hint="default"/>
        <w:lang w:val="en-US" w:eastAsia="en-US" w:bidi="ar-SA"/>
      </w:rPr>
    </w:lvl>
    <w:lvl w:ilvl="4">
      <w:start w:val="0"/>
      <w:numFmt w:val="bullet"/>
      <w:lvlText w:val="•"/>
      <w:lvlJc w:val="left"/>
      <w:pPr>
        <w:ind w:left="3816" w:hanging="421"/>
      </w:pPr>
      <w:rPr>
        <w:rFonts w:hint="default"/>
        <w:lang w:val="en-US" w:eastAsia="en-US" w:bidi="ar-SA"/>
      </w:rPr>
    </w:lvl>
    <w:lvl w:ilvl="5">
      <w:start w:val="0"/>
      <w:numFmt w:val="bullet"/>
      <w:lvlText w:val="•"/>
      <w:lvlJc w:val="left"/>
      <w:pPr>
        <w:ind w:left="4730" w:hanging="421"/>
      </w:pPr>
      <w:rPr>
        <w:rFonts w:hint="default"/>
        <w:lang w:val="en-US" w:eastAsia="en-US" w:bidi="ar-SA"/>
      </w:rPr>
    </w:lvl>
    <w:lvl w:ilvl="6">
      <w:start w:val="0"/>
      <w:numFmt w:val="bullet"/>
      <w:lvlText w:val="•"/>
      <w:lvlJc w:val="left"/>
      <w:pPr>
        <w:ind w:left="5644" w:hanging="421"/>
      </w:pPr>
      <w:rPr>
        <w:rFonts w:hint="default"/>
        <w:lang w:val="en-US" w:eastAsia="en-US" w:bidi="ar-SA"/>
      </w:rPr>
    </w:lvl>
    <w:lvl w:ilvl="7">
      <w:start w:val="0"/>
      <w:numFmt w:val="bullet"/>
      <w:lvlText w:val="•"/>
      <w:lvlJc w:val="left"/>
      <w:pPr>
        <w:ind w:left="6558" w:hanging="421"/>
      </w:pPr>
      <w:rPr>
        <w:rFonts w:hint="default"/>
        <w:lang w:val="en-US" w:eastAsia="en-US" w:bidi="ar-SA"/>
      </w:rPr>
    </w:lvl>
    <w:lvl w:ilvl="8">
      <w:start w:val="0"/>
      <w:numFmt w:val="bullet"/>
      <w:lvlText w:val="•"/>
      <w:lvlJc w:val="left"/>
      <w:pPr>
        <w:ind w:left="7472" w:hanging="421"/>
      </w:pPr>
      <w:rPr>
        <w:rFonts w:hint="default"/>
        <w:lang w:val="en-US" w:eastAsia="en-US" w:bidi="ar-SA"/>
      </w:rPr>
    </w:lvl>
  </w:abstractNum>
  <w:abstractNum w:abstractNumId="49">
    <w:multiLevelType w:val="hybridMultilevel"/>
    <w:lvl w:ilvl="0">
      <w:start w:val="3"/>
      <w:numFmt w:val="decimal"/>
      <w:lvlText w:val="(%1)"/>
      <w:lvlJc w:val="left"/>
      <w:pPr>
        <w:ind w:left="160" w:hanging="4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01"/>
      </w:pPr>
      <w:rPr>
        <w:rFonts w:hint="default"/>
        <w:lang w:val="en-US" w:eastAsia="en-US" w:bidi="ar-SA"/>
      </w:rPr>
    </w:lvl>
    <w:lvl w:ilvl="2">
      <w:start w:val="0"/>
      <w:numFmt w:val="bullet"/>
      <w:lvlText w:val="•"/>
      <w:lvlJc w:val="left"/>
      <w:pPr>
        <w:ind w:left="1988" w:hanging="401"/>
      </w:pPr>
      <w:rPr>
        <w:rFonts w:hint="default"/>
        <w:lang w:val="en-US" w:eastAsia="en-US" w:bidi="ar-SA"/>
      </w:rPr>
    </w:lvl>
    <w:lvl w:ilvl="3">
      <w:start w:val="0"/>
      <w:numFmt w:val="bullet"/>
      <w:lvlText w:val="•"/>
      <w:lvlJc w:val="left"/>
      <w:pPr>
        <w:ind w:left="2902" w:hanging="401"/>
      </w:pPr>
      <w:rPr>
        <w:rFonts w:hint="default"/>
        <w:lang w:val="en-US" w:eastAsia="en-US" w:bidi="ar-SA"/>
      </w:rPr>
    </w:lvl>
    <w:lvl w:ilvl="4">
      <w:start w:val="0"/>
      <w:numFmt w:val="bullet"/>
      <w:lvlText w:val="•"/>
      <w:lvlJc w:val="left"/>
      <w:pPr>
        <w:ind w:left="3816" w:hanging="401"/>
      </w:pPr>
      <w:rPr>
        <w:rFonts w:hint="default"/>
        <w:lang w:val="en-US" w:eastAsia="en-US" w:bidi="ar-SA"/>
      </w:rPr>
    </w:lvl>
    <w:lvl w:ilvl="5">
      <w:start w:val="0"/>
      <w:numFmt w:val="bullet"/>
      <w:lvlText w:val="•"/>
      <w:lvlJc w:val="left"/>
      <w:pPr>
        <w:ind w:left="4730" w:hanging="401"/>
      </w:pPr>
      <w:rPr>
        <w:rFonts w:hint="default"/>
        <w:lang w:val="en-US" w:eastAsia="en-US" w:bidi="ar-SA"/>
      </w:rPr>
    </w:lvl>
    <w:lvl w:ilvl="6">
      <w:start w:val="0"/>
      <w:numFmt w:val="bullet"/>
      <w:lvlText w:val="•"/>
      <w:lvlJc w:val="left"/>
      <w:pPr>
        <w:ind w:left="5644" w:hanging="401"/>
      </w:pPr>
      <w:rPr>
        <w:rFonts w:hint="default"/>
        <w:lang w:val="en-US" w:eastAsia="en-US" w:bidi="ar-SA"/>
      </w:rPr>
    </w:lvl>
    <w:lvl w:ilvl="7">
      <w:start w:val="0"/>
      <w:numFmt w:val="bullet"/>
      <w:lvlText w:val="•"/>
      <w:lvlJc w:val="left"/>
      <w:pPr>
        <w:ind w:left="6558" w:hanging="401"/>
      </w:pPr>
      <w:rPr>
        <w:rFonts w:hint="default"/>
        <w:lang w:val="en-US" w:eastAsia="en-US" w:bidi="ar-SA"/>
      </w:rPr>
    </w:lvl>
    <w:lvl w:ilvl="8">
      <w:start w:val="0"/>
      <w:numFmt w:val="bullet"/>
      <w:lvlText w:val="•"/>
      <w:lvlJc w:val="left"/>
      <w:pPr>
        <w:ind w:left="7472" w:hanging="401"/>
      </w:pPr>
      <w:rPr>
        <w:rFonts w:hint="default"/>
        <w:lang w:val="en-US" w:eastAsia="en-US" w:bidi="ar-SA"/>
      </w:rPr>
    </w:lvl>
  </w:abstractNum>
  <w:abstractNum w:abstractNumId="48">
    <w:multiLevelType w:val="hybridMultilevel"/>
    <w:lvl w:ilvl="0">
      <w:start w:val="1"/>
      <w:numFmt w:val="decimal"/>
      <w:lvlText w:val="(%1)"/>
      <w:lvlJc w:val="left"/>
      <w:pPr>
        <w:ind w:left="560"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531" w:hanging="540"/>
      </w:pPr>
      <w:rPr>
        <w:rFonts w:hint="default"/>
        <w:lang w:val="en-US" w:eastAsia="en-US" w:bidi="ar-SA"/>
      </w:rPr>
    </w:lvl>
    <w:lvl w:ilvl="3">
      <w:start w:val="0"/>
      <w:numFmt w:val="bullet"/>
      <w:lvlText w:val="•"/>
      <w:lvlJc w:val="left"/>
      <w:pPr>
        <w:ind w:left="2502" w:hanging="540"/>
      </w:pPr>
      <w:rPr>
        <w:rFonts w:hint="default"/>
        <w:lang w:val="en-US" w:eastAsia="en-US" w:bidi="ar-SA"/>
      </w:rPr>
    </w:lvl>
    <w:lvl w:ilvl="4">
      <w:start w:val="0"/>
      <w:numFmt w:val="bullet"/>
      <w:lvlText w:val="•"/>
      <w:lvlJc w:val="left"/>
      <w:pPr>
        <w:ind w:left="3473" w:hanging="540"/>
      </w:pPr>
      <w:rPr>
        <w:rFonts w:hint="default"/>
        <w:lang w:val="en-US" w:eastAsia="en-US" w:bidi="ar-SA"/>
      </w:rPr>
    </w:lvl>
    <w:lvl w:ilvl="5">
      <w:start w:val="0"/>
      <w:numFmt w:val="bullet"/>
      <w:lvlText w:val="•"/>
      <w:lvlJc w:val="left"/>
      <w:pPr>
        <w:ind w:left="4444" w:hanging="540"/>
      </w:pPr>
      <w:rPr>
        <w:rFonts w:hint="default"/>
        <w:lang w:val="en-US" w:eastAsia="en-US" w:bidi="ar-SA"/>
      </w:rPr>
    </w:lvl>
    <w:lvl w:ilvl="6">
      <w:start w:val="0"/>
      <w:numFmt w:val="bullet"/>
      <w:lvlText w:val="•"/>
      <w:lvlJc w:val="left"/>
      <w:pPr>
        <w:ind w:left="5415" w:hanging="540"/>
      </w:pPr>
      <w:rPr>
        <w:rFonts w:hint="default"/>
        <w:lang w:val="en-US" w:eastAsia="en-US" w:bidi="ar-SA"/>
      </w:rPr>
    </w:lvl>
    <w:lvl w:ilvl="7">
      <w:start w:val="0"/>
      <w:numFmt w:val="bullet"/>
      <w:lvlText w:val="•"/>
      <w:lvlJc w:val="left"/>
      <w:pPr>
        <w:ind w:left="6386" w:hanging="540"/>
      </w:pPr>
      <w:rPr>
        <w:rFonts w:hint="default"/>
        <w:lang w:val="en-US" w:eastAsia="en-US" w:bidi="ar-SA"/>
      </w:rPr>
    </w:lvl>
    <w:lvl w:ilvl="8">
      <w:start w:val="0"/>
      <w:numFmt w:val="bullet"/>
      <w:lvlText w:val="•"/>
      <w:lvlJc w:val="left"/>
      <w:pPr>
        <w:ind w:left="7357" w:hanging="540"/>
      </w:pPr>
      <w:rPr>
        <w:rFonts w:hint="default"/>
        <w:lang w:val="en-US" w:eastAsia="en-US" w:bidi="ar-SA"/>
      </w:rPr>
    </w:lvl>
  </w:abstractNum>
  <w:abstractNum w:abstractNumId="47">
    <w:multiLevelType w:val="hybridMultilevel"/>
    <w:lvl w:ilvl="0">
      <w:start w:val="1"/>
      <w:numFmt w:val="decimal"/>
      <w:lvlText w:val="(%1)"/>
      <w:lvlJc w:val="left"/>
      <w:pPr>
        <w:ind w:left="160" w:hanging="36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7"/>
      </w:pPr>
      <w:rPr>
        <w:rFonts w:hint="default"/>
        <w:lang w:val="en-US" w:eastAsia="en-US" w:bidi="ar-SA"/>
      </w:rPr>
    </w:lvl>
    <w:lvl w:ilvl="2">
      <w:start w:val="0"/>
      <w:numFmt w:val="bullet"/>
      <w:lvlText w:val="•"/>
      <w:lvlJc w:val="left"/>
      <w:pPr>
        <w:ind w:left="1988" w:hanging="367"/>
      </w:pPr>
      <w:rPr>
        <w:rFonts w:hint="default"/>
        <w:lang w:val="en-US" w:eastAsia="en-US" w:bidi="ar-SA"/>
      </w:rPr>
    </w:lvl>
    <w:lvl w:ilvl="3">
      <w:start w:val="0"/>
      <w:numFmt w:val="bullet"/>
      <w:lvlText w:val="•"/>
      <w:lvlJc w:val="left"/>
      <w:pPr>
        <w:ind w:left="2902" w:hanging="367"/>
      </w:pPr>
      <w:rPr>
        <w:rFonts w:hint="default"/>
        <w:lang w:val="en-US" w:eastAsia="en-US" w:bidi="ar-SA"/>
      </w:rPr>
    </w:lvl>
    <w:lvl w:ilvl="4">
      <w:start w:val="0"/>
      <w:numFmt w:val="bullet"/>
      <w:lvlText w:val="•"/>
      <w:lvlJc w:val="left"/>
      <w:pPr>
        <w:ind w:left="3816" w:hanging="367"/>
      </w:pPr>
      <w:rPr>
        <w:rFonts w:hint="default"/>
        <w:lang w:val="en-US" w:eastAsia="en-US" w:bidi="ar-SA"/>
      </w:rPr>
    </w:lvl>
    <w:lvl w:ilvl="5">
      <w:start w:val="0"/>
      <w:numFmt w:val="bullet"/>
      <w:lvlText w:val="•"/>
      <w:lvlJc w:val="left"/>
      <w:pPr>
        <w:ind w:left="4730" w:hanging="367"/>
      </w:pPr>
      <w:rPr>
        <w:rFonts w:hint="default"/>
        <w:lang w:val="en-US" w:eastAsia="en-US" w:bidi="ar-SA"/>
      </w:rPr>
    </w:lvl>
    <w:lvl w:ilvl="6">
      <w:start w:val="0"/>
      <w:numFmt w:val="bullet"/>
      <w:lvlText w:val="•"/>
      <w:lvlJc w:val="left"/>
      <w:pPr>
        <w:ind w:left="5644" w:hanging="367"/>
      </w:pPr>
      <w:rPr>
        <w:rFonts w:hint="default"/>
        <w:lang w:val="en-US" w:eastAsia="en-US" w:bidi="ar-SA"/>
      </w:rPr>
    </w:lvl>
    <w:lvl w:ilvl="7">
      <w:start w:val="0"/>
      <w:numFmt w:val="bullet"/>
      <w:lvlText w:val="•"/>
      <w:lvlJc w:val="left"/>
      <w:pPr>
        <w:ind w:left="6558" w:hanging="367"/>
      </w:pPr>
      <w:rPr>
        <w:rFonts w:hint="default"/>
        <w:lang w:val="en-US" w:eastAsia="en-US" w:bidi="ar-SA"/>
      </w:rPr>
    </w:lvl>
    <w:lvl w:ilvl="8">
      <w:start w:val="0"/>
      <w:numFmt w:val="bullet"/>
      <w:lvlText w:val="•"/>
      <w:lvlJc w:val="left"/>
      <w:pPr>
        <w:ind w:left="7472" w:hanging="367"/>
      </w:pPr>
      <w:rPr>
        <w:rFonts w:hint="default"/>
        <w:lang w:val="en-US" w:eastAsia="en-US" w:bidi="ar-SA"/>
      </w:rPr>
    </w:lvl>
  </w:abstractNum>
  <w:abstractNum w:abstractNumId="46">
    <w:multiLevelType w:val="hybridMultilevel"/>
    <w:lvl w:ilvl="0">
      <w:start w:val="3"/>
      <w:numFmt w:val="decimal"/>
      <w:lvlText w:val="%1"/>
      <w:lvlJc w:val="left"/>
      <w:pPr>
        <w:ind w:left="160" w:hanging="496"/>
        <w:jc w:val="left"/>
      </w:pPr>
      <w:rPr>
        <w:rFonts w:hint="default"/>
        <w:lang w:val="en-US" w:eastAsia="en-US" w:bidi="ar-SA"/>
      </w:rPr>
    </w:lvl>
    <w:lvl w:ilvl="1">
      <w:start w:val="10"/>
      <w:numFmt w:val="decimal"/>
      <w:lvlText w:val="%1.%2"/>
      <w:lvlJc w:val="left"/>
      <w:pPr>
        <w:ind w:left="160" w:hanging="496"/>
        <w:jc w:val="left"/>
      </w:pPr>
      <w:rPr>
        <w:rFonts w:hint="default"/>
        <w:spacing w:val="0"/>
        <w:w w:val="100"/>
        <w:lang w:val="en-US" w:eastAsia="en-US" w:bidi="ar-SA"/>
      </w:rPr>
    </w:lvl>
    <w:lvl w:ilvl="2">
      <w:start w:val="0"/>
      <w:numFmt w:val="bullet"/>
      <w:lvlText w:val="-"/>
      <w:lvlJc w:val="left"/>
      <w:pPr>
        <w:ind w:left="1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140"/>
      </w:pPr>
      <w:rPr>
        <w:rFonts w:hint="default"/>
        <w:lang w:val="en-US" w:eastAsia="en-US" w:bidi="ar-SA"/>
      </w:rPr>
    </w:lvl>
    <w:lvl w:ilvl="4">
      <w:start w:val="0"/>
      <w:numFmt w:val="bullet"/>
      <w:lvlText w:val="•"/>
      <w:lvlJc w:val="left"/>
      <w:pPr>
        <w:ind w:left="3816" w:hanging="140"/>
      </w:pPr>
      <w:rPr>
        <w:rFonts w:hint="default"/>
        <w:lang w:val="en-US" w:eastAsia="en-US" w:bidi="ar-SA"/>
      </w:rPr>
    </w:lvl>
    <w:lvl w:ilvl="5">
      <w:start w:val="0"/>
      <w:numFmt w:val="bullet"/>
      <w:lvlText w:val="•"/>
      <w:lvlJc w:val="left"/>
      <w:pPr>
        <w:ind w:left="4730" w:hanging="140"/>
      </w:pPr>
      <w:rPr>
        <w:rFonts w:hint="default"/>
        <w:lang w:val="en-US" w:eastAsia="en-US" w:bidi="ar-SA"/>
      </w:rPr>
    </w:lvl>
    <w:lvl w:ilvl="6">
      <w:start w:val="0"/>
      <w:numFmt w:val="bullet"/>
      <w:lvlText w:val="•"/>
      <w:lvlJc w:val="left"/>
      <w:pPr>
        <w:ind w:left="5644" w:hanging="140"/>
      </w:pPr>
      <w:rPr>
        <w:rFonts w:hint="default"/>
        <w:lang w:val="en-US" w:eastAsia="en-US" w:bidi="ar-SA"/>
      </w:rPr>
    </w:lvl>
    <w:lvl w:ilvl="7">
      <w:start w:val="0"/>
      <w:numFmt w:val="bullet"/>
      <w:lvlText w:val="•"/>
      <w:lvlJc w:val="left"/>
      <w:pPr>
        <w:ind w:left="6558" w:hanging="140"/>
      </w:pPr>
      <w:rPr>
        <w:rFonts w:hint="default"/>
        <w:lang w:val="en-US" w:eastAsia="en-US" w:bidi="ar-SA"/>
      </w:rPr>
    </w:lvl>
    <w:lvl w:ilvl="8">
      <w:start w:val="0"/>
      <w:numFmt w:val="bullet"/>
      <w:lvlText w:val="•"/>
      <w:lvlJc w:val="left"/>
      <w:pPr>
        <w:ind w:left="7472" w:hanging="140"/>
      </w:pPr>
      <w:rPr>
        <w:rFonts w:hint="default"/>
        <w:lang w:val="en-US" w:eastAsia="en-US" w:bidi="ar-SA"/>
      </w:rPr>
    </w:lvl>
  </w:abstractNum>
  <w:abstractNum w:abstractNumId="45">
    <w:multiLevelType w:val="hybridMultilevel"/>
    <w:lvl w:ilvl="0">
      <w:start w:val="1"/>
      <w:numFmt w:val="decimal"/>
      <w:lvlText w:val="(%1)"/>
      <w:lvlJc w:val="left"/>
      <w:pPr>
        <w:ind w:left="160" w:hanging="3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5"/>
      </w:pPr>
      <w:rPr>
        <w:rFonts w:hint="default"/>
        <w:lang w:val="en-US" w:eastAsia="en-US" w:bidi="ar-SA"/>
      </w:rPr>
    </w:lvl>
    <w:lvl w:ilvl="2">
      <w:start w:val="0"/>
      <w:numFmt w:val="bullet"/>
      <w:lvlText w:val="•"/>
      <w:lvlJc w:val="left"/>
      <w:pPr>
        <w:ind w:left="1988" w:hanging="345"/>
      </w:pPr>
      <w:rPr>
        <w:rFonts w:hint="default"/>
        <w:lang w:val="en-US" w:eastAsia="en-US" w:bidi="ar-SA"/>
      </w:rPr>
    </w:lvl>
    <w:lvl w:ilvl="3">
      <w:start w:val="0"/>
      <w:numFmt w:val="bullet"/>
      <w:lvlText w:val="•"/>
      <w:lvlJc w:val="left"/>
      <w:pPr>
        <w:ind w:left="2902" w:hanging="345"/>
      </w:pPr>
      <w:rPr>
        <w:rFonts w:hint="default"/>
        <w:lang w:val="en-US" w:eastAsia="en-US" w:bidi="ar-SA"/>
      </w:rPr>
    </w:lvl>
    <w:lvl w:ilvl="4">
      <w:start w:val="0"/>
      <w:numFmt w:val="bullet"/>
      <w:lvlText w:val="•"/>
      <w:lvlJc w:val="left"/>
      <w:pPr>
        <w:ind w:left="3816" w:hanging="345"/>
      </w:pPr>
      <w:rPr>
        <w:rFonts w:hint="default"/>
        <w:lang w:val="en-US" w:eastAsia="en-US" w:bidi="ar-SA"/>
      </w:rPr>
    </w:lvl>
    <w:lvl w:ilvl="5">
      <w:start w:val="0"/>
      <w:numFmt w:val="bullet"/>
      <w:lvlText w:val="•"/>
      <w:lvlJc w:val="left"/>
      <w:pPr>
        <w:ind w:left="4730" w:hanging="345"/>
      </w:pPr>
      <w:rPr>
        <w:rFonts w:hint="default"/>
        <w:lang w:val="en-US" w:eastAsia="en-US" w:bidi="ar-SA"/>
      </w:rPr>
    </w:lvl>
    <w:lvl w:ilvl="6">
      <w:start w:val="0"/>
      <w:numFmt w:val="bullet"/>
      <w:lvlText w:val="•"/>
      <w:lvlJc w:val="left"/>
      <w:pPr>
        <w:ind w:left="5644" w:hanging="345"/>
      </w:pPr>
      <w:rPr>
        <w:rFonts w:hint="default"/>
        <w:lang w:val="en-US" w:eastAsia="en-US" w:bidi="ar-SA"/>
      </w:rPr>
    </w:lvl>
    <w:lvl w:ilvl="7">
      <w:start w:val="0"/>
      <w:numFmt w:val="bullet"/>
      <w:lvlText w:val="•"/>
      <w:lvlJc w:val="left"/>
      <w:pPr>
        <w:ind w:left="6558" w:hanging="345"/>
      </w:pPr>
      <w:rPr>
        <w:rFonts w:hint="default"/>
        <w:lang w:val="en-US" w:eastAsia="en-US" w:bidi="ar-SA"/>
      </w:rPr>
    </w:lvl>
    <w:lvl w:ilvl="8">
      <w:start w:val="0"/>
      <w:numFmt w:val="bullet"/>
      <w:lvlText w:val="•"/>
      <w:lvlJc w:val="left"/>
      <w:pPr>
        <w:ind w:left="7472" w:hanging="345"/>
      </w:pPr>
      <w:rPr>
        <w:rFonts w:hint="default"/>
        <w:lang w:val="en-US" w:eastAsia="en-US" w:bidi="ar-SA"/>
      </w:rPr>
    </w:lvl>
  </w:abstractNum>
  <w:abstractNum w:abstractNumId="44">
    <w:multiLevelType w:val="hybridMultilevel"/>
    <w:lvl w:ilvl="0">
      <w:start w:val="1"/>
      <w:numFmt w:val="decimal"/>
      <w:lvlText w:val="(%1)"/>
      <w:lvlJc w:val="left"/>
      <w:pPr>
        <w:ind w:left="160" w:hanging="40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07"/>
      </w:pPr>
      <w:rPr>
        <w:rFonts w:hint="default"/>
        <w:lang w:val="en-US" w:eastAsia="en-US" w:bidi="ar-SA"/>
      </w:rPr>
    </w:lvl>
    <w:lvl w:ilvl="2">
      <w:start w:val="0"/>
      <w:numFmt w:val="bullet"/>
      <w:lvlText w:val="•"/>
      <w:lvlJc w:val="left"/>
      <w:pPr>
        <w:ind w:left="1988" w:hanging="407"/>
      </w:pPr>
      <w:rPr>
        <w:rFonts w:hint="default"/>
        <w:lang w:val="en-US" w:eastAsia="en-US" w:bidi="ar-SA"/>
      </w:rPr>
    </w:lvl>
    <w:lvl w:ilvl="3">
      <w:start w:val="0"/>
      <w:numFmt w:val="bullet"/>
      <w:lvlText w:val="•"/>
      <w:lvlJc w:val="left"/>
      <w:pPr>
        <w:ind w:left="2902" w:hanging="407"/>
      </w:pPr>
      <w:rPr>
        <w:rFonts w:hint="default"/>
        <w:lang w:val="en-US" w:eastAsia="en-US" w:bidi="ar-SA"/>
      </w:rPr>
    </w:lvl>
    <w:lvl w:ilvl="4">
      <w:start w:val="0"/>
      <w:numFmt w:val="bullet"/>
      <w:lvlText w:val="•"/>
      <w:lvlJc w:val="left"/>
      <w:pPr>
        <w:ind w:left="3816" w:hanging="407"/>
      </w:pPr>
      <w:rPr>
        <w:rFonts w:hint="default"/>
        <w:lang w:val="en-US" w:eastAsia="en-US" w:bidi="ar-SA"/>
      </w:rPr>
    </w:lvl>
    <w:lvl w:ilvl="5">
      <w:start w:val="0"/>
      <w:numFmt w:val="bullet"/>
      <w:lvlText w:val="•"/>
      <w:lvlJc w:val="left"/>
      <w:pPr>
        <w:ind w:left="4730" w:hanging="407"/>
      </w:pPr>
      <w:rPr>
        <w:rFonts w:hint="default"/>
        <w:lang w:val="en-US" w:eastAsia="en-US" w:bidi="ar-SA"/>
      </w:rPr>
    </w:lvl>
    <w:lvl w:ilvl="6">
      <w:start w:val="0"/>
      <w:numFmt w:val="bullet"/>
      <w:lvlText w:val="•"/>
      <w:lvlJc w:val="left"/>
      <w:pPr>
        <w:ind w:left="5644" w:hanging="407"/>
      </w:pPr>
      <w:rPr>
        <w:rFonts w:hint="default"/>
        <w:lang w:val="en-US" w:eastAsia="en-US" w:bidi="ar-SA"/>
      </w:rPr>
    </w:lvl>
    <w:lvl w:ilvl="7">
      <w:start w:val="0"/>
      <w:numFmt w:val="bullet"/>
      <w:lvlText w:val="•"/>
      <w:lvlJc w:val="left"/>
      <w:pPr>
        <w:ind w:left="6558" w:hanging="407"/>
      </w:pPr>
      <w:rPr>
        <w:rFonts w:hint="default"/>
        <w:lang w:val="en-US" w:eastAsia="en-US" w:bidi="ar-SA"/>
      </w:rPr>
    </w:lvl>
    <w:lvl w:ilvl="8">
      <w:start w:val="0"/>
      <w:numFmt w:val="bullet"/>
      <w:lvlText w:val="•"/>
      <w:lvlJc w:val="left"/>
      <w:pPr>
        <w:ind w:left="7472" w:hanging="407"/>
      </w:pPr>
      <w:rPr>
        <w:rFonts w:hint="default"/>
        <w:lang w:val="en-US" w:eastAsia="en-US" w:bidi="ar-SA"/>
      </w:rPr>
    </w:lvl>
  </w:abstractNum>
  <w:abstractNum w:abstractNumId="43">
    <w:multiLevelType w:val="hybridMultilevel"/>
    <w:lvl w:ilvl="0">
      <w:start w:val="3"/>
      <w:numFmt w:val="decimal"/>
      <w:lvlText w:val="%1"/>
      <w:lvlJc w:val="left"/>
      <w:pPr>
        <w:ind w:left="160" w:hanging="560"/>
        <w:jc w:val="left"/>
      </w:pPr>
      <w:rPr>
        <w:rFonts w:hint="default"/>
        <w:lang w:val="en-US" w:eastAsia="en-US" w:bidi="ar-SA"/>
      </w:rPr>
    </w:lvl>
    <w:lvl w:ilvl="1">
      <w:start w:val="1"/>
      <w:numFmt w:val="decimalZero"/>
      <w:lvlText w:val="%1.%2"/>
      <w:lvlJc w:val="left"/>
      <w:pPr>
        <w:ind w:left="160" w:hanging="560"/>
        <w:jc w:val="left"/>
      </w:pPr>
      <w:rPr>
        <w:rFonts w:hint="default"/>
        <w:spacing w:val="0"/>
        <w:w w:val="100"/>
        <w:lang w:val="en-US" w:eastAsia="en-US" w:bidi="ar-SA"/>
      </w:rPr>
    </w:lvl>
    <w:lvl w:ilvl="2">
      <w:start w:val="0"/>
      <w:numFmt w:val="bullet"/>
      <w:lvlText w:val="•"/>
      <w:lvlJc w:val="left"/>
      <w:pPr>
        <w:ind w:left="1988" w:hanging="560"/>
      </w:pPr>
      <w:rPr>
        <w:rFonts w:hint="default"/>
        <w:lang w:val="en-US" w:eastAsia="en-US" w:bidi="ar-SA"/>
      </w:rPr>
    </w:lvl>
    <w:lvl w:ilvl="3">
      <w:start w:val="0"/>
      <w:numFmt w:val="bullet"/>
      <w:lvlText w:val="•"/>
      <w:lvlJc w:val="left"/>
      <w:pPr>
        <w:ind w:left="2902" w:hanging="560"/>
      </w:pPr>
      <w:rPr>
        <w:rFonts w:hint="default"/>
        <w:lang w:val="en-US" w:eastAsia="en-US" w:bidi="ar-SA"/>
      </w:rPr>
    </w:lvl>
    <w:lvl w:ilvl="4">
      <w:start w:val="0"/>
      <w:numFmt w:val="bullet"/>
      <w:lvlText w:val="•"/>
      <w:lvlJc w:val="left"/>
      <w:pPr>
        <w:ind w:left="3816" w:hanging="560"/>
      </w:pPr>
      <w:rPr>
        <w:rFonts w:hint="default"/>
        <w:lang w:val="en-US" w:eastAsia="en-US" w:bidi="ar-SA"/>
      </w:rPr>
    </w:lvl>
    <w:lvl w:ilvl="5">
      <w:start w:val="0"/>
      <w:numFmt w:val="bullet"/>
      <w:lvlText w:val="•"/>
      <w:lvlJc w:val="left"/>
      <w:pPr>
        <w:ind w:left="4730" w:hanging="560"/>
      </w:pPr>
      <w:rPr>
        <w:rFonts w:hint="default"/>
        <w:lang w:val="en-US" w:eastAsia="en-US" w:bidi="ar-SA"/>
      </w:rPr>
    </w:lvl>
    <w:lvl w:ilvl="6">
      <w:start w:val="0"/>
      <w:numFmt w:val="bullet"/>
      <w:lvlText w:val="•"/>
      <w:lvlJc w:val="left"/>
      <w:pPr>
        <w:ind w:left="5644" w:hanging="560"/>
      </w:pPr>
      <w:rPr>
        <w:rFonts w:hint="default"/>
        <w:lang w:val="en-US" w:eastAsia="en-US" w:bidi="ar-SA"/>
      </w:rPr>
    </w:lvl>
    <w:lvl w:ilvl="7">
      <w:start w:val="0"/>
      <w:numFmt w:val="bullet"/>
      <w:lvlText w:val="•"/>
      <w:lvlJc w:val="left"/>
      <w:pPr>
        <w:ind w:left="6558" w:hanging="560"/>
      </w:pPr>
      <w:rPr>
        <w:rFonts w:hint="default"/>
        <w:lang w:val="en-US" w:eastAsia="en-US" w:bidi="ar-SA"/>
      </w:rPr>
    </w:lvl>
    <w:lvl w:ilvl="8">
      <w:start w:val="0"/>
      <w:numFmt w:val="bullet"/>
      <w:lvlText w:val="•"/>
      <w:lvlJc w:val="left"/>
      <w:pPr>
        <w:ind w:left="7472" w:hanging="560"/>
      </w:pPr>
      <w:rPr>
        <w:rFonts w:hint="default"/>
        <w:lang w:val="en-US" w:eastAsia="en-US" w:bidi="ar-SA"/>
      </w:rPr>
    </w:lvl>
  </w:abstractNum>
  <w:abstractNum w:abstractNumId="42">
    <w:multiLevelType w:val="hybridMultilevel"/>
    <w:lvl w:ilvl="0">
      <w:start w:val="2"/>
      <w:numFmt w:val="decimal"/>
      <w:lvlText w:val="(%1)"/>
      <w:lvlJc w:val="left"/>
      <w:pPr>
        <w:ind w:left="160" w:hanging="34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160" w:hanging="33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1988" w:hanging="330"/>
      </w:pPr>
      <w:rPr>
        <w:rFonts w:hint="default"/>
        <w:lang w:val="en-US" w:eastAsia="en-US" w:bidi="ar-SA"/>
      </w:rPr>
    </w:lvl>
    <w:lvl w:ilvl="3">
      <w:start w:val="0"/>
      <w:numFmt w:val="bullet"/>
      <w:lvlText w:val="•"/>
      <w:lvlJc w:val="left"/>
      <w:pPr>
        <w:ind w:left="2902" w:hanging="330"/>
      </w:pPr>
      <w:rPr>
        <w:rFonts w:hint="default"/>
        <w:lang w:val="en-US" w:eastAsia="en-US" w:bidi="ar-SA"/>
      </w:rPr>
    </w:lvl>
    <w:lvl w:ilvl="4">
      <w:start w:val="0"/>
      <w:numFmt w:val="bullet"/>
      <w:lvlText w:val="•"/>
      <w:lvlJc w:val="left"/>
      <w:pPr>
        <w:ind w:left="3816" w:hanging="330"/>
      </w:pPr>
      <w:rPr>
        <w:rFonts w:hint="default"/>
        <w:lang w:val="en-US" w:eastAsia="en-US" w:bidi="ar-SA"/>
      </w:rPr>
    </w:lvl>
    <w:lvl w:ilvl="5">
      <w:start w:val="0"/>
      <w:numFmt w:val="bullet"/>
      <w:lvlText w:val="•"/>
      <w:lvlJc w:val="left"/>
      <w:pPr>
        <w:ind w:left="4730" w:hanging="330"/>
      </w:pPr>
      <w:rPr>
        <w:rFonts w:hint="default"/>
        <w:lang w:val="en-US" w:eastAsia="en-US" w:bidi="ar-SA"/>
      </w:rPr>
    </w:lvl>
    <w:lvl w:ilvl="6">
      <w:start w:val="0"/>
      <w:numFmt w:val="bullet"/>
      <w:lvlText w:val="•"/>
      <w:lvlJc w:val="left"/>
      <w:pPr>
        <w:ind w:left="5644" w:hanging="330"/>
      </w:pPr>
      <w:rPr>
        <w:rFonts w:hint="default"/>
        <w:lang w:val="en-US" w:eastAsia="en-US" w:bidi="ar-SA"/>
      </w:rPr>
    </w:lvl>
    <w:lvl w:ilvl="7">
      <w:start w:val="0"/>
      <w:numFmt w:val="bullet"/>
      <w:lvlText w:val="•"/>
      <w:lvlJc w:val="left"/>
      <w:pPr>
        <w:ind w:left="6558" w:hanging="330"/>
      </w:pPr>
      <w:rPr>
        <w:rFonts w:hint="default"/>
        <w:lang w:val="en-US" w:eastAsia="en-US" w:bidi="ar-SA"/>
      </w:rPr>
    </w:lvl>
    <w:lvl w:ilvl="8">
      <w:start w:val="0"/>
      <w:numFmt w:val="bullet"/>
      <w:lvlText w:val="•"/>
      <w:lvlJc w:val="left"/>
      <w:pPr>
        <w:ind w:left="7472" w:hanging="330"/>
      </w:pPr>
      <w:rPr>
        <w:rFonts w:hint="default"/>
        <w:lang w:val="en-US" w:eastAsia="en-US" w:bidi="ar-SA"/>
      </w:rPr>
    </w:lvl>
  </w:abstractNum>
  <w:abstractNum w:abstractNumId="41">
    <w:multiLevelType w:val="hybridMultilevel"/>
    <w:lvl w:ilvl="0">
      <w:start w:val="2"/>
      <w:numFmt w:val="decimal"/>
      <w:lvlText w:val="(%1)"/>
      <w:lvlJc w:val="left"/>
      <w:pPr>
        <w:ind w:left="1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0"/>
      </w:pPr>
      <w:rPr>
        <w:rFonts w:hint="default"/>
        <w:lang w:val="en-US" w:eastAsia="en-US" w:bidi="ar-SA"/>
      </w:rPr>
    </w:lvl>
    <w:lvl w:ilvl="2">
      <w:start w:val="0"/>
      <w:numFmt w:val="bullet"/>
      <w:lvlText w:val="•"/>
      <w:lvlJc w:val="left"/>
      <w:pPr>
        <w:ind w:left="1988" w:hanging="360"/>
      </w:pPr>
      <w:rPr>
        <w:rFonts w:hint="default"/>
        <w:lang w:val="en-US" w:eastAsia="en-US" w:bidi="ar-SA"/>
      </w:rPr>
    </w:lvl>
    <w:lvl w:ilvl="3">
      <w:start w:val="0"/>
      <w:numFmt w:val="bullet"/>
      <w:lvlText w:val="•"/>
      <w:lvlJc w:val="left"/>
      <w:pPr>
        <w:ind w:left="2902" w:hanging="360"/>
      </w:pPr>
      <w:rPr>
        <w:rFonts w:hint="default"/>
        <w:lang w:val="en-US" w:eastAsia="en-US" w:bidi="ar-SA"/>
      </w:rPr>
    </w:lvl>
    <w:lvl w:ilvl="4">
      <w:start w:val="0"/>
      <w:numFmt w:val="bullet"/>
      <w:lvlText w:val="•"/>
      <w:lvlJc w:val="left"/>
      <w:pPr>
        <w:ind w:left="3816" w:hanging="360"/>
      </w:pPr>
      <w:rPr>
        <w:rFonts w:hint="default"/>
        <w:lang w:val="en-US" w:eastAsia="en-US" w:bidi="ar-SA"/>
      </w:rPr>
    </w:lvl>
    <w:lvl w:ilvl="5">
      <w:start w:val="0"/>
      <w:numFmt w:val="bullet"/>
      <w:lvlText w:val="•"/>
      <w:lvlJc w:val="left"/>
      <w:pPr>
        <w:ind w:left="4730" w:hanging="360"/>
      </w:pPr>
      <w:rPr>
        <w:rFonts w:hint="default"/>
        <w:lang w:val="en-US" w:eastAsia="en-US" w:bidi="ar-SA"/>
      </w:rPr>
    </w:lvl>
    <w:lvl w:ilvl="6">
      <w:start w:val="0"/>
      <w:numFmt w:val="bullet"/>
      <w:lvlText w:val="•"/>
      <w:lvlJc w:val="left"/>
      <w:pPr>
        <w:ind w:left="5644" w:hanging="360"/>
      </w:pPr>
      <w:rPr>
        <w:rFonts w:hint="default"/>
        <w:lang w:val="en-US" w:eastAsia="en-US" w:bidi="ar-SA"/>
      </w:rPr>
    </w:lvl>
    <w:lvl w:ilvl="7">
      <w:start w:val="0"/>
      <w:numFmt w:val="bullet"/>
      <w:lvlText w:val="•"/>
      <w:lvlJc w:val="left"/>
      <w:pPr>
        <w:ind w:left="6558" w:hanging="360"/>
      </w:pPr>
      <w:rPr>
        <w:rFonts w:hint="default"/>
        <w:lang w:val="en-US" w:eastAsia="en-US" w:bidi="ar-SA"/>
      </w:rPr>
    </w:lvl>
    <w:lvl w:ilvl="8">
      <w:start w:val="0"/>
      <w:numFmt w:val="bullet"/>
      <w:lvlText w:val="•"/>
      <w:lvlJc w:val="left"/>
      <w:pPr>
        <w:ind w:left="7472" w:hanging="360"/>
      </w:pPr>
      <w:rPr>
        <w:rFonts w:hint="default"/>
        <w:lang w:val="en-US" w:eastAsia="en-US" w:bidi="ar-SA"/>
      </w:rPr>
    </w:lvl>
  </w:abstractNum>
  <w:abstractNum w:abstractNumId="40">
    <w:multiLevelType w:val="hybridMultilevel"/>
    <w:lvl w:ilvl="0">
      <w:start w:val="2"/>
      <w:numFmt w:val="decimal"/>
      <w:lvlText w:val="(%1)"/>
      <w:lvlJc w:val="left"/>
      <w:pPr>
        <w:ind w:left="160" w:hanging="3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6"/>
      </w:pPr>
      <w:rPr>
        <w:rFonts w:hint="default"/>
        <w:lang w:val="en-US" w:eastAsia="en-US" w:bidi="ar-SA"/>
      </w:rPr>
    </w:lvl>
    <w:lvl w:ilvl="2">
      <w:start w:val="0"/>
      <w:numFmt w:val="bullet"/>
      <w:lvlText w:val="•"/>
      <w:lvlJc w:val="left"/>
      <w:pPr>
        <w:ind w:left="1988" w:hanging="386"/>
      </w:pPr>
      <w:rPr>
        <w:rFonts w:hint="default"/>
        <w:lang w:val="en-US" w:eastAsia="en-US" w:bidi="ar-SA"/>
      </w:rPr>
    </w:lvl>
    <w:lvl w:ilvl="3">
      <w:start w:val="0"/>
      <w:numFmt w:val="bullet"/>
      <w:lvlText w:val="•"/>
      <w:lvlJc w:val="left"/>
      <w:pPr>
        <w:ind w:left="2902" w:hanging="386"/>
      </w:pPr>
      <w:rPr>
        <w:rFonts w:hint="default"/>
        <w:lang w:val="en-US" w:eastAsia="en-US" w:bidi="ar-SA"/>
      </w:rPr>
    </w:lvl>
    <w:lvl w:ilvl="4">
      <w:start w:val="0"/>
      <w:numFmt w:val="bullet"/>
      <w:lvlText w:val="•"/>
      <w:lvlJc w:val="left"/>
      <w:pPr>
        <w:ind w:left="3816" w:hanging="386"/>
      </w:pPr>
      <w:rPr>
        <w:rFonts w:hint="default"/>
        <w:lang w:val="en-US" w:eastAsia="en-US" w:bidi="ar-SA"/>
      </w:rPr>
    </w:lvl>
    <w:lvl w:ilvl="5">
      <w:start w:val="0"/>
      <w:numFmt w:val="bullet"/>
      <w:lvlText w:val="•"/>
      <w:lvlJc w:val="left"/>
      <w:pPr>
        <w:ind w:left="4730" w:hanging="386"/>
      </w:pPr>
      <w:rPr>
        <w:rFonts w:hint="default"/>
        <w:lang w:val="en-US" w:eastAsia="en-US" w:bidi="ar-SA"/>
      </w:rPr>
    </w:lvl>
    <w:lvl w:ilvl="6">
      <w:start w:val="0"/>
      <w:numFmt w:val="bullet"/>
      <w:lvlText w:val="•"/>
      <w:lvlJc w:val="left"/>
      <w:pPr>
        <w:ind w:left="5644" w:hanging="386"/>
      </w:pPr>
      <w:rPr>
        <w:rFonts w:hint="default"/>
        <w:lang w:val="en-US" w:eastAsia="en-US" w:bidi="ar-SA"/>
      </w:rPr>
    </w:lvl>
    <w:lvl w:ilvl="7">
      <w:start w:val="0"/>
      <w:numFmt w:val="bullet"/>
      <w:lvlText w:val="•"/>
      <w:lvlJc w:val="left"/>
      <w:pPr>
        <w:ind w:left="6558" w:hanging="386"/>
      </w:pPr>
      <w:rPr>
        <w:rFonts w:hint="default"/>
        <w:lang w:val="en-US" w:eastAsia="en-US" w:bidi="ar-SA"/>
      </w:rPr>
    </w:lvl>
    <w:lvl w:ilvl="8">
      <w:start w:val="0"/>
      <w:numFmt w:val="bullet"/>
      <w:lvlText w:val="•"/>
      <w:lvlJc w:val="left"/>
      <w:pPr>
        <w:ind w:left="7472" w:hanging="386"/>
      </w:pPr>
      <w:rPr>
        <w:rFonts w:hint="default"/>
        <w:lang w:val="en-US" w:eastAsia="en-US" w:bidi="ar-SA"/>
      </w:rPr>
    </w:lvl>
  </w:abstractNum>
  <w:abstractNum w:abstractNumId="39">
    <w:multiLevelType w:val="hybridMultilevel"/>
    <w:lvl w:ilvl="0">
      <w:start w:val="2"/>
      <w:numFmt w:val="decimal"/>
      <w:lvlText w:val="(%1)"/>
      <w:lvlJc w:val="left"/>
      <w:pPr>
        <w:ind w:left="160" w:hanging="38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86"/>
      </w:pPr>
      <w:rPr>
        <w:rFonts w:hint="default"/>
        <w:lang w:val="en-US" w:eastAsia="en-US" w:bidi="ar-SA"/>
      </w:rPr>
    </w:lvl>
    <w:lvl w:ilvl="2">
      <w:start w:val="0"/>
      <w:numFmt w:val="bullet"/>
      <w:lvlText w:val="•"/>
      <w:lvlJc w:val="left"/>
      <w:pPr>
        <w:ind w:left="1988" w:hanging="386"/>
      </w:pPr>
      <w:rPr>
        <w:rFonts w:hint="default"/>
        <w:lang w:val="en-US" w:eastAsia="en-US" w:bidi="ar-SA"/>
      </w:rPr>
    </w:lvl>
    <w:lvl w:ilvl="3">
      <w:start w:val="0"/>
      <w:numFmt w:val="bullet"/>
      <w:lvlText w:val="•"/>
      <w:lvlJc w:val="left"/>
      <w:pPr>
        <w:ind w:left="2902" w:hanging="386"/>
      </w:pPr>
      <w:rPr>
        <w:rFonts w:hint="default"/>
        <w:lang w:val="en-US" w:eastAsia="en-US" w:bidi="ar-SA"/>
      </w:rPr>
    </w:lvl>
    <w:lvl w:ilvl="4">
      <w:start w:val="0"/>
      <w:numFmt w:val="bullet"/>
      <w:lvlText w:val="•"/>
      <w:lvlJc w:val="left"/>
      <w:pPr>
        <w:ind w:left="3816" w:hanging="386"/>
      </w:pPr>
      <w:rPr>
        <w:rFonts w:hint="default"/>
        <w:lang w:val="en-US" w:eastAsia="en-US" w:bidi="ar-SA"/>
      </w:rPr>
    </w:lvl>
    <w:lvl w:ilvl="5">
      <w:start w:val="0"/>
      <w:numFmt w:val="bullet"/>
      <w:lvlText w:val="•"/>
      <w:lvlJc w:val="left"/>
      <w:pPr>
        <w:ind w:left="4730" w:hanging="386"/>
      </w:pPr>
      <w:rPr>
        <w:rFonts w:hint="default"/>
        <w:lang w:val="en-US" w:eastAsia="en-US" w:bidi="ar-SA"/>
      </w:rPr>
    </w:lvl>
    <w:lvl w:ilvl="6">
      <w:start w:val="0"/>
      <w:numFmt w:val="bullet"/>
      <w:lvlText w:val="•"/>
      <w:lvlJc w:val="left"/>
      <w:pPr>
        <w:ind w:left="5644" w:hanging="386"/>
      </w:pPr>
      <w:rPr>
        <w:rFonts w:hint="default"/>
        <w:lang w:val="en-US" w:eastAsia="en-US" w:bidi="ar-SA"/>
      </w:rPr>
    </w:lvl>
    <w:lvl w:ilvl="7">
      <w:start w:val="0"/>
      <w:numFmt w:val="bullet"/>
      <w:lvlText w:val="•"/>
      <w:lvlJc w:val="left"/>
      <w:pPr>
        <w:ind w:left="6558" w:hanging="386"/>
      </w:pPr>
      <w:rPr>
        <w:rFonts w:hint="default"/>
        <w:lang w:val="en-US" w:eastAsia="en-US" w:bidi="ar-SA"/>
      </w:rPr>
    </w:lvl>
    <w:lvl w:ilvl="8">
      <w:start w:val="0"/>
      <w:numFmt w:val="bullet"/>
      <w:lvlText w:val="•"/>
      <w:lvlJc w:val="left"/>
      <w:pPr>
        <w:ind w:left="7472" w:hanging="386"/>
      </w:pPr>
      <w:rPr>
        <w:rFonts w:hint="default"/>
        <w:lang w:val="en-US" w:eastAsia="en-US" w:bidi="ar-SA"/>
      </w:rPr>
    </w:lvl>
  </w:abstractNum>
  <w:abstractNum w:abstractNumId="38">
    <w:multiLevelType w:val="hybridMultilevel"/>
    <w:lvl w:ilvl="0">
      <w:start w:val="0"/>
      <w:numFmt w:val="bullet"/>
      <w:lvlText w:val="-"/>
      <w:lvlJc w:val="left"/>
      <w:pPr>
        <w:ind w:left="160" w:hanging="144"/>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144"/>
      </w:pPr>
      <w:rPr>
        <w:rFonts w:hint="default"/>
        <w:lang w:val="en-US" w:eastAsia="en-US" w:bidi="ar-SA"/>
      </w:rPr>
    </w:lvl>
    <w:lvl w:ilvl="2">
      <w:start w:val="0"/>
      <w:numFmt w:val="bullet"/>
      <w:lvlText w:val="•"/>
      <w:lvlJc w:val="left"/>
      <w:pPr>
        <w:ind w:left="1988" w:hanging="144"/>
      </w:pPr>
      <w:rPr>
        <w:rFonts w:hint="default"/>
        <w:lang w:val="en-US" w:eastAsia="en-US" w:bidi="ar-SA"/>
      </w:rPr>
    </w:lvl>
    <w:lvl w:ilvl="3">
      <w:start w:val="0"/>
      <w:numFmt w:val="bullet"/>
      <w:lvlText w:val="•"/>
      <w:lvlJc w:val="left"/>
      <w:pPr>
        <w:ind w:left="2902" w:hanging="144"/>
      </w:pPr>
      <w:rPr>
        <w:rFonts w:hint="default"/>
        <w:lang w:val="en-US" w:eastAsia="en-US" w:bidi="ar-SA"/>
      </w:rPr>
    </w:lvl>
    <w:lvl w:ilvl="4">
      <w:start w:val="0"/>
      <w:numFmt w:val="bullet"/>
      <w:lvlText w:val="•"/>
      <w:lvlJc w:val="left"/>
      <w:pPr>
        <w:ind w:left="3816" w:hanging="144"/>
      </w:pPr>
      <w:rPr>
        <w:rFonts w:hint="default"/>
        <w:lang w:val="en-US" w:eastAsia="en-US" w:bidi="ar-SA"/>
      </w:rPr>
    </w:lvl>
    <w:lvl w:ilvl="5">
      <w:start w:val="0"/>
      <w:numFmt w:val="bullet"/>
      <w:lvlText w:val="•"/>
      <w:lvlJc w:val="left"/>
      <w:pPr>
        <w:ind w:left="4730" w:hanging="144"/>
      </w:pPr>
      <w:rPr>
        <w:rFonts w:hint="default"/>
        <w:lang w:val="en-US" w:eastAsia="en-US" w:bidi="ar-SA"/>
      </w:rPr>
    </w:lvl>
    <w:lvl w:ilvl="6">
      <w:start w:val="0"/>
      <w:numFmt w:val="bullet"/>
      <w:lvlText w:val="•"/>
      <w:lvlJc w:val="left"/>
      <w:pPr>
        <w:ind w:left="5644" w:hanging="144"/>
      </w:pPr>
      <w:rPr>
        <w:rFonts w:hint="default"/>
        <w:lang w:val="en-US" w:eastAsia="en-US" w:bidi="ar-SA"/>
      </w:rPr>
    </w:lvl>
    <w:lvl w:ilvl="7">
      <w:start w:val="0"/>
      <w:numFmt w:val="bullet"/>
      <w:lvlText w:val="•"/>
      <w:lvlJc w:val="left"/>
      <w:pPr>
        <w:ind w:left="6558" w:hanging="144"/>
      </w:pPr>
      <w:rPr>
        <w:rFonts w:hint="default"/>
        <w:lang w:val="en-US" w:eastAsia="en-US" w:bidi="ar-SA"/>
      </w:rPr>
    </w:lvl>
    <w:lvl w:ilvl="8">
      <w:start w:val="0"/>
      <w:numFmt w:val="bullet"/>
      <w:lvlText w:val="•"/>
      <w:lvlJc w:val="left"/>
      <w:pPr>
        <w:ind w:left="7472" w:hanging="144"/>
      </w:pPr>
      <w:rPr>
        <w:rFonts w:hint="default"/>
        <w:lang w:val="en-US" w:eastAsia="en-US" w:bidi="ar-SA"/>
      </w:rPr>
    </w:lvl>
  </w:abstractNum>
  <w:abstractNum w:abstractNumId="37">
    <w:multiLevelType w:val="hybridMultilevel"/>
    <w:lvl w:ilvl="0">
      <w:start w:val="1"/>
      <w:numFmt w:val="decimal"/>
      <w:lvlText w:val="%1"/>
      <w:lvlJc w:val="left"/>
      <w:pPr>
        <w:ind w:left="160" w:hanging="182"/>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074" w:hanging="182"/>
      </w:pPr>
      <w:rPr>
        <w:rFonts w:hint="default"/>
        <w:lang w:val="en-US" w:eastAsia="en-US" w:bidi="ar-SA"/>
      </w:rPr>
    </w:lvl>
    <w:lvl w:ilvl="2">
      <w:start w:val="0"/>
      <w:numFmt w:val="bullet"/>
      <w:lvlText w:val="•"/>
      <w:lvlJc w:val="left"/>
      <w:pPr>
        <w:ind w:left="1988" w:hanging="182"/>
      </w:pPr>
      <w:rPr>
        <w:rFonts w:hint="default"/>
        <w:lang w:val="en-US" w:eastAsia="en-US" w:bidi="ar-SA"/>
      </w:rPr>
    </w:lvl>
    <w:lvl w:ilvl="3">
      <w:start w:val="0"/>
      <w:numFmt w:val="bullet"/>
      <w:lvlText w:val="•"/>
      <w:lvlJc w:val="left"/>
      <w:pPr>
        <w:ind w:left="2902" w:hanging="182"/>
      </w:pPr>
      <w:rPr>
        <w:rFonts w:hint="default"/>
        <w:lang w:val="en-US" w:eastAsia="en-US" w:bidi="ar-SA"/>
      </w:rPr>
    </w:lvl>
    <w:lvl w:ilvl="4">
      <w:start w:val="0"/>
      <w:numFmt w:val="bullet"/>
      <w:lvlText w:val="•"/>
      <w:lvlJc w:val="left"/>
      <w:pPr>
        <w:ind w:left="3816" w:hanging="182"/>
      </w:pPr>
      <w:rPr>
        <w:rFonts w:hint="default"/>
        <w:lang w:val="en-US" w:eastAsia="en-US" w:bidi="ar-SA"/>
      </w:rPr>
    </w:lvl>
    <w:lvl w:ilvl="5">
      <w:start w:val="0"/>
      <w:numFmt w:val="bullet"/>
      <w:lvlText w:val="•"/>
      <w:lvlJc w:val="left"/>
      <w:pPr>
        <w:ind w:left="4730" w:hanging="182"/>
      </w:pPr>
      <w:rPr>
        <w:rFonts w:hint="default"/>
        <w:lang w:val="en-US" w:eastAsia="en-US" w:bidi="ar-SA"/>
      </w:rPr>
    </w:lvl>
    <w:lvl w:ilvl="6">
      <w:start w:val="0"/>
      <w:numFmt w:val="bullet"/>
      <w:lvlText w:val="•"/>
      <w:lvlJc w:val="left"/>
      <w:pPr>
        <w:ind w:left="5644" w:hanging="182"/>
      </w:pPr>
      <w:rPr>
        <w:rFonts w:hint="default"/>
        <w:lang w:val="en-US" w:eastAsia="en-US" w:bidi="ar-SA"/>
      </w:rPr>
    </w:lvl>
    <w:lvl w:ilvl="7">
      <w:start w:val="0"/>
      <w:numFmt w:val="bullet"/>
      <w:lvlText w:val="•"/>
      <w:lvlJc w:val="left"/>
      <w:pPr>
        <w:ind w:left="6558" w:hanging="182"/>
      </w:pPr>
      <w:rPr>
        <w:rFonts w:hint="default"/>
        <w:lang w:val="en-US" w:eastAsia="en-US" w:bidi="ar-SA"/>
      </w:rPr>
    </w:lvl>
    <w:lvl w:ilvl="8">
      <w:start w:val="0"/>
      <w:numFmt w:val="bullet"/>
      <w:lvlText w:val="•"/>
      <w:lvlJc w:val="left"/>
      <w:pPr>
        <w:ind w:left="7472" w:hanging="182"/>
      </w:pPr>
      <w:rPr>
        <w:rFonts w:hint="default"/>
        <w:lang w:val="en-US" w:eastAsia="en-US" w:bidi="ar-SA"/>
      </w:rPr>
    </w:lvl>
  </w:abstractNum>
  <w:abstractNum w:abstractNumId="36">
    <w:multiLevelType w:val="hybridMultilevel"/>
    <w:lvl w:ilvl="0">
      <w:start w:val="2"/>
      <w:numFmt w:val="decimal"/>
      <w:lvlText w:val="%1"/>
      <w:lvlJc w:val="left"/>
      <w:pPr>
        <w:ind w:left="5656"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024" w:hanging="180"/>
      </w:pPr>
      <w:rPr>
        <w:rFonts w:hint="default"/>
        <w:lang w:val="en-US" w:eastAsia="en-US" w:bidi="ar-SA"/>
      </w:rPr>
    </w:lvl>
    <w:lvl w:ilvl="2">
      <w:start w:val="0"/>
      <w:numFmt w:val="bullet"/>
      <w:lvlText w:val="•"/>
      <w:lvlJc w:val="left"/>
      <w:pPr>
        <w:ind w:left="6388" w:hanging="180"/>
      </w:pPr>
      <w:rPr>
        <w:rFonts w:hint="default"/>
        <w:lang w:val="en-US" w:eastAsia="en-US" w:bidi="ar-SA"/>
      </w:rPr>
    </w:lvl>
    <w:lvl w:ilvl="3">
      <w:start w:val="0"/>
      <w:numFmt w:val="bullet"/>
      <w:lvlText w:val="•"/>
      <w:lvlJc w:val="left"/>
      <w:pPr>
        <w:ind w:left="6752" w:hanging="180"/>
      </w:pPr>
      <w:rPr>
        <w:rFonts w:hint="default"/>
        <w:lang w:val="en-US" w:eastAsia="en-US" w:bidi="ar-SA"/>
      </w:rPr>
    </w:lvl>
    <w:lvl w:ilvl="4">
      <w:start w:val="0"/>
      <w:numFmt w:val="bullet"/>
      <w:lvlText w:val="•"/>
      <w:lvlJc w:val="left"/>
      <w:pPr>
        <w:ind w:left="7116" w:hanging="180"/>
      </w:pPr>
      <w:rPr>
        <w:rFonts w:hint="default"/>
        <w:lang w:val="en-US" w:eastAsia="en-US" w:bidi="ar-SA"/>
      </w:rPr>
    </w:lvl>
    <w:lvl w:ilvl="5">
      <w:start w:val="0"/>
      <w:numFmt w:val="bullet"/>
      <w:lvlText w:val="•"/>
      <w:lvlJc w:val="left"/>
      <w:pPr>
        <w:ind w:left="7480" w:hanging="180"/>
      </w:pPr>
      <w:rPr>
        <w:rFonts w:hint="default"/>
        <w:lang w:val="en-US" w:eastAsia="en-US" w:bidi="ar-SA"/>
      </w:rPr>
    </w:lvl>
    <w:lvl w:ilvl="6">
      <w:start w:val="0"/>
      <w:numFmt w:val="bullet"/>
      <w:lvlText w:val="•"/>
      <w:lvlJc w:val="left"/>
      <w:pPr>
        <w:ind w:left="7844" w:hanging="180"/>
      </w:pPr>
      <w:rPr>
        <w:rFonts w:hint="default"/>
        <w:lang w:val="en-US" w:eastAsia="en-US" w:bidi="ar-SA"/>
      </w:rPr>
    </w:lvl>
    <w:lvl w:ilvl="7">
      <w:start w:val="0"/>
      <w:numFmt w:val="bullet"/>
      <w:lvlText w:val="•"/>
      <w:lvlJc w:val="left"/>
      <w:pPr>
        <w:ind w:left="8208" w:hanging="180"/>
      </w:pPr>
      <w:rPr>
        <w:rFonts w:hint="default"/>
        <w:lang w:val="en-US" w:eastAsia="en-US" w:bidi="ar-SA"/>
      </w:rPr>
    </w:lvl>
    <w:lvl w:ilvl="8">
      <w:start w:val="0"/>
      <w:numFmt w:val="bullet"/>
      <w:lvlText w:val="•"/>
      <w:lvlJc w:val="left"/>
      <w:pPr>
        <w:ind w:left="8572" w:hanging="180"/>
      </w:pPr>
      <w:rPr>
        <w:rFonts w:hint="default"/>
        <w:lang w:val="en-US" w:eastAsia="en-US" w:bidi="ar-SA"/>
      </w:rPr>
    </w:lvl>
  </w:abstractNum>
  <w:abstractNum w:abstractNumId="35">
    <w:multiLevelType w:val="hybridMultilevel"/>
    <w:lvl w:ilvl="0">
      <w:start w:val="3"/>
      <w:numFmt w:val="decimal"/>
      <w:lvlText w:val="%1"/>
      <w:lvlJc w:val="left"/>
      <w:pPr>
        <w:ind w:left="5836" w:hanging="1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186" w:hanging="181"/>
      </w:pPr>
      <w:rPr>
        <w:rFonts w:hint="default"/>
        <w:lang w:val="en-US" w:eastAsia="en-US" w:bidi="ar-SA"/>
      </w:rPr>
    </w:lvl>
    <w:lvl w:ilvl="2">
      <w:start w:val="0"/>
      <w:numFmt w:val="bullet"/>
      <w:lvlText w:val="•"/>
      <w:lvlJc w:val="left"/>
      <w:pPr>
        <w:ind w:left="6532" w:hanging="181"/>
      </w:pPr>
      <w:rPr>
        <w:rFonts w:hint="default"/>
        <w:lang w:val="en-US" w:eastAsia="en-US" w:bidi="ar-SA"/>
      </w:rPr>
    </w:lvl>
    <w:lvl w:ilvl="3">
      <w:start w:val="0"/>
      <w:numFmt w:val="bullet"/>
      <w:lvlText w:val="•"/>
      <w:lvlJc w:val="left"/>
      <w:pPr>
        <w:ind w:left="6878" w:hanging="181"/>
      </w:pPr>
      <w:rPr>
        <w:rFonts w:hint="default"/>
        <w:lang w:val="en-US" w:eastAsia="en-US" w:bidi="ar-SA"/>
      </w:rPr>
    </w:lvl>
    <w:lvl w:ilvl="4">
      <w:start w:val="0"/>
      <w:numFmt w:val="bullet"/>
      <w:lvlText w:val="•"/>
      <w:lvlJc w:val="left"/>
      <w:pPr>
        <w:ind w:left="7224" w:hanging="181"/>
      </w:pPr>
      <w:rPr>
        <w:rFonts w:hint="default"/>
        <w:lang w:val="en-US" w:eastAsia="en-US" w:bidi="ar-SA"/>
      </w:rPr>
    </w:lvl>
    <w:lvl w:ilvl="5">
      <w:start w:val="0"/>
      <w:numFmt w:val="bullet"/>
      <w:lvlText w:val="•"/>
      <w:lvlJc w:val="left"/>
      <w:pPr>
        <w:ind w:left="7570" w:hanging="181"/>
      </w:pPr>
      <w:rPr>
        <w:rFonts w:hint="default"/>
        <w:lang w:val="en-US" w:eastAsia="en-US" w:bidi="ar-SA"/>
      </w:rPr>
    </w:lvl>
    <w:lvl w:ilvl="6">
      <w:start w:val="0"/>
      <w:numFmt w:val="bullet"/>
      <w:lvlText w:val="•"/>
      <w:lvlJc w:val="left"/>
      <w:pPr>
        <w:ind w:left="7916" w:hanging="181"/>
      </w:pPr>
      <w:rPr>
        <w:rFonts w:hint="default"/>
        <w:lang w:val="en-US" w:eastAsia="en-US" w:bidi="ar-SA"/>
      </w:rPr>
    </w:lvl>
    <w:lvl w:ilvl="7">
      <w:start w:val="0"/>
      <w:numFmt w:val="bullet"/>
      <w:lvlText w:val="•"/>
      <w:lvlJc w:val="left"/>
      <w:pPr>
        <w:ind w:left="8262" w:hanging="181"/>
      </w:pPr>
      <w:rPr>
        <w:rFonts w:hint="default"/>
        <w:lang w:val="en-US" w:eastAsia="en-US" w:bidi="ar-SA"/>
      </w:rPr>
    </w:lvl>
    <w:lvl w:ilvl="8">
      <w:start w:val="0"/>
      <w:numFmt w:val="bullet"/>
      <w:lvlText w:val="•"/>
      <w:lvlJc w:val="left"/>
      <w:pPr>
        <w:ind w:left="8608" w:hanging="181"/>
      </w:pPr>
      <w:rPr>
        <w:rFonts w:hint="default"/>
        <w:lang w:val="en-US" w:eastAsia="en-US" w:bidi="ar-SA"/>
      </w:rPr>
    </w:lvl>
  </w:abstractNum>
  <w:abstractNum w:abstractNumId="34">
    <w:multiLevelType w:val="hybridMultilevel"/>
    <w:lvl w:ilvl="0">
      <w:start w:val="2"/>
      <w:numFmt w:val="decimal"/>
      <w:lvlText w:val="%1"/>
      <w:lvlJc w:val="left"/>
      <w:pPr>
        <w:ind w:left="5895" w:hanging="2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6240" w:hanging="240"/>
      </w:pPr>
      <w:rPr>
        <w:rFonts w:hint="default"/>
        <w:lang w:val="en-US" w:eastAsia="en-US" w:bidi="ar-SA"/>
      </w:rPr>
    </w:lvl>
    <w:lvl w:ilvl="2">
      <w:start w:val="0"/>
      <w:numFmt w:val="bullet"/>
      <w:lvlText w:val="•"/>
      <w:lvlJc w:val="left"/>
      <w:pPr>
        <w:ind w:left="6580" w:hanging="240"/>
      </w:pPr>
      <w:rPr>
        <w:rFonts w:hint="default"/>
        <w:lang w:val="en-US" w:eastAsia="en-US" w:bidi="ar-SA"/>
      </w:rPr>
    </w:lvl>
    <w:lvl w:ilvl="3">
      <w:start w:val="0"/>
      <w:numFmt w:val="bullet"/>
      <w:lvlText w:val="•"/>
      <w:lvlJc w:val="left"/>
      <w:pPr>
        <w:ind w:left="6920" w:hanging="240"/>
      </w:pPr>
      <w:rPr>
        <w:rFonts w:hint="default"/>
        <w:lang w:val="en-US" w:eastAsia="en-US" w:bidi="ar-SA"/>
      </w:rPr>
    </w:lvl>
    <w:lvl w:ilvl="4">
      <w:start w:val="0"/>
      <w:numFmt w:val="bullet"/>
      <w:lvlText w:val="•"/>
      <w:lvlJc w:val="left"/>
      <w:pPr>
        <w:ind w:left="7260" w:hanging="240"/>
      </w:pPr>
      <w:rPr>
        <w:rFonts w:hint="default"/>
        <w:lang w:val="en-US" w:eastAsia="en-US" w:bidi="ar-SA"/>
      </w:rPr>
    </w:lvl>
    <w:lvl w:ilvl="5">
      <w:start w:val="0"/>
      <w:numFmt w:val="bullet"/>
      <w:lvlText w:val="•"/>
      <w:lvlJc w:val="left"/>
      <w:pPr>
        <w:ind w:left="7600" w:hanging="240"/>
      </w:pPr>
      <w:rPr>
        <w:rFonts w:hint="default"/>
        <w:lang w:val="en-US" w:eastAsia="en-US" w:bidi="ar-SA"/>
      </w:rPr>
    </w:lvl>
    <w:lvl w:ilvl="6">
      <w:start w:val="0"/>
      <w:numFmt w:val="bullet"/>
      <w:lvlText w:val="•"/>
      <w:lvlJc w:val="left"/>
      <w:pPr>
        <w:ind w:left="7940" w:hanging="240"/>
      </w:pPr>
      <w:rPr>
        <w:rFonts w:hint="default"/>
        <w:lang w:val="en-US" w:eastAsia="en-US" w:bidi="ar-SA"/>
      </w:rPr>
    </w:lvl>
    <w:lvl w:ilvl="7">
      <w:start w:val="0"/>
      <w:numFmt w:val="bullet"/>
      <w:lvlText w:val="•"/>
      <w:lvlJc w:val="left"/>
      <w:pPr>
        <w:ind w:left="8280" w:hanging="240"/>
      </w:pPr>
      <w:rPr>
        <w:rFonts w:hint="default"/>
        <w:lang w:val="en-US" w:eastAsia="en-US" w:bidi="ar-SA"/>
      </w:rPr>
    </w:lvl>
    <w:lvl w:ilvl="8">
      <w:start w:val="0"/>
      <w:numFmt w:val="bullet"/>
      <w:lvlText w:val="•"/>
      <w:lvlJc w:val="left"/>
      <w:pPr>
        <w:ind w:left="8620" w:hanging="240"/>
      </w:pPr>
      <w:rPr>
        <w:rFonts w:hint="default"/>
        <w:lang w:val="en-US" w:eastAsia="en-US" w:bidi="ar-SA"/>
      </w:rPr>
    </w:lvl>
  </w:abstractNum>
  <w:abstractNum w:abstractNumId="33">
    <w:multiLevelType w:val="hybridMultilevel"/>
    <w:lvl w:ilvl="0">
      <w:start w:val="1"/>
      <w:numFmt w:val="decimal"/>
      <w:lvlText w:val="%1."/>
      <w:lvlJc w:val="left"/>
      <w:pPr>
        <w:ind w:left="400" w:hanging="2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5656" w:hanging="32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5660" w:hanging="327"/>
      </w:pPr>
      <w:rPr>
        <w:rFonts w:hint="default"/>
        <w:lang w:val="en-US" w:eastAsia="en-US" w:bidi="ar-SA"/>
      </w:rPr>
    </w:lvl>
    <w:lvl w:ilvl="3">
      <w:start w:val="0"/>
      <w:numFmt w:val="bullet"/>
      <w:lvlText w:val="•"/>
      <w:lvlJc w:val="left"/>
      <w:pPr>
        <w:ind w:left="6115" w:hanging="327"/>
      </w:pPr>
      <w:rPr>
        <w:rFonts w:hint="default"/>
        <w:lang w:val="en-US" w:eastAsia="en-US" w:bidi="ar-SA"/>
      </w:rPr>
    </w:lvl>
    <w:lvl w:ilvl="4">
      <w:start w:val="0"/>
      <w:numFmt w:val="bullet"/>
      <w:lvlText w:val="•"/>
      <w:lvlJc w:val="left"/>
      <w:pPr>
        <w:ind w:left="6570" w:hanging="327"/>
      </w:pPr>
      <w:rPr>
        <w:rFonts w:hint="default"/>
        <w:lang w:val="en-US" w:eastAsia="en-US" w:bidi="ar-SA"/>
      </w:rPr>
    </w:lvl>
    <w:lvl w:ilvl="5">
      <w:start w:val="0"/>
      <w:numFmt w:val="bullet"/>
      <w:lvlText w:val="•"/>
      <w:lvlJc w:val="left"/>
      <w:pPr>
        <w:ind w:left="7025" w:hanging="327"/>
      </w:pPr>
      <w:rPr>
        <w:rFonts w:hint="default"/>
        <w:lang w:val="en-US" w:eastAsia="en-US" w:bidi="ar-SA"/>
      </w:rPr>
    </w:lvl>
    <w:lvl w:ilvl="6">
      <w:start w:val="0"/>
      <w:numFmt w:val="bullet"/>
      <w:lvlText w:val="•"/>
      <w:lvlJc w:val="left"/>
      <w:pPr>
        <w:ind w:left="7480" w:hanging="327"/>
      </w:pPr>
      <w:rPr>
        <w:rFonts w:hint="default"/>
        <w:lang w:val="en-US" w:eastAsia="en-US" w:bidi="ar-SA"/>
      </w:rPr>
    </w:lvl>
    <w:lvl w:ilvl="7">
      <w:start w:val="0"/>
      <w:numFmt w:val="bullet"/>
      <w:lvlText w:val="•"/>
      <w:lvlJc w:val="left"/>
      <w:pPr>
        <w:ind w:left="7935" w:hanging="327"/>
      </w:pPr>
      <w:rPr>
        <w:rFonts w:hint="default"/>
        <w:lang w:val="en-US" w:eastAsia="en-US" w:bidi="ar-SA"/>
      </w:rPr>
    </w:lvl>
    <w:lvl w:ilvl="8">
      <w:start w:val="0"/>
      <w:numFmt w:val="bullet"/>
      <w:lvlText w:val="•"/>
      <w:lvlJc w:val="left"/>
      <w:pPr>
        <w:ind w:left="8390" w:hanging="327"/>
      </w:pPr>
      <w:rPr>
        <w:rFonts w:hint="default"/>
        <w:lang w:val="en-US" w:eastAsia="en-US" w:bidi="ar-SA"/>
      </w:rPr>
    </w:lvl>
  </w:abstractNum>
  <w:abstractNum w:abstractNumId="32">
    <w:multiLevelType w:val="hybridMultilevel"/>
    <w:lvl w:ilvl="0">
      <w:start w:val="1"/>
      <w:numFmt w:val="decimal"/>
      <w:lvlText w:val="(%1)"/>
      <w:lvlJc w:val="left"/>
      <w:pPr>
        <w:ind w:left="160" w:hanging="34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88" w:hanging="140"/>
      </w:pPr>
      <w:rPr>
        <w:rFonts w:hint="default"/>
        <w:lang w:val="en-US" w:eastAsia="en-US" w:bidi="ar-SA"/>
      </w:rPr>
    </w:lvl>
    <w:lvl w:ilvl="3">
      <w:start w:val="0"/>
      <w:numFmt w:val="bullet"/>
      <w:lvlText w:val="•"/>
      <w:lvlJc w:val="left"/>
      <w:pPr>
        <w:ind w:left="2902" w:hanging="140"/>
      </w:pPr>
      <w:rPr>
        <w:rFonts w:hint="default"/>
        <w:lang w:val="en-US" w:eastAsia="en-US" w:bidi="ar-SA"/>
      </w:rPr>
    </w:lvl>
    <w:lvl w:ilvl="4">
      <w:start w:val="0"/>
      <w:numFmt w:val="bullet"/>
      <w:lvlText w:val="•"/>
      <w:lvlJc w:val="left"/>
      <w:pPr>
        <w:ind w:left="3816" w:hanging="140"/>
      </w:pPr>
      <w:rPr>
        <w:rFonts w:hint="default"/>
        <w:lang w:val="en-US" w:eastAsia="en-US" w:bidi="ar-SA"/>
      </w:rPr>
    </w:lvl>
    <w:lvl w:ilvl="5">
      <w:start w:val="0"/>
      <w:numFmt w:val="bullet"/>
      <w:lvlText w:val="•"/>
      <w:lvlJc w:val="left"/>
      <w:pPr>
        <w:ind w:left="4730" w:hanging="140"/>
      </w:pPr>
      <w:rPr>
        <w:rFonts w:hint="default"/>
        <w:lang w:val="en-US" w:eastAsia="en-US" w:bidi="ar-SA"/>
      </w:rPr>
    </w:lvl>
    <w:lvl w:ilvl="6">
      <w:start w:val="0"/>
      <w:numFmt w:val="bullet"/>
      <w:lvlText w:val="•"/>
      <w:lvlJc w:val="left"/>
      <w:pPr>
        <w:ind w:left="5644" w:hanging="140"/>
      </w:pPr>
      <w:rPr>
        <w:rFonts w:hint="default"/>
        <w:lang w:val="en-US" w:eastAsia="en-US" w:bidi="ar-SA"/>
      </w:rPr>
    </w:lvl>
    <w:lvl w:ilvl="7">
      <w:start w:val="0"/>
      <w:numFmt w:val="bullet"/>
      <w:lvlText w:val="•"/>
      <w:lvlJc w:val="left"/>
      <w:pPr>
        <w:ind w:left="6558" w:hanging="140"/>
      </w:pPr>
      <w:rPr>
        <w:rFonts w:hint="default"/>
        <w:lang w:val="en-US" w:eastAsia="en-US" w:bidi="ar-SA"/>
      </w:rPr>
    </w:lvl>
    <w:lvl w:ilvl="8">
      <w:start w:val="0"/>
      <w:numFmt w:val="bullet"/>
      <w:lvlText w:val="•"/>
      <w:lvlJc w:val="left"/>
      <w:pPr>
        <w:ind w:left="7472" w:hanging="140"/>
      </w:pPr>
      <w:rPr>
        <w:rFonts w:hint="default"/>
        <w:lang w:val="en-US" w:eastAsia="en-US" w:bidi="ar-SA"/>
      </w:rPr>
    </w:lvl>
  </w:abstractNum>
  <w:abstractNum w:abstractNumId="31">
    <w:multiLevelType w:val="hybridMultilevel"/>
    <w:lvl w:ilvl="0">
      <w:start w:val="1"/>
      <w:numFmt w:val="decimal"/>
      <w:lvlText w:val="(%1)"/>
      <w:lvlJc w:val="left"/>
      <w:pPr>
        <w:ind w:left="160" w:hanging="34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2"/>
      </w:pPr>
      <w:rPr>
        <w:rFonts w:hint="default"/>
        <w:lang w:val="en-US" w:eastAsia="en-US" w:bidi="ar-SA"/>
      </w:rPr>
    </w:lvl>
    <w:lvl w:ilvl="2">
      <w:start w:val="0"/>
      <w:numFmt w:val="bullet"/>
      <w:lvlText w:val="•"/>
      <w:lvlJc w:val="left"/>
      <w:pPr>
        <w:ind w:left="1988" w:hanging="342"/>
      </w:pPr>
      <w:rPr>
        <w:rFonts w:hint="default"/>
        <w:lang w:val="en-US" w:eastAsia="en-US" w:bidi="ar-SA"/>
      </w:rPr>
    </w:lvl>
    <w:lvl w:ilvl="3">
      <w:start w:val="0"/>
      <w:numFmt w:val="bullet"/>
      <w:lvlText w:val="•"/>
      <w:lvlJc w:val="left"/>
      <w:pPr>
        <w:ind w:left="2902" w:hanging="342"/>
      </w:pPr>
      <w:rPr>
        <w:rFonts w:hint="default"/>
        <w:lang w:val="en-US" w:eastAsia="en-US" w:bidi="ar-SA"/>
      </w:rPr>
    </w:lvl>
    <w:lvl w:ilvl="4">
      <w:start w:val="0"/>
      <w:numFmt w:val="bullet"/>
      <w:lvlText w:val="•"/>
      <w:lvlJc w:val="left"/>
      <w:pPr>
        <w:ind w:left="3816" w:hanging="342"/>
      </w:pPr>
      <w:rPr>
        <w:rFonts w:hint="default"/>
        <w:lang w:val="en-US" w:eastAsia="en-US" w:bidi="ar-SA"/>
      </w:rPr>
    </w:lvl>
    <w:lvl w:ilvl="5">
      <w:start w:val="0"/>
      <w:numFmt w:val="bullet"/>
      <w:lvlText w:val="•"/>
      <w:lvlJc w:val="left"/>
      <w:pPr>
        <w:ind w:left="4730" w:hanging="342"/>
      </w:pPr>
      <w:rPr>
        <w:rFonts w:hint="default"/>
        <w:lang w:val="en-US" w:eastAsia="en-US" w:bidi="ar-SA"/>
      </w:rPr>
    </w:lvl>
    <w:lvl w:ilvl="6">
      <w:start w:val="0"/>
      <w:numFmt w:val="bullet"/>
      <w:lvlText w:val="•"/>
      <w:lvlJc w:val="left"/>
      <w:pPr>
        <w:ind w:left="5644" w:hanging="342"/>
      </w:pPr>
      <w:rPr>
        <w:rFonts w:hint="default"/>
        <w:lang w:val="en-US" w:eastAsia="en-US" w:bidi="ar-SA"/>
      </w:rPr>
    </w:lvl>
    <w:lvl w:ilvl="7">
      <w:start w:val="0"/>
      <w:numFmt w:val="bullet"/>
      <w:lvlText w:val="•"/>
      <w:lvlJc w:val="left"/>
      <w:pPr>
        <w:ind w:left="6558" w:hanging="342"/>
      </w:pPr>
      <w:rPr>
        <w:rFonts w:hint="default"/>
        <w:lang w:val="en-US" w:eastAsia="en-US" w:bidi="ar-SA"/>
      </w:rPr>
    </w:lvl>
    <w:lvl w:ilvl="8">
      <w:start w:val="0"/>
      <w:numFmt w:val="bullet"/>
      <w:lvlText w:val="•"/>
      <w:lvlJc w:val="left"/>
      <w:pPr>
        <w:ind w:left="7472" w:hanging="342"/>
      </w:pPr>
      <w:rPr>
        <w:rFonts w:hint="default"/>
        <w:lang w:val="en-US" w:eastAsia="en-US" w:bidi="ar-SA"/>
      </w:rPr>
    </w:lvl>
  </w:abstractNum>
  <w:abstractNum w:abstractNumId="30">
    <w:multiLevelType w:val="hybridMultilevel"/>
    <w:lvl w:ilvl="0">
      <w:start w:val="1"/>
      <w:numFmt w:val="decimal"/>
      <w:lvlText w:val="(%1)"/>
      <w:lvlJc w:val="left"/>
      <w:pPr>
        <w:ind w:left="160" w:hanging="34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1"/>
      </w:pPr>
      <w:rPr>
        <w:rFonts w:hint="default"/>
        <w:lang w:val="en-US" w:eastAsia="en-US" w:bidi="ar-SA"/>
      </w:rPr>
    </w:lvl>
    <w:lvl w:ilvl="2">
      <w:start w:val="0"/>
      <w:numFmt w:val="bullet"/>
      <w:lvlText w:val="•"/>
      <w:lvlJc w:val="left"/>
      <w:pPr>
        <w:ind w:left="1988" w:hanging="341"/>
      </w:pPr>
      <w:rPr>
        <w:rFonts w:hint="default"/>
        <w:lang w:val="en-US" w:eastAsia="en-US" w:bidi="ar-SA"/>
      </w:rPr>
    </w:lvl>
    <w:lvl w:ilvl="3">
      <w:start w:val="0"/>
      <w:numFmt w:val="bullet"/>
      <w:lvlText w:val="•"/>
      <w:lvlJc w:val="left"/>
      <w:pPr>
        <w:ind w:left="2902" w:hanging="341"/>
      </w:pPr>
      <w:rPr>
        <w:rFonts w:hint="default"/>
        <w:lang w:val="en-US" w:eastAsia="en-US" w:bidi="ar-SA"/>
      </w:rPr>
    </w:lvl>
    <w:lvl w:ilvl="4">
      <w:start w:val="0"/>
      <w:numFmt w:val="bullet"/>
      <w:lvlText w:val="•"/>
      <w:lvlJc w:val="left"/>
      <w:pPr>
        <w:ind w:left="3816" w:hanging="341"/>
      </w:pPr>
      <w:rPr>
        <w:rFonts w:hint="default"/>
        <w:lang w:val="en-US" w:eastAsia="en-US" w:bidi="ar-SA"/>
      </w:rPr>
    </w:lvl>
    <w:lvl w:ilvl="5">
      <w:start w:val="0"/>
      <w:numFmt w:val="bullet"/>
      <w:lvlText w:val="•"/>
      <w:lvlJc w:val="left"/>
      <w:pPr>
        <w:ind w:left="4730" w:hanging="341"/>
      </w:pPr>
      <w:rPr>
        <w:rFonts w:hint="default"/>
        <w:lang w:val="en-US" w:eastAsia="en-US" w:bidi="ar-SA"/>
      </w:rPr>
    </w:lvl>
    <w:lvl w:ilvl="6">
      <w:start w:val="0"/>
      <w:numFmt w:val="bullet"/>
      <w:lvlText w:val="•"/>
      <w:lvlJc w:val="left"/>
      <w:pPr>
        <w:ind w:left="5644" w:hanging="341"/>
      </w:pPr>
      <w:rPr>
        <w:rFonts w:hint="default"/>
        <w:lang w:val="en-US" w:eastAsia="en-US" w:bidi="ar-SA"/>
      </w:rPr>
    </w:lvl>
    <w:lvl w:ilvl="7">
      <w:start w:val="0"/>
      <w:numFmt w:val="bullet"/>
      <w:lvlText w:val="•"/>
      <w:lvlJc w:val="left"/>
      <w:pPr>
        <w:ind w:left="6558" w:hanging="341"/>
      </w:pPr>
      <w:rPr>
        <w:rFonts w:hint="default"/>
        <w:lang w:val="en-US" w:eastAsia="en-US" w:bidi="ar-SA"/>
      </w:rPr>
    </w:lvl>
    <w:lvl w:ilvl="8">
      <w:start w:val="0"/>
      <w:numFmt w:val="bullet"/>
      <w:lvlText w:val="•"/>
      <w:lvlJc w:val="left"/>
      <w:pPr>
        <w:ind w:left="7472" w:hanging="341"/>
      </w:pPr>
      <w:rPr>
        <w:rFonts w:hint="default"/>
        <w:lang w:val="en-US" w:eastAsia="en-US" w:bidi="ar-SA"/>
      </w:rPr>
    </w:lvl>
  </w:abstractNum>
  <w:abstractNum w:abstractNumId="29">
    <w:multiLevelType w:val="hybridMultilevel"/>
    <w:lvl w:ilvl="0">
      <w:start w:val="1"/>
      <w:numFmt w:val="decimal"/>
      <w:lvlText w:val="(%1)"/>
      <w:lvlJc w:val="left"/>
      <w:pPr>
        <w:ind w:left="500" w:hanging="341"/>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80" w:hanging="341"/>
      </w:pPr>
      <w:rPr>
        <w:rFonts w:hint="default"/>
        <w:lang w:val="en-US" w:eastAsia="en-US" w:bidi="ar-SA"/>
      </w:rPr>
    </w:lvl>
    <w:lvl w:ilvl="2">
      <w:start w:val="0"/>
      <w:numFmt w:val="bullet"/>
      <w:lvlText w:val="•"/>
      <w:lvlJc w:val="left"/>
      <w:pPr>
        <w:ind w:left="2260" w:hanging="341"/>
      </w:pPr>
      <w:rPr>
        <w:rFonts w:hint="default"/>
        <w:lang w:val="en-US" w:eastAsia="en-US" w:bidi="ar-SA"/>
      </w:rPr>
    </w:lvl>
    <w:lvl w:ilvl="3">
      <w:start w:val="0"/>
      <w:numFmt w:val="bullet"/>
      <w:lvlText w:val="•"/>
      <w:lvlJc w:val="left"/>
      <w:pPr>
        <w:ind w:left="3140" w:hanging="341"/>
      </w:pPr>
      <w:rPr>
        <w:rFonts w:hint="default"/>
        <w:lang w:val="en-US" w:eastAsia="en-US" w:bidi="ar-SA"/>
      </w:rPr>
    </w:lvl>
    <w:lvl w:ilvl="4">
      <w:start w:val="0"/>
      <w:numFmt w:val="bullet"/>
      <w:lvlText w:val="•"/>
      <w:lvlJc w:val="left"/>
      <w:pPr>
        <w:ind w:left="4020" w:hanging="341"/>
      </w:pPr>
      <w:rPr>
        <w:rFonts w:hint="default"/>
        <w:lang w:val="en-US" w:eastAsia="en-US" w:bidi="ar-SA"/>
      </w:rPr>
    </w:lvl>
    <w:lvl w:ilvl="5">
      <w:start w:val="0"/>
      <w:numFmt w:val="bullet"/>
      <w:lvlText w:val="•"/>
      <w:lvlJc w:val="left"/>
      <w:pPr>
        <w:ind w:left="4900" w:hanging="341"/>
      </w:pPr>
      <w:rPr>
        <w:rFonts w:hint="default"/>
        <w:lang w:val="en-US" w:eastAsia="en-US" w:bidi="ar-SA"/>
      </w:rPr>
    </w:lvl>
    <w:lvl w:ilvl="6">
      <w:start w:val="0"/>
      <w:numFmt w:val="bullet"/>
      <w:lvlText w:val="•"/>
      <w:lvlJc w:val="left"/>
      <w:pPr>
        <w:ind w:left="5780" w:hanging="341"/>
      </w:pPr>
      <w:rPr>
        <w:rFonts w:hint="default"/>
        <w:lang w:val="en-US" w:eastAsia="en-US" w:bidi="ar-SA"/>
      </w:rPr>
    </w:lvl>
    <w:lvl w:ilvl="7">
      <w:start w:val="0"/>
      <w:numFmt w:val="bullet"/>
      <w:lvlText w:val="•"/>
      <w:lvlJc w:val="left"/>
      <w:pPr>
        <w:ind w:left="6660" w:hanging="341"/>
      </w:pPr>
      <w:rPr>
        <w:rFonts w:hint="default"/>
        <w:lang w:val="en-US" w:eastAsia="en-US" w:bidi="ar-SA"/>
      </w:rPr>
    </w:lvl>
    <w:lvl w:ilvl="8">
      <w:start w:val="0"/>
      <w:numFmt w:val="bullet"/>
      <w:lvlText w:val="•"/>
      <w:lvlJc w:val="left"/>
      <w:pPr>
        <w:ind w:left="7540" w:hanging="341"/>
      </w:pPr>
      <w:rPr>
        <w:rFonts w:hint="default"/>
        <w:lang w:val="en-US" w:eastAsia="en-US" w:bidi="ar-SA"/>
      </w:rPr>
    </w:lvl>
  </w:abstractNum>
  <w:abstractNum w:abstractNumId="28">
    <w:multiLevelType w:val="hybridMultilevel"/>
    <w:lvl w:ilvl="0">
      <w:start w:val="1"/>
      <w:numFmt w:val="decimal"/>
      <w:lvlText w:val="(%1)"/>
      <w:lvlJc w:val="left"/>
      <w:pPr>
        <w:ind w:left="160" w:hanging="34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5"/>
      </w:pPr>
      <w:rPr>
        <w:rFonts w:hint="default"/>
        <w:lang w:val="en-US" w:eastAsia="en-US" w:bidi="ar-SA"/>
      </w:rPr>
    </w:lvl>
    <w:lvl w:ilvl="2">
      <w:start w:val="0"/>
      <w:numFmt w:val="bullet"/>
      <w:lvlText w:val="•"/>
      <w:lvlJc w:val="left"/>
      <w:pPr>
        <w:ind w:left="1988" w:hanging="345"/>
      </w:pPr>
      <w:rPr>
        <w:rFonts w:hint="default"/>
        <w:lang w:val="en-US" w:eastAsia="en-US" w:bidi="ar-SA"/>
      </w:rPr>
    </w:lvl>
    <w:lvl w:ilvl="3">
      <w:start w:val="0"/>
      <w:numFmt w:val="bullet"/>
      <w:lvlText w:val="•"/>
      <w:lvlJc w:val="left"/>
      <w:pPr>
        <w:ind w:left="2902" w:hanging="345"/>
      </w:pPr>
      <w:rPr>
        <w:rFonts w:hint="default"/>
        <w:lang w:val="en-US" w:eastAsia="en-US" w:bidi="ar-SA"/>
      </w:rPr>
    </w:lvl>
    <w:lvl w:ilvl="4">
      <w:start w:val="0"/>
      <w:numFmt w:val="bullet"/>
      <w:lvlText w:val="•"/>
      <w:lvlJc w:val="left"/>
      <w:pPr>
        <w:ind w:left="3816" w:hanging="345"/>
      </w:pPr>
      <w:rPr>
        <w:rFonts w:hint="default"/>
        <w:lang w:val="en-US" w:eastAsia="en-US" w:bidi="ar-SA"/>
      </w:rPr>
    </w:lvl>
    <w:lvl w:ilvl="5">
      <w:start w:val="0"/>
      <w:numFmt w:val="bullet"/>
      <w:lvlText w:val="•"/>
      <w:lvlJc w:val="left"/>
      <w:pPr>
        <w:ind w:left="4730" w:hanging="345"/>
      </w:pPr>
      <w:rPr>
        <w:rFonts w:hint="default"/>
        <w:lang w:val="en-US" w:eastAsia="en-US" w:bidi="ar-SA"/>
      </w:rPr>
    </w:lvl>
    <w:lvl w:ilvl="6">
      <w:start w:val="0"/>
      <w:numFmt w:val="bullet"/>
      <w:lvlText w:val="•"/>
      <w:lvlJc w:val="left"/>
      <w:pPr>
        <w:ind w:left="5644" w:hanging="345"/>
      </w:pPr>
      <w:rPr>
        <w:rFonts w:hint="default"/>
        <w:lang w:val="en-US" w:eastAsia="en-US" w:bidi="ar-SA"/>
      </w:rPr>
    </w:lvl>
    <w:lvl w:ilvl="7">
      <w:start w:val="0"/>
      <w:numFmt w:val="bullet"/>
      <w:lvlText w:val="•"/>
      <w:lvlJc w:val="left"/>
      <w:pPr>
        <w:ind w:left="6558" w:hanging="345"/>
      </w:pPr>
      <w:rPr>
        <w:rFonts w:hint="default"/>
        <w:lang w:val="en-US" w:eastAsia="en-US" w:bidi="ar-SA"/>
      </w:rPr>
    </w:lvl>
    <w:lvl w:ilvl="8">
      <w:start w:val="0"/>
      <w:numFmt w:val="bullet"/>
      <w:lvlText w:val="•"/>
      <w:lvlJc w:val="left"/>
      <w:pPr>
        <w:ind w:left="7472" w:hanging="345"/>
      </w:pPr>
      <w:rPr>
        <w:rFonts w:hint="default"/>
        <w:lang w:val="en-US" w:eastAsia="en-US" w:bidi="ar-SA"/>
      </w:rPr>
    </w:lvl>
  </w:abstractNum>
  <w:abstractNum w:abstractNumId="27">
    <w:multiLevelType w:val="hybridMultilevel"/>
    <w:lvl w:ilvl="0">
      <w:start w:val="1"/>
      <w:numFmt w:val="decimal"/>
      <w:lvlText w:val="(%1)"/>
      <w:lvlJc w:val="left"/>
      <w:pPr>
        <w:ind w:left="160" w:hanging="37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5"/>
      </w:pPr>
      <w:rPr>
        <w:rFonts w:hint="default"/>
        <w:lang w:val="en-US" w:eastAsia="en-US" w:bidi="ar-SA"/>
      </w:rPr>
    </w:lvl>
    <w:lvl w:ilvl="2">
      <w:start w:val="0"/>
      <w:numFmt w:val="bullet"/>
      <w:lvlText w:val="•"/>
      <w:lvlJc w:val="left"/>
      <w:pPr>
        <w:ind w:left="1988" w:hanging="375"/>
      </w:pPr>
      <w:rPr>
        <w:rFonts w:hint="default"/>
        <w:lang w:val="en-US" w:eastAsia="en-US" w:bidi="ar-SA"/>
      </w:rPr>
    </w:lvl>
    <w:lvl w:ilvl="3">
      <w:start w:val="0"/>
      <w:numFmt w:val="bullet"/>
      <w:lvlText w:val="•"/>
      <w:lvlJc w:val="left"/>
      <w:pPr>
        <w:ind w:left="2902" w:hanging="375"/>
      </w:pPr>
      <w:rPr>
        <w:rFonts w:hint="default"/>
        <w:lang w:val="en-US" w:eastAsia="en-US" w:bidi="ar-SA"/>
      </w:rPr>
    </w:lvl>
    <w:lvl w:ilvl="4">
      <w:start w:val="0"/>
      <w:numFmt w:val="bullet"/>
      <w:lvlText w:val="•"/>
      <w:lvlJc w:val="left"/>
      <w:pPr>
        <w:ind w:left="3816" w:hanging="375"/>
      </w:pPr>
      <w:rPr>
        <w:rFonts w:hint="default"/>
        <w:lang w:val="en-US" w:eastAsia="en-US" w:bidi="ar-SA"/>
      </w:rPr>
    </w:lvl>
    <w:lvl w:ilvl="5">
      <w:start w:val="0"/>
      <w:numFmt w:val="bullet"/>
      <w:lvlText w:val="•"/>
      <w:lvlJc w:val="left"/>
      <w:pPr>
        <w:ind w:left="4730" w:hanging="375"/>
      </w:pPr>
      <w:rPr>
        <w:rFonts w:hint="default"/>
        <w:lang w:val="en-US" w:eastAsia="en-US" w:bidi="ar-SA"/>
      </w:rPr>
    </w:lvl>
    <w:lvl w:ilvl="6">
      <w:start w:val="0"/>
      <w:numFmt w:val="bullet"/>
      <w:lvlText w:val="•"/>
      <w:lvlJc w:val="left"/>
      <w:pPr>
        <w:ind w:left="5644" w:hanging="375"/>
      </w:pPr>
      <w:rPr>
        <w:rFonts w:hint="default"/>
        <w:lang w:val="en-US" w:eastAsia="en-US" w:bidi="ar-SA"/>
      </w:rPr>
    </w:lvl>
    <w:lvl w:ilvl="7">
      <w:start w:val="0"/>
      <w:numFmt w:val="bullet"/>
      <w:lvlText w:val="•"/>
      <w:lvlJc w:val="left"/>
      <w:pPr>
        <w:ind w:left="6558" w:hanging="375"/>
      </w:pPr>
      <w:rPr>
        <w:rFonts w:hint="default"/>
        <w:lang w:val="en-US" w:eastAsia="en-US" w:bidi="ar-SA"/>
      </w:rPr>
    </w:lvl>
    <w:lvl w:ilvl="8">
      <w:start w:val="0"/>
      <w:numFmt w:val="bullet"/>
      <w:lvlText w:val="•"/>
      <w:lvlJc w:val="left"/>
      <w:pPr>
        <w:ind w:left="7472" w:hanging="375"/>
      </w:pPr>
      <w:rPr>
        <w:rFonts w:hint="default"/>
        <w:lang w:val="en-US" w:eastAsia="en-US" w:bidi="ar-SA"/>
      </w:rPr>
    </w:lvl>
  </w:abstractNum>
  <w:abstractNum w:abstractNumId="26">
    <w:multiLevelType w:val="hybridMultilevel"/>
    <w:lvl w:ilvl="0">
      <w:start w:val="1"/>
      <w:numFmt w:val="decimal"/>
      <w:lvlText w:val="(%1)"/>
      <w:lvlJc w:val="left"/>
      <w:pPr>
        <w:ind w:left="160" w:hanging="34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44"/>
      </w:pPr>
      <w:rPr>
        <w:rFonts w:hint="default"/>
        <w:lang w:val="en-US" w:eastAsia="en-US" w:bidi="ar-SA"/>
      </w:rPr>
    </w:lvl>
    <w:lvl w:ilvl="2">
      <w:start w:val="0"/>
      <w:numFmt w:val="bullet"/>
      <w:lvlText w:val="•"/>
      <w:lvlJc w:val="left"/>
      <w:pPr>
        <w:ind w:left="1988" w:hanging="344"/>
      </w:pPr>
      <w:rPr>
        <w:rFonts w:hint="default"/>
        <w:lang w:val="en-US" w:eastAsia="en-US" w:bidi="ar-SA"/>
      </w:rPr>
    </w:lvl>
    <w:lvl w:ilvl="3">
      <w:start w:val="0"/>
      <w:numFmt w:val="bullet"/>
      <w:lvlText w:val="•"/>
      <w:lvlJc w:val="left"/>
      <w:pPr>
        <w:ind w:left="2902" w:hanging="344"/>
      </w:pPr>
      <w:rPr>
        <w:rFonts w:hint="default"/>
        <w:lang w:val="en-US" w:eastAsia="en-US" w:bidi="ar-SA"/>
      </w:rPr>
    </w:lvl>
    <w:lvl w:ilvl="4">
      <w:start w:val="0"/>
      <w:numFmt w:val="bullet"/>
      <w:lvlText w:val="•"/>
      <w:lvlJc w:val="left"/>
      <w:pPr>
        <w:ind w:left="3816" w:hanging="344"/>
      </w:pPr>
      <w:rPr>
        <w:rFonts w:hint="default"/>
        <w:lang w:val="en-US" w:eastAsia="en-US" w:bidi="ar-SA"/>
      </w:rPr>
    </w:lvl>
    <w:lvl w:ilvl="5">
      <w:start w:val="0"/>
      <w:numFmt w:val="bullet"/>
      <w:lvlText w:val="•"/>
      <w:lvlJc w:val="left"/>
      <w:pPr>
        <w:ind w:left="4730" w:hanging="344"/>
      </w:pPr>
      <w:rPr>
        <w:rFonts w:hint="default"/>
        <w:lang w:val="en-US" w:eastAsia="en-US" w:bidi="ar-SA"/>
      </w:rPr>
    </w:lvl>
    <w:lvl w:ilvl="6">
      <w:start w:val="0"/>
      <w:numFmt w:val="bullet"/>
      <w:lvlText w:val="•"/>
      <w:lvlJc w:val="left"/>
      <w:pPr>
        <w:ind w:left="5644" w:hanging="344"/>
      </w:pPr>
      <w:rPr>
        <w:rFonts w:hint="default"/>
        <w:lang w:val="en-US" w:eastAsia="en-US" w:bidi="ar-SA"/>
      </w:rPr>
    </w:lvl>
    <w:lvl w:ilvl="7">
      <w:start w:val="0"/>
      <w:numFmt w:val="bullet"/>
      <w:lvlText w:val="•"/>
      <w:lvlJc w:val="left"/>
      <w:pPr>
        <w:ind w:left="6558" w:hanging="344"/>
      </w:pPr>
      <w:rPr>
        <w:rFonts w:hint="default"/>
        <w:lang w:val="en-US" w:eastAsia="en-US" w:bidi="ar-SA"/>
      </w:rPr>
    </w:lvl>
    <w:lvl w:ilvl="8">
      <w:start w:val="0"/>
      <w:numFmt w:val="bullet"/>
      <w:lvlText w:val="•"/>
      <w:lvlJc w:val="left"/>
      <w:pPr>
        <w:ind w:left="7472" w:hanging="344"/>
      </w:pPr>
      <w:rPr>
        <w:rFonts w:hint="default"/>
        <w:lang w:val="en-US" w:eastAsia="en-US" w:bidi="ar-SA"/>
      </w:rPr>
    </w:lvl>
  </w:abstractNum>
  <w:abstractNum w:abstractNumId="25">
    <w:multiLevelType w:val="hybridMultilevel"/>
    <w:lvl w:ilvl="0">
      <w:start w:val="1"/>
      <w:numFmt w:val="decimal"/>
      <w:lvlText w:val="(%1)"/>
      <w:lvlJc w:val="left"/>
      <w:pPr>
        <w:ind w:left="160" w:hanging="37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5"/>
      </w:pPr>
      <w:rPr>
        <w:rFonts w:hint="default"/>
        <w:lang w:val="en-US" w:eastAsia="en-US" w:bidi="ar-SA"/>
      </w:rPr>
    </w:lvl>
    <w:lvl w:ilvl="2">
      <w:start w:val="0"/>
      <w:numFmt w:val="bullet"/>
      <w:lvlText w:val="•"/>
      <w:lvlJc w:val="left"/>
      <w:pPr>
        <w:ind w:left="1988" w:hanging="375"/>
      </w:pPr>
      <w:rPr>
        <w:rFonts w:hint="default"/>
        <w:lang w:val="en-US" w:eastAsia="en-US" w:bidi="ar-SA"/>
      </w:rPr>
    </w:lvl>
    <w:lvl w:ilvl="3">
      <w:start w:val="0"/>
      <w:numFmt w:val="bullet"/>
      <w:lvlText w:val="•"/>
      <w:lvlJc w:val="left"/>
      <w:pPr>
        <w:ind w:left="2902" w:hanging="375"/>
      </w:pPr>
      <w:rPr>
        <w:rFonts w:hint="default"/>
        <w:lang w:val="en-US" w:eastAsia="en-US" w:bidi="ar-SA"/>
      </w:rPr>
    </w:lvl>
    <w:lvl w:ilvl="4">
      <w:start w:val="0"/>
      <w:numFmt w:val="bullet"/>
      <w:lvlText w:val="•"/>
      <w:lvlJc w:val="left"/>
      <w:pPr>
        <w:ind w:left="3816" w:hanging="375"/>
      </w:pPr>
      <w:rPr>
        <w:rFonts w:hint="default"/>
        <w:lang w:val="en-US" w:eastAsia="en-US" w:bidi="ar-SA"/>
      </w:rPr>
    </w:lvl>
    <w:lvl w:ilvl="5">
      <w:start w:val="0"/>
      <w:numFmt w:val="bullet"/>
      <w:lvlText w:val="•"/>
      <w:lvlJc w:val="left"/>
      <w:pPr>
        <w:ind w:left="4730" w:hanging="375"/>
      </w:pPr>
      <w:rPr>
        <w:rFonts w:hint="default"/>
        <w:lang w:val="en-US" w:eastAsia="en-US" w:bidi="ar-SA"/>
      </w:rPr>
    </w:lvl>
    <w:lvl w:ilvl="6">
      <w:start w:val="0"/>
      <w:numFmt w:val="bullet"/>
      <w:lvlText w:val="•"/>
      <w:lvlJc w:val="left"/>
      <w:pPr>
        <w:ind w:left="5644" w:hanging="375"/>
      </w:pPr>
      <w:rPr>
        <w:rFonts w:hint="default"/>
        <w:lang w:val="en-US" w:eastAsia="en-US" w:bidi="ar-SA"/>
      </w:rPr>
    </w:lvl>
    <w:lvl w:ilvl="7">
      <w:start w:val="0"/>
      <w:numFmt w:val="bullet"/>
      <w:lvlText w:val="•"/>
      <w:lvlJc w:val="left"/>
      <w:pPr>
        <w:ind w:left="6558" w:hanging="375"/>
      </w:pPr>
      <w:rPr>
        <w:rFonts w:hint="default"/>
        <w:lang w:val="en-US" w:eastAsia="en-US" w:bidi="ar-SA"/>
      </w:rPr>
    </w:lvl>
    <w:lvl w:ilvl="8">
      <w:start w:val="0"/>
      <w:numFmt w:val="bullet"/>
      <w:lvlText w:val="•"/>
      <w:lvlJc w:val="left"/>
      <w:pPr>
        <w:ind w:left="7472" w:hanging="375"/>
      </w:pPr>
      <w:rPr>
        <w:rFonts w:hint="default"/>
        <w:lang w:val="en-US" w:eastAsia="en-US" w:bidi="ar-SA"/>
      </w:rPr>
    </w:lvl>
  </w:abstractNum>
  <w:abstractNum w:abstractNumId="24">
    <w:multiLevelType w:val="hybridMultilevel"/>
    <w:lvl w:ilvl="0">
      <w:start w:val="1"/>
      <w:numFmt w:val="decimal"/>
      <w:lvlText w:val="(%1)"/>
      <w:lvlJc w:val="left"/>
      <w:pPr>
        <w:ind w:left="160" w:hanging="352"/>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2"/>
      </w:pPr>
      <w:rPr>
        <w:rFonts w:hint="default"/>
        <w:lang w:val="en-US" w:eastAsia="en-US" w:bidi="ar-SA"/>
      </w:rPr>
    </w:lvl>
    <w:lvl w:ilvl="2">
      <w:start w:val="0"/>
      <w:numFmt w:val="bullet"/>
      <w:lvlText w:val="•"/>
      <w:lvlJc w:val="left"/>
      <w:pPr>
        <w:ind w:left="1988" w:hanging="352"/>
      </w:pPr>
      <w:rPr>
        <w:rFonts w:hint="default"/>
        <w:lang w:val="en-US" w:eastAsia="en-US" w:bidi="ar-SA"/>
      </w:rPr>
    </w:lvl>
    <w:lvl w:ilvl="3">
      <w:start w:val="0"/>
      <w:numFmt w:val="bullet"/>
      <w:lvlText w:val="•"/>
      <w:lvlJc w:val="left"/>
      <w:pPr>
        <w:ind w:left="2902" w:hanging="352"/>
      </w:pPr>
      <w:rPr>
        <w:rFonts w:hint="default"/>
        <w:lang w:val="en-US" w:eastAsia="en-US" w:bidi="ar-SA"/>
      </w:rPr>
    </w:lvl>
    <w:lvl w:ilvl="4">
      <w:start w:val="0"/>
      <w:numFmt w:val="bullet"/>
      <w:lvlText w:val="•"/>
      <w:lvlJc w:val="left"/>
      <w:pPr>
        <w:ind w:left="3816" w:hanging="352"/>
      </w:pPr>
      <w:rPr>
        <w:rFonts w:hint="default"/>
        <w:lang w:val="en-US" w:eastAsia="en-US" w:bidi="ar-SA"/>
      </w:rPr>
    </w:lvl>
    <w:lvl w:ilvl="5">
      <w:start w:val="0"/>
      <w:numFmt w:val="bullet"/>
      <w:lvlText w:val="•"/>
      <w:lvlJc w:val="left"/>
      <w:pPr>
        <w:ind w:left="4730" w:hanging="352"/>
      </w:pPr>
      <w:rPr>
        <w:rFonts w:hint="default"/>
        <w:lang w:val="en-US" w:eastAsia="en-US" w:bidi="ar-SA"/>
      </w:rPr>
    </w:lvl>
    <w:lvl w:ilvl="6">
      <w:start w:val="0"/>
      <w:numFmt w:val="bullet"/>
      <w:lvlText w:val="•"/>
      <w:lvlJc w:val="left"/>
      <w:pPr>
        <w:ind w:left="5644" w:hanging="352"/>
      </w:pPr>
      <w:rPr>
        <w:rFonts w:hint="default"/>
        <w:lang w:val="en-US" w:eastAsia="en-US" w:bidi="ar-SA"/>
      </w:rPr>
    </w:lvl>
    <w:lvl w:ilvl="7">
      <w:start w:val="0"/>
      <w:numFmt w:val="bullet"/>
      <w:lvlText w:val="•"/>
      <w:lvlJc w:val="left"/>
      <w:pPr>
        <w:ind w:left="6558" w:hanging="352"/>
      </w:pPr>
      <w:rPr>
        <w:rFonts w:hint="default"/>
        <w:lang w:val="en-US" w:eastAsia="en-US" w:bidi="ar-SA"/>
      </w:rPr>
    </w:lvl>
    <w:lvl w:ilvl="8">
      <w:start w:val="0"/>
      <w:numFmt w:val="bullet"/>
      <w:lvlText w:val="•"/>
      <w:lvlJc w:val="left"/>
      <w:pPr>
        <w:ind w:left="7472" w:hanging="352"/>
      </w:pPr>
      <w:rPr>
        <w:rFonts w:hint="default"/>
        <w:lang w:val="en-US" w:eastAsia="en-US" w:bidi="ar-SA"/>
      </w:rPr>
    </w:lvl>
  </w:abstractNum>
  <w:abstractNum w:abstractNumId="23">
    <w:multiLevelType w:val="hybridMultilevel"/>
    <w:lvl w:ilvl="0">
      <w:start w:val="2"/>
      <w:numFmt w:val="decimal"/>
      <w:lvlText w:val="(%1)"/>
      <w:lvlJc w:val="left"/>
      <w:pPr>
        <w:ind w:left="160" w:hanging="36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66"/>
      </w:pPr>
      <w:rPr>
        <w:rFonts w:hint="default"/>
        <w:lang w:val="en-US" w:eastAsia="en-US" w:bidi="ar-SA"/>
      </w:rPr>
    </w:lvl>
    <w:lvl w:ilvl="2">
      <w:start w:val="0"/>
      <w:numFmt w:val="bullet"/>
      <w:lvlText w:val="•"/>
      <w:lvlJc w:val="left"/>
      <w:pPr>
        <w:ind w:left="1988" w:hanging="366"/>
      </w:pPr>
      <w:rPr>
        <w:rFonts w:hint="default"/>
        <w:lang w:val="en-US" w:eastAsia="en-US" w:bidi="ar-SA"/>
      </w:rPr>
    </w:lvl>
    <w:lvl w:ilvl="3">
      <w:start w:val="0"/>
      <w:numFmt w:val="bullet"/>
      <w:lvlText w:val="•"/>
      <w:lvlJc w:val="left"/>
      <w:pPr>
        <w:ind w:left="2902" w:hanging="366"/>
      </w:pPr>
      <w:rPr>
        <w:rFonts w:hint="default"/>
        <w:lang w:val="en-US" w:eastAsia="en-US" w:bidi="ar-SA"/>
      </w:rPr>
    </w:lvl>
    <w:lvl w:ilvl="4">
      <w:start w:val="0"/>
      <w:numFmt w:val="bullet"/>
      <w:lvlText w:val="•"/>
      <w:lvlJc w:val="left"/>
      <w:pPr>
        <w:ind w:left="3816" w:hanging="366"/>
      </w:pPr>
      <w:rPr>
        <w:rFonts w:hint="default"/>
        <w:lang w:val="en-US" w:eastAsia="en-US" w:bidi="ar-SA"/>
      </w:rPr>
    </w:lvl>
    <w:lvl w:ilvl="5">
      <w:start w:val="0"/>
      <w:numFmt w:val="bullet"/>
      <w:lvlText w:val="•"/>
      <w:lvlJc w:val="left"/>
      <w:pPr>
        <w:ind w:left="4730" w:hanging="366"/>
      </w:pPr>
      <w:rPr>
        <w:rFonts w:hint="default"/>
        <w:lang w:val="en-US" w:eastAsia="en-US" w:bidi="ar-SA"/>
      </w:rPr>
    </w:lvl>
    <w:lvl w:ilvl="6">
      <w:start w:val="0"/>
      <w:numFmt w:val="bullet"/>
      <w:lvlText w:val="•"/>
      <w:lvlJc w:val="left"/>
      <w:pPr>
        <w:ind w:left="5644" w:hanging="366"/>
      </w:pPr>
      <w:rPr>
        <w:rFonts w:hint="default"/>
        <w:lang w:val="en-US" w:eastAsia="en-US" w:bidi="ar-SA"/>
      </w:rPr>
    </w:lvl>
    <w:lvl w:ilvl="7">
      <w:start w:val="0"/>
      <w:numFmt w:val="bullet"/>
      <w:lvlText w:val="•"/>
      <w:lvlJc w:val="left"/>
      <w:pPr>
        <w:ind w:left="6558" w:hanging="366"/>
      </w:pPr>
      <w:rPr>
        <w:rFonts w:hint="default"/>
        <w:lang w:val="en-US" w:eastAsia="en-US" w:bidi="ar-SA"/>
      </w:rPr>
    </w:lvl>
    <w:lvl w:ilvl="8">
      <w:start w:val="0"/>
      <w:numFmt w:val="bullet"/>
      <w:lvlText w:val="•"/>
      <w:lvlJc w:val="left"/>
      <w:pPr>
        <w:ind w:left="7472" w:hanging="366"/>
      </w:pPr>
      <w:rPr>
        <w:rFonts w:hint="default"/>
        <w:lang w:val="en-US" w:eastAsia="en-US" w:bidi="ar-SA"/>
      </w:rPr>
    </w:lvl>
  </w:abstractNum>
  <w:abstractNum w:abstractNumId="22">
    <w:multiLevelType w:val="hybridMultilevel"/>
    <w:lvl w:ilvl="0">
      <w:start w:val="2"/>
      <w:numFmt w:val="decimal"/>
      <w:lvlText w:val="%1"/>
      <w:lvlJc w:val="left"/>
      <w:pPr>
        <w:ind w:left="160" w:hanging="506"/>
        <w:jc w:val="left"/>
      </w:pPr>
      <w:rPr>
        <w:rFonts w:hint="default"/>
        <w:lang w:val="en-US" w:eastAsia="en-US" w:bidi="ar-SA"/>
      </w:rPr>
    </w:lvl>
    <w:lvl w:ilvl="1">
      <w:start w:val="10"/>
      <w:numFmt w:val="decimal"/>
      <w:lvlText w:val="%1.%2"/>
      <w:lvlJc w:val="left"/>
      <w:pPr>
        <w:ind w:left="160" w:hanging="506"/>
        <w:jc w:val="left"/>
      </w:pPr>
      <w:rPr>
        <w:rFonts w:hint="default"/>
        <w:spacing w:val="0"/>
        <w:w w:val="100"/>
        <w:lang w:val="en-US" w:eastAsia="en-US" w:bidi="ar-SA"/>
      </w:rPr>
    </w:lvl>
    <w:lvl w:ilvl="2">
      <w:start w:val="0"/>
      <w:numFmt w:val="bullet"/>
      <w:lvlText w:val="-"/>
      <w:lvlJc w:val="left"/>
      <w:pPr>
        <w:ind w:left="160" w:hanging="186"/>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186"/>
      </w:pPr>
      <w:rPr>
        <w:rFonts w:hint="default"/>
        <w:lang w:val="en-US" w:eastAsia="en-US" w:bidi="ar-SA"/>
      </w:rPr>
    </w:lvl>
    <w:lvl w:ilvl="4">
      <w:start w:val="0"/>
      <w:numFmt w:val="bullet"/>
      <w:lvlText w:val="•"/>
      <w:lvlJc w:val="left"/>
      <w:pPr>
        <w:ind w:left="3816" w:hanging="186"/>
      </w:pPr>
      <w:rPr>
        <w:rFonts w:hint="default"/>
        <w:lang w:val="en-US" w:eastAsia="en-US" w:bidi="ar-SA"/>
      </w:rPr>
    </w:lvl>
    <w:lvl w:ilvl="5">
      <w:start w:val="0"/>
      <w:numFmt w:val="bullet"/>
      <w:lvlText w:val="•"/>
      <w:lvlJc w:val="left"/>
      <w:pPr>
        <w:ind w:left="4730" w:hanging="186"/>
      </w:pPr>
      <w:rPr>
        <w:rFonts w:hint="default"/>
        <w:lang w:val="en-US" w:eastAsia="en-US" w:bidi="ar-SA"/>
      </w:rPr>
    </w:lvl>
    <w:lvl w:ilvl="6">
      <w:start w:val="0"/>
      <w:numFmt w:val="bullet"/>
      <w:lvlText w:val="•"/>
      <w:lvlJc w:val="left"/>
      <w:pPr>
        <w:ind w:left="5644" w:hanging="186"/>
      </w:pPr>
      <w:rPr>
        <w:rFonts w:hint="default"/>
        <w:lang w:val="en-US" w:eastAsia="en-US" w:bidi="ar-SA"/>
      </w:rPr>
    </w:lvl>
    <w:lvl w:ilvl="7">
      <w:start w:val="0"/>
      <w:numFmt w:val="bullet"/>
      <w:lvlText w:val="•"/>
      <w:lvlJc w:val="left"/>
      <w:pPr>
        <w:ind w:left="6558" w:hanging="186"/>
      </w:pPr>
      <w:rPr>
        <w:rFonts w:hint="default"/>
        <w:lang w:val="en-US" w:eastAsia="en-US" w:bidi="ar-SA"/>
      </w:rPr>
    </w:lvl>
    <w:lvl w:ilvl="8">
      <w:start w:val="0"/>
      <w:numFmt w:val="bullet"/>
      <w:lvlText w:val="•"/>
      <w:lvlJc w:val="left"/>
      <w:pPr>
        <w:ind w:left="7472" w:hanging="186"/>
      </w:pPr>
      <w:rPr>
        <w:rFonts w:hint="default"/>
        <w:lang w:val="en-US" w:eastAsia="en-US" w:bidi="ar-SA"/>
      </w:rPr>
    </w:lvl>
  </w:abstractNum>
  <w:abstractNum w:abstractNumId="21">
    <w:multiLevelType w:val="hybridMultilevel"/>
    <w:lvl w:ilvl="0">
      <w:start w:val="1"/>
      <w:numFmt w:val="decimal"/>
      <w:lvlText w:val="(%1)"/>
      <w:lvlJc w:val="left"/>
      <w:pPr>
        <w:ind w:left="160" w:hanging="37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79"/>
      </w:pPr>
      <w:rPr>
        <w:rFonts w:hint="default"/>
        <w:lang w:val="en-US" w:eastAsia="en-US" w:bidi="ar-SA"/>
      </w:rPr>
    </w:lvl>
    <w:lvl w:ilvl="2">
      <w:start w:val="0"/>
      <w:numFmt w:val="bullet"/>
      <w:lvlText w:val="•"/>
      <w:lvlJc w:val="left"/>
      <w:pPr>
        <w:ind w:left="1988" w:hanging="379"/>
      </w:pPr>
      <w:rPr>
        <w:rFonts w:hint="default"/>
        <w:lang w:val="en-US" w:eastAsia="en-US" w:bidi="ar-SA"/>
      </w:rPr>
    </w:lvl>
    <w:lvl w:ilvl="3">
      <w:start w:val="0"/>
      <w:numFmt w:val="bullet"/>
      <w:lvlText w:val="•"/>
      <w:lvlJc w:val="left"/>
      <w:pPr>
        <w:ind w:left="2902" w:hanging="379"/>
      </w:pPr>
      <w:rPr>
        <w:rFonts w:hint="default"/>
        <w:lang w:val="en-US" w:eastAsia="en-US" w:bidi="ar-SA"/>
      </w:rPr>
    </w:lvl>
    <w:lvl w:ilvl="4">
      <w:start w:val="0"/>
      <w:numFmt w:val="bullet"/>
      <w:lvlText w:val="•"/>
      <w:lvlJc w:val="left"/>
      <w:pPr>
        <w:ind w:left="3816" w:hanging="379"/>
      </w:pPr>
      <w:rPr>
        <w:rFonts w:hint="default"/>
        <w:lang w:val="en-US" w:eastAsia="en-US" w:bidi="ar-SA"/>
      </w:rPr>
    </w:lvl>
    <w:lvl w:ilvl="5">
      <w:start w:val="0"/>
      <w:numFmt w:val="bullet"/>
      <w:lvlText w:val="•"/>
      <w:lvlJc w:val="left"/>
      <w:pPr>
        <w:ind w:left="4730" w:hanging="379"/>
      </w:pPr>
      <w:rPr>
        <w:rFonts w:hint="default"/>
        <w:lang w:val="en-US" w:eastAsia="en-US" w:bidi="ar-SA"/>
      </w:rPr>
    </w:lvl>
    <w:lvl w:ilvl="6">
      <w:start w:val="0"/>
      <w:numFmt w:val="bullet"/>
      <w:lvlText w:val="•"/>
      <w:lvlJc w:val="left"/>
      <w:pPr>
        <w:ind w:left="5644" w:hanging="379"/>
      </w:pPr>
      <w:rPr>
        <w:rFonts w:hint="default"/>
        <w:lang w:val="en-US" w:eastAsia="en-US" w:bidi="ar-SA"/>
      </w:rPr>
    </w:lvl>
    <w:lvl w:ilvl="7">
      <w:start w:val="0"/>
      <w:numFmt w:val="bullet"/>
      <w:lvlText w:val="•"/>
      <w:lvlJc w:val="left"/>
      <w:pPr>
        <w:ind w:left="6558" w:hanging="379"/>
      </w:pPr>
      <w:rPr>
        <w:rFonts w:hint="default"/>
        <w:lang w:val="en-US" w:eastAsia="en-US" w:bidi="ar-SA"/>
      </w:rPr>
    </w:lvl>
    <w:lvl w:ilvl="8">
      <w:start w:val="0"/>
      <w:numFmt w:val="bullet"/>
      <w:lvlText w:val="•"/>
      <w:lvlJc w:val="left"/>
      <w:pPr>
        <w:ind w:left="7472" w:hanging="379"/>
      </w:pPr>
      <w:rPr>
        <w:rFonts w:hint="default"/>
        <w:lang w:val="en-US" w:eastAsia="en-US" w:bidi="ar-SA"/>
      </w:rPr>
    </w:lvl>
  </w:abstractNum>
  <w:abstractNum w:abstractNumId="20">
    <w:multiLevelType w:val="hybridMultilevel"/>
    <w:lvl w:ilvl="0">
      <w:start w:val="2"/>
      <w:numFmt w:val="decimal"/>
      <w:lvlText w:val="%1"/>
      <w:lvlJc w:val="left"/>
      <w:pPr>
        <w:ind w:left="160" w:hanging="551"/>
        <w:jc w:val="left"/>
      </w:pPr>
      <w:rPr>
        <w:rFonts w:hint="default"/>
        <w:lang w:val="en-US" w:eastAsia="en-US" w:bidi="ar-SA"/>
      </w:rPr>
    </w:lvl>
    <w:lvl w:ilvl="1">
      <w:start w:val="1"/>
      <w:numFmt w:val="decimalZero"/>
      <w:lvlText w:val="%1.%2"/>
      <w:lvlJc w:val="left"/>
      <w:pPr>
        <w:ind w:left="160" w:hanging="551"/>
        <w:jc w:val="left"/>
      </w:pPr>
      <w:rPr>
        <w:rFonts w:hint="default"/>
        <w:spacing w:val="0"/>
        <w:w w:val="100"/>
        <w:lang w:val="en-US" w:eastAsia="en-US" w:bidi="ar-SA"/>
      </w:rPr>
    </w:lvl>
    <w:lvl w:ilvl="2">
      <w:start w:val="0"/>
      <w:numFmt w:val="bullet"/>
      <w:lvlText w:val="•"/>
      <w:lvlJc w:val="left"/>
      <w:pPr>
        <w:ind w:left="1988" w:hanging="551"/>
      </w:pPr>
      <w:rPr>
        <w:rFonts w:hint="default"/>
        <w:lang w:val="en-US" w:eastAsia="en-US" w:bidi="ar-SA"/>
      </w:rPr>
    </w:lvl>
    <w:lvl w:ilvl="3">
      <w:start w:val="0"/>
      <w:numFmt w:val="bullet"/>
      <w:lvlText w:val="•"/>
      <w:lvlJc w:val="left"/>
      <w:pPr>
        <w:ind w:left="2902" w:hanging="551"/>
      </w:pPr>
      <w:rPr>
        <w:rFonts w:hint="default"/>
        <w:lang w:val="en-US" w:eastAsia="en-US" w:bidi="ar-SA"/>
      </w:rPr>
    </w:lvl>
    <w:lvl w:ilvl="4">
      <w:start w:val="0"/>
      <w:numFmt w:val="bullet"/>
      <w:lvlText w:val="•"/>
      <w:lvlJc w:val="left"/>
      <w:pPr>
        <w:ind w:left="3816" w:hanging="551"/>
      </w:pPr>
      <w:rPr>
        <w:rFonts w:hint="default"/>
        <w:lang w:val="en-US" w:eastAsia="en-US" w:bidi="ar-SA"/>
      </w:rPr>
    </w:lvl>
    <w:lvl w:ilvl="5">
      <w:start w:val="0"/>
      <w:numFmt w:val="bullet"/>
      <w:lvlText w:val="•"/>
      <w:lvlJc w:val="left"/>
      <w:pPr>
        <w:ind w:left="4730" w:hanging="551"/>
      </w:pPr>
      <w:rPr>
        <w:rFonts w:hint="default"/>
        <w:lang w:val="en-US" w:eastAsia="en-US" w:bidi="ar-SA"/>
      </w:rPr>
    </w:lvl>
    <w:lvl w:ilvl="6">
      <w:start w:val="0"/>
      <w:numFmt w:val="bullet"/>
      <w:lvlText w:val="•"/>
      <w:lvlJc w:val="left"/>
      <w:pPr>
        <w:ind w:left="5644" w:hanging="551"/>
      </w:pPr>
      <w:rPr>
        <w:rFonts w:hint="default"/>
        <w:lang w:val="en-US" w:eastAsia="en-US" w:bidi="ar-SA"/>
      </w:rPr>
    </w:lvl>
    <w:lvl w:ilvl="7">
      <w:start w:val="0"/>
      <w:numFmt w:val="bullet"/>
      <w:lvlText w:val="•"/>
      <w:lvlJc w:val="left"/>
      <w:pPr>
        <w:ind w:left="6558" w:hanging="551"/>
      </w:pPr>
      <w:rPr>
        <w:rFonts w:hint="default"/>
        <w:lang w:val="en-US" w:eastAsia="en-US" w:bidi="ar-SA"/>
      </w:rPr>
    </w:lvl>
    <w:lvl w:ilvl="8">
      <w:start w:val="0"/>
      <w:numFmt w:val="bullet"/>
      <w:lvlText w:val="•"/>
      <w:lvlJc w:val="left"/>
      <w:pPr>
        <w:ind w:left="7472" w:hanging="551"/>
      </w:pPr>
      <w:rPr>
        <w:rFonts w:hint="default"/>
        <w:lang w:val="en-US" w:eastAsia="en-US" w:bidi="ar-SA"/>
      </w:rPr>
    </w:lvl>
  </w:abstractNum>
  <w:abstractNum w:abstractNumId="19">
    <w:multiLevelType w:val="hybridMultilevel"/>
    <w:lvl w:ilvl="0">
      <w:start w:val="1"/>
      <w:numFmt w:val="lowerLetter"/>
      <w:lvlText w:val="(%1)"/>
      <w:lvlJc w:val="left"/>
      <w:pPr>
        <w:ind w:left="160"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8"/>
      </w:pPr>
      <w:rPr>
        <w:rFonts w:hint="default"/>
        <w:lang w:val="en-US" w:eastAsia="en-US" w:bidi="ar-SA"/>
      </w:rPr>
    </w:lvl>
    <w:lvl w:ilvl="2">
      <w:start w:val="0"/>
      <w:numFmt w:val="bullet"/>
      <w:lvlText w:val="•"/>
      <w:lvlJc w:val="left"/>
      <w:pPr>
        <w:ind w:left="1988" w:hanging="348"/>
      </w:pPr>
      <w:rPr>
        <w:rFonts w:hint="default"/>
        <w:lang w:val="en-US" w:eastAsia="en-US" w:bidi="ar-SA"/>
      </w:rPr>
    </w:lvl>
    <w:lvl w:ilvl="3">
      <w:start w:val="0"/>
      <w:numFmt w:val="bullet"/>
      <w:lvlText w:val="•"/>
      <w:lvlJc w:val="left"/>
      <w:pPr>
        <w:ind w:left="2902" w:hanging="348"/>
      </w:pPr>
      <w:rPr>
        <w:rFonts w:hint="default"/>
        <w:lang w:val="en-US" w:eastAsia="en-US" w:bidi="ar-SA"/>
      </w:rPr>
    </w:lvl>
    <w:lvl w:ilvl="4">
      <w:start w:val="0"/>
      <w:numFmt w:val="bullet"/>
      <w:lvlText w:val="•"/>
      <w:lvlJc w:val="left"/>
      <w:pPr>
        <w:ind w:left="3816" w:hanging="348"/>
      </w:pPr>
      <w:rPr>
        <w:rFonts w:hint="default"/>
        <w:lang w:val="en-US" w:eastAsia="en-US" w:bidi="ar-SA"/>
      </w:rPr>
    </w:lvl>
    <w:lvl w:ilvl="5">
      <w:start w:val="0"/>
      <w:numFmt w:val="bullet"/>
      <w:lvlText w:val="•"/>
      <w:lvlJc w:val="left"/>
      <w:pPr>
        <w:ind w:left="4730" w:hanging="348"/>
      </w:pPr>
      <w:rPr>
        <w:rFonts w:hint="default"/>
        <w:lang w:val="en-US" w:eastAsia="en-US" w:bidi="ar-SA"/>
      </w:rPr>
    </w:lvl>
    <w:lvl w:ilvl="6">
      <w:start w:val="0"/>
      <w:numFmt w:val="bullet"/>
      <w:lvlText w:val="•"/>
      <w:lvlJc w:val="left"/>
      <w:pPr>
        <w:ind w:left="5644" w:hanging="348"/>
      </w:pPr>
      <w:rPr>
        <w:rFonts w:hint="default"/>
        <w:lang w:val="en-US" w:eastAsia="en-US" w:bidi="ar-SA"/>
      </w:rPr>
    </w:lvl>
    <w:lvl w:ilvl="7">
      <w:start w:val="0"/>
      <w:numFmt w:val="bullet"/>
      <w:lvlText w:val="•"/>
      <w:lvlJc w:val="left"/>
      <w:pPr>
        <w:ind w:left="6558" w:hanging="348"/>
      </w:pPr>
      <w:rPr>
        <w:rFonts w:hint="default"/>
        <w:lang w:val="en-US" w:eastAsia="en-US" w:bidi="ar-SA"/>
      </w:rPr>
    </w:lvl>
    <w:lvl w:ilvl="8">
      <w:start w:val="0"/>
      <w:numFmt w:val="bullet"/>
      <w:lvlText w:val="•"/>
      <w:lvlJc w:val="left"/>
      <w:pPr>
        <w:ind w:left="7472" w:hanging="348"/>
      </w:pPr>
      <w:rPr>
        <w:rFonts w:hint="default"/>
        <w:lang w:val="en-US" w:eastAsia="en-US" w:bidi="ar-SA"/>
      </w:rPr>
    </w:lvl>
  </w:abstractNum>
  <w:abstractNum w:abstractNumId="18">
    <w:multiLevelType w:val="hybridMultilevel"/>
    <w:lvl w:ilvl="0">
      <w:start w:val="1"/>
      <w:numFmt w:val="lowerLetter"/>
      <w:lvlText w:val="(%1)"/>
      <w:lvlJc w:val="left"/>
      <w:pPr>
        <w:ind w:left="160" w:hanging="39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98"/>
      </w:pPr>
      <w:rPr>
        <w:rFonts w:hint="default"/>
        <w:lang w:val="en-US" w:eastAsia="en-US" w:bidi="ar-SA"/>
      </w:rPr>
    </w:lvl>
    <w:lvl w:ilvl="2">
      <w:start w:val="0"/>
      <w:numFmt w:val="bullet"/>
      <w:lvlText w:val="•"/>
      <w:lvlJc w:val="left"/>
      <w:pPr>
        <w:ind w:left="1988" w:hanging="398"/>
      </w:pPr>
      <w:rPr>
        <w:rFonts w:hint="default"/>
        <w:lang w:val="en-US" w:eastAsia="en-US" w:bidi="ar-SA"/>
      </w:rPr>
    </w:lvl>
    <w:lvl w:ilvl="3">
      <w:start w:val="0"/>
      <w:numFmt w:val="bullet"/>
      <w:lvlText w:val="•"/>
      <w:lvlJc w:val="left"/>
      <w:pPr>
        <w:ind w:left="2902" w:hanging="398"/>
      </w:pPr>
      <w:rPr>
        <w:rFonts w:hint="default"/>
        <w:lang w:val="en-US" w:eastAsia="en-US" w:bidi="ar-SA"/>
      </w:rPr>
    </w:lvl>
    <w:lvl w:ilvl="4">
      <w:start w:val="0"/>
      <w:numFmt w:val="bullet"/>
      <w:lvlText w:val="•"/>
      <w:lvlJc w:val="left"/>
      <w:pPr>
        <w:ind w:left="3816" w:hanging="398"/>
      </w:pPr>
      <w:rPr>
        <w:rFonts w:hint="default"/>
        <w:lang w:val="en-US" w:eastAsia="en-US" w:bidi="ar-SA"/>
      </w:rPr>
    </w:lvl>
    <w:lvl w:ilvl="5">
      <w:start w:val="0"/>
      <w:numFmt w:val="bullet"/>
      <w:lvlText w:val="•"/>
      <w:lvlJc w:val="left"/>
      <w:pPr>
        <w:ind w:left="4730" w:hanging="398"/>
      </w:pPr>
      <w:rPr>
        <w:rFonts w:hint="default"/>
        <w:lang w:val="en-US" w:eastAsia="en-US" w:bidi="ar-SA"/>
      </w:rPr>
    </w:lvl>
    <w:lvl w:ilvl="6">
      <w:start w:val="0"/>
      <w:numFmt w:val="bullet"/>
      <w:lvlText w:val="•"/>
      <w:lvlJc w:val="left"/>
      <w:pPr>
        <w:ind w:left="5644" w:hanging="398"/>
      </w:pPr>
      <w:rPr>
        <w:rFonts w:hint="default"/>
        <w:lang w:val="en-US" w:eastAsia="en-US" w:bidi="ar-SA"/>
      </w:rPr>
    </w:lvl>
    <w:lvl w:ilvl="7">
      <w:start w:val="0"/>
      <w:numFmt w:val="bullet"/>
      <w:lvlText w:val="•"/>
      <w:lvlJc w:val="left"/>
      <w:pPr>
        <w:ind w:left="6558" w:hanging="398"/>
      </w:pPr>
      <w:rPr>
        <w:rFonts w:hint="default"/>
        <w:lang w:val="en-US" w:eastAsia="en-US" w:bidi="ar-SA"/>
      </w:rPr>
    </w:lvl>
    <w:lvl w:ilvl="8">
      <w:start w:val="0"/>
      <w:numFmt w:val="bullet"/>
      <w:lvlText w:val="•"/>
      <w:lvlJc w:val="left"/>
      <w:pPr>
        <w:ind w:left="7472" w:hanging="398"/>
      </w:pPr>
      <w:rPr>
        <w:rFonts w:hint="default"/>
        <w:lang w:val="en-US" w:eastAsia="en-US" w:bidi="ar-SA"/>
      </w:rPr>
    </w:lvl>
  </w:abstractNum>
  <w:abstractNum w:abstractNumId="17">
    <w:multiLevelType w:val="hybridMultilevel"/>
    <w:lvl w:ilvl="0">
      <w:start w:val="4"/>
      <w:numFmt w:val="lowerRoman"/>
      <w:lvlText w:val="(%1)"/>
      <w:lvlJc w:val="left"/>
      <w:pPr>
        <w:ind w:left="160" w:hanging="469"/>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469"/>
      </w:pPr>
      <w:rPr>
        <w:rFonts w:hint="default"/>
        <w:lang w:val="en-US" w:eastAsia="en-US" w:bidi="ar-SA"/>
      </w:rPr>
    </w:lvl>
    <w:lvl w:ilvl="2">
      <w:start w:val="0"/>
      <w:numFmt w:val="bullet"/>
      <w:lvlText w:val="•"/>
      <w:lvlJc w:val="left"/>
      <w:pPr>
        <w:ind w:left="1988" w:hanging="469"/>
      </w:pPr>
      <w:rPr>
        <w:rFonts w:hint="default"/>
        <w:lang w:val="en-US" w:eastAsia="en-US" w:bidi="ar-SA"/>
      </w:rPr>
    </w:lvl>
    <w:lvl w:ilvl="3">
      <w:start w:val="0"/>
      <w:numFmt w:val="bullet"/>
      <w:lvlText w:val="•"/>
      <w:lvlJc w:val="left"/>
      <w:pPr>
        <w:ind w:left="2902" w:hanging="469"/>
      </w:pPr>
      <w:rPr>
        <w:rFonts w:hint="default"/>
        <w:lang w:val="en-US" w:eastAsia="en-US" w:bidi="ar-SA"/>
      </w:rPr>
    </w:lvl>
    <w:lvl w:ilvl="4">
      <w:start w:val="0"/>
      <w:numFmt w:val="bullet"/>
      <w:lvlText w:val="•"/>
      <w:lvlJc w:val="left"/>
      <w:pPr>
        <w:ind w:left="3816" w:hanging="469"/>
      </w:pPr>
      <w:rPr>
        <w:rFonts w:hint="default"/>
        <w:lang w:val="en-US" w:eastAsia="en-US" w:bidi="ar-SA"/>
      </w:rPr>
    </w:lvl>
    <w:lvl w:ilvl="5">
      <w:start w:val="0"/>
      <w:numFmt w:val="bullet"/>
      <w:lvlText w:val="•"/>
      <w:lvlJc w:val="left"/>
      <w:pPr>
        <w:ind w:left="4730" w:hanging="469"/>
      </w:pPr>
      <w:rPr>
        <w:rFonts w:hint="default"/>
        <w:lang w:val="en-US" w:eastAsia="en-US" w:bidi="ar-SA"/>
      </w:rPr>
    </w:lvl>
    <w:lvl w:ilvl="6">
      <w:start w:val="0"/>
      <w:numFmt w:val="bullet"/>
      <w:lvlText w:val="•"/>
      <w:lvlJc w:val="left"/>
      <w:pPr>
        <w:ind w:left="5644" w:hanging="469"/>
      </w:pPr>
      <w:rPr>
        <w:rFonts w:hint="default"/>
        <w:lang w:val="en-US" w:eastAsia="en-US" w:bidi="ar-SA"/>
      </w:rPr>
    </w:lvl>
    <w:lvl w:ilvl="7">
      <w:start w:val="0"/>
      <w:numFmt w:val="bullet"/>
      <w:lvlText w:val="•"/>
      <w:lvlJc w:val="left"/>
      <w:pPr>
        <w:ind w:left="6558" w:hanging="469"/>
      </w:pPr>
      <w:rPr>
        <w:rFonts w:hint="default"/>
        <w:lang w:val="en-US" w:eastAsia="en-US" w:bidi="ar-SA"/>
      </w:rPr>
    </w:lvl>
    <w:lvl w:ilvl="8">
      <w:start w:val="0"/>
      <w:numFmt w:val="bullet"/>
      <w:lvlText w:val="•"/>
      <w:lvlJc w:val="left"/>
      <w:pPr>
        <w:ind w:left="7472" w:hanging="469"/>
      </w:pPr>
      <w:rPr>
        <w:rFonts w:hint="default"/>
        <w:lang w:val="en-US" w:eastAsia="en-US" w:bidi="ar-SA"/>
      </w:rPr>
    </w:lvl>
  </w:abstractNum>
  <w:abstractNum w:abstractNumId="16">
    <w:multiLevelType w:val="hybridMultilevel"/>
    <w:lvl w:ilvl="0">
      <w:start w:val="1"/>
      <w:numFmt w:val="decimal"/>
      <w:lvlText w:val="%1"/>
      <w:lvlJc w:val="left"/>
      <w:pPr>
        <w:ind w:left="160" w:hanging="240"/>
        <w:jc w:val="left"/>
      </w:pPr>
      <w:rPr>
        <w:rFonts w:hint="default"/>
        <w:spacing w:val="0"/>
        <w:w w:val="100"/>
        <w:lang w:val="en-US" w:eastAsia="en-US" w:bidi="ar-SA"/>
      </w:rPr>
    </w:lvl>
    <w:lvl w:ilvl="1">
      <w:start w:val="1"/>
      <w:numFmt w:val="decimal"/>
      <w:lvlText w:val="(%2)"/>
      <w:lvlJc w:val="left"/>
      <w:pPr>
        <w:ind w:left="160" w:hanging="378"/>
        <w:jc w:val="left"/>
      </w:pPr>
      <w:rPr>
        <w:rFonts w:hint="default"/>
        <w:spacing w:val="0"/>
        <w:w w:val="100"/>
        <w:lang w:val="en-US" w:eastAsia="en-US" w:bidi="ar-SA"/>
      </w:rPr>
    </w:lvl>
    <w:lvl w:ilvl="2">
      <w:start w:val="1"/>
      <w:numFmt w:val="lowerRoman"/>
      <w:lvlText w:val="(%3)"/>
      <w:lvlJc w:val="left"/>
      <w:pPr>
        <w:ind w:left="160" w:hanging="29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02" w:hanging="294"/>
      </w:pPr>
      <w:rPr>
        <w:rFonts w:hint="default"/>
        <w:lang w:val="en-US" w:eastAsia="en-US" w:bidi="ar-SA"/>
      </w:rPr>
    </w:lvl>
    <w:lvl w:ilvl="4">
      <w:start w:val="0"/>
      <w:numFmt w:val="bullet"/>
      <w:lvlText w:val="•"/>
      <w:lvlJc w:val="left"/>
      <w:pPr>
        <w:ind w:left="3816" w:hanging="294"/>
      </w:pPr>
      <w:rPr>
        <w:rFonts w:hint="default"/>
        <w:lang w:val="en-US" w:eastAsia="en-US" w:bidi="ar-SA"/>
      </w:rPr>
    </w:lvl>
    <w:lvl w:ilvl="5">
      <w:start w:val="0"/>
      <w:numFmt w:val="bullet"/>
      <w:lvlText w:val="•"/>
      <w:lvlJc w:val="left"/>
      <w:pPr>
        <w:ind w:left="4730" w:hanging="294"/>
      </w:pPr>
      <w:rPr>
        <w:rFonts w:hint="default"/>
        <w:lang w:val="en-US" w:eastAsia="en-US" w:bidi="ar-SA"/>
      </w:rPr>
    </w:lvl>
    <w:lvl w:ilvl="6">
      <w:start w:val="0"/>
      <w:numFmt w:val="bullet"/>
      <w:lvlText w:val="•"/>
      <w:lvlJc w:val="left"/>
      <w:pPr>
        <w:ind w:left="5644" w:hanging="294"/>
      </w:pPr>
      <w:rPr>
        <w:rFonts w:hint="default"/>
        <w:lang w:val="en-US" w:eastAsia="en-US" w:bidi="ar-SA"/>
      </w:rPr>
    </w:lvl>
    <w:lvl w:ilvl="7">
      <w:start w:val="0"/>
      <w:numFmt w:val="bullet"/>
      <w:lvlText w:val="•"/>
      <w:lvlJc w:val="left"/>
      <w:pPr>
        <w:ind w:left="6558" w:hanging="294"/>
      </w:pPr>
      <w:rPr>
        <w:rFonts w:hint="default"/>
        <w:lang w:val="en-US" w:eastAsia="en-US" w:bidi="ar-SA"/>
      </w:rPr>
    </w:lvl>
    <w:lvl w:ilvl="8">
      <w:start w:val="0"/>
      <w:numFmt w:val="bullet"/>
      <w:lvlText w:val="•"/>
      <w:lvlJc w:val="left"/>
      <w:pPr>
        <w:ind w:left="7472" w:hanging="294"/>
      </w:pPr>
      <w:rPr>
        <w:rFonts w:hint="default"/>
        <w:lang w:val="en-US" w:eastAsia="en-US" w:bidi="ar-SA"/>
      </w:rPr>
    </w:lvl>
  </w:abstractNum>
  <w:abstractNum w:abstractNumId="15">
    <w:multiLevelType w:val="hybridMultilevel"/>
    <w:lvl w:ilvl="0">
      <w:start w:val="1"/>
      <w:numFmt w:val="decimal"/>
      <w:lvlText w:val="(%1)"/>
      <w:lvlJc w:val="left"/>
      <w:pPr>
        <w:ind w:left="160" w:hanging="35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4"/>
      </w:pPr>
      <w:rPr>
        <w:rFonts w:hint="default"/>
        <w:lang w:val="en-US" w:eastAsia="en-US" w:bidi="ar-SA"/>
      </w:rPr>
    </w:lvl>
    <w:lvl w:ilvl="2">
      <w:start w:val="0"/>
      <w:numFmt w:val="bullet"/>
      <w:lvlText w:val="•"/>
      <w:lvlJc w:val="left"/>
      <w:pPr>
        <w:ind w:left="1988" w:hanging="354"/>
      </w:pPr>
      <w:rPr>
        <w:rFonts w:hint="default"/>
        <w:lang w:val="en-US" w:eastAsia="en-US" w:bidi="ar-SA"/>
      </w:rPr>
    </w:lvl>
    <w:lvl w:ilvl="3">
      <w:start w:val="0"/>
      <w:numFmt w:val="bullet"/>
      <w:lvlText w:val="•"/>
      <w:lvlJc w:val="left"/>
      <w:pPr>
        <w:ind w:left="2902" w:hanging="354"/>
      </w:pPr>
      <w:rPr>
        <w:rFonts w:hint="default"/>
        <w:lang w:val="en-US" w:eastAsia="en-US" w:bidi="ar-SA"/>
      </w:rPr>
    </w:lvl>
    <w:lvl w:ilvl="4">
      <w:start w:val="0"/>
      <w:numFmt w:val="bullet"/>
      <w:lvlText w:val="•"/>
      <w:lvlJc w:val="left"/>
      <w:pPr>
        <w:ind w:left="3816" w:hanging="354"/>
      </w:pPr>
      <w:rPr>
        <w:rFonts w:hint="default"/>
        <w:lang w:val="en-US" w:eastAsia="en-US" w:bidi="ar-SA"/>
      </w:rPr>
    </w:lvl>
    <w:lvl w:ilvl="5">
      <w:start w:val="0"/>
      <w:numFmt w:val="bullet"/>
      <w:lvlText w:val="•"/>
      <w:lvlJc w:val="left"/>
      <w:pPr>
        <w:ind w:left="4730" w:hanging="354"/>
      </w:pPr>
      <w:rPr>
        <w:rFonts w:hint="default"/>
        <w:lang w:val="en-US" w:eastAsia="en-US" w:bidi="ar-SA"/>
      </w:rPr>
    </w:lvl>
    <w:lvl w:ilvl="6">
      <w:start w:val="0"/>
      <w:numFmt w:val="bullet"/>
      <w:lvlText w:val="•"/>
      <w:lvlJc w:val="left"/>
      <w:pPr>
        <w:ind w:left="5644" w:hanging="354"/>
      </w:pPr>
      <w:rPr>
        <w:rFonts w:hint="default"/>
        <w:lang w:val="en-US" w:eastAsia="en-US" w:bidi="ar-SA"/>
      </w:rPr>
    </w:lvl>
    <w:lvl w:ilvl="7">
      <w:start w:val="0"/>
      <w:numFmt w:val="bullet"/>
      <w:lvlText w:val="•"/>
      <w:lvlJc w:val="left"/>
      <w:pPr>
        <w:ind w:left="6558" w:hanging="354"/>
      </w:pPr>
      <w:rPr>
        <w:rFonts w:hint="default"/>
        <w:lang w:val="en-US" w:eastAsia="en-US" w:bidi="ar-SA"/>
      </w:rPr>
    </w:lvl>
    <w:lvl w:ilvl="8">
      <w:start w:val="0"/>
      <w:numFmt w:val="bullet"/>
      <w:lvlText w:val="•"/>
      <w:lvlJc w:val="left"/>
      <w:pPr>
        <w:ind w:left="7472" w:hanging="354"/>
      </w:pPr>
      <w:rPr>
        <w:rFonts w:hint="default"/>
        <w:lang w:val="en-US" w:eastAsia="en-US" w:bidi="ar-SA"/>
      </w:rPr>
    </w:lvl>
  </w:abstractNum>
  <w:abstractNum w:abstractNumId="14">
    <w:multiLevelType w:val="hybridMultilevel"/>
    <w:lvl w:ilvl="0">
      <w:start w:val="1"/>
      <w:numFmt w:val="decimal"/>
      <w:lvlText w:val="(%1)"/>
      <w:lvlJc w:val="left"/>
      <w:pPr>
        <w:ind w:left="160" w:hanging="34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48"/>
      </w:pPr>
      <w:rPr>
        <w:rFonts w:hint="default"/>
        <w:lang w:val="en-US" w:eastAsia="en-US" w:bidi="ar-SA"/>
      </w:rPr>
    </w:lvl>
    <w:lvl w:ilvl="2">
      <w:start w:val="0"/>
      <w:numFmt w:val="bullet"/>
      <w:lvlText w:val="•"/>
      <w:lvlJc w:val="left"/>
      <w:pPr>
        <w:ind w:left="1988" w:hanging="348"/>
      </w:pPr>
      <w:rPr>
        <w:rFonts w:hint="default"/>
        <w:lang w:val="en-US" w:eastAsia="en-US" w:bidi="ar-SA"/>
      </w:rPr>
    </w:lvl>
    <w:lvl w:ilvl="3">
      <w:start w:val="0"/>
      <w:numFmt w:val="bullet"/>
      <w:lvlText w:val="•"/>
      <w:lvlJc w:val="left"/>
      <w:pPr>
        <w:ind w:left="2902" w:hanging="348"/>
      </w:pPr>
      <w:rPr>
        <w:rFonts w:hint="default"/>
        <w:lang w:val="en-US" w:eastAsia="en-US" w:bidi="ar-SA"/>
      </w:rPr>
    </w:lvl>
    <w:lvl w:ilvl="4">
      <w:start w:val="0"/>
      <w:numFmt w:val="bullet"/>
      <w:lvlText w:val="•"/>
      <w:lvlJc w:val="left"/>
      <w:pPr>
        <w:ind w:left="3816" w:hanging="348"/>
      </w:pPr>
      <w:rPr>
        <w:rFonts w:hint="default"/>
        <w:lang w:val="en-US" w:eastAsia="en-US" w:bidi="ar-SA"/>
      </w:rPr>
    </w:lvl>
    <w:lvl w:ilvl="5">
      <w:start w:val="0"/>
      <w:numFmt w:val="bullet"/>
      <w:lvlText w:val="•"/>
      <w:lvlJc w:val="left"/>
      <w:pPr>
        <w:ind w:left="4730" w:hanging="348"/>
      </w:pPr>
      <w:rPr>
        <w:rFonts w:hint="default"/>
        <w:lang w:val="en-US" w:eastAsia="en-US" w:bidi="ar-SA"/>
      </w:rPr>
    </w:lvl>
    <w:lvl w:ilvl="6">
      <w:start w:val="0"/>
      <w:numFmt w:val="bullet"/>
      <w:lvlText w:val="•"/>
      <w:lvlJc w:val="left"/>
      <w:pPr>
        <w:ind w:left="5644" w:hanging="348"/>
      </w:pPr>
      <w:rPr>
        <w:rFonts w:hint="default"/>
        <w:lang w:val="en-US" w:eastAsia="en-US" w:bidi="ar-SA"/>
      </w:rPr>
    </w:lvl>
    <w:lvl w:ilvl="7">
      <w:start w:val="0"/>
      <w:numFmt w:val="bullet"/>
      <w:lvlText w:val="•"/>
      <w:lvlJc w:val="left"/>
      <w:pPr>
        <w:ind w:left="6558" w:hanging="348"/>
      </w:pPr>
      <w:rPr>
        <w:rFonts w:hint="default"/>
        <w:lang w:val="en-US" w:eastAsia="en-US" w:bidi="ar-SA"/>
      </w:rPr>
    </w:lvl>
    <w:lvl w:ilvl="8">
      <w:start w:val="0"/>
      <w:numFmt w:val="bullet"/>
      <w:lvlText w:val="•"/>
      <w:lvlJc w:val="left"/>
      <w:pPr>
        <w:ind w:left="7472" w:hanging="348"/>
      </w:pPr>
      <w:rPr>
        <w:rFonts w:hint="default"/>
        <w:lang w:val="en-US" w:eastAsia="en-US" w:bidi="ar-SA"/>
      </w:rPr>
    </w:lvl>
  </w:abstractNum>
  <w:abstractNum w:abstractNumId="13">
    <w:multiLevelType w:val="hybridMultilevel"/>
    <w:lvl w:ilvl="0">
      <w:start w:val="1"/>
      <w:numFmt w:val="decimal"/>
      <w:lvlText w:val="(%1)"/>
      <w:lvlJc w:val="left"/>
      <w:pPr>
        <w:ind w:left="160" w:hanging="397"/>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97"/>
      </w:pPr>
      <w:rPr>
        <w:rFonts w:hint="default"/>
        <w:lang w:val="en-US" w:eastAsia="en-US" w:bidi="ar-SA"/>
      </w:rPr>
    </w:lvl>
    <w:lvl w:ilvl="2">
      <w:start w:val="0"/>
      <w:numFmt w:val="bullet"/>
      <w:lvlText w:val="•"/>
      <w:lvlJc w:val="left"/>
      <w:pPr>
        <w:ind w:left="1988" w:hanging="397"/>
      </w:pPr>
      <w:rPr>
        <w:rFonts w:hint="default"/>
        <w:lang w:val="en-US" w:eastAsia="en-US" w:bidi="ar-SA"/>
      </w:rPr>
    </w:lvl>
    <w:lvl w:ilvl="3">
      <w:start w:val="0"/>
      <w:numFmt w:val="bullet"/>
      <w:lvlText w:val="•"/>
      <w:lvlJc w:val="left"/>
      <w:pPr>
        <w:ind w:left="2902" w:hanging="397"/>
      </w:pPr>
      <w:rPr>
        <w:rFonts w:hint="default"/>
        <w:lang w:val="en-US" w:eastAsia="en-US" w:bidi="ar-SA"/>
      </w:rPr>
    </w:lvl>
    <w:lvl w:ilvl="4">
      <w:start w:val="0"/>
      <w:numFmt w:val="bullet"/>
      <w:lvlText w:val="•"/>
      <w:lvlJc w:val="left"/>
      <w:pPr>
        <w:ind w:left="3816" w:hanging="397"/>
      </w:pPr>
      <w:rPr>
        <w:rFonts w:hint="default"/>
        <w:lang w:val="en-US" w:eastAsia="en-US" w:bidi="ar-SA"/>
      </w:rPr>
    </w:lvl>
    <w:lvl w:ilvl="5">
      <w:start w:val="0"/>
      <w:numFmt w:val="bullet"/>
      <w:lvlText w:val="•"/>
      <w:lvlJc w:val="left"/>
      <w:pPr>
        <w:ind w:left="4730" w:hanging="397"/>
      </w:pPr>
      <w:rPr>
        <w:rFonts w:hint="default"/>
        <w:lang w:val="en-US" w:eastAsia="en-US" w:bidi="ar-SA"/>
      </w:rPr>
    </w:lvl>
    <w:lvl w:ilvl="6">
      <w:start w:val="0"/>
      <w:numFmt w:val="bullet"/>
      <w:lvlText w:val="•"/>
      <w:lvlJc w:val="left"/>
      <w:pPr>
        <w:ind w:left="5644" w:hanging="397"/>
      </w:pPr>
      <w:rPr>
        <w:rFonts w:hint="default"/>
        <w:lang w:val="en-US" w:eastAsia="en-US" w:bidi="ar-SA"/>
      </w:rPr>
    </w:lvl>
    <w:lvl w:ilvl="7">
      <w:start w:val="0"/>
      <w:numFmt w:val="bullet"/>
      <w:lvlText w:val="•"/>
      <w:lvlJc w:val="left"/>
      <w:pPr>
        <w:ind w:left="6558" w:hanging="397"/>
      </w:pPr>
      <w:rPr>
        <w:rFonts w:hint="default"/>
        <w:lang w:val="en-US" w:eastAsia="en-US" w:bidi="ar-SA"/>
      </w:rPr>
    </w:lvl>
    <w:lvl w:ilvl="8">
      <w:start w:val="0"/>
      <w:numFmt w:val="bullet"/>
      <w:lvlText w:val="•"/>
      <w:lvlJc w:val="left"/>
      <w:pPr>
        <w:ind w:left="7472" w:hanging="397"/>
      </w:pPr>
      <w:rPr>
        <w:rFonts w:hint="default"/>
        <w:lang w:val="en-US" w:eastAsia="en-US" w:bidi="ar-SA"/>
      </w:rPr>
    </w:lvl>
  </w:abstractNum>
  <w:abstractNum w:abstractNumId="12">
    <w:multiLevelType w:val="hybridMultilevel"/>
    <w:lvl w:ilvl="0">
      <w:start w:val="1"/>
      <w:numFmt w:val="decimal"/>
      <w:lvlText w:val="(%1)"/>
      <w:lvlJc w:val="left"/>
      <w:pPr>
        <w:ind w:left="160" w:hanging="35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56"/>
      </w:pPr>
      <w:rPr>
        <w:rFonts w:hint="default"/>
        <w:lang w:val="en-US" w:eastAsia="en-US" w:bidi="ar-SA"/>
      </w:rPr>
    </w:lvl>
    <w:lvl w:ilvl="2">
      <w:start w:val="0"/>
      <w:numFmt w:val="bullet"/>
      <w:lvlText w:val="•"/>
      <w:lvlJc w:val="left"/>
      <w:pPr>
        <w:ind w:left="1988" w:hanging="356"/>
      </w:pPr>
      <w:rPr>
        <w:rFonts w:hint="default"/>
        <w:lang w:val="en-US" w:eastAsia="en-US" w:bidi="ar-SA"/>
      </w:rPr>
    </w:lvl>
    <w:lvl w:ilvl="3">
      <w:start w:val="0"/>
      <w:numFmt w:val="bullet"/>
      <w:lvlText w:val="•"/>
      <w:lvlJc w:val="left"/>
      <w:pPr>
        <w:ind w:left="2902" w:hanging="356"/>
      </w:pPr>
      <w:rPr>
        <w:rFonts w:hint="default"/>
        <w:lang w:val="en-US" w:eastAsia="en-US" w:bidi="ar-SA"/>
      </w:rPr>
    </w:lvl>
    <w:lvl w:ilvl="4">
      <w:start w:val="0"/>
      <w:numFmt w:val="bullet"/>
      <w:lvlText w:val="•"/>
      <w:lvlJc w:val="left"/>
      <w:pPr>
        <w:ind w:left="3816" w:hanging="356"/>
      </w:pPr>
      <w:rPr>
        <w:rFonts w:hint="default"/>
        <w:lang w:val="en-US" w:eastAsia="en-US" w:bidi="ar-SA"/>
      </w:rPr>
    </w:lvl>
    <w:lvl w:ilvl="5">
      <w:start w:val="0"/>
      <w:numFmt w:val="bullet"/>
      <w:lvlText w:val="•"/>
      <w:lvlJc w:val="left"/>
      <w:pPr>
        <w:ind w:left="4730" w:hanging="356"/>
      </w:pPr>
      <w:rPr>
        <w:rFonts w:hint="default"/>
        <w:lang w:val="en-US" w:eastAsia="en-US" w:bidi="ar-SA"/>
      </w:rPr>
    </w:lvl>
    <w:lvl w:ilvl="6">
      <w:start w:val="0"/>
      <w:numFmt w:val="bullet"/>
      <w:lvlText w:val="•"/>
      <w:lvlJc w:val="left"/>
      <w:pPr>
        <w:ind w:left="5644" w:hanging="356"/>
      </w:pPr>
      <w:rPr>
        <w:rFonts w:hint="default"/>
        <w:lang w:val="en-US" w:eastAsia="en-US" w:bidi="ar-SA"/>
      </w:rPr>
    </w:lvl>
    <w:lvl w:ilvl="7">
      <w:start w:val="0"/>
      <w:numFmt w:val="bullet"/>
      <w:lvlText w:val="•"/>
      <w:lvlJc w:val="left"/>
      <w:pPr>
        <w:ind w:left="6558" w:hanging="356"/>
      </w:pPr>
      <w:rPr>
        <w:rFonts w:hint="default"/>
        <w:lang w:val="en-US" w:eastAsia="en-US" w:bidi="ar-SA"/>
      </w:rPr>
    </w:lvl>
    <w:lvl w:ilvl="8">
      <w:start w:val="0"/>
      <w:numFmt w:val="bullet"/>
      <w:lvlText w:val="•"/>
      <w:lvlJc w:val="left"/>
      <w:pPr>
        <w:ind w:left="7472" w:hanging="356"/>
      </w:pPr>
      <w:rPr>
        <w:rFonts w:hint="default"/>
        <w:lang w:val="en-US" w:eastAsia="en-US" w:bidi="ar-SA"/>
      </w:rPr>
    </w:lvl>
  </w:abstractNum>
  <w:abstractNum w:abstractNumId="11">
    <w:multiLevelType w:val="hybridMultilevel"/>
    <w:lvl w:ilvl="0">
      <w:start w:val="1"/>
      <w:numFmt w:val="decimal"/>
      <w:lvlText w:val="%1"/>
      <w:lvlJc w:val="left"/>
      <w:pPr>
        <w:ind w:left="160" w:hanging="571"/>
        <w:jc w:val="left"/>
      </w:pPr>
      <w:rPr>
        <w:rFonts w:hint="default"/>
        <w:lang w:val="en-US" w:eastAsia="en-US" w:bidi="ar-SA"/>
      </w:rPr>
    </w:lvl>
    <w:lvl w:ilvl="1">
      <w:start w:val="10"/>
      <w:numFmt w:val="decimal"/>
      <w:lvlText w:val="%1.%2"/>
      <w:lvlJc w:val="left"/>
      <w:pPr>
        <w:ind w:left="160" w:hanging="571"/>
        <w:jc w:val="left"/>
      </w:pPr>
      <w:rPr>
        <w:rFonts w:hint="default"/>
        <w:spacing w:val="-1"/>
        <w:w w:val="100"/>
        <w:lang w:val="en-US" w:eastAsia="en-US" w:bidi="ar-SA"/>
      </w:rPr>
    </w:lvl>
    <w:lvl w:ilvl="2">
      <w:start w:val="0"/>
      <w:numFmt w:val="bullet"/>
      <w:lvlText w:val="-"/>
      <w:lvlJc w:val="left"/>
      <w:pPr>
        <w:ind w:left="160" w:hanging="140"/>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300" w:hanging="140"/>
      </w:pPr>
      <w:rPr>
        <w:rFonts w:hint="default"/>
        <w:lang w:val="en-US" w:eastAsia="en-US" w:bidi="ar-SA"/>
      </w:rPr>
    </w:lvl>
    <w:lvl w:ilvl="4">
      <w:start w:val="0"/>
      <w:numFmt w:val="bullet"/>
      <w:lvlText w:val="•"/>
      <w:lvlJc w:val="left"/>
      <w:pPr>
        <w:ind w:left="3300" w:hanging="140"/>
      </w:pPr>
      <w:rPr>
        <w:rFonts w:hint="default"/>
        <w:lang w:val="en-US" w:eastAsia="en-US" w:bidi="ar-SA"/>
      </w:rPr>
    </w:lvl>
    <w:lvl w:ilvl="5">
      <w:start w:val="0"/>
      <w:numFmt w:val="bullet"/>
      <w:lvlText w:val="•"/>
      <w:lvlJc w:val="left"/>
      <w:pPr>
        <w:ind w:left="4300" w:hanging="140"/>
      </w:pPr>
      <w:rPr>
        <w:rFonts w:hint="default"/>
        <w:lang w:val="en-US" w:eastAsia="en-US" w:bidi="ar-SA"/>
      </w:rPr>
    </w:lvl>
    <w:lvl w:ilvl="6">
      <w:start w:val="0"/>
      <w:numFmt w:val="bullet"/>
      <w:lvlText w:val="•"/>
      <w:lvlJc w:val="left"/>
      <w:pPr>
        <w:ind w:left="5300" w:hanging="140"/>
      </w:pPr>
      <w:rPr>
        <w:rFonts w:hint="default"/>
        <w:lang w:val="en-US" w:eastAsia="en-US" w:bidi="ar-SA"/>
      </w:rPr>
    </w:lvl>
    <w:lvl w:ilvl="7">
      <w:start w:val="0"/>
      <w:numFmt w:val="bullet"/>
      <w:lvlText w:val="•"/>
      <w:lvlJc w:val="left"/>
      <w:pPr>
        <w:ind w:left="6300" w:hanging="140"/>
      </w:pPr>
      <w:rPr>
        <w:rFonts w:hint="default"/>
        <w:lang w:val="en-US" w:eastAsia="en-US" w:bidi="ar-SA"/>
      </w:rPr>
    </w:lvl>
    <w:lvl w:ilvl="8">
      <w:start w:val="0"/>
      <w:numFmt w:val="bullet"/>
      <w:lvlText w:val="•"/>
      <w:lvlJc w:val="left"/>
      <w:pPr>
        <w:ind w:left="7300" w:hanging="140"/>
      </w:pPr>
      <w:rPr>
        <w:rFonts w:hint="default"/>
        <w:lang w:val="en-US" w:eastAsia="en-US" w:bidi="ar-SA"/>
      </w:rPr>
    </w:lvl>
  </w:abstractNum>
  <w:abstractNum w:abstractNumId="10">
    <w:multiLevelType w:val="hybridMultilevel"/>
    <w:lvl w:ilvl="0">
      <w:start w:val="1"/>
      <w:numFmt w:val="decimal"/>
      <w:lvlText w:val="%1"/>
      <w:lvlJc w:val="left"/>
      <w:pPr>
        <w:ind w:left="160" w:hanging="489"/>
        <w:jc w:val="left"/>
      </w:pPr>
      <w:rPr>
        <w:rFonts w:hint="default"/>
        <w:lang w:val="en-US" w:eastAsia="en-US" w:bidi="ar-SA"/>
      </w:rPr>
    </w:lvl>
    <w:lvl w:ilvl="1">
      <w:start w:val="1"/>
      <w:numFmt w:val="decimalZero"/>
      <w:lvlText w:val="%1.%2"/>
      <w:lvlJc w:val="left"/>
      <w:pPr>
        <w:ind w:left="160" w:hanging="489"/>
        <w:jc w:val="left"/>
      </w:pPr>
      <w:rPr>
        <w:rFonts w:hint="default"/>
        <w:spacing w:val="0"/>
        <w:w w:val="100"/>
        <w:lang w:val="en-US" w:eastAsia="en-US" w:bidi="ar-SA"/>
      </w:rPr>
    </w:lvl>
    <w:lvl w:ilvl="2">
      <w:start w:val="0"/>
      <w:numFmt w:val="bullet"/>
      <w:lvlText w:val="•"/>
      <w:lvlJc w:val="left"/>
      <w:pPr>
        <w:ind w:left="1988" w:hanging="489"/>
      </w:pPr>
      <w:rPr>
        <w:rFonts w:hint="default"/>
        <w:lang w:val="en-US" w:eastAsia="en-US" w:bidi="ar-SA"/>
      </w:rPr>
    </w:lvl>
    <w:lvl w:ilvl="3">
      <w:start w:val="0"/>
      <w:numFmt w:val="bullet"/>
      <w:lvlText w:val="•"/>
      <w:lvlJc w:val="left"/>
      <w:pPr>
        <w:ind w:left="2902" w:hanging="489"/>
      </w:pPr>
      <w:rPr>
        <w:rFonts w:hint="default"/>
        <w:lang w:val="en-US" w:eastAsia="en-US" w:bidi="ar-SA"/>
      </w:rPr>
    </w:lvl>
    <w:lvl w:ilvl="4">
      <w:start w:val="0"/>
      <w:numFmt w:val="bullet"/>
      <w:lvlText w:val="•"/>
      <w:lvlJc w:val="left"/>
      <w:pPr>
        <w:ind w:left="3816" w:hanging="489"/>
      </w:pPr>
      <w:rPr>
        <w:rFonts w:hint="default"/>
        <w:lang w:val="en-US" w:eastAsia="en-US" w:bidi="ar-SA"/>
      </w:rPr>
    </w:lvl>
    <w:lvl w:ilvl="5">
      <w:start w:val="0"/>
      <w:numFmt w:val="bullet"/>
      <w:lvlText w:val="•"/>
      <w:lvlJc w:val="left"/>
      <w:pPr>
        <w:ind w:left="4730" w:hanging="489"/>
      </w:pPr>
      <w:rPr>
        <w:rFonts w:hint="default"/>
        <w:lang w:val="en-US" w:eastAsia="en-US" w:bidi="ar-SA"/>
      </w:rPr>
    </w:lvl>
    <w:lvl w:ilvl="6">
      <w:start w:val="0"/>
      <w:numFmt w:val="bullet"/>
      <w:lvlText w:val="•"/>
      <w:lvlJc w:val="left"/>
      <w:pPr>
        <w:ind w:left="5644" w:hanging="489"/>
      </w:pPr>
      <w:rPr>
        <w:rFonts w:hint="default"/>
        <w:lang w:val="en-US" w:eastAsia="en-US" w:bidi="ar-SA"/>
      </w:rPr>
    </w:lvl>
    <w:lvl w:ilvl="7">
      <w:start w:val="0"/>
      <w:numFmt w:val="bullet"/>
      <w:lvlText w:val="•"/>
      <w:lvlJc w:val="left"/>
      <w:pPr>
        <w:ind w:left="6558" w:hanging="489"/>
      </w:pPr>
      <w:rPr>
        <w:rFonts w:hint="default"/>
        <w:lang w:val="en-US" w:eastAsia="en-US" w:bidi="ar-SA"/>
      </w:rPr>
    </w:lvl>
    <w:lvl w:ilvl="8">
      <w:start w:val="0"/>
      <w:numFmt w:val="bullet"/>
      <w:lvlText w:val="•"/>
      <w:lvlJc w:val="left"/>
      <w:pPr>
        <w:ind w:left="7472" w:hanging="489"/>
      </w:pPr>
      <w:rPr>
        <w:rFonts w:hint="default"/>
        <w:lang w:val="en-US" w:eastAsia="en-US" w:bidi="ar-SA"/>
      </w:rPr>
    </w:lvl>
  </w:abstractNum>
  <w:abstractNum w:abstractNumId="9">
    <w:multiLevelType w:val="hybridMultilevel"/>
    <w:lvl w:ilvl="0">
      <w:start w:val="6"/>
      <w:numFmt w:val="decimal"/>
      <w:lvlText w:val="%1"/>
      <w:lvlJc w:val="left"/>
      <w:pPr>
        <w:ind w:left="640" w:hanging="481"/>
        <w:jc w:val="left"/>
      </w:pPr>
      <w:rPr>
        <w:rFonts w:hint="default"/>
        <w:lang w:val="en-US" w:eastAsia="en-US" w:bidi="ar-SA"/>
      </w:rPr>
    </w:lvl>
    <w:lvl w:ilvl="1">
      <w:start w:val="1"/>
      <w:numFmt w:val="decimal"/>
      <w:lvlText w:val="%1.%2"/>
      <w:lvlJc w:val="left"/>
      <w:pPr>
        <w:ind w:left="640" w:hanging="481"/>
        <w:jc w:val="left"/>
      </w:pPr>
      <w:rPr>
        <w:rFonts w:hint="default"/>
        <w:spacing w:val="0"/>
        <w:w w:val="100"/>
        <w:lang w:val="en-US" w:eastAsia="en-US" w:bidi="ar-SA"/>
      </w:rPr>
    </w:lvl>
    <w:lvl w:ilvl="2">
      <w:start w:val="0"/>
      <w:numFmt w:val="bullet"/>
      <w:lvlText w:val="-"/>
      <w:lvlJc w:val="left"/>
      <w:pPr>
        <w:ind w:left="160" w:hanging="151"/>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564" w:hanging="151"/>
      </w:pPr>
      <w:rPr>
        <w:rFonts w:hint="default"/>
        <w:lang w:val="en-US" w:eastAsia="en-US" w:bidi="ar-SA"/>
      </w:rPr>
    </w:lvl>
    <w:lvl w:ilvl="4">
      <w:start w:val="0"/>
      <w:numFmt w:val="bullet"/>
      <w:lvlText w:val="•"/>
      <w:lvlJc w:val="left"/>
      <w:pPr>
        <w:ind w:left="3526" w:hanging="151"/>
      </w:pPr>
      <w:rPr>
        <w:rFonts w:hint="default"/>
        <w:lang w:val="en-US" w:eastAsia="en-US" w:bidi="ar-SA"/>
      </w:rPr>
    </w:lvl>
    <w:lvl w:ilvl="5">
      <w:start w:val="0"/>
      <w:numFmt w:val="bullet"/>
      <w:lvlText w:val="•"/>
      <w:lvlJc w:val="left"/>
      <w:pPr>
        <w:ind w:left="4488" w:hanging="151"/>
      </w:pPr>
      <w:rPr>
        <w:rFonts w:hint="default"/>
        <w:lang w:val="en-US" w:eastAsia="en-US" w:bidi="ar-SA"/>
      </w:rPr>
    </w:lvl>
    <w:lvl w:ilvl="6">
      <w:start w:val="0"/>
      <w:numFmt w:val="bullet"/>
      <w:lvlText w:val="•"/>
      <w:lvlJc w:val="left"/>
      <w:pPr>
        <w:ind w:left="5451" w:hanging="151"/>
      </w:pPr>
      <w:rPr>
        <w:rFonts w:hint="default"/>
        <w:lang w:val="en-US" w:eastAsia="en-US" w:bidi="ar-SA"/>
      </w:rPr>
    </w:lvl>
    <w:lvl w:ilvl="7">
      <w:start w:val="0"/>
      <w:numFmt w:val="bullet"/>
      <w:lvlText w:val="•"/>
      <w:lvlJc w:val="left"/>
      <w:pPr>
        <w:ind w:left="6413" w:hanging="151"/>
      </w:pPr>
      <w:rPr>
        <w:rFonts w:hint="default"/>
        <w:lang w:val="en-US" w:eastAsia="en-US" w:bidi="ar-SA"/>
      </w:rPr>
    </w:lvl>
    <w:lvl w:ilvl="8">
      <w:start w:val="0"/>
      <w:numFmt w:val="bullet"/>
      <w:lvlText w:val="•"/>
      <w:lvlJc w:val="left"/>
      <w:pPr>
        <w:ind w:left="7375" w:hanging="151"/>
      </w:pPr>
      <w:rPr>
        <w:rFonts w:hint="default"/>
        <w:lang w:val="en-US" w:eastAsia="en-US" w:bidi="ar-SA"/>
      </w:rPr>
    </w:lvl>
  </w:abstractNum>
  <w:abstractNum w:abstractNumId="8">
    <w:multiLevelType w:val="hybridMultilevel"/>
    <w:lvl w:ilvl="0">
      <w:start w:val="5"/>
      <w:numFmt w:val="decimal"/>
      <w:lvlText w:val="%1"/>
      <w:lvlJc w:val="left"/>
      <w:pPr>
        <w:ind w:left="640" w:hanging="481"/>
        <w:jc w:val="left"/>
      </w:pPr>
      <w:rPr>
        <w:rFonts w:hint="default"/>
        <w:lang w:val="en-US" w:eastAsia="en-US" w:bidi="ar-SA"/>
      </w:rPr>
    </w:lvl>
    <w:lvl w:ilvl="1">
      <w:start w:val="1"/>
      <w:numFmt w:val="decimal"/>
      <w:lvlText w:val="%1.%2"/>
      <w:lvlJc w:val="left"/>
      <w:pPr>
        <w:ind w:left="640" w:hanging="48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72" w:hanging="481"/>
      </w:pPr>
      <w:rPr>
        <w:rFonts w:hint="default"/>
        <w:lang w:val="en-US" w:eastAsia="en-US" w:bidi="ar-SA"/>
      </w:rPr>
    </w:lvl>
    <w:lvl w:ilvl="3">
      <w:start w:val="0"/>
      <w:numFmt w:val="bullet"/>
      <w:lvlText w:val="•"/>
      <w:lvlJc w:val="left"/>
      <w:pPr>
        <w:ind w:left="3238" w:hanging="481"/>
      </w:pPr>
      <w:rPr>
        <w:rFonts w:hint="default"/>
        <w:lang w:val="en-US" w:eastAsia="en-US" w:bidi="ar-SA"/>
      </w:rPr>
    </w:lvl>
    <w:lvl w:ilvl="4">
      <w:start w:val="0"/>
      <w:numFmt w:val="bullet"/>
      <w:lvlText w:val="•"/>
      <w:lvlJc w:val="left"/>
      <w:pPr>
        <w:ind w:left="4104" w:hanging="481"/>
      </w:pPr>
      <w:rPr>
        <w:rFonts w:hint="default"/>
        <w:lang w:val="en-US" w:eastAsia="en-US" w:bidi="ar-SA"/>
      </w:rPr>
    </w:lvl>
    <w:lvl w:ilvl="5">
      <w:start w:val="0"/>
      <w:numFmt w:val="bullet"/>
      <w:lvlText w:val="•"/>
      <w:lvlJc w:val="left"/>
      <w:pPr>
        <w:ind w:left="4970" w:hanging="481"/>
      </w:pPr>
      <w:rPr>
        <w:rFonts w:hint="default"/>
        <w:lang w:val="en-US" w:eastAsia="en-US" w:bidi="ar-SA"/>
      </w:rPr>
    </w:lvl>
    <w:lvl w:ilvl="6">
      <w:start w:val="0"/>
      <w:numFmt w:val="bullet"/>
      <w:lvlText w:val="•"/>
      <w:lvlJc w:val="left"/>
      <w:pPr>
        <w:ind w:left="5836" w:hanging="481"/>
      </w:pPr>
      <w:rPr>
        <w:rFonts w:hint="default"/>
        <w:lang w:val="en-US" w:eastAsia="en-US" w:bidi="ar-SA"/>
      </w:rPr>
    </w:lvl>
    <w:lvl w:ilvl="7">
      <w:start w:val="0"/>
      <w:numFmt w:val="bullet"/>
      <w:lvlText w:val="•"/>
      <w:lvlJc w:val="left"/>
      <w:pPr>
        <w:ind w:left="6702" w:hanging="481"/>
      </w:pPr>
      <w:rPr>
        <w:rFonts w:hint="default"/>
        <w:lang w:val="en-US" w:eastAsia="en-US" w:bidi="ar-SA"/>
      </w:rPr>
    </w:lvl>
    <w:lvl w:ilvl="8">
      <w:start w:val="0"/>
      <w:numFmt w:val="bullet"/>
      <w:lvlText w:val="•"/>
      <w:lvlJc w:val="left"/>
      <w:pPr>
        <w:ind w:left="7568" w:hanging="481"/>
      </w:pPr>
      <w:rPr>
        <w:rFonts w:hint="default"/>
        <w:lang w:val="en-US" w:eastAsia="en-US" w:bidi="ar-SA"/>
      </w:rPr>
    </w:lvl>
  </w:abstractNum>
  <w:abstractNum w:abstractNumId="7">
    <w:multiLevelType w:val="hybridMultilevel"/>
    <w:lvl w:ilvl="0">
      <w:start w:val="4"/>
      <w:numFmt w:val="decimal"/>
      <w:lvlText w:val="%1"/>
      <w:lvlJc w:val="left"/>
      <w:pPr>
        <w:ind w:left="639" w:hanging="480"/>
        <w:jc w:val="left"/>
      </w:pPr>
      <w:rPr>
        <w:rFonts w:hint="default"/>
        <w:lang w:val="en-US" w:eastAsia="en-US" w:bidi="ar-SA"/>
      </w:rPr>
    </w:lvl>
    <w:lvl w:ilvl="1">
      <w:start w:val="1"/>
      <w:numFmt w:val="decimal"/>
      <w:lvlText w:val="%1.%2"/>
      <w:lvlJc w:val="left"/>
      <w:pPr>
        <w:ind w:left="639" w:hanging="4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72" w:hanging="480"/>
      </w:pPr>
      <w:rPr>
        <w:rFonts w:hint="default"/>
        <w:lang w:val="en-US" w:eastAsia="en-US" w:bidi="ar-SA"/>
      </w:rPr>
    </w:lvl>
    <w:lvl w:ilvl="3">
      <w:start w:val="0"/>
      <w:numFmt w:val="bullet"/>
      <w:lvlText w:val="•"/>
      <w:lvlJc w:val="left"/>
      <w:pPr>
        <w:ind w:left="3238" w:hanging="480"/>
      </w:pPr>
      <w:rPr>
        <w:rFonts w:hint="default"/>
        <w:lang w:val="en-US" w:eastAsia="en-US" w:bidi="ar-SA"/>
      </w:rPr>
    </w:lvl>
    <w:lvl w:ilvl="4">
      <w:start w:val="0"/>
      <w:numFmt w:val="bullet"/>
      <w:lvlText w:val="•"/>
      <w:lvlJc w:val="left"/>
      <w:pPr>
        <w:ind w:left="4104" w:hanging="480"/>
      </w:pPr>
      <w:rPr>
        <w:rFonts w:hint="default"/>
        <w:lang w:val="en-US" w:eastAsia="en-US" w:bidi="ar-SA"/>
      </w:rPr>
    </w:lvl>
    <w:lvl w:ilvl="5">
      <w:start w:val="0"/>
      <w:numFmt w:val="bullet"/>
      <w:lvlText w:val="•"/>
      <w:lvlJc w:val="left"/>
      <w:pPr>
        <w:ind w:left="4970" w:hanging="480"/>
      </w:pPr>
      <w:rPr>
        <w:rFonts w:hint="default"/>
        <w:lang w:val="en-US" w:eastAsia="en-US" w:bidi="ar-SA"/>
      </w:rPr>
    </w:lvl>
    <w:lvl w:ilvl="6">
      <w:start w:val="0"/>
      <w:numFmt w:val="bullet"/>
      <w:lvlText w:val="•"/>
      <w:lvlJc w:val="left"/>
      <w:pPr>
        <w:ind w:left="5836" w:hanging="480"/>
      </w:pPr>
      <w:rPr>
        <w:rFonts w:hint="default"/>
        <w:lang w:val="en-US" w:eastAsia="en-US" w:bidi="ar-SA"/>
      </w:rPr>
    </w:lvl>
    <w:lvl w:ilvl="7">
      <w:start w:val="0"/>
      <w:numFmt w:val="bullet"/>
      <w:lvlText w:val="•"/>
      <w:lvlJc w:val="left"/>
      <w:pPr>
        <w:ind w:left="6702" w:hanging="480"/>
      </w:pPr>
      <w:rPr>
        <w:rFonts w:hint="default"/>
        <w:lang w:val="en-US" w:eastAsia="en-US" w:bidi="ar-SA"/>
      </w:rPr>
    </w:lvl>
    <w:lvl w:ilvl="8">
      <w:start w:val="0"/>
      <w:numFmt w:val="bullet"/>
      <w:lvlText w:val="•"/>
      <w:lvlJc w:val="left"/>
      <w:pPr>
        <w:ind w:left="7568" w:hanging="480"/>
      </w:pPr>
      <w:rPr>
        <w:rFonts w:hint="default"/>
        <w:lang w:val="en-US" w:eastAsia="en-US" w:bidi="ar-SA"/>
      </w:rPr>
    </w:lvl>
  </w:abstractNum>
  <w:abstractNum w:abstractNumId="6">
    <w:multiLevelType w:val="hybridMultilevel"/>
    <w:lvl w:ilvl="0">
      <w:start w:val="3"/>
      <w:numFmt w:val="decimal"/>
      <w:lvlText w:val="%1"/>
      <w:lvlJc w:val="left"/>
      <w:pPr>
        <w:ind w:left="580" w:hanging="421"/>
        <w:jc w:val="left"/>
      </w:pPr>
      <w:rPr>
        <w:rFonts w:hint="default"/>
        <w:lang w:val="en-US" w:eastAsia="en-US" w:bidi="ar-SA"/>
      </w:rPr>
    </w:lvl>
    <w:lvl w:ilvl="1">
      <w:start w:val="1"/>
      <w:numFmt w:val="decimal"/>
      <w:lvlText w:val="%1.%2"/>
      <w:lvlJc w:val="left"/>
      <w:pPr>
        <w:ind w:left="580" w:hanging="4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24" w:hanging="421"/>
      </w:pPr>
      <w:rPr>
        <w:rFonts w:hint="default"/>
        <w:lang w:val="en-US" w:eastAsia="en-US" w:bidi="ar-SA"/>
      </w:rPr>
    </w:lvl>
    <w:lvl w:ilvl="3">
      <w:start w:val="0"/>
      <w:numFmt w:val="bullet"/>
      <w:lvlText w:val="•"/>
      <w:lvlJc w:val="left"/>
      <w:pPr>
        <w:ind w:left="3196" w:hanging="421"/>
      </w:pPr>
      <w:rPr>
        <w:rFonts w:hint="default"/>
        <w:lang w:val="en-US" w:eastAsia="en-US" w:bidi="ar-SA"/>
      </w:rPr>
    </w:lvl>
    <w:lvl w:ilvl="4">
      <w:start w:val="0"/>
      <w:numFmt w:val="bullet"/>
      <w:lvlText w:val="•"/>
      <w:lvlJc w:val="left"/>
      <w:pPr>
        <w:ind w:left="4068" w:hanging="421"/>
      </w:pPr>
      <w:rPr>
        <w:rFonts w:hint="default"/>
        <w:lang w:val="en-US" w:eastAsia="en-US" w:bidi="ar-SA"/>
      </w:rPr>
    </w:lvl>
    <w:lvl w:ilvl="5">
      <w:start w:val="0"/>
      <w:numFmt w:val="bullet"/>
      <w:lvlText w:val="•"/>
      <w:lvlJc w:val="left"/>
      <w:pPr>
        <w:ind w:left="4940" w:hanging="421"/>
      </w:pPr>
      <w:rPr>
        <w:rFonts w:hint="default"/>
        <w:lang w:val="en-US" w:eastAsia="en-US" w:bidi="ar-SA"/>
      </w:rPr>
    </w:lvl>
    <w:lvl w:ilvl="6">
      <w:start w:val="0"/>
      <w:numFmt w:val="bullet"/>
      <w:lvlText w:val="•"/>
      <w:lvlJc w:val="left"/>
      <w:pPr>
        <w:ind w:left="5812" w:hanging="421"/>
      </w:pPr>
      <w:rPr>
        <w:rFonts w:hint="default"/>
        <w:lang w:val="en-US" w:eastAsia="en-US" w:bidi="ar-SA"/>
      </w:rPr>
    </w:lvl>
    <w:lvl w:ilvl="7">
      <w:start w:val="0"/>
      <w:numFmt w:val="bullet"/>
      <w:lvlText w:val="•"/>
      <w:lvlJc w:val="left"/>
      <w:pPr>
        <w:ind w:left="6684" w:hanging="421"/>
      </w:pPr>
      <w:rPr>
        <w:rFonts w:hint="default"/>
        <w:lang w:val="en-US" w:eastAsia="en-US" w:bidi="ar-SA"/>
      </w:rPr>
    </w:lvl>
    <w:lvl w:ilvl="8">
      <w:start w:val="0"/>
      <w:numFmt w:val="bullet"/>
      <w:lvlText w:val="•"/>
      <w:lvlJc w:val="left"/>
      <w:pPr>
        <w:ind w:left="7556" w:hanging="421"/>
      </w:pPr>
      <w:rPr>
        <w:rFonts w:hint="default"/>
        <w:lang w:val="en-US" w:eastAsia="en-US" w:bidi="ar-SA"/>
      </w:rPr>
    </w:lvl>
  </w:abstractNum>
  <w:abstractNum w:abstractNumId="5">
    <w:multiLevelType w:val="hybridMultilevel"/>
    <w:lvl w:ilvl="0">
      <w:start w:val="2"/>
      <w:numFmt w:val="decimal"/>
      <w:lvlText w:val="%1"/>
      <w:lvlJc w:val="left"/>
      <w:pPr>
        <w:ind w:left="579" w:hanging="420"/>
        <w:jc w:val="left"/>
      </w:pPr>
      <w:rPr>
        <w:rFonts w:hint="default"/>
        <w:lang w:val="en-US" w:eastAsia="en-US" w:bidi="ar-SA"/>
      </w:rPr>
    </w:lvl>
    <w:lvl w:ilvl="1">
      <w:start w:val="1"/>
      <w:numFmt w:val="decimal"/>
      <w:lvlText w:val="%1.%2"/>
      <w:lvlJc w:val="left"/>
      <w:pPr>
        <w:ind w:left="579"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24" w:hanging="420"/>
      </w:pPr>
      <w:rPr>
        <w:rFonts w:hint="default"/>
        <w:lang w:val="en-US" w:eastAsia="en-US" w:bidi="ar-SA"/>
      </w:rPr>
    </w:lvl>
    <w:lvl w:ilvl="3">
      <w:start w:val="0"/>
      <w:numFmt w:val="bullet"/>
      <w:lvlText w:val="•"/>
      <w:lvlJc w:val="left"/>
      <w:pPr>
        <w:ind w:left="3196" w:hanging="420"/>
      </w:pPr>
      <w:rPr>
        <w:rFonts w:hint="default"/>
        <w:lang w:val="en-US" w:eastAsia="en-US" w:bidi="ar-SA"/>
      </w:rPr>
    </w:lvl>
    <w:lvl w:ilvl="4">
      <w:start w:val="0"/>
      <w:numFmt w:val="bullet"/>
      <w:lvlText w:val="•"/>
      <w:lvlJc w:val="left"/>
      <w:pPr>
        <w:ind w:left="4068" w:hanging="420"/>
      </w:pPr>
      <w:rPr>
        <w:rFonts w:hint="default"/>
        <w:lang w:val="en-US" w:eastAsia="en-US" w:bidi="ar-SA"/>
      </w:rPr>
    </w:lvl>
    <w:lvl w:ilvl="5">
      <w:start w:val="0"/>
      <w:numFmt w:val="bullet"/>
      <w:lvlText w:val="•"/>
      <w:lvlJc w:val="left"/>
      <w:pPr>
        <w:ind w:left="4940" w:hanging="420"/>
      </w:pPr>
      <w:rPr>
        <w:rFonts w:hint="default"/>
        <w:lang w:val="en-US" w:eastAsia="en-US" w:bidi="ar-SA"/>
      </w:rPr>
    </w:lvl>
    <w:lvl w:ilvl="6">
      <w:start w:val="0"/>
      <w:numFmt w:val="bullet"/>
      <w:lvlText w:val="•"/>
      <w:lvlJc w:val="left"/>
      <w:pPr>
        <w:ind w:left="5812" w:hanging="420"/>
      </w:pPr>
      <w:rPr>
        <w:rFonts w:hint="default"/>
        <w:lang w:val="en-US" w:eastAsia="en-US" w:bidi="ar-SA"/>
      </w:rPr>
    </w:lvl>
    <w:lvl w:ilvl="7">
      <w:start w:val="0"/>
      <w:numFmt w:val="bullet"/>
      <w:lvlText w:val="•"/>
      <w:lvlJc w:val="left"/>
      <w:pPr>
        <w:ind w:left="6684" w:hanging="420"/>
      </w:pPr>
      <w:rPr>
        <w:rFonts w:hint="default"/>
        <w:lang w:val="en-US" w:eastAsia="en-US" w:bidi="ar-SA"/>
      </w:rPr>
    </w:lvl>
    <w:lvl w:ilvl="8">
      <w:start w:val="0"/>
      <w:numFmt w:val="bullet"/>
      <w:lvlText w:val="•"/>
      <w:lvlJc w:val="left"/>
      <w:pPr>
        <w:ind w:left="7556" w:hanging="420"/>
      </w:pPr>
      <w:rPr>
        <w:rFonts w:hint="default"/>
        <w:lang w:val="en-US" w:eastAsia="en-US" w:bidi="ar-SA"/>
      </w:rPr>
    </w:lvl>
  </w:abstractNum>
  <w:abstractNum w:abstractNumId="4">
    <w:multiLevelType w:val="hybridMultilevel"/>
    <w:lvl w:ilvl="0">
      <w:start w:val="1"/>
      <w:numFmt w:val="upperRoman"/>
      <w:lvlText w:val="%1."/>
      <w:lvlJc w:val="left"/>
      <w:pPr>
        <w:ind w:left="480" w:hanging="3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362" w:hanging="321"/>
      </w:pPr>
      <w:rPr>
        <w:rFonts w:hint="default"/>
        <w:lang w:val="en-US" w:eastAsia="en-US" w:bidi="ar-SA"/>
      </w:rPr>
    </w:lvl>
    <w:lvl w:ilvl="2">
      <w:start w:val="0"/>
      <w:numFmt w:val="bullet"/>
      <w:lvlText w:val="•"/>
      <w:lvlJc w:val="left"/>
      <w:pPr>
        <w:ind w:left="2244" w:hanging="321"/>
      </w:pPr>
      <w:rPr>
        <w:rFonts w:hint="default"/>
        <w:lang w:val="en-US" w:eastAsia="en-US" w:bidi="ar-SA"/>
      </w:rPr>
    </w:lvl>
    <w:lvl w:ilvl="3">
      <w:start w:val="0"/>
      <w:numFmt w:val="bullet"/>
      <w:lvlText w:val="•"/>
      <w:lvlJc w:val="left"/>
      <w:pPr>
        <w:ind w:left="3126" w:hanging="321"/>
      </w:pPr>
      <w:rPr>
        <w:rFonts w:hint="default"/>
        <w:lang w:val="en-US" w:eastAsia="en-US" w:bidi="ar-SA"/>
      </w:rPr>
    </w:lvl>
    <w:lvl w:ilvl="4">
      <w:start w:val="0"/>
      <w:numFmt w:val="bullet"/>
      <w:lvlText w:val="•"/>
      <w:lvlJc w:val="left"/>
      <w:pPr>
        <w:ind w:left="4008" w:hanging="321"/>
      </w:pPr>
      <w:rPr>
        <w:rFonts w:hint="default"/>
        <w:lang w:val="en-US" w:eastAsia="en-US" w:bidi="ar-SA"/>
      </w:rPr>
    </w:lvl>
    <w:lvl w:ilvl="5">
      <w:start w:val="0"/>
      <w:numFmt w:val="bullet"/>
      <w:lvlText w:val="•"/>
      <w:lvlJc w:val="left"/>
      <w:pPr>
        <w:ind w:left="4890" w:hanging="321"/>
      </w:pPr>
      <w:rPr>
        <w:rFonts w:hint="default"/>
        <w:lang w:val="en-US" w:eastAsia="en-US" w:bidi="ar-SA"/>
      </w:rPr>
    </w:lvl>
    <w:lvl w:ilvl="6">
      <w:start w:val="0"/>
      <w:numFmt w:val="bullet"/>
      <w:lvlText w:val="•"/>
      <w:lvlJc w:val="left"/>
      <w:pPr>
        <w:ind w:left="5772" w:hanging="321"/>
      </w:pPr>
      <w:rPr>
        <w:rFonts w:hint="default"/>
        <w:lang w:val="en-US" w:eastAsia="en-US" w:bidi="ar-SA"/>
      </w:rPr>
    </w:lvl>
    <w:lvl w:ilvl="7">
      <w:start w:val="0"/>
      <w:numFmt w:val="bullet"/>
      <w:lvlText w:val="•"/>
      <w:lvlJc w:val="left"/>
      <w:pPr>
        <w:ind w:left="6654" w:hanging="321"/>
      </w:pPr>
      <w:rPr>
        <w:rFonts w:hint="default"/>
        <w:lang w:val="en-US" w:eastAsia="en-US" w:bidi="ar-SA"/>
      </w:rPr>
    </w:lvl>
    <w:lvl w:ilvl="8">
      <w:start w:val="0"/>
      <w:numFmt w:val="bullet"/>
      <w:lvlText w:val="•"/>
      <w:lvlJc w:val="left"/>
      <w:pPr>
        <w:ind w:left="7536" w:hanging="321"/>
      </w:pPr>
      <w:rPr>
        <w:rFonts w:hint="default"/>
        <w:lang w:val="en-US" w:eastAsia="en-US" w:bidi="ar-SA"/>
      </w:rPr>
    </w:lvl>
  </w:abstractNum>
  <w:abstractNum w:abstractNumId="3">
    <w:multiLevelType w:val="hybridMultilevel"/>
    <w:lvl w:ilvl="0">
      <w:start w:val="2"/>
      <w:numFmt w:val="lowerLetter"/>
      <w:lvlText w:val="(%1)"/>
      <w:lvlJc w:val="left"/>
      <w:pPr>
        <w:ind w:left="160"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61"/>
      </w:pPr>
      <w:rPr>
        <w:rFonts w:hint="default"/>
        <w:lang w:val="en-US" w:eastAsia="en-US" w:bidi="ar-SA"/>
      </w:rPr>
    </w:lvl>
    <w:lvl w:ilvl="2">
      <w:start w:val="0"/>
      <w:numFmt w:val="bullet"/>
      <w:lvlText w:val="•"/>
      <w:lvlJc w:val="left"/>
      <w:pPr>
        <w:ind w:left="1988" w:hanging="361"/>
      </w:pPr>
      <w:rPr>
        <w:rFonts w:hint="default"/>
        <w:lang w:val="en-US" w:eastAsia="en-US" w:bidi="ar-SA"/>
      </w:rPr>
    </w:lvl>
    <w:lvl w:ilvl="3">
      <w:start w:val="0"/>
      <w:numFmt w:val="bullet"/>
      <w:lvlText w:val="•"/>
      <w:lvlJc w:val="left"/>
      <w:pPr>
        <w:ind w:left="2902" w:hanging="361"/>
      </w:pPr>
      <w:rPr>
        <w:rFonts w:hint="default"/>
        <w:lang w:val="en-US" w:eastAsia="en-US" w:bidi="ar-SA"/>
      </w:rPr>
    </w:lvl>
    <w:lvl w:ilvl="4">
      <w:start w:val="0"/>
      <w:numFmt w:val="bullet"/>
      <w:lvlText w:val="•"/>
      <w:lvlJc w:val="left"/>
      <w:pPr>
        <w:ind w:left="3816" w:hanging="361"/>
      </w:pPr>
      <w:rPr>
        <w:rFonts w:hint="default"/>
        <w:lang w:val="en-US" w:eastAsia="en-US" w:bidi="ar-SA"/>
      </w:rPr>
    </w:lvl>
    <w:lvl w:ilvl="5">
      <w:start w:val="0"/>
      <w:numFmt w:val="bullet"/>
      <w:lvlText w:val="•"/>
      <w:lvlJc w:val="left"/>
      <w:pPr>
        <w:ind w:left="4730" w:hanging="361"/>
      </w:pPr>
      <w:rPr>
        <w:rFonts w:hint="default"/>
        <w:lang w:val="en-US" w:eastAsia="en-US" w:bidi="ar-SA"/>
      </w:rPr>
    </w:lvl>
    <w:lvl w:ilvl="6">
      <w:start w:val="0"/>
      <w:numFmt w:val="bullet"/>
      <w:lvlText w:val="•"/>
      <w:lvlJc w:val="left"/>
      <w:pPr>
        <w:ind w:left="5644" w:hanging="361"/>
      </w:pPr>
      <w:rPr>
        <w:rFonts w:hint="default"/>
        <w:lang w:val="en-US" w:eastAsia="en-US" w:bidi="ar-SA"/>
      </w:rPr>
    </w:lvl>
    <w:lvl w:ilvl="7">
      <w:start w:val="0"/>
      <w:numFmt w:val="bullet"/>
      <w:lvlText w:val="•"/>
      <w:lvlJc w:val="left"/>
      <w:pPr>
        <w:ind w:left="6558" w:hanging="361"/>
      </w:pPr>
      <w:rPr>
        <w:rFonts w:hint="default"/>
        <w:lang w:val="en-US" w:eastAsia="en-US" w:bidi="ar-SA"/>
      </w:rPr>
    </w:lvl>
    <w:lvl w:ilvl="8">
      <w:start w:val="0"/>
      <w:numFmt w:val="bullet"/>
      <w:lvlText w:val="•"/>
      <w:lvlJc w:val="left"/>
      <w:pPr>
        <w:ind w:left="7472" w:hanging="361"/>
      </w:pPr>
      <w:rPr>
        <w:rFonts w:hint="default"/>
        <w:lang w:val="en-US" w:eastAsia="en-US" w:bidi="ar-SA"/>
      </w:rPr>
    </w:lvl>
  </w:abstractNum>
  <w:abstractNum w:abstractNumId="2">
    <w:multiLevelType w:val="hybridMultilevel"/>
    <w:lvl w:ilvl="0">
      <w:start w:val="2"/>
      <w:numFmt w:val="lowerLetter"/>
      <w:lvlText w:val="(%1)"/>
      <w:lvlJc w:val="left"/>
      <w:pPr>
        <w:ind w:left="160" w:hanging="39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074" w:hanging="394"/>
      </w:pPr>
      <w:rPr>
        <w:rFonts w:hint="default"/>
        <w:lang w:val="en-US" w:eastAsia="en-US" w:bidi="ar-SA"/>
      </w:rPr>
    </w:lvl>
    <w:lvl w:ilvl="2">
      <w:start w:val="0"/>
      <w:numFmt w:val="bullet"/>
      <w:lvlText w:val="•"/>
      <w:lvlJc w:val="left"/>
      <w:pPr>
        <w:ind w:left="1988" w:hanging="394"/>
      </w:pPr>
      <w:rPr>
        <w:rFonts w:hint="default"/>
        <w:lang w:val="en-US" w:eastAsia="en-US" w:bidi="ar-SA"/>
      </w:rPr>
    </w:lvl>
    <w:lvl w:ilvl="3">
      <w:start w:val="0"/>
      <w:numFmt w:val="bullet"/>
      <w:lvlText w:val="•"/>
      <w:lvlJc w:val="left"/>
      <w:pPr>
        <w:ind w:left="2902" w:hanging="394"/>
      </w:pPr>
      <w:rPr>
        <w:rFonts w:hint="default"/>
        <w:lang w:val="en-US" w:eastAsia="en-US" w:bidi="ar-SA"/>
      </w:rPr>
    </w:lvl>
    <w:lvl w:ilvl="4">
      <w:start w:val="0"/>
      <w:numFmt w:val="bullet"/>
      <w:lvlText w:val="•"/>
      <w:lvlJc w:val="left"/>
      <w:pPr>
        <w:ind w:left="3816" w:hanging="394"/>
      </w:pPr>
      <w:rPr>
        <w:rFonts w:hint="default"/>
        <w:lang w:val="en-US" w:eastAsia="en-US" w:bidi="ar-SA"/>
      </w:rPr>
    </w:lvl>
    <w:lvl w:ilvl="5">
      <w:start w:val="0"/>
      <w:numFmt w:val="bullet"/>
      <w:lvlText w:val="•"/>
      <w:lvlJc w:val="left"/>
      <w:pPr>
        <w:ind w:left="4730" w:hanging="394"/>
      </w:pPr>
      <w:rPr>
        <w:rFonts w:hint="default"/>
        <w:lang w:val="en-US" w:eastAsia="en-US" w:bidi="ar-SA"/>
      </w:rPr>
    </w:lvl>
    <w:lvl w:ilvl="6">
      <w:start w:val="0"/>
      <w:numFmt w:val="bullet"/>
      <w:lvlText w:val="•"/>
      <w:lvlJc w:val="left"/>
      <w:pPr>
        <w:ind w:left="5644" w:hanging="394"/>
      </w:pPr>
      <w:rPr>
        <w:rFonts w:hint="default"/>
        <w:lang w:val="en-US" w:eastAsia="en-US" w:bidi="ar-SA"/>
      </w:rPr>
    </w:lvl>
    <w:lvl w:ilvl="7">
      <w:start w:val="0"/>
      <w:numFmt w:val="bullet"/>
      <w:lvlText w:val="•"/>
      <w:lvlJc w:val="left"/>
      <w:pPr>
        <w:ind w:left="6558" w:hanging="394"/>
      </w:pPr>
      <w:rPr>
        <w:rFonts w:hint="default"/>
        <w:lang w:val="en-US" w:eastAsia="en-US" w:bidi="ar-SA"/>
      </w:rPr>
    </w:lvl>
    <w:lvl w:ilvl="8">
      <w:start w:val="0"/>
      <w:numFmt w:val="bullet"/>
      <w:lvlText w:val="•"/>
      <w:lvlJc w:val="left"/>
      <w:pPr>
        <w:ind w:left="7472" w:hanging="394"/>
      </w:pPr>
      <w:rPr>
        <w:rFonts w:hint="default"/>
        <w:lang w:val="en-US" w:eastAsia="en-US" w:bidi="ar-SA"/>
      </w:rPr>
    </w:lvl>
  </w:abstractNum>
  <w:abstractNum w:abstractNumId="1">
    <w:multiLevelType w:val="hybridMultilevel"/>
    <w:lvl w:ilvl="0">
      <w:start w:val="2"/>
      <w:numFmt w:val="decimal"/>
      <w:lvlText w:val="%1."/>
      <w:lvlJc w:val="left"/>
      <w:pPr>
        <w:ind w:left="160" w:hanging="25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499" w:hanging="34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Letter"/>
      <w:lvlText w:val="(%3)"/>
      <w:lvlJc w:val="left"/>
      <w:pPr>
        <w:ind w:left="160" w:hanging="33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455" w:hanging="331"/>
      </w:pPr>
      <w:rPr>
        <w:rFonts w:hint="default"/>
        <w:lang w:val="en-US" w:eastAsia="en-US" w:bidi="ar-SA"/>
      </w:rPr>
    </w:lvl>
    <w:lvl w:ilvl="4">
      <w:start w:val="0"/>
      <w:numFmt w:val="bullet"/>
      <w:lvlText w:val="•"/>
      <w:lvlJc w:val="left"/>
      <w:pPr>
        <w:ind w:left="3433" w:hanging="331"/>
      </w:pPr>
      <w:rPr>
        <w:rFonts w:hint="default"/>
        <w:lang w:val="en-US" w:eastAsia="en-US" w:bidi="ar-SA"/>
      </w:rPr>
    </w:lvl>
    <w:lvl w:ilvl="5">
      <w:start w:val="0"/>
      <w:numFmt w:val="bullet"/>
      <w:lvlText w:val="•"/>
      <w:lvlJc w:val="left"/>
      <w:pPr>
        <w:ind w:left="4411" w:hanging="331"/>
      </w:pPr>
      <w:rPr>
        <w:rFonts w:hint="default"/>
        <w:lang w:val="en-US" w:eastAsia="en-US" w:bidi="ar-SA"/>
      </w:rPr>
    </w:lvl>
    <w:lvl w:ilvl="6">
      <w:start w:val="0"/>
      <w:numFmt w:val="bullet"/>
      <w:lvlText w:val="•"/>
      <w:lvlJc w:val="left"/>
      <w:pPr>
        <w:ind w:left="5388" w:hanging="331"/>
      </w:pPr>
      <w:rPr>
        <w:rFonts w:hint="default"/>
        <w:lang w:val="en-US" w:eastAsia="en-US" w:bidi="ar-SA"/>
      </w:rPr>
    </w:lvl>
    <w:lvl w:ilvl="7">
      <w:start w:val="0"/>
      <w:numFmt w:val="bullet"/>
      <w:lvlText w:val="•"/>
      <w:lvlJc w:val="left"/>
      <w:pPr>
        <w:ind w:left="6366" w:hanging="331"/>
      </w:pPr>
      <w:rPr>
        <w:rFonts w:hint="default"/>
        <w:lang w:val="en-US" w:eastAsia="en-US" w:bidi="ar-SA"/>
      </w:rPr>
    </w:lvl>
    <w:lvl w:ilvl="8">
      <w:start w:val="0"/>
      <w:numFmt w:val="bullet"/>
      <w:lvlText w:val="•"/>
      <w:lvlJc w:val="left"/>
      <w:pPr>
        <w:ind w:left="7344" w:hanging="331"/>
      </w:pPr>
      <w:rPr>
        <w:rFonts w:hint="default"/>
        <w:lang w:val="en-US" w:eastAsia="en-US" w:bidi="ar-SA"/>
      </w:rPr>
    </w:lvl>
  </w:abstractNum>
  <w:abstractNum w:abstractNumId="0">
    <w:multiLevelType w:val="hybridMultilevel"/>
    <w:lvl w:ilvl="0">
      <w:start w:val="1"/>
      <w:numFmt w:val="decimal"/>
      <w:lvlText w:val="%1."/>
      <w:lvlJc w:val="left"/>
      <w:pPr>
        <w:ind w:left="160" w:hanging="30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074" w:hanging="309"/>
      </w:pPr>
      <w:rPr>
        <w:rFonts w:hint="default"/>
        <w:lang w:val="en-US" w:eastAsia="en-US" w:bidi="ar-SA"/>
      </w:rPr>
    </w:lvl>
    <w:lvl w:ilvl="2">
      <w:start w:val="0"/>
      <w:numFmt w:val="bullet"/>
      <w:lvlText w:val="•"/>
      <w:lvlJc w:val="left"/>
      <w:pPr>
        <w:ind w:left="1988" w:hanging="309"/>
      </w:pPr>
      <w:rPr>
        <w:rFonts w:hint="default"/>
        <w:lang w:val="en-US" w:eastAsia="en-US" w:bidi="ar-SA"/>
      </w:rPr>
    </w:lvl>
    <w:lvl w:ilvl="3">
      <w:start w:val="0"/>
      <w:numFmt w:val="bullet"/>
      <w:lvlText w:val="•"/>
      <w:lvlJc w:val="left"/>
      <w:pPr>
        <w:ind w:left="2902" w:hanging="309"/>
      </w:pPr>
      <w:rPr>
        <w:rFonts w:hint="default"/>
        <w:lang w:val="en-US" w:eastAsia="en-US" w:bidi="ar-SA"/>
      </w:rPr>
    </w:lvl>
    <w:lvl w:ilvl="4">
      <w:start w:val="0"/>
      <w:numFmt w:val="bullet"/>
      <w:lvlText w:val="•"/>
      <w:lvlJc w:val="left"/>
      <w:pPr>
        <w:ind w:left="3816" w:hanging="309"/>
      </w:pPr>
      <w:rPr>
        <w:rFonts w:hint="default"/>
        <w:lang w:val="en-US" w:eastAsia="en-US" w:bidi="ar-SA"/>
      </w:rPr>
    </w:lvl>
    <w:lvl w:ilvl="5">
      <w:start w:val="0"/>
      <w:numFmt w:val="bullet"/>
      <w:lvlText w:val="•"/>
      <w:lvlJc w:val="left"/>
      <w:pPr>
        <w:ind w:left="4730" w:hanging="309"/>
      </w:pPr>
      <w:rPr>
        <w:rFonts w:hint="default"/>
        <w:lang w:val="en-US" w:eastAsia="en-US" w:bidi="ar-SA"/>
      </w:rPr>
    </w:lvl>
    <w:lvl w:ilvl="6">
      <w:start w:val="0"/>
      <w:numFmt w:val="bullet"/>
      <w:lvlText w:val="•"/>
      <w:lvlJc w:val="left"/>
      <w:pPr>
        <w:ind w:left="5644" w:hanging="309"/>
      </w:pPr>
      <w:rPr>
        <w:rFonts w:hint="default"/>
        <w:lang w:val="en-US" w:eastAsia="en-US" w:bidi="ar-SA"/>
      </w:rPr>
    </w:lvl>
    <w:lvl w:ilvl="7">
      <w:start w:val="0"/>
      <w:numFmt w:val="bullet"/>
      <w:lvlText w:val="•"/>
      <w:lvlJc w:val="left"/>
      <w:pPr>
        <w:ind w:left="6558" w:hanging="309"/>
      </w:pPr>
      <w:rPr>
        <w:rFonts w:hint="default"/>
        <w:lang w:val="en-US" w:eastAsia="en-US" w:bidi="ar-SA"/>
      </w:rPr>
    </w:lvl>
    <w:lvl w:ilvl="8">
      <w:start w:val="0"/>
      <w:numFmt w:val="bullet"/>
      <w:lvlText w:val="•"/>
      <w:lvlJc w:val="left"/>
      <w:pPr>
        <w:ind w:left="7472" w:hanging="309"/>
      </w:pPr>
      <w:rPr>
        <w:rFonts w:hint="default"/>
        <w:lang w:val="en-US" w:eastAsia="en-US" w:bidi="ar-SA"/>
      </w:rPr>
    </w:lvl>
  </w:abstract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88">
    <w:abstractNumId w:val="87"/>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60"/>
    </w:pPr>
    <w:rPr>
      <w:rFonts w:ascii="Times New Roman" w:hAnsi="Times New Roman" w:eastAsia="Times New Roman" w:cs="Times New Roman"/>
      <w:sz w:val="24"/>
      <w:szCs w:val="24"/>
      <w:lang w:val="en-US" w:eastAsia="en-US" w:bidi="ar-SA"/>
    </w:rPr>
  </w:style>
  <w:style w:styleId="TOC2" w:type="paragraph">
    <w:name w:val="TOC 2"/>
    <w:basedOn w:val="Normal"/>
    <w:uiPriority w:val="1"/>
    <w:qFormat/>
    <w:pPr>
      <w:ind w:left="16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290" w:right="629"/>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6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60" w:right="497"/>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KKH</dc:creator>
  <dc:title>Microsoft Word - Kothari Commission Vol-1 Final.doc</dc:title>
  <dcterms:created xsi:type="dcterms:W3CDTF">2024-10-09T07:19:50Z</dcterms:created>
  <dcterms:modified xsi:type="dcterms:W3CDTF">2024-10-09T07:19:50Z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2010-06-25T00:00:00Z</vt:filetime>
  </property>
  <property fmtid="{D5CDD505-2E9C-101B-9397-08002B2CF9AE}" pid="3" name="Creator">
    <vt:lpwstr>PScript5.dll Version 5.2</vt:lpwstr>
  </property>
  <property fmtid="{D5CDD505-2E9C-101B-9397-08002B2CF9AE}" pid="4" name="LastSaved">
    <vt:filetime>2024-10-09T00:00:00Z</vt:filetime>
  </property>
  <property fmtid="{D5CDD505-2E9C-101B-9397-08002B2CF9AE}" pid="5" name="Producer">
    <vt:lpwstr>Acrobat Distiller 6.0 (Windows)</vt:lpwstr>
  </property>
</Properties>
</file>